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429895</wp:posOffset>
            </wp:positionV>
            <wp:extent cx="7016115" cy="90735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jc w:val="center"/>
        <w:ind w:right="-219"/>
        <w:spacing w:after="0"/>
        <w:rPr>
          <w:sz w:val="20"/>
          <w:szCs w:val="20"/>
          <w:color w:val="auto"/>
        </w:rPr>
      </w:pPr>
      <w:r>
        <w:rPr>
          <w:rFonts w:ascii="Arial" w:cs="Arial" w:eastAsia="Arial" w:hAnsi="Arial"/>
          <w:sz w:val="25"/>
          <w:szCs w:val="25"/>
          <w:b w:val="1"/>
          <w:bCs w:val="1"/>
          <w:color w:val="auto"/>
        </w:rPr>
        <w:t>UNITED STATES</w:t>
      </w:r>
    </w:p>
    <w:p>
      <w:pPr>
        <w:spacing w:after="0" w:line="10" w:lineRule="exact"/>
        <w:rPr>
          <w:sz w:val="24"/>
          <w:szCs w:val="24"/>
          <w:color w:val="auto"/>
        </w:rPr>
      </w:pPr>
    </w:p>
    <w:p>
      <w:pPr>
        <w:jc w:val="center"/>
        <w:ind w:right="-2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3" w:lineRule="exact"/>
        <w:rPr>
          <w:sz w:val="24"/>
          <w:szCs w:val="24"/>
          <w:color w:val="auto"/>
        </w:rPr>
      </w:pPr>
    </w:p>
    <w:p>
      <w:pPr>
        <w:jc w:val="center"/>
        <w:ind w:right="-219"/>
        <w:spacing w:after="0"/>
        <w:rPr>
          <w:sz w:val="20"/>
          <w:szCs w:val="20"/>
          <w:color w:val="auto"/>
        </w:rPr>
      </w:pPr>
      <w:r>
        <w:rPr>
          <w:rFonts w:ascii="Arial" w:cs="Arial" w:eastAsia="Arial" w:hAnsi="Arial"/>
          <w:sz w:val="25"/>
          <w:szCs w:val="25"/>
          <w:b w:val="1"/>
          <w:bCs w:val="1"/>
          <w:color w:val="auto"/>
        </w:rPr>
        <w:t>Washington, D.C. 20549</w:t>
      </w:r>
    </w:p>
    <w:p>
      <w:pPr>
        <w:spacing w:after="0" w:line="164" w:lineRule="exact"/>
        <w:rPr>
          <w:sz w:val="24"/>
          <w:szCs w:val="24"/>
          <w:color w:val="auto"/>
        </w:rPr>
      </w:pPr>
    </w:p>
    <w:p>
      <w:pPr>
        <w:jc w:val="center"/>
        <w:ind w:right="-219"/>
        <w:spacing w:after="0"/>
        <w:rPr>
          <w:sz w:val="20"/>
          <w:szCs w:val="20"/>
          <w:color w:val="auto"/>
        </w:rPr>
      </w:pPr>
      <w:r>
        <w:rPr>
          <w:rFonts w:ascii="Arial" w:cs="Arial" w:eastAsia="Arial" w:hAnsi="Arial"/>
          <w:sz w:val="36"/>
          <w:szCs w:val="36"/>
          <w:b w:val="1"/>
          <w:bCs w:val="1"/>
          <w:color w:val="auto"/>
        </w:rPr>
        <w:t>SCHEDULE 14A</w:t>
      </w:r>
    </w:p>
    <w:p>
      <w:pPr>
        <w:spacing w:after="0" w:line="212" w:lineRule="exact"/>
        <w:rPr>
          <w:sz w:val="24"/>
          <w:szCs w:val="24"/>
          <w:color w:val="auto"/>
        </w:rPr>
      </w:pPr>
    </w:p>
    <w:p>
      <w:pPr>
        <w:jc w:val="center"/>
        <w:ind w:right="-219"/>
        <w:spacing w:after="0"/>
        <w:rPr>
          <w:sz w:val="20"/>
          <w:szCs w:val="20"/>
          <w:color w:val="auto"/>
        </w:rPr>
      </w:pPr>
      <w:r>
        <w:rPr>
          <w:rFonts w:ascii="Arial" w:cs="Arial" w:eastAsia="Arial" w:hAnsi="Arial"/>
          <w:sz w:val="22"/>
          <w:szCs w:val="22"/>
          <w:color w:val="auto"/>
        </w:rPr>
        <w:t>Proxy  Statement  Pursuant  to  Section  14(a)  of</w:t>
      </w:r>
    </w:p>
    <w:p>
      <w:pPr>
        <w:spacing w:after="0" w:line="4" w:lineRule="exact"/>
        <w:rPr>
          <w:sz w:val="24"/>
          <w:szCs w:val="24"/>
          <w:color w:val="auto"/>
        </w:rPr>
      </w:pPr>
    </w:p>
    <w:p>
      <w:pPr>
        <w:jc w:val="center"/>
        <w:ind w:right="-219"/>
        <w:spacing w:after="0"/>
        <w:rPr>
          <w:sz w:val="20"/>
          <w:szCs w:val="20"/>
          <w:color w:val="auto"/>
        </w:rPr>
      </w:pPr>
      <w:r>
        <w:rPr>
          <w:rFonts w:ascii="Arial" w:cs="Arial" w:eastAsia="Arial" w:hAnsi="Arial"/>
          <w:sz w:val="22"/>
          <w:szCs w:val="22"/>
          <w:color w:val="auto"/>
        </w:rPr>
        <w:t>the  Securities  Exchange  Act  of  1934</w:t>
      </w:r>
    </w:p>
    <w:p>
      <w:pPr>
        <w:spacing w:after="0" w:line="294" w:lineRule="exact"/>
        <w:rPr>
          <w:sz w:val="24"/>
          <w:szCs w:val="24"/>
          <w:color w:val="auto"/>
        </w:rPr>
      </w:pPr>
    </w:p>
    <w:p>
      <w:pPr>
        <w:spacing w:after="0" w:line="253" w:lineRule="exact"/>
        <w:rPr>
          <w:sz w:val="20"/>
          <w:szCs w:val="20"/>
          <w:color w:val="auto"/>
        </w:rPr>
      </w:pPr>
      <w:r>
        <w:rPr>
          <w:rFonts w:ascii="Arial" w:cs="Arial" w:eastAsia="Arial" w:hAnsi="Arial"/>
          <w:sz w:val="22"/>
          <w:szCs w:val="22"/>
          <w:color w:val="auto"/>
        </w:rPr>
        <w:t xml:space="preserve">Filed  by  the  Registrant  </w:t>
      </w:r>
      <w:r>
        <w:rPr>
          <w:rFonts w:ascii="MS PGothic" w:cs="MS PGothic" w:eastAsia="MS PGothic" w:hAnsi="MS PGothic"/>
          <w:sz w:val="22"/>
          <w:szCs w:val="22"/>
          <w:color w:val="auto"/>
        </w:rPr>
        <w:t>☒</w:t>
      </w:r>
    </w:p>
    <w:p>
      <w:pPr>
        <w:spacing w:after="0" w:line="112" w:lineRule="exact"/>
        <w:rPr>
          <w:sz w:val="24"/>
          <w:szCs w:val="24"/>
          <w:color w:val="auto"/>
        </w:rPr>
      </w:pPr>
    </w:p>
    <w:p>
      <w:pPr>
        <w:spacing w:after="0" w:line="253" w:lineRule="exact"/>
        <w:rPr>
          <w:sz w:val="20"/>
          <w:szCs w:val="20"/>
          <w:color w:val="auto"/>
        </w:rPr>
      </w:pPr>
      <w:r>
        <w:rPr>
          <w:rFonts w:ascii="Arial" w:cs="Arial" w:eastAsia="Arial" w:hAnsi="Arial"/>
          <w:sz w:val="22"/>
          <w:szCs w:val="22"/>
          <w:color w:val="auto"/>
        </w:rPr>
        <w:t xml:space="preserve">Filed  by  a  Party  other  than  the  Registrant  </w:t>
      </w:r>
      <w:r>
        <w:rPr>
          <w:rFonts w:ascii="MS PGothic" w:cs="MS PGothic" w:eastAsia="MS PGothic" w:hAnsi="MS PGothic"/>
          <w:sz w:val="22"/>
          <w:szCs w:val="22"/>
          <w:color w:val="auto"/>
        </w:rPr>
        <w:t>☐</w:t>
      </w:r>
    </w:p>
    <w:p>
      <w:pPr>
        <w:spacing w:after="0" w:line="22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w:t>
      </w:r>
    </w:p>
    <w:p>
      <w:pPr>
        <w:spacing w:after="0" w:line="4" w:lineRule="exact"/>
        <w:rPr>
          <w:sz w:val="24"/>
          <w:szCs w:val="24"/>
          <w:color w:val="auto"/>
        </w:rPr>
      </w:pPr>
    </w:p>
    <w:p>
      <w:pPr>
        <w:ind w:left="660" w:hanging="656"/>
        <w:spacing w:after="0"/>
        <w:tabs>
          <w:tab w:leader="none" w:pos="66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Preliminary  Proxy  Statement</w:t>
      </w:r>
    </w:p>
    <w:p>
      <w:pPr>
        <w:spacing w:after="0" w:line="3" w:lineRule="exact"/>
        <w:rPr>
          <w:rFonts w:ascii="MS PGothic" w:cs="MS PGothic" w:eastAsia="MS PGothic" w:hAnsi="MS PGothic"/>
          <w:sz w:val="22"/>
          <w:szCs w:val="22"/>
          <w:color w:val="auto"/>
        </w:rPr>
      </w:pPr>
    </w:p>
    <w:p>
      <w:pPr>
        <w:ind w:left="660" w:hanging="656"/>
        <w:spacing w:after="0"/>
        <w:tabs>
          <w:tab w:leader="none" w:pos="6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Confdential, for Use of the Commission Only (as permitted by Rule 14a-6(e)(2))</w:t>
      </w:r>
    </w:p>
    <w:p>
      <w:pPr>
        <w:spacing w:after="0" w:line="3" w:lineRule="exact"/>
        <w:rPr>
          <w:rFonts w:ascii="MS PGothic" w:cs="MS PGothic" w:eastAsia="MS PGothic" w:hAnsi="MS PGothic"/>
          <w:sz w:val="22"/>
          <w:szCs w:val="22"/>
          <w:color w:val="auto"/>
        </w:rPr>
      </w:pPr>
    </w:p>
    <w:p>
      <w:pPr>
        <w:spacing w:after="0" w:line="253" w:lineRule="exact"/>
        <w:rPr>
          <w:rFonts w:ascii="MS PGothic" w:cs="MS PGothic" w:eastAsia="MS PGothic" w:hAnsi="MS PGothic"/>
          <w:sz w:val="22"/>
          <w:szCs w:val="22"/>
          <w:color w:val="auto"/>
        </w:rPr>
      </w:pPr>
      <w:r>
        <w:rPr>
          <w:rFonts w:ascii="MS PGothic" w:cs="MS PGothic" w:eastAsia="MS PGothic" w:hAnsi="MS PGothic"/>
          <w:sz w:val="22"/>
          <w:szCs w:val="22"/>
          <w:color w:val="auto"/>
        </w:rPr>
        <w:t>☒</w:t>
      </w:r>
      <w:r>
        <w:rPr>
          <w:rFonts w:ascii="Arial" w:cs="Arial" w:eastAsia="Arial" w:hAnsi="Arial"/>
          <w:sz w:val="22"/>
          <w:szCs w:val="22"/>
          <w:color w:val="auto"/>
        </w:rPr>
        <w:t>Defnitive  Proxy  Statement</w:t>
      </w:r>
    </w:p>
    <w:p>
      <w:pPr>
        <w:spacing w:after="0" w:line="3" w:lineRule="exact"/>
        <w:rPr>
          <w:rFonts w:ascii="MS PGothic" w:cs="MS PGothic" w:eastAsia="MS PGothic" w:hAnsi="MS PGothic"/>
          <w:sz w:val="22"/>
          <w:szCs w:val="22"/>
          <w:color w:val="auto"/>
        </w:rPr>
      </w:pPr>
    </w:p>
    <w:p>
      <w:pPr>
        <w:ind w:left="660" w:hanging="656"/>
        <w:spacing w:after="0"/>
        <w:tabs>
          <w:tab w:leader="none" w:pos="66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Defnitive  Additional  Materials</w:t>
      </w:r>
    </w:p>
    <w:p>
      <w:pPr>
        <w:spacing w:after="0" w:line="3" w:lineRule="exact"/>
        <w:rPr>
          <w:rFonts w:ascii="MS PGothic" w:cs="MS PGothic" w:eastAsia="MS PGothic" w:hAnsi="MS PGothic"/>
          <w:sz w:val="22"/>
          <w:szCs w:val="22"/>
          <w:color w:val="auto"/>
        </w:rPr>
      </w:pPr>
    </w:p>
    <w:p>
      <w:pPr>
        <w:ind w:left="660" w:hanging="656"/>
        <w:spacing w:after="0"/>
        <w:tabs>
          <w:tab w:leader="none" w:pos="66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Soliciting  Material  under  §240.14a-12</w:t>
      </w:r>
    </w:p>
    <w:p>
      <w:pPr>
        <w:spacing w:after="0" w:line="206"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United Airlines Holdings, Inc.</w:t>
      </w:r>
    </w:p>
    <w:p>
      <w:pPr>
        <w:spacing w:after="0" w:line="98" w:lineRule="exact"/>
        <w:rPr>
          <w:sz w:val="24"/>
          <w:szCs w:val="24"/>
          <w:color w:val="auto"/>
        </w:rPr>
      </w:pPr>
    </w:p>
    <w:p>
      <w:pPr>
        <w:jc w:val="center"/>
        <w:ind w:right="-219"/>
        <w:spacing w:after="0"/>
        <w:rPr>
          <w:sz w:val="20"/>
          <w:szCs w:val="20"/>
          <w:color w:val="auto"/>
        </w:rPr>
      </w:pPr>
      <w:r>
        <w:rPr>
          <w:rFonts w:ascii="Arial" w:cs="Arial" w:eastAsia="Arial" w:hAnsi="Arial"/>
          <w:sz w:val="22"/>
          <w:szCs w:val="22"/>
          <w:color w:val="auto"/>
        </w:rPr>
        <w:t>(Name  of  Registrant  as  Specifed  in  its  Charter)</w:t>
      </w:r>
    </w:p>
    <w:p>
      <w:pPr>
        <w:spacing w:after="0" w:line="200" w:lineRule="exact"/>
        <w:rPr>
          <w:sz w:val="24"/>
          <w:szCs w:val="24"/>
          <w:color w:val="auto"/>
        </w:rPr>
      </w:pPr>
    </w:p>
    <w:p>
      <w:pPr>
        <w:spacing w:after="0" w:line="263" w:lineRule="exact"/>
        <w:rPr>
          <w:sz w:val="24"/>
          <w:szCs w:val="24"/>
          <w:color w:val="auto"/>
        </w:rPr>
      </w:pPr>
    </w:p>
    <w:p>
      <w:pPr>
        <w:ind w:left="1260"/>
        <w:spacing w:after="0"/>
        <w:rPr>
          <w:sz w:val="20"/>
          <w:szCs w:val="20"/>
          <w:color w:val="auto"/>
        </w:rPr>
      </w:pPr>
      <w:r>
        <w:rPr>
          <w:rFonts w:ascii="Arial" w:cs="Arial" w:eastAsia="Arial" w:hAnsi="Arial"/>
          <w:sz w:val="22"/>
          <w:szCs w:val="22"/>
          <w:color w:val="auto"/>
        </w:rPr>
        <w:t>(Name  of  Person(s)  Filing  Proxy  Statement,  if  other  than  the  Registrant)</w:t>
      </w:r>
    </w:p>
    <w:p>
      <w:pPr>
        <w:spacing w:after="0" w:line="179" w:lineRule="exact"/>
        <w:rPr>
          <w:sz w:val="24"/>
          <w:szCs w:val="24"/>
          <w:color w:val="auto"/>
        </w:rPr>
      </w:pPr>
    </w:p>
    <w:p>
      <w:pPr>
        <w:spacing w:after="0"/>
        <w:rPr>
          <w:sz w:val="20"/>
          <w:szCs w:val="20"/>
          <w:color w:val="auto"/>
        </w:rPr>
      </w:pPr>
      <w:r>
        <w:rPr>
          <w:rFonts w:ascii="Arial" w:cs="Arial" w:eastAsia="Arial" w:hAnsi="Arial"/>
          <w:sz w:val="22"/>
          <w:szCs w:val="22"/>
          <w:color w:val="auto"/>
        </w:rPr>
        <w:t>Payment  of  Filing  Fee  (Check  all  boxes  that  apply):</w:t>
      </w:r>
    </w:p>
    <w:p>
      <w:pPr>
        <w:spacing w:after="0" w:line="4" w:lineRule="exact"/>
        <w:rPr>
          <w:sz w:val="24"/>
          <w:szCs w:val="24"/>
          <w:color w:val="auto"/>
        </w:rPr>
      </w:pPr>
    </w:p>
    <w:p>
      <w:pPr>
        <w:ind w:left="660" w:hanging="656"/>
        <w:spacing w:after="0"/>
        <w:tabs>
          <w:tab w:leader="none" w:pos="660" w:val="left"/>
        </w:tabs>
        <w:numPr>
          <w:ilvl w:val="0"/>
          <w:numId w:val="2"/>
        </w:numPr>
        <w:rPr>
          <w:rFonts w:ascii="MS PGothic" w:cs="MS PGothic" w:eastAsia="MS PGothic" w:hAnsi="MS PGothic"/>
          <w:sz w:val="22"/>
          <w:szCs w:val="22"/>
          <w:color w:val="auto"/>
        </w:rPr>
      </w:pPr>
      <w:r>
        <w:rPr>
          <w:rFonts w:ascii="Arial" w:cs="Arial" w:eastAsia="Arial" w:hAnsi="Arial"/>
          <w:sz w:val="22"/>
          <w:szCs w:val="22"/>
          <w:color w:val="auto"/>
        </w:rPr>
        <w:t>No  fee  required.</w:t>
      </w:r>
    </w:p>
    <w:p>
      <w:pPr>
        <w:spacing w:after="0" w:line="4" w:lineRule="exact"/>
        <w:rPr>
          <w:sz w:val="24"/>
          <w:szCs w:val="24"/>
          <w:color w:val="auto"/>
        </w:rPr>
      </w:pPr>
    </w:p>
    <w:p>
      <w:pPr>
        <w:ind w:left="660" w:hanging="656"/>
        <w:spacing w:after="0"/>
        <w:tabs>
          <w:tab w:leader="none" w:pos="660" w:val="left"/>
        </w:tabs>
        <w:numPr>
          <w:ilvl w:val="0"/>
          <w:numId w:val="3"/>
        </w:numPr>
        <w:rPr>
          <w:rFonts w:ascii="MS PGothic" w:cs="MS PGothic" w:eastAsia="MS PGothic" w:hAnsi="MS PGothic"/>
          <w:sz w:val="22"/>
          <w:szCs w:val="22"/>
          <w:color w:val="auto"/>
        </w:rPr>
      </w:pPr>
      <w:r>
        <w:rPr>
          <w:rFonts w:ascii="Arial" w:cs="Arial" w:eastAsia="Arial" w:hAnsi="Arial"/>
          <w:sz w:val="22"/>
          <w:szCs w:val="22"/>
          <w:color w:val="auto"/>
        </w:rPr>
        <w:t>Fee  paid  previously  with  preliminary  materials.</w:t>
      </w:r>
    </w:p>
    <w:p>
      <w:pPr>
        <w:spacing w:after="0" w:line="3" w:lineRule="exact"/>
        <w:rPr>
          <w:rFonts w:ascii="MS PGothic" w:cs="MS PGothic" w:eastAsia="MS PGothic" w:hAnsi="MS PGothic"/>
          <w:sz w:val="22"/>
          <w:szCs w:val="22"/>
          <w:color w:val="auto"/>
        </w:rPr>
      </w:pPr>
    </w:p>
    <w:p>
      <w:pPr>
        <w:ind w:left="660" w:hanging="656"/>
        <w:spacing w:after="0"/>
        <w:tabs>
          <w:tab w:leader="none" w:pos="660" w:val="left"/>
        </w:tabs>
        <w:numPr>
          <w:ilvl w:val="0"/>
          <w:numId w:val="3"/>
        </w:numPr>
        <w:rPr>
          <w:rFonts w:ascii="MS PGothic" w:cs="MS PGothic" w:eastAsia="MS PGothic" w:hAnsi="MS PGothic"/>
          <w:sz w:val="19"/>
          <w:szCs w:val="19"/>
          <w:color w:val="auto"/>
        </w:rPr>
      </w:pPr>
      <w:r>
        <w:rPr>
          <w:rFonts w:ascii="Arial" w:cs="Arial" w:eastAsia="Arial" w:hAnsi="Arial"/>
          <w:sz w:val="19"/>
          <w:szCs w:val="19"/>
          <w:color w:val="auto"/>
        </w:rPr>
        <w:t>Fee  computed  on  table  in  exhibit  required  by  Item  25(b)  per  Exchange  Act  Rules  14a-6(i)</w:t>
      </w:r>
    </w:p>
    <w:p>
      <w:pPr>
        <w:spacing w:after="0" w:line="38" w:lineRule="exact"/>
        <w:rPr>
          <w:rFonts w:ascii="MS PGothic" w:cs="MS PGothic" w:eastAsia="MS PGothic" w:hAnsi="MS PGothic"/>
          <w:sz w:val="19"/>
          <w:szCs w:val="19"/>
          <w:color w:val="auto"/>
        </w:rPr>
      </w:pPr>
    </w:p>
    <w:p>
      <w:pPr>
        <w:ind w:left="660"/>
        <w:spacing w:after="0"/>
        <w:rPr>
          <w:rFonts w:ascii="MS PGothic" w:cs="MS PGothic" w:eastAsia="MS PGothic" w:hAnsi="MS PGothic"/>
          <w:sz w:val="19"/>
          <w:szCs w:val="19"/>
          <w:color w:val="auto"/>
        </w:rPr>
      </w:pPr>
      <w:r>
        <w:rPr>
          <w:rFonts w:ascii="Arial" w:cs="Arial" w:eastAsia="Arial" w:hAnsi="Arial"/>
          <w:sz w:val="22"/>
          <w:szCs w:val="22"/>
          <w:color w:val="auto"/>
        </w:rPr>
        <w:t>(1)  and  0-11.</w:t>
      </w:r>
    </w:p>
    <w:p>
      <w:pPr>
        <w:sectPr>
          <w:pgSz w:w="11900" w:h="16838" w:orient="portrait"/>
          <w:cols w:equalWidth="0" w:num="1">
            <w:col w:w="9500"/>
          </w:cols>
          <w:pgMar w:left="1080" w:top="1060" w:right="1319" w:bottom="1440" w:gutter="0" w:footer="0" w:header="0"/>
        </w:sectPr>
      </w:pPr>
    </w:p>
    <w:bookmarkStart w:id="1" w:name="page2"/>
    <w:bookmarkEnd w:id="1"/>
    <w:p>
      <w:pPr>
        <w:spacing w:after="0"/>
        <w:rPr>
          <w:sz w:val="20"/>
          <w:szCs w:val="20"/>
          <w:color w:val="auto"/>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ectPr>
          <w:pgSz w:w="11900" w:h="16838" w:orient="portrait"/>
          <w:cols w:equalWidth="0" w:num="1">
            <w:col w:w="9379"/>
          </w:cols>
          <w:pgMar w:left="1080" w:top="844" w:right="1440" w:bottom="1440" w:gutter="0" w:footer="0" w:header="0"/>
        </w:sectPr>
      </w:pPr>
    </w:p>
    <w:bookmarkStart w:id="2" w:name="page3"/>
    <w:bookmarkEnd w:id="2"/>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A Message from Our Chairman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1414D2"/>
        </w:rPr>
        <w:t>Dear Fellow United Stockholders,</w:t>
      </w:r>
    </w:p>
    <w:p>
      <w:pPr>
        <w:spacing w:after="0" w:line="117" w:lineRule="exact"/>
        <w:rPr>
          <w:sz w:val="20"/>
          <w:szCs w:val="20"/>
          <w:color w:val="auto"/>
        </w:rPr>
      </w:pPr>
    </w:p>
    <w:p>
      <w:pPr>
        <w:ind w:right="80"/>
        <w:spacing w:after="0" w:line="296" w:lineRule="auto"/>
        <w:rPr>
          <w:sz w:val="20"/>
          <w:szCs w:val="20"/>
          <w:color w:val="auto"/>
        </w:rPr>
      </w:pPr>
      <w:r>
        <w:rPr>
          <w:rFonts w:ascii="Arial" w:cs="Arial" w:eastAsia="Arial" w:hAnsi="Arial"/>
          <w:sz w:val="18"/>
          <w:szCs w:val="18"/>
          <w:color w:val="auto"/>
        </w:rPr>
        <w:t>On behalf of the United Airlines Holdings, Inc. Board of Directors, it is my pleasure to invite you to attend our 2026 Annual Meeting of Stockholders, which is scheduled to be held on Tuesday, May 19, 2026 at 9:00 a.m., Central Time.</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As  I  enter  my  ffth  year  as  the  Chairman  of  the  Board  of  Directors  of  United  Airlines,  I  remain  incredibly  proud  to</w:t>
      </w:r>
    </w:p>
    <w:p>
      <w:pPr>
        <w:spacing w:after="0" w:line="21"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serve in this role. While 2025 brought unique challenges to this industry, United managed to remain laser focused on the customer experience and building brand loyalty. United did this while continuing to bolster its resiliency</w:t>
      </w:r>
    </w:p>
    <w:p>
      <w:pPr>
        <w:spacing w:after="0" w:line="1"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color w:val="auto"/>
        </w:rPr>
        <w:t>and drive to create value for our stockholders by delivering strong fnancial results. During 2026, United will celebrate its centennial anniversary and I am excited to see what the future holds as we continue to improve the innovative products we ofer on our aircraft, enhance customer experience through the rollout of new features on the United app and expand Starlink to our feet. On behalf of the Board, we want to thank United’s entire employee base, who makes all of this possible.</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Throughout  the  past  year,  the  Board  continued  to  support  the  Company’s  strategic  direction  and  prudent  use  of</w:t>
      </w:r>
    </w:p>
    <w:p>
      <w:pPr>
        <w:spacing w:after="0" w:line="9"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capital to increase stockholder value while also overseeing the Company’s management of key risks that face the industry. The most signifcant risk that the Board oversees is ensuring that United maintains the highest standards</w:t>
      </w:r>
    </w:p>
    <w:p>
      <w:pPr>
        <w:spacing w:after="0" w:line="1"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color w:val="auto"/>
        </w:rPr>
        <w:t>of safety. In 2025, we prioritized standalone discussions of safety at each of our regular quarterly Board meetings, including reviews of the Company’s safety management systems and processes, industry-wide safety considerations and the evolving regulatory landscape, among other topics.</w:t>
      </w:r>
    </w:p>
    <w:p>
      <w:pPr>
        <w:spacing w:after="0" w:line="26"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Our Board consists of directors with depth and breadth of experience aligned with United’s long-term strategy, key risks and opportunities, helping us provide efective support and oversight. We have worked carefully to evolve</w:t>
      </w:r>
    </w:p>
    <w:p>
      <w:pPr>
        <w:spacing w:after="0" w:line="1" w:lineRule="exact"/>
        <w:rPr>
          <w:sz w:val="20"/>
          <w:szCs w:val="20"/>
          <w:color w:val="auto"/>
        </w:rPr>
      </w:pPr>
    </w:p>
    <w:p>
      <w:pPr>
        <w:ind w:right="380"/>
        <w:spacing w:after="0" w:line="299" w:lineRule="auto"/>
        <w:rPr>
          <w:sz w:val="20"/>
          <w:szCs w:val="20"/>
          <w:color w:val="auto"/>
        </w:rPr>
      </w:pPr>
      <w:r>
        <w:rPr>
          <w:rFonts w:ascii="Arial" w:cs="Arial" w:eastAsia="Arial" w:hAnsi="Arial"/>
          <w:sz w:val="18"/>
          <w:szCs w:val="18"/>
          <w:color w:val="auto"/>
        </w:rPr>
        <w:t>the Board’s membership with a focus on having an appropriate mixture of tenure and experience that includes both new perspectives and continuity.</w:t>
      </w:r>
    </w:p>
    <w:p>
      <w:pPr>
        <w:spacing w:after="0" w:line="11"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Lastly, I want to emphasize the importance of our stockholders. The Board and management team value ongoing dialogue with our stockholders in order to understand their priorities and perspectives and the Board oversees our stockholder engagement program. During 2025 and early 2026, a broad range of topics were discussed— including our strategy, executive compensation and sustainability—and feedback from the conversations is shared with the Board and relevant committees. We encourage you to continue to engage with us.</w:t>
      </w:r>
    </w:p>
    <w:p>
      <w:pPr>
        <w:spacing w:after="0" w:line="41" w:lineRule="exact"/>
        <w:rPr>
          <w:sz w:val="20"/>
          <w:szCs w:val="20"/>
          <w:color w:val="auto"/>
        </w:rPr>
      </w:pPr>
    </w:p>
    <w:p>
      <w:pPr>
        <w:ind w:right="180"/>
        <w:spacing w:after="0" w:line="242" w:lineRule="auto"/>
        <w:rPr>
          <w:sz w:val="20"/>
          <w:szCs w:val="20"/>
          <w:color w:val="auto"/>
        </w:rPr>
      </w:pPr>
      <w:r>
        <w:rPr>
          <w:rFonts w:ascii="Arial" w:cs="Arial" w:eastAsia="Arial" w:hAnsi="Arial"/>
          <w:sz w:val="18"/>
          <w:szCs w:val="18"/>
          <w:color w:val="auto"/>
        </w:rPr>
        <w:t>This Proxy Statement includes information about director elections and the other proposals up for a vote at the Annual Meeting. We hope you will participate in the Annual Meeting by attending virtually and ask that you vote,</w:t>
      </w:r>
    </w:p>
    <w:p>
      <w:pPr>
        <w:spacing w:after="0" w:line="1" w:lineRule="exact"/>
        <w:rPr>
          <w:sz w:val="20"/>
          <w:szCs w:val="20"/>
          <w:color w:val="auto"/>
        </w:rPr>
      </w:pPr>
    </w:p>
    <w:p>
      <w:pPr>
        <w:ind w:right="280"/>
        <w:spacing w:after="0" w:line="314" w:lineRule="auto"/>
        <w:rPr>
          <w:sz w:val="20"/>
          <w:szCs w:val="20"/>
          <w:color w:val="auto"/>
        </w:rPr>
      </w:pPr>
      <w:r>
        <w:rPr>
          <w:rFonts w:ascii="Arial" w:cs="Arial" w:eastAsia="Arial" w:hAnsi="Arial"/>
          <w:sz w:val="18"/>
          <w:szCs w:val="18"/>
          <w:color w:val="auto"/>
        </w:rPr>
        <w:t>as promptly as possible, through one of the options outlined in the Proxy Statement, whether or not you plan to join us for the Annual Meeting. Your participation is crucial, so please exercise your right to vote.</w:t>
      </w:r>
    </w:p>
    <w:p>
      <w:pPr>
        <w:spacing w:after="0" w:line="12"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860"/>
        <w:spacing w:after="0"/>
        <w:rPr>
          <w:sz w:val="20"/>
          <w:szCs w:val="20"/>
          <w:color w:val="auto"/>
        </w:rPr>
      </w:pPr>
      <w:r>
        <w:rPr>
          <w:rFonts w:ascii="Arial" w:cs="Arial" w:eastAsia="Arial" w:hAnsi="Arial"/>
          <w:sz w:val="16"/>
          <w:szCs w:val="16"/>
          <w:b w:val="1"/>
          <w:bCs w:val="1"/>
          <w:color w:val="auto"/>
        </w:rPr>
        <w:t>Edward M. Philip</w:t>
      </w:r>
    </w:p>
    <w:p>
      <w:pPr>
        <w:spacing w:after="0" w:line="5" w:lineRule="exact"/>
        <w:rPr>
          <w:sz w:val="20"/>
          <w:szCs w:val="20"/>
          <w:color w:val="auto"/>
        </w:rPr>
      </w:pPr>
    </w:p>
    <w:p>
      <w:pPr>
        <w:ind w:left="4860"/>
        <w:spacing w:after="0"/>
        <w:rPr>
          <w:sz w:val="20"/>
          <w:szCs w:val="20"/>
          <w:color w:val="auto"/>
        </w:rPr>
      </w:pPr>
      <w:r>
        <w:rPr>
          <w:rFonts w:ascii="Arial" w:cs="Arial" w:eastAsia="Arial" w:hAnsi="Arial"/>
          <w:sz w:val="16"/>
          <w:szCs w:val="16"/>
          <w:b w:val="1"/>
          <w:bCs w:val="1"/>
          <w:i w:val="1"/>
          <w:iCs w:val="1"/>
          <w:color w:val="auto"/>
        </w:rPr>
        <w:t>Chairman of the Board</w:t>
      </w:r>
    </w:p>
    <w:p>
      <w:pPr>
        <w:sectPr>
          <w:pgSz w:w="11900" w:h="16838" w:orient="portrait"/>
          <w:cols w:equalWidth="0" w:num="1">
            <w:col w:w="9720"/>
          </w:cols>
          <w:pgMar w:left="1080" w:top="844" w:right="1099" w:bottom="1440" w:gutter="0" w:footer="0" w:header="0"/>
        </w:sectPr>
      </w:pPr>
    </w:p>
    <w:bookmarkStart w:id="3" w:name="page4"/>
    <w:bookmarkEnd w:id="3"/>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A Message from Our Chief Executive Ofcer</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1414D2"/>
        </w:rPr>
        <w:t>Dear Fellow United Stockholders,</w:t>
      </w:r>
    </w:p>
    <w:p>
      <w:pPr>
        <w:spacing w:after="0" w:line="10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For the past decade, our strategy has been focused on becoming the best airline in the history of aviation. We are making important progress on accomplishing our goal by building a brand-loyal airline that customers love through our investments in our employees, service, feet, product, technology and infrastructure. At the same time, we have strengthened our balance sheet and improved credit ratings. Our strategy is succeeding as our execution of several critical initiatives during the last year has helped to move us to the top of the industry from a fnancial and operational perspective, creating signifcant value for our stockholders.</w:t>
      </w:r>
    </w:p>
    <w:p>
      <w:pPr>
        <w:spacing w:after="0" w:line="138"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One of the pillars of our strategy is our commitment to operational excellence. In the face of what has continued to be a challenging environment for our industry as a whole, our employees are driving our best customer satisfaction scores in our history.</w:t>
      </w:r>
    </w:p>
    <w:p>
      <w:pPr>
        <w:spacing w:after="0" w:line="134" w:lineRule="exact"/>
        <w:rPr>
          <w:sz w:val="20"/>
          <w:szCs w:val="20"/>
          <w:color w:val="auto"/>
        </w:rPr>
      </w:pPr>
    </w:p>
    <w:p>
      <w:pPr>
        <w:ind w:right="180"/>
        <w:spacing w:after="0" w:line="250" w:lineRule="auto"/>
        <w:rPr>
          <w:sz w:val="20"/>
          <w:szCs w:val="20"/>
          <w:color w:val="auto"/>
        </w:rPr>
      </w:pPr>
      <w:r>
        <w:rPr>
          <w:rFonts w:ascii="Arial" w:cs="Arial" w:eastAsia="Arial" w:hAnsi="Arial"/>
          <w:sz w:val="18"/>
          <w:szCs w:val="18"/>
          <w:color w:val="auto"/>
        </w:rPr>
        <w:t>We know that building a great airline for our employees and customers will lead to strong fnancial results and is the surest path to rewarding our long-term stockholders. Our impressive fnancial performance can be seen with</w:t>
      </w:r>
    </w:p>
    <w:p>
      <w:pPr>
        <w:spacing w:after="0" w:line="1" w:lineRule="exact"/>
        <w:rPr>
          <w:sz w:val="20"/>
          <w:szCs w:val="20"/>
          <w:color w:val="auto"/>
        </w:rPr>
      </w:pPr>
    </w:p>
    <w:p>
      <w:pPr>
        <w:ind w:right="300"/>
        <w:spacing w:after="0" w:line="242" w:lineRule="auto"/>
        <w:rPr>
          <w:sz w:val="20"/>
          <w:szCs w:val="20"/>
          <w:color w:val="auto"/>
        </w:rPr>
      </w:pPr>
      <w:r>
        <w:rPr>
          <w:rFonts w:ascii="Arial" w:cs="Arial" w:eastAsia="Arial" w:hAnsi="Arial"/>
          <w:sz w:val="18"/>
          <w:szCs w:val="18"/>
          <w:color w:val="auto"/>
        </w:rPr>
        <w:t>our proft margin continuing to be near the top of the industry. We were also the only airline of our U.S. competitors</w:t>
      </w:r>
      <w:r>
        <w:rPr>
          <w:rFonts w:ascii="Arial" w:cs="Arial" w:eastAsia="Arial" w:hAnsi="Arial"/>
          <w:sz w:val="13"/>
          <w:szCs w:val="13"/>
          <w:color w:val="auto"/>
        </w:rPr>
        <w:t>(1)</w:t>
      </w:r>
      <w:r>
        <w:rPr>
          <w:rFonts w:ascii="Arial" w:cs="Arial" w:eastAsia="Arial" w:hAnsi="Arial"/>
          <w:sz w:val="18"/>
          <w:szCs w:val="18"/>
          <w:color w:val="auto"/>
        </w:rPr>
        <w:t xml:space="preserve"> to grow adjusted diluted earnings per share</w:t>
      </w:r>
      <w:r>
        <w:rPr>
          <w:rFonts w:ascii="Arial" w:cs="Arial" w:eastAsia="Arial" w:hAnsi="Arial"/>
          <w:sz w:val="13"/>
          <w:szCs w:val="13"/>
          <w:color w:val="auto"/>
        </w:rPr>
        <w:t>(2)</w:t>
      </w:r>
      <w:r>
        <w:rPr>
          <w:rFonts w:ascii="Arial" w:cs="Arial" w:eastAsia="Arial" w:hAnsi="Arial"/>
          <w:sz w:val="18"/>
          <w:szCs w:val="18"/>
          <w:color w:val="auto"/>
        </w:rPr>
        <w:t xml:space="preserve"> year-over-year in 2025. In addition, we are nearing</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our  goal  of  having  an  investment-grade  credit  rating.</w:t>
      </w:r>
    </w:p>
    <w:p>
      <w:pPr>
        <w:spacing w:after="0" w:line="225"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While we are proud of our accomplishments, we have always known that industry stress events are inevitable. The war in Iran is the latest stress event. Coming out of the COVID-19 pandemic, I made a commitment to our employees that our management team will do everything possible to improve United fnancially so that we would</w:t>
      </w:r>
    </w:p>
    <w:p>
      <w:pPr>
        <w:spacing w:after="0" w:line="1"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never again need to furlough employees in times of stress. Because of the success that we have achieved through our strategy to win brand-loyal customers and elevate our fnancial results, we are in a position to keep that</w:t>
      </w:r>
    </w:p>
    <w:p>
      <w:pPr>
        <w:spacing w:after="0" w:line="1" w:lineRule="exact"/>
        <w:rPr>
          <w:sz w:val="20"/>
          <w:szCs w:val="20"/>
          <w:color w:val="auto"/>
        </w:rPr>
      </w:pPr>
    </w:p>
    <w:p>
      <w:pPr>
        <w:ind w:right="240"/>
        <w:spacing w:after="0" w:line="314" w:lineRule="auto"/>
        <w:rPr>
          <w:sz w:val="20"/>
          <w:szCs w:val="20"/>
          <w:color w:val="auto"/>
        </w:rPr>
      </w:pPr>
      <w:r>
        <w:rPr>
          <w:rFonts w:ascii="Arial" w:cs="Arial" w:eastAsia="Arial" w:hAnsi="Arial"/>
          <w:sz w:val="18"/>
          <w:szCs w:val="18"/>
          <w:color w:val="auto"/>
        </w:rPr>
        <w:t>commitment. We will also be looking for opportunities that higher-priced oil may create to reinforce our drive to deliver long-term growth and stockholder value.</w:t>
      </w:r>
    </w:p>
    <w:p>
      <w:pPr>
        <w:spacing w:after="0" w:line="106" w:lineRule="exact"/>
        <w:rPr>
          <w:sz w:val="20"/>
          <w:szCs w:val="20"/>
          <w:color w:val="auto"/>
        </w:rPr>
      </w:pPr>
    </w:p>
    <w:p>
      <w:pPr>
        <w:ind w:right="100"/>
        <w:spacing w:after="0" w:line="314" w:lineRule="auto"/>
        <w:rPr>
          <w:sz w:val="20"/>
          <w:szCs w:val="20"/>
          <w:color w:val="auto"/>
        </w:rPr>
      </w:pPr>
      <w:r>
        <w:rPr>
          <w:rFonts w:ascii="Arial" w:cs="Arial" w:eastAsia="Arial" w:hAnsi="Arial"/>
          <w:sz w:val="18"/>
          <w:szCs w:val="18"/>
          <w:color w:val="auto"/>
        </w:rPr>
        <w:t>Our focus is on continuing to innovate, invest in our people and pursue key priorities that enhance the experience of our customers, but it is worth reviewing some of the highlights from 2025:</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2025 Financial Results</w:t>
      </w:r>
    </w:p>
    <w:p>
      <w:pPr>
        <w:spacing w:after="0" w:line="9" w:lineRule="exact"/>
        <w:rPr>
          <w:sz w:val="20"/>
          <w:szCs w:val="20"/>
          <w:color w:val="auto"/>
        </w:rPr>
      </w:pPr>
    </w:p>
    <w:p>
      <w:pPr>
        <w:ind w:left="680" w:right="40" w:hanging="325"/>
        <w:spacing w:after="0"/>
        <w:tabs>
          <w:tab w:leader="none" w:pos="680" w:val="left"/>
        </w:tabs>
        <w:numPr>
          <w:ilvl w:val="0"/>
          <w:numId w:val="4"/>
        </w:numPr>
        <w:rPr>
          <w:rFonts w:ascii="Arial" w:cs="Arial" w:eastAsia="Arial" w:hAnsi="Arial"/>
          <w:sz w:val="20"/>
          <w:szCs w:val="20"/>
          <w:color w:val="auto"/>
        </w:rPr>
      </w:pPr>
      <w:r>
        <w:rPr>
          <w:rFonts w:ascii="Arial" w:cs="Arial" w:eastAsia="Arial" w:hAnsi="Arial"/>
          <w:sz w:val="18"/>
          <w:szCs w:val="18"/>
          <w:color w:val="auto"/>
        </w:rPr>
        <w:t>We achieved pre-tax earnings of $4.3 billion, pre-tax margin of 7.3% and net income of $3.4 billion; adjusted pre-tax earnings</w:t>
      </w:r>
      <w:r>
        <w:rPr>
          <w:rFonts w:ascii="Arial" w:cs="Arial" w:eastAsia="Arial" w:hAnsi="Arial"/>
          <w:sz w:val="13"/>
          <w:szCs w:val="13"/>
          <w:color w:val="auto"/>
        </w:rPr>
        <w:t>(2)</w:t>
      </w:r>
      <w:r>
        <w:rPr>
          <w:rFonts w:ascii="Arial" w:cs="Arial" w:eastAsia="Arial" w:hAnsi="Arial"/>
          <w:sz w:val="18"/>
          <w:szCs w:val="18"/>
          <w:color w:val="auto"/>
        </w:rPr>
        <w:t xml:space="preserve"> of $4.6 billion, adjusted pre-tax margin</w:t>
      </w:r>
      <w:r>
        <w:rPr>
          <w:rFonts w:ascii="Arial" w:cs="Arial" w:eastAsia="Arial" w:hAnsi="Arial"/>
          <w:sz w:val="13"/>
          <w:szCs w:val="13"/>
          <w:color w:val="auto"/>
        </w:rPr>
        <w:t>(2)</w:t>
      </w:r>
      <w:r>
        <w:rPr>
          <w:rFonts w:ascii="Arial" w:cs="Arial" w:eastAsia="Arial" w:hAnsi="Arial"/>
          <w:sz w:val="18"/>
          <w:szCs w:val="18"/>
          <w:color w:val="auto"/>
        </w:rPr>
        <w:t xml:space="preserve"> of 7.8% and adjusted net income</w:t>
      </w:r>
      <w:r>
        <w:rPr>
          <w:rFonts w:ascii="Arial" w:cs="Arial" w:eastAsia="Arial" w:hAnsi="Arial"/>
          <w:sz w:val="13"/>
          <w:szCs w:val="13"/>
          <w:color w:val="auto"/>
        </w:rPr>
        <w:t>(2)</w:t>
      </w:r>
      <w:r>
        <w:rPr>
          <w:rFonts w:ascii="Arial" w:cs="Arial" w:eastAsia="Arial" w:hAnsi="Arial"/>
          <w:sz w:val="18"/>
          <w:szCs w:val="18"/>
          <w:color w:val="auto"/>
        </w:rPr>
        <w:t xml:space="preserve"> of $3.5 billion.</w:t>
      </w:r>
    </w:p>
    <w:p>
      <w:pPr>
        <w:spacing w:after="0" w:line="211" w:lineRule="exact"/>
        <w:rPr>
          <w:rFonts w:ascii="Arial" w:cs="Arial" w:eastAsia="Arial" w:hAnsi="Arial"/>
          <w:sz w:val="20"/>
          <w:szCs w:val="20"/>
          <w:color w:val="auto"/>
        </w:rPr>
      </w:pPr>
    </w:p>
    <w:p>
      <w:pPr>
        <w:ind w:left="680" w:right="280" w:hanging="325"/>
        <w:spacing w:after="0" w:line="237" w:lineRule="auto"/>
        <w:tabs>
          <w:tab w:leader="none" w:pos="680" w:val="left"/>
        </w:tabs>
        <w:numPr>
          <w:ilvl w:val="0"/>
          <w:numId w:val="4"/>
        </w:numPr>
        <w:rPr>
          <w:rFonts w:ascii="Arial" w:cs="Arial" w:eastAsia="Arial" w:hAnsi="Arial"/>
          <w:sz w:val="20"/>
          <w:szCs w:val="20"/>
          <w:color w:val="auto"/>
        </w:rPr>
      </w:pPr>
      <w:r>
        <w:rPr>
          <w:rFonts w:ascii="Arial" w:cs="Arial" w:eastAsia="Arial" w:hAnsi="Arial"/>
          <w:sz w:val="18"/>
          <w:szCs w:val="18"/>
          <w:color w:val="auto"/>
        </w:rPr>
        <w:t>We delivered full-year diluted earnings per share of $10.20 and adjusted diluted earnings per share</w:t>
      </w:r>
      <w:r>
        <w:rPr>
          <w:rFonts w:ascii="Arial" w:cs="Arial" w:eastAsia="Arial" w:hAnsi="Arial"/>
          <w:sz w:val="13"/>
          <w:szCs w:val="13"/>
          <w:color w:val="auto"/>
        </w:rPr>
        <w:t>(2)</w:t>
      </w:r>
      <w:r>
        <w:rPr>
          <w:rFonts w:ascii="Arial" w:cs="Arial" w:eastAsia="Arial" w:hAnsi="Arial"/>
          <w:sz w:val="18"/>
          <w:szCs w:val="18"/>
          <w:color w:val="auto"/>
        </w:rPr>
        <w:t xml:space="preserve"> of $10.62.</w:t>
      </w:r>
    </w:p>
    <w:p>
      <w:pPr>
        <w:ind w:left="680" w:hanging="325"/>
        <w:spacing w:after="0"/>
        <w:tabs>
          <w:tab w:leader="none" w:pos="680" w:val="left"/>
        </w:tabs>
        <w:numPr>
          <w:ilvl w:val="0"/>
          <w:numId w:val="4"/>
        </w:numPr>
        <w:rPr>
          <w:rFonts w:ascii="Arial" w:cs="Arial" w:eastAsia="Arial" w:hAnsi="Arial"/>
          <w:sz w:val="20"/>
          <w:szCs w:val="20"/>
          <w:color w:val="auto"/>
        </w:rPr>
      </w:pPr>
      <w:r>
        <w:rPr>
          <w:rFonts w:ascii="Arial" w:cs="Arial" w:eastAsia="Arial" w:hAnsi="Arial"/>
          <w:sz w:val="18"/>
          <w:szCs w:val="18"/>
          <w:color w:val="auto"/>
        </w:rPr>
        <w:t>We  generated  $8.4  billion  of  operating  cash  fow  and  $2.7  billion  in  free  cash  fow</w:t>
      </w:r>
      <w:r>
        <w:rPr>
          <w:rFonts w:ascii="Arial" w:cs="Arial" w:eastAsia="Arial" w:hAnsi="Arial"/>
          <w:sz w:val="13"/>
          <w:szCs w:val="13"/>
          <w:color w:val="auto"/>
        </w:rPr>
        <w:t>(2)</w:t>
      </w:r>
      <w:r>
        <w:rPr>
          <w:rFonts w:ascii="Arial" w:cs="Arial" w:eastAsia="Arial" w:hAnsi="Arial"/>
          <w:sz w:val="18"/>
          <w:szCs w:val="18"/>
          <w:color w:val="auto"/>
        </w:rPr>
        <w:t>.</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w:t>
      </w:r>
    </w:p>
    <w:p>
      <w:pPr>
        <w:spacing w:after="0" w:line="20" w:lineRule="exact"/>
        <w:rPr>
          <w:sz w:val="20"/>
          <w:szCs w:val="20"/>
          <w:color w:val="auto"/>
        </w:rPr>
      </w:pPr>
    </w:p>
    <w:p>
      <w:pPr>
        <w:ind w:left="680" w:right="40" w:hanging="325"/>
        <w:spacing w:after="0" w:line="238" w:lineRule="auto"/>
        <w:tabs>
          <w:tab w:leader="none" w:pos="680" w:val="left"/>
        </w:tabs>
        <w:numPr>
          <w:ilvl w:val="0"/>
          <w:numId w:val="5"/>
        </w:numPr>
        <w:rPr>
          <w:rFonts w:ascii="Arial" w:cs="Arial" w:eastAsia="Arial" w:hAnsi="Arial"/>
          <w:sz w:val="11"/>
          <w:szCs w:val="11"/>
          <w:color w:val="auto"/>
        </w:rPr>
      </w:pPr>
      <w:r>
        <w:rPr>
          <w:rFonts w:ascii="Arial" w:cs="Arial" w:eastAsia="Arial" w:hAnsi="Arial"/>
          <w:sz w:val="13"/>
          <w:szCs w:val="13"/>
          <w:color w:val="auto"/>
        </w:rPr>
        <w:t>For purposes of this comparison, our U.S. competitors are Delta, American, Southwest, JetBlue, Alaska, Spirit and Frontier. Comparisons to adjusted diluted earnings per share year-over-year of our U.S. competitors are based on this measure as reported by such companies. Because this non-GAAP fnancial measure is not calculated in accordance with GAAP, there may be diferences in method and in the items being adjusted as reported by our U.S. competitors.</w:t>
      </w:r>
    </w:p>
    <w:p>
      <w:pPr>
        <w:spacing w:after="0" w:line="1" w:lineRule="exact"/>
        <w:rPr>
          <w:rFonts w:ascii="Arial" w:cs="Arial" w:eastAsia="Arial" w:hAnsi="Arial"/>
          <w:sz w:val="11"/>
          <w:szCs w:val="11"/>
          <w:color w:val="auto"/>
        </w:rPr>
      </w:pPr>
    </w:p>
    <w:p>
      <w:pPr>
        <w:ind w:left="680" w:right="20" w:hanging="325"/>
        <w:spacing w:after="0" w:line="265" w:lineRule="auto"/>
        <w:tabs>
          <w:tab w:leader="none" w:pos="680" w:val="left"/>
        </w:tabs>
        <w:numPr>
          <w:ilvl w:val="0"/>
          <w:numId w:val="5"/>
        </w:numPr>
        <w:rPr>
          <w:rFonts w:ascii="Arial" w:cs="Arial" w:eastAsia="Arial" w:hAnsi="Arial"/>
          <w:sz w:val="11"/>
          <w:szCs w:val="11"/>
          <w:color w:val="auto"/>
        </w:rPr>
      </w:pPr>
      <w:r>
        <w:rPr>
          <w:rFonts w:ascii="Arial" w:cs="Arial" w:eastAsia="Arial" w:hAnsi="Arial"/>
          <w:sz w:val="13"/>
          <w:szCs w:val="13"/>
          <w:color w:val="auto"/>
        </w:rPr>
        <w:t>Adjusted diluted earnings per share, adjusted pre-tax earnings, adjusted pre-tax margin, adjusted net income, and free cash fow are non-GAAP fnancial measures. Please refer to Appendix A for additional information and a reconciliation of each historical measure to the most directly comparable GAAP fnancial measure.</w:t>
      </w:r>
    </w:p>
    <w:p>
      <w:pPr>
        <w:sectPr>
          <w:pgSz w:w="11900" w:h="16838" w:orient="portrait"/>
          <w:cols w:equalWidth="0" w:num="1">
            <w:col w:w="9700"/>
          </w:cols>
          <w:pgMar w:left="1080" w:top="844" w:right="1119" w:bottom="1440" w:gutter="0" w:footer="0" w:header="0"/>
        </w:sectPr>
      </w:pPr>
    </w:p>
    <w:bookmarkStart w:id="4" w:name="page5"/>
    <w:bookmarkEnd w:id="4"/>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Successful Growth</w:t>
      </w:r>
    </w:p>
    <w:p>
      <w:pPr>
        <w:ind w:left="680" w:right="140" w:hanging="325"/>
        <w:spacing w:after="0" w:line="237" w:lineRule="auto"/>
        <w:tabs>
          <w:tab w:leader="none" w:pos="680" w:val="left"/>
        </w:tabs>
        <w:numPr>
          <w:ilvl w:val="0"/>
          <w:numId w:val="6"/>
        </w:numPr>
        <w:rPr>
          <w:rFonts w:ascii="Arial" w:cs="Arial" w:eastAsia="Arial" w:hAnsi="Arial"/>
          <w:sz w:val="20"/>
          <w:szCs w:val="20"/>
          <w:color w:val="auto"/>
        </w:rPr>
      </w:pPr>
      <w:r>
        <w:rPr>
          <w:rFonts w:ascii="Arial" w:cs="Arial" w:eastAsia="Arial" w:hAnsi="Arial"/>
          <w:sz w:val="18"/>
          <w:szCs w:val="18"/>
          <w:color w:val="auto"/>
        </w:rPr>
        <w:t>We carried 181 million passengers – the most passengers in our history in a year. We operated the largest mainline fight schedule in our history, including an average of 303 daily widebody departures.</w:t>
      </w:r>
    </w:p>
    <w:p>
      <w:pPr>
        <w:ind w:left="680" w:right="280" w:hanging="325"/>
        <w:spacing w:after="0" w:line="241" w:lineRule="auto"/>
        <w:tabs>
          <w:tab w:leader="none" w:pos="680" w:val="left"/>
        </w:tabs>
        <w:numPr>
          <w:ilvl w:val="0"/>
          <w:numId w:val="6"/>
        </w:numPr>
        <w:rPr>
          <w:rFonts w:ascii="Arial" w:cs="Arial" w:eastAsia="Arial" w:hAnsi="Arial"/>
          <w:sz w:val="20"/>
          <w:szCs w:val="20"/>
          <w:color w:val="auto"/>
        </w:rPr>
      </w:pPr>
      <w:r>
        <w:rPr>
          <w:rFonts w:ascii="Arial" w:cs="Arial" w:eastAsia="Arial" w:hAnsi="Arial"/>
          <w:sz w:val="18"/>
          <w:szCs w:val="18"/>
          <w:color w:val="auto"/>
        </w:rPr>
        <w:t>We continued to expand our leading global network, beginning service on 29 routes domestically and in Canada and 13 new international destinations. We now operate fights to more than 380 destinations worldwide and we are the only U.S. legacy carrier with service to more than 75 of these destinations.</w:t>
      </w:r>
    </w:p>
    <w:p>
      <w:pPr>
        <w:spacing w:after="0" w:line="1" w:lineRule="exact"/>
        <w:rPr>
          <w:rFonts w:ascii="Arial" w:cs="Arial" w:eastAsia="Arial" w:hAnsi="Arial"/>
          <w:sz w:val="20"/>
          <w:szCs w:val="20"/>
          <w:color w:val="auto"/>
        </w:rPr>
      </w:pPr>
    </w:p>
    <w:p>
      <w:pPr>
        <w:ind w:left="680" w:right="80" w:hanging="325"/>
        <w:spacing w:after="0" w:line="237" w:lineRule="auto"/>
        <w:tabs>
          <w:tab w:leader="none" w:pos="680" w:val="left"/>
        </w:tabs>
        <w:numPr>
          <w:ilvl w:val="0"/>
          <w:numId w:val="6"/>
        </w:numPr>
        <w:rPr>
          <w:rFonts w:ascii="Arial" w:cs="Arial" w:eastAsia="Arial" w:hAnsi="Arial"/>
          <w:sz w:val="20"/>
          <w:szCs w:val="20"/>
          <w:color w:val="auto"/>
        </w:rPr>
      </w:pPr>
      <w:r>
        <w:rPr>
          <w:rFonts w:ascii="Arial" w:cs="Arial" w:eastAsia="Arial" w:hAnsi="Arial"/>
          <w:sz w:val="18"/>
          <w:szCs w:val="18"/>
          <w:color w:val="auto"/>
        </w:rPr>
        <w:t>We expanded our premium oferings, setting a Company record high of 27.4 million premium seats across our feet, which accounted for 12% of all seats fown in 2025.</w:t>
      </w:r>
    </w:p>
    <w:p>
      <w:pPr>
        <w:ind w:left="680" w:right="480" w:hanging="325"/>
        <w:spacing w:after="0" w:line="237" w:lineRule="auto"/>
        <w:tabs>
          <w:tab w:leader="none" w:pos="680" w:val="left"/>
        </w:tabs>
        <w:numPr>
          <w:ilvl w:val="0"/>
          <w:numId w:val="6"/>
        </w:numPr>
        <w:rPr>
          <w:rFonts w:ascii="Arial" w:cs="Arial" w:eastAsia="Arial" w:hAnsi="Arial"/>
          <w:sz w:val="20"/>
          <w:szCs w:val="20"/>
          <w:color w:val="auto"/>
        </w:rPr>
      </w:pPr>
      <w:r>
        <w:rPr>
          <w:rFonts w:ascii="Arial" w:cs="Arial" w:eastAsia="Arial" w:hAnsi="Arial"/>
          <w:sz w:val="18"/>
          <w:szCs w:val="18"/>
          <w:color w:val="auto"/>
        </w:rPr>
        <w:t>We hired more than 13,000 employees worldwide in 2025 and now employ more than 113,000 people around the world.</w:t>
      </w:r>
    </w:p>
    <w:p>
      <w:pPr>
        <w:ind w:left="680" w:hanging="325"/>
        <w:spacing w:after="0"/>
        <w:tabs>
          <w:tab w:leader="none" w:pos="680" w:val="left"/>
        </w:tabs>
        <w:numPr>
          <w:ilvl w:val="0"/>
          <w:numId w:val="6"/>
        </w:numPr>
        <w:rPr>
          <w:rFonts w:ascii="Arial" w:cs="Arial" w:eastAsia="Arial" w:hAnsi="Arial"/>
          <w:sz w:val="20"/>
          <w:szCs w:val="20"/>
          <w:color w:val="auto"/>
        </w:rPr>
      </w:pPr>
      <w:r>
        <w:rPr>
          <w:rFonts w:ascii="Arial" w:cs="Arial" w:eastAsia="Arial" w:hAnsi="Arial"/>
          <w:sz w:val="18"/>
          <w:szCs w:val="18"/>
          <w:color w:val="auto"/>
        </w:rPr>
        <w:t>We  maintained  a  robust  aircraft  orderbook,  with  more  than  250  deliveries</w:t>
      </w:r>
      <w:r>
        <w:rPr>
          <w:rFonts w:ascii="Arial" w:cs="Arial" w:eastAsia="Arial" w:hAnsi="Arial"/>
          <w:sz w:val="13"/>
          <w:szCs w:val="13"/>
          <w:color w:val="auto"/>
        </w:rPr>
        <w:t>(3)</w:t>
      </w:r>
      <w:r>
        <w:rPr>
          <w:rFonts w:ascii="Arial" w:cs="Arial" w:eastAsia="Arial" w:hAnsi="Arial"/>
          <w:sz w:val="18"/>
          <w:szCs w:val="18"/>
          <w:color w:val="auto"/>
        </w:rPr>
        <w:t xml:space="preserve">  expected  through  April  2028.</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Innovation, Fleet and Product Improvements</w:t>
      </w:r>
    </w:p>
    <w:p>
      <w:pPr>
        <w:spacing w:after="0" w:line="9" w:lineRule="exact"/>
        <w:rPr>
          <w:sz w:val="20"/>
          <w:szCs w:val="20"/>
          <w:color w:val="auto"/>
        </w:rPr>
      </w:pPr>
    </w:p>
    <w:p>
      <w:pPr>
        <w:ind w:left="680" w:right="140" w:hanging="325"/>
        <w:spacing w:after="0" w:line="237" w:lineRule="auto"/>
        <w:tabs>
          <w:tab w:leader="none" w:pos="680" w:val="left"/>
        </w:tabs>
        <w:numPr>
          <w:ilvl w:val="0"/>
          <w:numId w:val="7"/>
        </w:numPr>
        <w:rPr>
          <w:rFonts w:ascii="Arial" w:cs="Arial" w:eastAsia="Arial" w:hAnsi="Arial"/>
          <w:sz w:val="20"/>
          <w:szCs w:val="20"/>
          <w:color w:val="auto"/>
        </w:rPr>
      </w:pPr>
      <w:r>
        <w:rPr>
          <w:rFonts w:ascii="Arial" w:cs="Arial" w:eastAsia="Arial" w:hAnsi="Arial"/>
          <w:sz w:val="18"/>
          <w:szCs w:val="18"/>
          <w:color w:val="auto"/>
        </w:rPr>
        <w:t>We continued installing Starlink across our planned regional feet, completing the project earlier this year, resulting in more than 300 aircraft bringing high-speed Wi-Fi to MileagePlus® members for free.</w:t>
      </w:r>
    </w:p>
    <w:p>
      <w:pPr>
        <w:ind w:left="680" w:right="160" w:hanging="325"/>
        <w:spacing w:after="0" w:line="241" w:lineRule="auto"/>
        <w:tabs>
          <w:tab w:leader="none" w:pos="680" w:val="left"/>
        </w:tabs>
        <w:numPr>
          <w:ilvl w:val="0"/>
          <w:numId w:val="7"/>
        </w:numPr>
        <w:rPr>
          <w:rFonts w:ascii="Arial" w:cs="Arial" w:eastAsia="Arial" w:hAnsi="Arial"/>
          <w:sz w:val="20"/>
          <w:szCs w:val="20"/>
          <w:color w:val="auto"/>
        </w:rPr>
      </w:pPr>
      <w:r>
        <w:rPr>
          <w:rFonts w:ascii="Arial" w:cs="Arial" w:eastAsia="Arial" w:hAnsi="Arial"/>
          <w:sz w:val="18"/>
          <w:szCs w:val="18"/>
          <w:color w:val="auto"/>
        </w:rPr>
        <w:t>We welcomed more than 200 new or retroftted aircraft with our Signature interior into our feet in 2025, each including enough overhead space for every passenger’s bag and Bluetooth connectivity and screens at every seat. Within two years we expect to have more than 227,000 screens on more than 1,200 aircraft.</w:t>
      </w:r>
    </w:p>
    <w:p>
      <w:pPr>
        <w:spacing w:after="0" w:line="1" w:lineRule="exact"/>
        <w:rPr>
          <w:rFonts w:ascii="Arial" w:cs="Arial" w:eastAsia="Arial" w:hAnsi="Arial"/>
          <w:sz w:val="20"/>
          <w:szCs w:val="20"/>
          <w:color w:val="auto"/>
        </w:rPr>
      </w:pPr>
    </w:p>
    <w:p>
      <w:pPr>
        <w:ind w:left="680" w:right="40" w:hanging="325"/>
        <w:spacing w:after="0"/>
        <w:tabs>
          <w:tab w:leader="none" w:pos="680" w:val="left"/>
        </w:tabs>
        <w:numPr>
          <w:ilvl w:val="0"/>
          <w:numId w:val="7"/>
        </w:numPr>
        <w:rPr>
          <w:rFonts w:ascii="Arial" w:cs="Arial" w:eastAsia="Arial" w:hAnsi="Arial"/>
          <w:sz w:val="20"/>
          <w:szCs w:val="20"/>
          <w:color w:val="auto"/>
        </w:rPr>
      </w:pPr>
      <w:r>
        <w:rPr>
          <w:rFonts w:ascii="Arial" w:cs="Arial" w:eastAsia="Arial" w:hAnsi="Arial"/>
          <w:sz w:val="18"/>
          <w:szCs w:val="18"/>
          <w:color w:val="auto"/>
        </w:rPr>
        <w:t>We achieved the highest customer satisfaction score for a full year as measured by the Net Promoter Score since 2022 among on-time passengers, including a seven-point increase in the check-in experience thanks to our investments in the lobby, improved kiosks and mobile app. And despite challenges like the government shutdown, we achieved our highest fourth-quarter customer satisfaction score in Company history.</w:t>
      </w:r>
    </w:p>
    <w:p>
      <w:pPr>
        <w:spacing w:after="0" w:line="215" w:lineRule="exact"/>
        <w:rPr>
          <w:rFonts w:ascii="Arial" w:cs="Arial" w:eastAsia="Arial" w:hAnsi="Arial"/>
          <w:sz w:val="20"/>
          <w:szCs w:val="20"/>
          <w:color w:val="auto"/>
        </w:rPr>
      </w:pPr>
    </w:p>
    <w:p>
      <w:pPr>
        <w:jc w:val="both"/>
        <w:ind w:left="680" w:right="260" w:hanging="325"/>
        <w:spacing w:after="0" w:line="267" w:lineRule="auto"/>
        <w:tabs>
          <w:tab w:leader="none" w:pos="680" w:val="left"/>
        </w:tabs>
        <w:numPr>
          <w:ilvl w:val="0"/>
          <w:numId w:val="7"/>
        </w:numPr>
        <w:rPr>
          <w:rFonts w:ascii="Arial" w:cs="Arial" w:eastAsia="Arial" w:hAnsi="Arial"/>
          <w:sz w:val="20"/>
          <w:szCs w:val="20"/>
          <w:color w:val="auto"/>
        </w:rPr>
      </w:pPr>
      <w:r>
        <w:rPr>
          <w:rFonts w:ascii="Arial" w:cs="Arial" w:eastAsia="Arial" w:hAnsi="Arial"/>
          <w:sz w:val="18"/>
          <w:szCs w:val="18"/>
          <w:color w:val="auto"/>
        </w:rPr>
        <w:t>We launched new, personalized features in the United app, including enhanced step-by-step wayfnding, live activities on the day of travel, a bag-tracking redesign and additional connection information. By the fourth quarter, 85% of customers used the United app on their day of travel.</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Sustainability and Aviation Innovation</w:t>
      </w:r>
    </w:p>
    <w:p>
      <w:pPr>
        <w:spacing w:after="0" w:line="9" w:lineRule="exact"/>
        <w:rPr>
          <w:sz w:val="20"/>
          <w:szCs w:val="20"/>
          <w:color w:val="auto"/>
        </w:rPr>
      </w:pPr>
    </w:p>
    <w:p>
      <w:pPr>
        <w:ind w:left="680" w:right="120" w:hanging="325"/>
        <w:spacing w:after="0" w:line="237" w:lineRule="auto"/>
        <w:tabs>
          <w:tab w:leader="none" w:pos="680" w:val="left"/>
        </w:tabs>
        <w:numPr>
          <w:ilvl w:val="0"/>
          <w:numId w:val="8"/>
        </w:numPr>
        <w:rPr>
          <w:rFonts w:ascii="Arial" w:cs="Arial" w:eastAsia="Arial" w:hAnsi="Arial"/>
          <w:sz w:val="20"/>
          <w:szCs w:val="20"/>
          <w:color w:val="auto"/>
        </w:rPr>
      </w:pPr>
      <w:r>
        <w:rPr>
          <w:rFonts w:ascii="Arial" w:cs="Arial" w:eastAsia="Arial" w:hAnsi="Arial"/>
          <w:sz w:val="18"/>
          <w:szCs w:val="18"/>
          <w:color w:val="auto"/>
        </w:rPr>
        <w:t>We purchased blended sustainable aviation fuel (SAF) for use at Houston, Newark and Washington Dulles, growing SAF use to six hubs – LAX, SFO, ORD, IAH, EWR and IAD.</w:t>
      </w:r>
      <w:r>
        <w:rPr>
          <w:rFonts w:ascii="Arial" w:cs="Arial" w:eastAsia="Arial" w:hAnsi="Arial"/>
          <w:sz w:val="13"/>
          <w:szCs w:val="13"/>
          <w:color w:val="auto"/>
        </w:rPr>
        <w:t>(4)</w:t>
      </w:r>
    </w:p>
    <w:p>
      <w:pPr>
        <w:ind w:left="680" w:right="120" w:hanging="325"/>
        <w:spacing w:after="0" w:line="267" w:lineRule="auto"/>
        <w:tabs>
          <w:tab w:leader="none" w:pos="680" w:val="left"/>
        </w:tabs>
        <w:numPr>
          <w:ilvl w:val="0"/>
          <w:numId w:val="8"/>
        </w:numPr>
        <w:rPr>
          <w:rFonts w:ascii="Arial" w:cs="Arial" w:eastAsia="Arial" w:hAnsi="Arial"/>
          <w:sz w:val="20"/>
          <w:szCs w:val="20"/>
          <w:color w:val="auto"/>
        </w:rPr>
      </w:pPr>
      <w:r>
        <w:rPr>
          <w:rFonts w:ascii="Arial" w:cs="Arial" w:eastAsia="Arial" w:hAnsi="Arial"/>
          <w:sz w:val="18"/>
          <w:szCs w:val="18"/>
          <w:color w:val="auto"/>
        </w:rPr>
        <w:t>United Airlines Ventures, which invests in start-ups developing innovative technologies advancing the aviation industry, announced investments in aerospace companies JetZero and AstroMechanica and travel experience and customer engagement companies Dfnitiv and Mindtrip.</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for the Future</w:t>
      </w:r>
    </w:p>
    <w:p>
      <w:pPr>
        <w:spacing w:after="0" w:line="9" w:lineRule="exact"/>
        <w:rPr>
          <w:sz w:val="20"/>
          <w:szCs w:val="20"/>
          <w:color w:val="auto"/>
        </w:rPr>
      </w:pPr>
    </w:p>
    <w:p>
      <w:pPr>
        <w:ind w:left="680" w:right="460" w:hanging="325"/>
        <w:spacing w:after="0" w:line="237" w:lineRule="auto"/>
        <w:tabs>
          <w:tab w:leader="none" w:pos="680" w:val="left"/>
        </w:tabs>
        <w:numPr>
          <w:ilvl w:val="0"/>
          <w:numId w:val="9"/>
        </w:numPr>
        <w:rPr>
          <w:rFonts w:ascii="Arial" w:cs="Arial" w:eastAsia="Arial" w:hAnsi="Arial"/>
          <w:sz w:val="20"/>
          <w:szCs w:val="20"/>
          <w:color w:val="auto"/>
        </w:rPr>
      </w:pPr>
      <w:r>
        <w:rPr>
          <w:rFonts w:ascii="Arial" w:cs="Arial" w:eastAsia="Arial" w:hAnsi="Arial"/>
          <w:sz w:val="18"/>
          <w:szCs w:val="18"/>
          <w:color w:val="auto"/>
        </w:rPr>
        <w:t>We opened our fourth United Club location in Denver and the second grab-and-go Club Fly location in Houston.</w:t>
      </w:r>
    </w:p>
    <w:p>
      <w:pPr>
        <w:jc w:val="both"/>
        <w:ind w:left="680" w:right="480" w:hanging="325"/>
        <w:spacing w:after="0" w:line="237" w:lineRule="auto"/>
        <w:tabs>
          <w:tab w:leader="none" w:pos="680" w:val="left"/>
        </w:tabs>
        <w:numPr>
          <w:ilvl w:val="0"/>
          <w:numId w:val="9"/>
        </w:numPr>
        <w:rPr>
          <w:rFonts w:ascii="Arial" w:cs="Arial" w:eastAsia="Arial" w:hAnsi="Arial"/>
          <w:sz w:val="20"/>
          <w:szCs w:val="20"/>
          <w:color w:val="auto"/>
        </w:rPr>
      </w:pPr>
      <w:r>
        <w:rPr>
          <w:rFonts w:ascii="Arial" w:cs="Arial" w:eastAsia="Arial" w:hAnsi="Arial"/>
          <w:sz w:val="18"/>
          <w:szCs w:val="18"/>
          <w:color w:val="auto"/>
        </w:rPr>
        <w:t>We reopened a 50% larger United Polaris® lounge at Chicago O’Hare, providing our customers with a luxurious, relaxing start to their travel to 18 long-haul international destinations served from the hub.</w:t>
      </w:r>
    </w:p>
    <w:p>
      <w:pPr>
        <w:ind w:left="680" w:right="200" w:hanging="325"/>
        <w:spacing w:after="0" w:line="241" w:lineRule="auto"/>
        <w:tabs>
          <w:tab w:leader="none" w:pos="680" w:val="left"/>
        </w:tabs>
        <w:numPr>
          <w:ilvl w:val="0"/>
          <w:numId w:val="9"/>
        </w:numPr>
        <w:rPr>
          <w:rFonts w:ascii="Arial" w:cs="Arial" w:eastAsia="Arial" w:hAnsi="Arial"/>
          <w:sz w:val="20"/>
          <w:szCs w:val="20"/>
          <w:color w:val="auto"/>
        </w:rPr>
      </w:pPr>
      <w:r>
        <w:rPr>
          <w:rFonts w:ascii="Arial" w:cs="Arial" w:eastAsia="Arial" w:hAnsi="Arial"/>
          <w:sz w:val="18"/>
          <w:szCs w:val="18"/>
          <w:color w:val="auto"/>
        </w:rPr>
        <w:t>We began our $2.5 billion Terminal B redevelopment project at our Houston hub, which will include 40 updated gates and the largest United Club in the network at over 50,000 square feet. Terminal B and the new United Club are planned to open later this year.</w:t>
      </w:r>
    </w:p>
    <w:p>
      <w:pPr>
        <w:spacing w:after="0" w:line="1" w:lineRule="exact"/>
        <w:rPr>
          <w:rFonts w:ascii="Arial" w:cs="Arial" w:eastAsia="Arial" w:hAnsi="Arial"/>
          <w:sz w:val="20"/>
          <w:szCs w:val="20"/>
          <w:color w:val="auto"/>
        </w:rPr>
      </w:pPr>
    </w:p>
    <w:p>
      <w:pPr>
        <w:ind w:left="680" w:right="340" w:hanging="325"/>
        <w:spacing w:after="0" w:line="260" w:lineRule="auto"/>
        <w:tabs>
          <w:tab w:leader="none" w:pos="680" w:val="left"/>
        </w:tabs>
        <w:numPr>
          <w:ilvl w:val="0"/>
          <w:numId w:val="9"/>
        </w:numPr>
        <w:rPr>
          <w:rFonts w:ascii="Arial" w:cs="Arial" w:eastAsia="Arial" w:hAnsi="Arial"/>
          <w:sz w:val="20"/>
          <w:szCs w:val="20"/>
          <w:color w:val="auto"/>
        </w:rPr>
      </w:pPr>
      <w:r>
        <w:rPr>
          <w:rFonts w:ascii="Arial" w:cs="Arial" w:eastAsia="Arial" w:hAnsi="Arial"/>
          <w:sz w:val="18"/>
          <w:szCs w:val="18"/>
          <w:color w:val="auto"/>
        </w:rPr>
        <w:t>We brought TSA PreCheck Touchless ID to the Washington Dulles and Houston airports and expanded usage in the San Francisco and Chicago O'Hare airports last year. More than 3.5 million customers used this feature for a more efcient trip in 2025.</w:t>
      </w:r>
    </w:p>
    <w:p>
      <w:pPr>
        <w:spacing w:after="0" w:line="17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____________________________________________</w:t>
      </w:r>
    </w:p>
    <w:p>
      <w:pPr>
        <w:spacing w:after="0" w:line="9" w:lineRule="exact"/>
        <w:rPr>
          <w:sz w:val="20"/>
          <w:szCs w:val="20"/>
          <w:color w:val="auto"/>
        </w:rPr>
      </w:pPr>
    </w:p>
    <w:p>
      <w:pPr>
        <w:ind w:left="680" w:hanging="325"/>
        <w:spacing w:after="0"/>
        <w:tabs>
          <w:tab w:leader="none" w:pos="680" w:val="left"/>
        </w:tabs>
        <w:numPr>
          <w:ilvl w:val="0"/>
          <w:numId w:val="10"/>
        </w:numPr>
        <w:rPr>
          <w:rFonts w:ascii="Arial" w:cs="Arial" w:eastAsia="Arial" w:hAnsi="Arial"/>
          <w:sz w:val="11"/>
          <w:szCs w:val="11"/>
          <w:color w:val="auto"/>
        </w:rPr>
      </w:pPr>
      <w:r>
        <w:rPr>
          <w:rFonts w:ascii="Arial" w:cs="Arial" w:eastAsia="Arial" w:hAnsi="Arial"/>
          <w:sz w:val="11"/>
          <w:szCs w:val="11"/>
          <w:color w:val="auto"/>
        </w:rPr>
        <w:t>Including  operating  leases.</w:t>
      </w:r>
    </w:p>
    <w:p>
      <w:pPr>
        <w:spacing w:after="0" w:line="116" w:lineRule="exact"/>
        <w:rPr>
          <w:rFonts w:ascii="Arial" w:cs="Arial" w:eastAsia="Arial" w:hAnsi="Arial"/>
          <w:sz w:val="11"/>
          <w:szCs w:val="11"/>
          <w:color w:val="auto"/>
        </w:rPr>
      </w:pPr>
    </w:p>
    <w:p>
      <w:pPr>
        <w:ind w:left="680" w:hanging="325"/>
        <w:spacing w:after="0" w:line="267" w:lineRule="auto"/>
        <w:tabs>
          <w:tab w:leader="none" w:pos="680" w:val="left"/>
        </w:tabs>
        <w:numPr>
          <w:ilvl w:val="0"/>
          <w:numId w:val="10"/>
        </w:numPr>
        <w:rPr>
          <w:rFonts w:ascii="Arial" w:cs="Arial" w:eastAsia="Arial" w:hAnsi="Arial"/>
          <w:sz w:val="11"/>
          <w:szCs w:val="11"/>
          <w:color w:val="auto"/>
        </w:rPr>
      </w:pPr>
      <w:r>
        <w:rPr>
          <w:rFonts w:ascii="Arial" w:cs="Arial" w:eastAsia="Arial" w:hAnsi="Arial"/>
          <w:sz w:val="11"/>
          <w:szCs w:val="11"/>
          <w:color w:val="auto"/>
        </w:rPr>
        <w:t>SAF is only used at specifc airports and is not used on all fights. As of December 2024, the total volume of SAF used in our operations represented approximately 0.3% of our total aviation fuel usage. SAF must be blended with conventional fuel in accordance with regulatory requirements. Use of blended SAF results in lower carbon emissions on a lifecycle basis than conventional fuel alone, but still results in emissions. For further information about our environmental impact, review United’s Corporate Impact Report and Annual Report on Form 10-K, available at corporateimpact.united.com and ir.united.com.</w:t>
      </w:r>
    </w:p>
    <w:p>
      <w:pPr>
        <w:sectPr>
          <w:pgSz w:w="11900" w:h="16838" w:orient="portrait"/>
          <w:cols w:equalWidth="0" w:num="1">
            <w:col w:w="9720"/>
          </w:cols>
          <w:pgMar w:left="1080" w:top="844" w:right="1099" w:bottom="1440" w:gutter="0" w:footer="0" w:header="0"/>
        </w:sectPr>
      </w:pPr>
    </w:p>
    <w:bookmarkStart w:id="5" w:name="page6"/>
    <w:bookmarkEnd w:id="5"/>
    <w:p>
      <w:pPr>
        <w:spacing w:after="0"/>
        <w:rPr>
          <w:sz w:val="20"/>
          <w:szCs w:val="20"/>
          <w:color w:val="auto"/>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ectPr>
          <w:pgSz w:w="11900" w:h="16838" w:orient="portrait"/>
          <w:cols w:equalWidth="0" w:num="1">
            <w:col w:w="9720"/>
          </w:cols>
          <w:pgMar w:left="1080" w:top="844" w:right="1099" w:bottom="1440" w:gutter="0" w:footer="0" w:header="0"/>
        </w:sect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Safety</w:t>
      </w:r>
    </w:p>
    <w:p>
      <w:pPr>
        <w:spacing w:after="0" w:line="22" w:lineRule="exact"/>
        <w:rPr>
          <w:sz w:val="20"/>
          <w:szCs w:val="20"/>
          <w:color w:val="auto"/>
        </w:rPr>
      </w:pPr>
    </w:p>
    <w:p>
      <w:pPr>
        <w:ind w:left="360"/>
        <w:spacing w:after="0"/>
        <w:rPr>
          <w:sz w:val="20"/>
          <w:szCs w:val="20"/>
          <w:color w:val="auto"/>
        </w:rPr>
      </w:pPr>
      <w:r>
        <w:rPr>
          <w:rFonts w:ascii="Arial" w:cs="Arial" w:eastAsia="Arial" w:hAnsi="Arial"/>
          <w:sz w:val="20"/>
          <w:szCs w:val="20"/>
          <w:color w:val="auto"/>
        </w:rPr>
        <w:t>•</w:t>
      </w:r>
    </w:p>
    <w:p>
      <w:pPr>
        <w:spacing w:after="0" w:line="400" w:lineRule="exact"/>
        <w:rPr>
          <w:sz w:val="20"/>
          <w:szCs w:val="20"/>
          <w:color w:val="auto"/>
        </w:rPr>
      </w:pPr>
    </w:p>
    <w:p>
      <w:pPr>
        <w:ind w:left="360"/>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3" w:lineRule="exact"/>
        <w:rPr>
          <w:sz w:val="20"/>
          <w:szCs w:val="20"/>
          <w:color w:val="auto"/>
        </w:rPr>
      </w:pPr>
    </w:p>
    <w:p>
      <w:pPr>
        <w:ind w:right="300"/>
        <w:spacing w:after="0" w:line="250" w:lineRule="auto"/>
        <w:rPr>
          <w:sz w:val="20"/>
          <w:szCs w:val="20"/>
          <w:color w:val="auto"/>
        </w:rPr>
      </w:pPr>
      <w:r>
        <w:rPr>
          <w:rFonts w:ascii="Arial" w:cs="Arial" w:eastAsia="Arial" w:hAnsi="Arial"/>
          <w:sz w:val="18"/>
          <w:szCs w:val="18"/>
          <w:color w:val="auto"/>
        </w:rPr>
        <w:t>The rate of fight attendant injuries from turbulence declined by 18% and the rate of such injuries below 10,000 feet declined by 45% following data-driven policy changes made in late 2024. We also saw 50% fewer serious injury incidents year over year.</w:t>
      </w:r>
      <w:r>
        <w:rPr>
          <w:rFonts w:ascii="Arial" w:cs="Arial" w:eastAsia="Arial" w:hAnsi="Arial"/>
          <w:sz w:val="13"/>
          <w:szCs w:val="13"/>
          <w:color w:val="auto"/>
        </w:rPr>
        <w:t>(5)</w:t>
      </w:r>
    </w:p>
    <w:p>
      <w:pPr>
        <w:spacing w:after="0" w:line="1" w:lineRule="exact"/>
        <w:rPr>
          <w:sz w:val="20"/>
          <w:szCs w:val="20"/>
          <w:color w:val="auto"/>
        </w:rPr>
      </w:pPr>
    </w:p>
    <w:p>
      <w:pPr>
        <w:ind w:right="160"/>
        <w:spacing w:after="0" w:line="314" w:lineRule="auto"/>
        <w:rPr>
          <w:sz w:val="20"/>
          <w:szCs w:val="20"/>
          <w:color w:val="auto"/>
        </w:rPr>
      </w:pPr>
      <w:r>
        <w:rPr>
          <w:rFonts w:ascii="Arial" w:cs="Arial" w:eastAsia="Arial" w:hAnsi="Arial"/>
          <w:sz w:val="18"/>
          <w:szCs w:val="18"/>
          <w:color w:val="auto"/>
        </w:rPr>
        <w:t>We saw an increase in employee utilization of our safety reporting app program to 60%, which resulted in more efcient and easier on-demand reporting.</w:t>
      </w:r>
    </w:p>
    <w:p>
      <w:pPr>
        <w:spacing w:after="0" w:line="106" w:lineRule="exact"/>
        <w:rPr>
          <w:sz w:val="20"/>
          <w:szCs w:val="20"/>
          <w:color w:val="auto"/>
        </w:rPr>
      </w:pPr>
    </w:p>
    <w:p>
      <w:pPr>
        <w:sectPr>
          <w:pgSz w:w="11900" w:h="16838" w:orient="portrait"/>
          <w:cols w:equalWidth="0" w:num="2">
            <w:col w:w="560" w:space="120"/>
            <w:col w:w="9040"/>
          </w:cols>
          <w:pgMar w:left="1080" w:top="844" w:right="1099" w:bottom="1440" w:gutter="0" w:footer="0" w:header="0"/>
          <w:type w:val="continuous"/>
        </w:sectPr>
      </w:pPr>
    </w:p>
    <w:p>
      <w:pPr>
        <w:spacing w:after="0" w:line="250" w:lineRule="auto"/>
        <w:rPr>
          <w:sz w:val="20"/>
          <w:szCs w:val="20"/>
          <w:color w:val="auto"/>
        </w:rPr>
      </w:pPr>
      <w:r>
        <w:rPr>
          <w:rFonts w:ascii="Arial" w:cs="Arial" w:eastAsia="Arial" w:hAnsi="Arial"/>
          <w:sz w:val="18"/>
          <w:szCs w:val="18"/>
          <w:color w:val="auto"/>
        </w:rPr>
        <w:t>Oil is trading at over $110 per barrel as I write this letter. As we look to the future, perhaps the biggest change at United is we have positioned our airline to stay focused on and investing in the long-term, even as we make tactical near-term adjustments in the face of higher fuel costs. And the best is yet to come: we plan to add about 250 new planes</w:t>
      </w:r>
      <w:r>
        <w:rPr>
          <w:rFonts w:ascii="Arial" w:cs="Arial" w:eastAsia="Arial" w:hAnsi="Arial"/>
          <w:sz w:val="13"/>
          <w:szCs w:val="13"/>
          <w:color w:val="auto"/>
        </w:rPr>
        <w:t>(3)</w:t>
      </w:r>
      <w:r>
        <w:rPr>
          <w:rFonts w:ascii="Arial" w:cs="Arial" w:eastAsia="Arial" w:hAnsi="Arial"/>
          <w:sz w:val="18"/>
          <w:szCs w:val="18"/>
          <w:color w:val="auto"/>
        </w:rPr>
        <w:t xml:space="preserve"> to our feet by April 2028, including our new Boeing 787-9 with United Elevated interior and a new Airbus A321neo called the “Coastliner.” And we just announced the United Relax Row</w:t>
      </w:r>
      <w:r>
        <w:rPr>
          <w:rFonts w:ascii="Arial" w:cs="Arial" w:eastAsia="Arial" w:hAnsi="Arial"/>
          <w:sz w:val="13"/>
          <w:szCs w:val="13"/>
          <w:color w:val="auto"/>
        </w:rPr>
        <w:t>SM</w:t>
      </w:r>
      <w:r>
        <w:rPr>
          <w:rFonts w:ascii="Arial" w:cs="Arial" w:eastAsia="Arial" w:hAnsi="Arial"/>
          <w:sz w:val="18"/>
          <w:szCs w:val="18"/>
          <w:color w:val="auto"/>
        </w:rPr>
        <w:t>, a new set of United Economy®</w:t>
      </w:r>
    </w:p>
    <w:p>
      <w:pPr>
        <w:spacing w:after="0" w:line="2" w:lineRule="exact"/>
        <w:rPr>
          <w:sz w:val="20"/>
          <w:szCs w:val="20"/>
          <w:color w:val="auto"/>
        </w:rPr>
      </w:pPr>
    </w:p>
    <w:p>
      <w:pPr>
        <w:ind w:right="80"/>
        <w:spacing w:after="0" w:line="299" w:lineRule="auto"/>
        <w:rPr>
          <w:sz w:val="20"/>
          <w:szCs w:val="20"/>
          <w:color w:val="auto"/>
        </w:rPr>
      </w:pPr>
      <w:r>
        <w:rPr>
          <w:rFonts w:ascii="Arial" w:cs="Arial" w:eastAsia="Arial" w:hAnsi="Arial"/>
          <w:sz w:val="18"/>
          <w:szCs w:val="18"/>
          <w:color w:val="auto"/>
        </w:rPr>
        <w:t>seats that transform into a couch, creating an even more comfortable option for customers traveling in the United Economy cabin on long-haul fights.</w:t>
      </w:r>
    </w:p>
    <w:p>
      <w:pPr>
        <w:spacing w:after="0" w:line="119" w:lineRule="exact"/>
        <w:rPr>
          <w:sz w:val="20"/>
          <w:szCs w:val="20"/>
          <w:color w:val="auto"/>
        </w:rPr>
      </w:pPr>
    </w:p>
    <w:p>
      <w:pPr>
        <w:ind w:right="200"/>
        <w:spacing w:after="0" w:line="247" w:lineRule="auto"/>
        <w:rPr>
          <w:sz w:val="20"/>
          <w:szCs w:val="20"/>
          <w:color w:val="auto"/>
        </w:rPr>
      </w:pPr>
      <w:r>
        <w:rPr>
          <w:rFonts w:ascii="Arial" w:cs="Arial" w:eastAsia="Arial" w:hAnsi="Arial"/>
          <w:sz w:val="18"/>
          <w:szCs w:val="18"/>
          <w:color w:val="auto"/>
        </w:rPr>
        <w:t>We will also continue to make signifcant investments in our technology, our product, our people and the infrastructure at the airports we serve. Our people are doing a great job taking care of customers and I am very proud of all they are doing to make United the best airline in the history of aviation. Thank you for fying us. We know we have to earn your loyalty each and every day and that we have to continue innovating, wowing you and surprising you by doing something diferent than you have ever seen on any other airline anywhere in the world.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Our  stockholders  win  when  our  customers  and  employees  love  United  Airlines.</w:t>
      </w:r>
    </w:p>
    <w:p>
      <w:pPr>
        <w:spacing w:after="0" w:line="131"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860"/>
        <w:spacing w:after="0"/>
        <w:rPr>
          <w:sz w:val="20"/>
          <w:szCs w:val="20"/>
          <w:color w:val="auto"/>
        </w:rPr>
      </w:pPr>
      <w:r>
        <w:rPr>
          <w:rFonts w:ascii="Arial" w:cs="Arial" w:eastAsia="Arial" w:hAnsi="Arial"/>
          <w:sz w:val="16"/>
          <w:szCs w:val="16"/>
          <w:b w:val="1"/>
          <w:bCs w:val="1"/>
          <w:color w:val="auto"/>
        </w:rPr>
        <w:t>Scott Kirby</w:t>
      </w:r>
    </w:p>
    <w:p>
      <w:pPr>
        <w:spacing w:after="0" w:line="5" w:lineRule="exact"/>
        <w:rPr>
          <w:sz w:val="20"/>
          <w:szCs w:val="20"/>
          <w:color w:val="auto"/>
        </w:rPr>
      </w:pPr>
    </w:p>
    <w:p>
      <w:pPr>
        <w:ind w:left="4860"/>
        <w:spacing w:after="0"/>
        <w:rPr>
          <w:sz w:val="20"/>
          <w:szCs w:val="20"/>
          <w:color w:val="auto"/>
        </w:rPr>
      </w:pPr>
      <w:r>
        <w:rPr>
          <w:rFonts w:ascii="Arial" w:cs="Arial" w:eastAsia="Arial" w:hAnsi="Arial"/>
          <w:sz w:val="16"/>
          <w:szCs w:val="16"/>
          <w:b w:val="1"/>
          <w:bCs w:val="1"/>
          <w:i w:val="1"/>
          <w:iCs w:val="1"/>
          <w:color w:val="auto"/>
        </w:rPr>
        <w:t>Board Member and Chief Executive Ofcer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____________________________________________</w:t>
      </w:r>
    </w:p>
    <w:p>
      <w:pPr>
        <w:spacing w:after="0" w:line="76" w:lineRule="exact"/>
        <w:rPr>
          <w:sz w:val="20"/>
          <w:szCs w:val="20"/>
          <w:color w:val="auto"/>
        </w:rPr>
      </w:pPr>
    </w:p>
    <w:p>
      <w:pPr>
        <w:ind w:left="680" w:hanging="325"/>
        <w:spacing w:after="0"/>
        <w:tabs>
          <w:tab w:leader="none" w:pos="680" w:val="left"/>
        </w:tabs>
        <w:numPr>
          <w:ilvl w:val="0"/>
          <w:numId w:val="11"/>
        </w:numPr>
        <w:rPr>
          <w:rFonts w:ascii="Arial" w:cs="Arial" w:eastAsia="Arial" w:hAnsi="Arial"/>
          <w:sz w:val="11"/>
          <w:szCs w:val="11"/>
          <w:color w:val="auto"/>
        </w:rPr>
      </w:pPr>
      <w:r>
        <w:rPr>
          <w:rFonts w:ascii="Arial" w:cs="Arial" w:eastAsia="Arial" w:hAnsi="Arial"/>
          <w:sz w:val="11"/>
          <w:szCs w:val="11"/>
          <w:color w:val="auto"/>
        </w:rPr>
        <w:t>Information  relates  to  United’s  mainline  operations.  Serious  injury  incidents  refer  to  those  as  defned  by  the  National  Transportation  Safety  Board.</w:t>
      </w:r>
    </w:p>
    <w:p>
      <w:pPr>
        <w:sectPr>
          <w:pgSz w:w="11900" w:h="16838" w:orient="portrait"/>
          <w:cols w:equalWidth="0" w:num="1">
            <w:col w:w="9720"/>
          </w:cols>
          <w:pgMar w:left="1080" w:top="844" w:right="109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70" w:lineRule="exact"/>
        <w:rPr>
          <w:sz w:val="20"/>
          <w:szCs w:val="20"/>
          <w:color w:val="auto"/>
        </w:rPr>
      </w:pPr>
    </w:p>
    <w:p>
      <w:pPr>
        <w:ind w:right="2520"/>
        <w:spacing w:after="0" w:line="309" w:lineRule="auto"/>
        <w:rPr>
          <w:sz w:val="20"/>
          <w:szCs w:val="20"/>
          <w:color w:val="auto"/>
        </w:rPr>
      </w:pPr>
      <w:r>
        <w:rPr>
          <w:rFonts w:ascii="Arial" w:cs="Arial" w:eastAsia="Arial" w:hAnsi="Arial"/>
          <w:sz w:val="43"/>
          <w:szCs w:val="43"/>
          <w:b w:val="1"/>
          <w:bCs w:val="1"/>
          <w:color w:val="auto"/>
        </w:rPr>
        <w:t>Notice of 2026 Annual Meeting of Stockholders</w:t>
      </w:r>
    </w:p>
    <w:p>
      <w:pPr>
        <w:spacing w:after="0" w:line="1" w:lineRule="exact"/>
        <w:rPr>
          <w:sz w:val="20"/>
          <w:szCs w:val="20"/>
          <w:color w:val="auto"/>
        </w:rPr>
      </w:pPr>
    </w:p>
    <w:p>
      <w:pPr>
        <w:ind w:right="200"/>
        <w:spacing w:after="0" w:line="252" w:lineRule="auto"/>
        <w:rPr>
          <w:sz w:val="20"/>
          <w:szCs w:val="20"/>
          <w:color w:val="auto"/>
        </w:rPr>
      </w:pPr>
      <w:r>
        <w:rPr>
          <w:rFonts w:ascii="Arial" w:cs="Arial" w:eastAsia="Arial" w:hAnsi="Arial"/>
          <w:sz w:val="16"/>
          <w:szCs w:val="16"/>
          <w:color w:val="auto"/>
        </w:rPr>
        <w:t>Notice is hereby given that the 2026 Annual Meeting of Stockholders (the “Annual Meeting”) of United Airlines Holdings, Inc. (“We,” “us,” “our,” United” or the “Company”) will be held by live webcast at the date, time and website noted below. Only stockholders of record at the close of business on the record date are entitled to vote on the matters presented at the Annual</w:t>
      </w:r>
    </w:p>
    <w:p>
      <w:pPr>
        <w:sectPr>
          <w:pgSz w:w="11900" w:h="16838" w:orient="portrait"/>
          <w:cols w:equalWidth="0" w:num="1">
            <w:col w:w="9700"/>
          </w:cols>
          <w:pgMar w:left="1080" w:top="844" w:right="1119" w:bottom="1440" w:gutter="0" w:footer="0" w:header="0"/>
        </w:sectPr>
      </w:pP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Meeting  (or  any  adjournment  or  postponement  thereof).</w:t>
      </w:r>
    </w:p>
    <w:p>
      <w:pPr>
        <w:spacing w:after="0" w:line="17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240" w:type="dxa"/>
            <w:vAlign w:val="bottom"/>
            <w:vMerge w:val="restart"/>
          </w:tcPr>
          <w:p>
            <w:pPr>
              <w:spacing w:after="0"/>
              <w:rPr>
                <w:sz w:val="20"/>
                <w:szCs w:val="20"/>
                <w:color w:val="auto"/>
              </w:rPr>
            </w:pPr>
            <w:r>
              <w:rPr>
                <w:rFonts w:ascii="Arial" w:cs="Arial" w:eastAsia="Arial" w:hAnsi="Arial"/>
                <w:sz w:val="25"/>
                <w:szCs w:val="25"/>
                <w:b w:val="1"/>
                <w:bCs w:val="1"/>
                <w:color w:val="1414D2"/>
              </w:rPr>
              <w:t>Meeting Agenda</w:t>
            </w:r>
          </w:p>
        </w:tc>
        <w:tc>
          <w:tcPr>
            <w:tcW w:w="2200" w:type="dxa"/>
            <w:vAlign w:val="bottom"/>
          </w:tcPr>
          <w:p>
            <w:pPr>
              <w:ind w:left="2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8"/>
        </w:trPr>
        <w:tc>
          <w:tcPr>
            <w:tcW w:w="4240" w:type="dxa"/>
            <w:vAlign w:val="bottom"/>
            <w:vMerge w:val="continue"/>
          </w:tcPr>
          <w:p>
            <w:pPr>
              <w:spacing w:after="0"/>
              <w:rPr>
                <w:sz w:val="11"/>
                <w:szCs w:val="11"/>
                <w:color w:val="auto"/>
              </w:rPr>
            </w:pPr>
          </w:p>
        </w:tc>
        <w:tc>
          <w:tcPr>
            <w:tcW w:w="22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57"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Proposals That Require Your Vote</w:t>
      </w:r>
    </w:p>
    <w:p>
      <w:pPr>
        <w:spacing w:after="0" w:line="208" w:lineRule="exact"/>
        <w:rPr>
          <w:sz w:val="20"/>
          <w:szCs w:val="20"/>
          <w:color w:val="auto"/>
        </w:rPr>
      </w:pPr>
    </w:p>
    <w:p>
      <w:pPr>
        <w:ind w:left="520" w:right="900" w:hanging="364"/>
        <w:spacing w:after="0" w:line="330" w:lineRule="auto"/>
        <w:tabs>
          <w:tab w:leader="none" w:pos="520" w:val="left"/>
        </w:tabs>
        <w:numPr>
          <w:ilvl w:val="0"/>
          <w:numId w:val="12"/>
        </w:numPr>
        <w:rPr>
          <w:rFonts w:ascii="Arial" w:cs="Arial" w:eastAsia="Arial" w:hAnsi="Arial"/>
          <w:sz w:val="16"/>
          <w:szCs w:val="16"/>
          <w:b w:val="1"/>
          <w:bCs w:val="1"/>
          <w:color w:val="auto"/>
        </w:rPr>
      </w:pPr>
      <w:r>
        <w:rPr>
          <w:rFonts w:ascii="Arial" w:cs="Arial" w:eastAsia="Arial" w:hAnsi="Arial"/>
          <w:sz w:val="16"/>
          <w:szCs w:val="16"/>
          <w:color w:val="auto"/>
        </w:rPr>
        <w:t>The election of the director nominees named in the attached proxy statement for a one-year term.</w:t>
      </w:r>
    </w:p>
    <w:p>
      <w:pPr>
        <w:spacing w:after="0" w:line="88" w:lineRule="exact"/>
        <w:rPr>
          <w:sz w:val="20"/>
          <w:szCs w:val="20"/>
          <w:color w:val="auto"/>
        </w:rPr>
      </w:pPr>
    </w:p>
    <w:p>
      <w:pPr>
        <w:jc w:val="both"/>
        <w:ind w:left="520" w:right="500" w:hanging="364"/>
        <w:spacing w:after="0" w:line="297" w:lineRule="auto"/>
        <w:tabs>
          <w:tab w:leader="none" w:pos="520" w:val="left"/>
        </w:tabs>
        <w:numPr>
          <w:ilvl w:val="0"/>
          <w:numId w:val="13"/>
        </w:numPr>
        <w:rPr>
          <w:rFonts w:ascii="Arial" w:cs="Arial" w:eastAsia="Arial" w:hAnsi="Arial"/>
          <w:sz w:val="16"/>
          <w:szCs w:val="16"/>
          <w:b w:val="1"/>
          <w:bCs w:val="1"/>
          <w:color w:val="auto"/>
        </w:rPr>
      </w:pPr>
      <w:r>
        <w:rPr>
          <w:rFonts w:ascii="Arial" w:cs="Arial" w:eastAsia="Arial" w:hAnsi="Arial"/>
          <w:sz w:val="16"/>
          <w:szCs w:val="16"/>
          <w:color w:val="auto"/>
        </w:rPr>
        <w:t>The ratifcation of the appointment of Ernst &amp; Young LLP to serve as our independent registered public accounting frm for the fscal year ending December 31, 2026.</w:t>
      </w:r>
    </w:p>
    <w:p>
      <w:pPr>
        <w:spacing w:after="0" w:line="113" w:lineRule="exact"/>
        <w:rPr>
          <w:sz w:val="20"/>
          <w:szCs w:val="20"/>
          <w:color w:val="auto"/>
        </w:rPr>
      </w:pPr>
    </w:p>
    <w:p>
      <w:pPr>
        <w:ind w:left="520" w:right="220" w:hanging="364"/>
        <w:spacing w:after="0" w:line="330" w:lineRule="auto"/>
        <w:tabs>
          <w:tab w:leader="none" w:pos="520" w:val="left"/>
        </w:tabs>
        <w:numPr>
          <w:ilvl w:val="0"/>
          <w:numId w:val="14"/>
        </w:numPr>
        <w:rPr>
          <w:rFonts w:ascii="Arial" w:cs="Arial" w:eastAsia="Arial" w:hAnsi="Arial"/>
          <w:sz w:val="16"/>
          <w:szCs w:val="16"/>
          <w:b w:val="1"/>
          <w:bCs w:val="1"/>
          <w:color w:val="auto"/>
        </w:rPr>
      </w:pPr>
      <w:r>
        <w:rPr>
          <w:rFonts w:ascii="Arial" w:cs="Arial" w:eastAsia="Arial" w:hAnsi="Arial"/>
          <w:sz w:val="16"/>
          <w:szCs w:val="16"/>
          <w:color w:val="auto"/>
        </w:rPr>
        <w:t>A vote to approve, on a nonbinding advisory basis, the compensation of our named executive ofcers.</w:t>
      </w:r>
    </w:p>
    <w:p>
      <w:pPr>
        <w:spacing w:after="0" w:line="88" w:lineRule="exact"/>
        <w:rPr>
          <w:sz w:val="20"/>
          <w:szCs w:val="20"/>
          <w:color w:val="auto"/>
        </w:rPr>
      </w:pPr>
    </w:p>
    <w:p>
      <w:pPr>
        <w:ind w:left="460" w:right="160" w:hanging="304"/>
        <w:spacing w:after="0" w:line="330" w:lineRule="auto"/>
        <w:tabs>
          <w:tab w:leader="none" w:pos="502" w:val="left"/>
        </w:tabs>
        <w:numPr>
          <w:ilvl w:val="0"/>
          <w:numId w:val="15"/>
        </w:numPr>
        <w:rPr>
          <w:rFonts w:ascii="Arial" w:cs="Arial" w:eastAsia="Arial" w:hAnsi="Arial"/>
          <w:sz w:val="16"/>
          <w:szCs w:val="16"/>
          <w:b w:val="1"/>
          <w:bCs w:val="1"/>
          <w:color w:val="auto"/>
        </w:rPr>
      </w:pPr>
      <w:r>
        <w:rPr>
          <w:rFonts w:ascii="Arial" w:cs="Arial" w:eastAsia="Arial" w:hAnsi="Arial"/>
          <w:sz w:val="16"/>
          <w:szCs w:val="16"/>
          <w:color w:val="auto"/>
        </w:rPr>
        <w:t>Advisory vote on the stockholder proposal described in this Proxy Statement, if properly presented at the Annual Meeting.</w:t>
      </w:r>
    </w:p>
    <w:p>
      <w:pPr>
        <w:spacing w:after="0" w:line="115" w:lineRule="exact"/>
        <w:rPr>
          <w:sz w:val="20"/>
          <w:szCs w:val="20"/>
          <w:color w:val="auto"/>
        </w:rPr>
      </w:pPr>
    </w:p>
    <w:p>
      <w:pPr>
        <w:ind w:right="280"/>
        <w:spacing w:after="0" w:line="330" w:lineRule="auto"/>
        <w:rPr>
          <w:sz w:val="20"/>
          <w:szCs w:val="20"/>
          <w:color w:val="auto"/>
        </w:rPr>
      </w:pPr>
      <w:r>
        <w:rPr>
          <w:rFonts w:ascii="Arial" w:cs="Arial" w:eastAsia="Arial" w:hAnsi="Arial"/>
          <w:sz w:val="16"/>
          <w:szCs w:val="16"/>
          <w:color w:val="auto"/>
        </w:rPr>
        <w:t>In addition, we will transact such other business as may properly come before the Annual Meeting or any adjournment or postponement thereof.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DATE &amp; TIME</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right="1240"/>
        <w:spacing w:after="0" w:line="330" w:lineRule="auto"/>
        <w:rPr>
          <w:sz w:val="20"/>
          <w:szCs w:val="20"/>
          <w:color w:val="auto"/>
        </w:rPr>
      </w:pPr>
      <w:r>
        <w:rPr>
          <w:rFonts w:ascii="Arial" w:cs="Arial" w:eastAsia="Arial" w:hAnsi="Arial"/>
          <w:sz w:val="16"/>
          <w:szCs w:val="16"/>
          <w:color w:val="FFFFFF"/>
        </w:rPr>
        <w:t>Tuesday, May 19, 2026 at 9:00 a.m. CDT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WHERE</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color w:val="FFFFFF"/>
        </w:rPr>
        <w:t>Virtually  online  at</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FFFFFF"/>
        </w:rPr>
        <w:t>www.virtualshareholdermeeting.com</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FFFFFF"/>
        </w:rPr>
        <w:t>/UAL2026</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RECORD DATE</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color w:val="FFFFFF"/>
        </w:rPr>
        <w:t>March  24,  2026</w:t>
      </w:r>
    </w:p>
    <w:p>
      <w:pPr>
        <w:spacing w:after="0" w:line="200" w:lineRule="exact"/>
        <w:rPr>
          <w:sz w:val="20"/>
          <w:szCs w:val="20"/>
          <w:color w:val="auto"/>
        </w:rPr>
      </w:pPr>
    </w:p>
    <w:p>
      <w:pPr>
        <w:sectPr>
          <w:pgSz w:w="11900" w:h="16838" w:orient="portrait"/>
          <w:cols w:equalWidth="0" w:num="2">
            <w:col w:w="6500" w:space="260"/>
            <w:col w:w="2940"/>
          </w:cols>
          <w:pgMar w:left="1080" w:top="844" w:right="1119" w:bottom="1440" w:gutter="0" w:footer="0" w:header="0"/>
          <w:type w:val="continuous"/>
        </w:sectPr>
      </w:pPr>
    </w:p>
    <w:p>
      <w:pPr>
        <w:spacing w:after="0" w:line="289" w:lineRule="exact"/>
        <w:rPr>
          <w:sz w:val="20"/>
          <w:szCs w:val="20"/>
          <w:color w:val="auto"/>
        </w:rPr>
      </w:pPr>
    </w:p>
    <w:p>
      <w:pPr>
        <w:spacing w:after="0"/>
        <w:rPr>
          <w:sz w:val="20"/>
          <w:szCs w:val="20"/>
          <w:color w:val="auto"/>
        </w:rPr>
      </w:pPr>
      <w:r>
        <w:rPr>
          <w:rFonts w:ascii="Arial" w:cs="Arial" w:eastAsia="Arial" w:hAnsi="Arial"/>
          <w:sz w:val="25"/>
          <w:szCs w:val="25"/>
          <w:b w:val="1"/>
          <w:bCs w:val="1"/>
          <w:color w:val="1414D2"/>
        </w:rPr>
        <w:t>Your Vote is Important</w:t>
      </w:r>
    </w:p>
    <w:p>
      <w:pPr>
        <w:spacing w:after="0" w:line="119" w:lineRule="exact"/>
        <w:rPr>
          <w:sz w:val="20"/>
          <w:szCs w:val="20"/>
          <w:color w:val="auto"/>
        </w:rPr>
      </w:pPr>
    </w:p>
    <w:p>
      <w:pPr>
        <w:ind w:right="220"/>
        <w:spacing w:after="0" w:line="255" w:lineRule="auto"/>
        <w:rPr>
          <w:sz w:val="20"/>
          <w:szCs w:val="20"/>
          <w:color w:val="auto"/>
        </w:rPr>
      </w:pPr>
      <w:r>
        <w:rPr>
          <w:rFonts w:ascii="Arial" w:cs="Arial" w:eastAsia="Arial" w:hAnsi="Arial"/>
          <w:sz w:val="16"/>
          <w:szCs w:val="16"/>
          <w:color w:val="auto"/>
        </w:rPr>
        <w:t>We encourage all stockholders of record to read the attached proxy statement with care and vote right away using any of the following methods, even if they intend to attend the Annual Meeting. If you plan to vote during the Annual Meeting, you may</w:t>
      </w:r>
    </w:p>
    <w:p>
      <w:pPr>
        <w:spacing w:after="0" w:line="1" w:lineRule="exact"/>
        <w:rPr>
          <w:sz w:val="20"/>
          <w:szCs w:val="20"/>
          <w:color w:val="auto"/>
        </w:rPr>
      </w:pPr>
    </w:p>
    <w:p>
      <w:pPr>
        <w:spacing w:after="0" w:line="313" w:lineRule="auto"/>
        <w:rPr>
          <w:sz w:val="20"/>
          <w:szCs w:val="20"/>
          <w:color w:val="auto"/>
        </w:rPr>
      </w:pPr>
      <w:r>
        <w:rPr>
          <w:rFonts w:ascii="Arial" w:cs="Arial" w:eastAsia="Arial" w:hAnsi="Arial"/>
          <w:sz w:val="16"/>
          <w:szCs w:val="16"/>
          <w:color w:val="auto"/>
        </w:rPr>
        <w:t xml:space="preserve">do so if you enter the control number found on your Notice of Internet Availability of Proxy Materials, voting instruction form or proxy card, as applicable, at the time you log into the meeting at </w:t>
      </w:r>
      <w:r>
        <w:rPr>
          <w:rFonts w:ascii="Arial" w:cs="Arial" w:eastAsia="Arial" w:hAnsi="Arial"/>
          <w:sz w:val="16"/>
          <w:szCs w:val="16"/>
          <w:b w:val="1"/>
          <w:bCs w:val="1"/>
          <w:color w:val="auto"/>
        </w:rPr>
        <w:t>www.virtualshareholdermeeting.com/UAL2026</w:t>
      </w:r>
      <w:r>
        <w:rPr>
          <w:rFonts w:ascii="Arial" w:cs="Arial" w:eastAsia="Arial" w:hAnsi="Arial"/>
          <w:sz w:val="16"/>
          <w:szCs w:val="16"/>
          <w:color w:val="auto"/>
        </w:rPr>
        <w:t>.</w:t>
      </w:r>
    </w:p>
    <w:p>
      <w:pPr>
        <w:sectPr>
          <w:pgSz w:w="11900" w:h="16838" w:orient="portrait"/>
          <w:cols w:equalWidth="0" w:num="1">
            <w:col w:w="9700"/>
          </w:cols>
          <w:pgMar w:left="1080" w:top="844" w:right="1119" w:bottom="1440" w:gutter="0" w:footer="0" w:header="0"/>
          <w:type w:val="continuous"/>
        </w:sectPr>
      </w:pPr>
    </w:p>
    <w:p>
      <w:pPr>
        <w:spacing w:after="0" w:line="78" w:lineRule="exact"/>
        <w:rPr>
          <w:sz w:val="20"/>
          <w:szCs w:val="20"/>
          <w:color w:val="auto"/>
        </w:rPr>
      </w:pPr>
    </w:p>
    <w:p>
      <w:pPr>
        <w:ind w:left="20"/>
        <w:spacing w:after="0"/>
        <w:rPr>
          <w:sz w:val="20"/>
          <w:szCs w:val="20"/>
          <w:color w:val="auto"/>
        </w:rPr>
      </w:pPr>
      <w:r>
        <w:rPr>
          <w:sz w:val="1"/>
          <w:szCs w:val="1"/>
          <w:color w:val="auto"/>
        </w:rPr>
        <w:drawing>
          <wp:inline distT="0" distB="0" distL="0" distR="0">
            <wp:extent cx="548640" cy="27432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48640" cy="274320"/>
                    </a:xfrm>
                    <a:prstGeom prst="rect">
                      <a:avLst/>
                    </a:prstGeom>
                    <a:noFill/>
                    <a:ln>
                      <a:noFill/>
                    </a:ln>
                  </pic:spPr>
                </pic:pic>
              </a:graphicData>
            </a:graphic>
          </wp:inline>
        </w:drawing>
      </w:r>
      <w:r>
        <w:rPr>
          <w:rFonts w:ascii="Arial" w:cs="Arial" w:eastAsia="Arial" w:hAnsi="Arial"/>
          <w:sz w:val="16"/>
          <w:szCs w:val="16"/>
          <w:b w:val="1"/>
          <w:bCs w:val="1"/>
          <w:color w:val="auto"/>
        </w:rPr>
        <w:t xml:space="preserve"> BY INTERNET </w:t>
      </w:r>
      <w:r>
        <w:rPr>
          <w:rFonts w:ascii="Arial" w:cs="Arial" w:eastAsia="Arial" w:hAnsi="Arial"/>
          <w:sz w:val="16"/>
          <w:szCs w:val="16"/>
          <w:b w:val="1"/>
          <w:bCs w:val="1"/>
          <w:color w:val="1414D2"/>
        </w:rPr>
        <w:t>www.proxyvote.com</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20" w:type="dxa"/>
            <w:vAlign w:val="bottom"/>
            <w:vMerge w:val="restart"/>
          </w:tcPr>
          <w:p>
            <w:pPr>
              <w:ind w:left="960"/>
              <w:spacing w:after="0"/>
              <w:rPr>
                <w:sz w:val="20"/>
                <w:szCs w:val="20"/>
                <w:color w:val="auto"/>
              </w:rPr>
            </w:pPr>
            <w:r>
              <w:rPr>
                <w:rFonts w:ascii="Arial" w:cs="Arial" w:eastAsia="Arial" w:hAnsi="Arial"/>
                <w:sz w:val="16"/>
                <w:szCs w:val="16"/>
                <w:b w:val="1"/>
                <w:bCs w:val="1"/>
                <w:color w:val="auto"/>
              </w:rPr>
              <w:t>BY PHONE</w:t>
            </w:r>
          </w:p>
        </w:tc>
        <w:tc>
          <w:tcPr>
            <w:tcW w:w="3740" w:type="dxa"/>
            <w:vAlign w:val="bottom"/>
          </w:tcPr>
          <w:p>
            <w:pPr>
              <w:ind w:left="80"/>
              <w:spacing w:after="0"/>
              <w:rPr>
                <w:sz w:val="20"/>
                <w:szCs w:val="20"/>
                <w:color w:val="auto"/>
              </w:rPr>
            </w:pPr>
            <w:r>
              <w:rPr>
                <w:rFonts w:ascii="Arial" w:cs="Arial" w:eastAsia="Arial" w:hAnsi="Arial"/>
                <w:sz w:val="16"/>
                <w:szCs w:val="16"/>
                <w:color w:val="auto"/>
              </w:rPr>
              <w:t>In  the  U.S.  or  Canada  dial  toll-free</w:t>
            </w:r>
          </w:p>
        </w:tc>
        <w:tc>
          <w:tcPr>
            <w:tcW w:w="0" w:type="dxa"/>
            <w:vAlign w:val="bottom"/>
          </w:tcPr>
          <w:p>
            <w:pPr>
              <w:spacing w:after="0"/>
              <w:rPr>
                <w:sz w:val="1"/>
                <w:szCs w:val="1"/>
                <w:color w:val="auto"/>
              </w:rPr>
            </w:pPr>
          </w:p>
        </w:tc>
      </w:tr>
      <w:tr>
        <w:trPr>
          <w:trHeight w:val="141"/>
        </w:trPr>
        <w:tc>
          <w:tcPr>
            <w:tcW w:w="2020" w:type="dxa"/>
            <w:vAlign w:val="bottom"/>
            <w:vMerge w:val="continue"/>
          </w:tcPr>
          <w:p>
            <w:pPr>
              <w:spacing w:after="0"/>
              <w:rPr>
                <w:sz w:val="12"/>
                <w:szCs w:val="12"/>
                <w:color w:val="auto"/>
              </w:rPr>
            </w:pPr>
          </w:p>
        </w:tc>
        <w:tc>
          <w:tcPr>
            <w:tcW w:w="3740" w:type="dxa"/>
            <w:vAlign w:val="bottom"/>
            <w:vMerge w:val="restart"/>
          </w:tcPr>
          <w:p>
            <w:pPr>
              <w:ind w:left="80"/>
              <w:spacing w:after="0"/>
              <w:rPr>
                <w:sz w:val="20"/>
                <w:szCs w:val="20"/>
                <w:color w:val="auto"/>
              </w:rPr>
            </w:pPr>
            <w:r>
              <w:rPr>
                <w:rFonts w:ascii="Arial" w:cs="Arial" w:eastAsia="Arial" w:hAnsi="Arial"/>
                <w:sz w:val="16"/>
                <w:szCs w:val="16"/>
                <w:color w:val="auto"/>
              </w:rPr>
              <w:t>1-800-690-6903</w:t>
            </w:r>
          </w:p>
        </w:tc>
        <w:tc>
          <w:tcPr>
            <w:tcW w:w="0" w:type="dxa"/>
            <w:vAlign w:val="bottom"/>
          </w:tcPr>
          <w:p>
            <w:pPr>
              <w:spacing w:after="0"/>
              <w:rPr>
                <w:sz w:val="1"/>
                <w:szCs w:val="1"/>
                <w:color w:val="auto"/>
              </w:rPr>
            </w:pPr>
          </w:p>
        </w:tc>
      </w:tr>
      <w:tr>
        <w:trPr>
          <w:trHeight w:val="95"/>
        </w:trPr>
        <w:tc>
          <w:tcPr>
            <w:tcW w:w="2020" w:type="dxa"/>
            <w:vAlign w:val="bottom"/>
          </w:tcPr>
          <w:p>
            <w:pPr>
              <w:spacing w:after="0"/>
              <w:rPr>
                <w:sz w:val="8"/>
                <w:szCs w:val="8"/>
                <w:color w:val="auto"/>
              </w:rPr>
            </w:pPr>
          </w:p>
        </w:tc>
        <w:tc>
          <w:tcPr>
            <w:tcW w:w="3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2020" w:type="dxa"/>
            <w:vAlign w:val="bottom"/>
            <w:tcBorders>
              <w:bottom w:val="single" w:sz="8" w:color="808080"/>
            </w:tcBorders>
          </w:tcPr>
          <w:p>
            <w:pPr>
              <w:spacing w:after="0"/>
              <w:rPr>
                <w:sz w:val="13"/>
                <w:szCs w:val="13"/>
                <w:color w:val="auto"/>
              </w:rPr>
            </w:pPr>
          </w:p>
        </w:tc>
        <w:tc>
          <w:tcPr>
            <w:tcW w:w="3740" w:type="dxa"/>
            <w:vAlign w:val="bottom"/>
            <w:tcBorders>
              <w:bottom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279"/>
        </w:trPr>
        <w:tc>
          <w:tcPr>
            <w:tcW w:w="2020" w:type="dxa"/>
            <w:vAlign w:val="bottom"/>
            <w:vMerge w:val="restart"/>
          </w:tcPr>
          <w:p>
            <w:pPr>
              <w:ind w:left="960"/>
              <w:spacing w:after="0"/>
              <w:rPr>
                <w:sz w:val="20"/>
                <w:szCs w:val="20"/>
                <w:color w:val="auto"/>
              </w:rPr>
            </w:pPr>
            <w:r>
              <w:rPr>
                <w:rFonts w:ascii="Arial" w:cs="Arial" w:eastAsia="Arial" w:hAnsi="Arial"/>
                <w:sz w:val="16"/>
                <w:szCs w:val="16"/>
                <w:b w:val="1"/>
                <w:bCs w:val="1"/>
                <w:color w:val="auto"/>
              </w:rPr>
              <w:t>BY MAIL</w:t>
            </w:r>
          </w:p>
        </w:tc>
        <w:tc>
          <w:tcPr>
            <w:tcW w:w="3740" w:type="dxa"/>
            <w:vAlign w:val="bottom"/>
          </w:tcPr>
          <w:p>
            <w:pPr>
              <w:ind w:left="80"/>
              <w:spacing w:after="0"/>
              <w:rPr>
                <w:sz w:val="20"/>
                <w:szCs w:val="20"/>
                <w:color w:val="auto"/>
              </w:rPr>
            </w:pPr>
            <w:r>
              <w:rPr>
                <w:rFonts w:ascii="Arial" w:cs="Arial" w:eastAsia="Arial" w:hAnsi="Arial"/>
                <w:sz w:val="16"/>
                <w:szCs w:val="16"/>
                <w:color w:val="auto"/>
                <w:w w:val="98"/>
              </w:rPr>
              <w:t>Cast  your  ballot,  sign  your  proxy  card  and  send</w:t>
            </w:r>
          </w:p>
        </w:tc>
        <w:tc>
          <w:tcPr>
            <w:tcW w:w="0" w:type="dxa"/>
            <w:vAlign w:val="bottom"/>
          </w:tcPr>
          <w:p>
            <w:pPr>
              <w:spacing w:after="0"/>
              <w:rPr>
                <w:sz w:val="1"/>
                <w:szCs w:val="1"/>
                <w:color w:val="auto"/>
              </w:rPr>
            </w:pPr>
          </w:p>
        </w:tc>
      </w:tr>
      <w:tr>
        <w:trPr>
          <w:trHeight w:val="127"/>
        </w:trPr>
        <w:tc>
          <w:tcPr>
            <w:tcW w:w="2020" w:type="dxa"/>
            <w:vAlign w:val="bottom"/>
            <w:vMerge w:val="continue"/>
          </w:tcPr>
          <w:p>
            <w:pPr>
              <w:spacing w:after="0"/>
              <w:rPr>
                <w:sz w:val="11"/>
                <w:szCs w:val="11"/>
                <w:color w:val="auto"/>
              </w:rPr>
            </w:pPr>
          </w:p>
        </w:tc>
        <w:tc>
          <w:tcPr>
            <w:tcW w:w="3740" w:type="dxa"/>
            <w:vAlign w:val="bottom"/>
            <w:vMerge w:val="restart"/>
          </w:tcPr>
          <w:p>
            <w:pPr>
              <w:ind w:left="80"/>
              <w:spacing w:after="0"/>
              <w:rPr>
                <w:sz w:val="20"/>
                <w:szCs w:val="20"/>
                <w:color w:val="auto"/>
              </w:rPr>
            </w:pPr>
            <w:r>
              <w:rPr>
                <w:rFonts w:ascii="Arial" w:cs="Arial" w:eastAsia="Arial" w:hAnsi="Arial"/>
                <w:sz w:val="16"/>
                <w:szCs w:val="16"/>
                <w:color w:val="auto"/>
              </w:rPr>
              <w:t>in  our  prepaid  envelope</w:t>
            </w:r>
          </w:p>
        </w:tc>
        <w:tc>
          <w:tcPr>
            <w:tcW w:w="0" w:type="dxa"/>
            <w:vAlign w:val="bottom"/>
          </w:tcPr>
          <w:p>
            <w:pPr>
              <w:spacing w:after="0"/>
              <w:rPr>
                <w:sz w:val="1"/>
                <w:szCs w:val="1"/>
                <w:color w:val="auto"/>
              </w:rPr>
            </w:pPr>
          </w:p>
        </w:tc>
      </w:tr>
      <w:tr>
        <w:trPr>
          <w:trHeight w:val="108"/>
        </w:trPr>
        <w:tc>
          <w:tcPr>
            <w:tcW w:w="2020" w:type="dxa"/>
            <w:vAlign w:val="bottom"/>
          </w:tcPr>
          <w:p>
            <w:pPr>
              <w:spacing w:after="0"/>
              <w:rPr>
                <w:sz w:val="9"/>
                <w:szCs w:val="9"/>
                <w:color w:val="auto"/>
              </w:rPr>
            </w:pPr>
          </w:p>
        </w:tc>
        <w:tc>
          <w:tcPr>
            <w:tcW w:w="37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20" w:type="dxa"/>
            <w:vAlign w:val="bottom"/>
            <w:tcBorders>
              <w:bottom w:val="single" w:sz="8" w:color="808080"/>
            </w:tcBorders>
          </w:tcPr>
          <w:p>
            <w:pPr>
              <w:spacing w:after="0"/>
              <w:rPr>
                <w:sz w:val="8"/>
                <w:szCs w:val="8"/>
                <w:color w:val="auto"/>
              </w:rPr>
            </w:pPr>
          </w:p>
        </w:tc>
        <w:tc>
          <w:tcPr>
            <w:tcW w:w="37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71"/>
        </w:trPr>
        <w:tc>
          <w:tcPr>
            <w:tcW w:w="2020" w:type="dxa"/>
            <w:vAlign w:val="bottom"/>
          </w:tcPr>
          <w:p>
            <w:pPr>
              <w:ind w:left="960"/>
              <w:spacing w:after="0"/>
              <w:rPr>
                <w:sz w:val="20"/>
                <w:szCs w:val="20"/>
                <w:color w:val="auto"/>
              </w:rPr>
            </w:pPr>
            <w:r>
              <w:rPr>
                <w:rFonts w:ascii="Arial" w:cs="Arial" w:eastAsia="Arial" w:hAnsi="Arial"/>
                <w:sz w:val="16"/>
                <w:szCs w:val="16"/>
                <w:b w:val="1"/>
                <w:bCs w:val="1"/>
                <w:color w:val="auto"/>
              </w:rPr>
              <w:t>BY QR CODE</w:t>
            </w:r>
          </w:p>
        </w:tc>
        <w:tc>
          <w:tcPr>
            <w:tcW w:w="3740" w:type="dxa"/>
            <w:vAlign w:val="bottom"/>
          </w:tcPr>
          <w:p>
            <w:pPr>
              <w:ind w:left="80"/>
              <w:spacing w:after="0"/>
              <w:rPr>
                <w:sz w:val="20"/>
                <w:szCs w:val="20"/>
                <w:color w:val="auto"/>
              </w:rPr>
            </w:pPr>
            <w:r>
              <w:rPr>
                <w:rFonts w:ascii="Arial" w:cs="Arial" w:eastAsia="Arial" w:hAnsi="Arial"/>
                <w:sz w:val="16"/>
                <w:szCs w:val="16"/>
                <w:color w:val="auto"/>
              </w:rPr>
              <w:t>Scan  this  QR  code  to  vote  with  your  mobile</w:t>
            </w:r>
          </w:p>
        </w:tc>
        <w:tc>
          <w:tcPr>
            <w:tcW w:w="0" w:type="dxa"/>
            <w:vAlign w:val="bottom"/>
          </w:tcPr>
          <w:p>
            <w:pPr>
              <w:spacing w:after="0"/>
              <w:rPr>
                <w:sz w:val="1"/>
                <w:szCs w:val="1"/>
                <w:color w:val="auto"/>
              </w:rPr>
            </w:pPr>
          </w:p>
        </w:tc>
      </w:tr>
      <w:tr>
        <w:trPr>
          <w:trHeight w:val="237"/>
        </w:trPr>
        <w:tc>
          <w:tcPr>
            <w:tcW w:w="2020" w:type="dxa"/>
            <w:vAlign w:val="bottom"/>
          </w:tcPr>
          <w:p>
            <w:pPr>
              <w:spacing w:after="0"/>
              <w:rPr>
                <w:sz w:val="20"/>
                <w:szCs w:val="20"/>
                <w:color w:val="auto"/>
              </w:rPr>
            </w:pPr>
          </w:p>
        </w:tc>
        <w:tc>
          <w:tcPr>
            <w:tcW w:w="3740" w:type="dxa"/>
            <w:vAlign w:val="bottom"/>
          </w:tcPr>
          <w:p>
            <w:pPr>
              <w:ind w:left="80"/>
              <w:spacing w:after="0"/>
              <w:rPr>
                <w:sz w:val="20"/>
                <w:szCs w:val="20"/>
                <w:color w:val="auto"/>
              </w:rPr>
            </w:pPr>
            <w:r>
              <w:rPr>
                <w:rFonts w:ascii="Arial" w:cs="Arial" w:eastAsia="Arial" w:hAnsi="Arial"/>
                <w:sz w:val="16"/>
                <w:szCs w:val="16"/>
                <w:color w:val="auto"/>
              </w:rPr>
              <w:t>device  (</w:t>
            </w:r>
            <w:r>
              <w:rPr>
                <w:rFonts w:ascii="Arial" w:cs="Arial" w:eastAsia="Arial" w:hAnsi="Arial"/>
                <w:sz w:val="16"/>
                <w:szCs w:val="16"/>
                <w:b w:val="1"/>
                <w:bCs w:val="1"/>
                <w:i w:val="1"/>
                <w:iCs w:val="1"/>
                <w:color w:val="auto"/>
              </w:rPr>
              <w:t>may require free app</w:t>
            </w: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 Anna Ha</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Deputy General Counsel and Corporate Secretary</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color w:val="auto"/>
        </w:rPr>
        <w:t>April  7,  2026</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233  S.  Wacker  Drive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Chicago,  Illinois  60606</w:t>
      </w:r>
    </w:p>
    <w:p>
      <w:pPr>
        <w:sectPr>
          <w:pgSz w:w="11900" w:h="16838" w:orient="portrait"/>
          <w:cols w:equalWidth="0" w:num="2">
            <w:col w:w="5760" w:space="240"/>
            <w:col w:w="3700"/>
          </w:cols>
          <w:pgMar w:left="1080" w:top="844" w:right="111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16"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Electronic Delivery of Proxy Materials</w:t>
      </w:r>
    </w:p>
    <w:p>
      <w:pPr>
        <w:spacing w:after="0" w:line="279" w:lineRule="exact"/>
        <w:rPr>
          <w:sz w:val="20"/>
          <w:szCs w:val="20"/>
          <w:color w:val="auto"/>
        </w:rPr>
      </w:pPr>
    </w:p>
    <w:p>
      <w:pPr>
        <w:spacing w:after="0"/>
        <w:rPr>
          <w:sz w:val="20"/>
          <w:szCs w:val="20"/>
          <w:color w:val="auto"/>
        </w:rPr>
      </w:pPr>
      <w:r>
        <w:rPr>
          <w:rFonts w:ascii="Arial" w:cs="Arial" w:eastAsia="Arial" w:hAnsi="Arial"/>
          <w:sz w:val="25"/>
          <w:szCs w:val="25"/>
          <w:b w:val="1"/>
          <w:bCs w:val="1"/>
          <w:color w:val="1414D2"/>
        </w:rPr>
        <w:t>United seeks to operate more sustainably and responsibly.</w:t>
      </w:r>
    </w:p>
    <w:p>
      <w:pPr>
        <w:spacing w:after="0" w:line="119" w:lineRule="exact"/>
        <w:rPr>
          <w:sz w:val="20"/>
          <w:szCs w:val="20"/>
          <w:color w:val="auto"/>
        </w:rPr>
      </w:pPr>
    </w:p>
    <w:p>
      <w:pPr>
        <w:ind w:right="500"/>
        <w:spacing w:after="0" w:line="313" w:lineRule="auto"/>
        <w:rPr>
          <w:sz w:val="20"/>
          <w:szCs w:val="20"/>
          <w:color w:val="auto"/>
        </w:rPr>
      </w:pPr>
      <w:r>
        <w:rPr>
          <w:rFonts w:ascii="Arial" w:cs="Arial" w:eastAsia="Arial" w:hAnsi="Arial"/>
          <w:sz w:val="16"/>
          <w:szCs w:val="16"/>
          <w:color w:val="1414D2"/>
        </w:rPr>
        <w:t>We encourage all stockholders to voluntarily elect to receive all proxy materials electronically. This helps reduce the paper mailed to you and plays a small role in supporting our goal of reducing our emissions.</w:t>
      </w:r>
    </w:p>
    <w:p>
      <w:pPr>
        <w:spacing w:after="0" w:line="44" w:lineRule="exact"/>
        <w:rPr>
          <w:sz w:val="20"/>
          <w:szCs w:val="20"/>
          <w:color w:val="auto"/>
        </w:rPr>
      </w:pPr>
    </w:p>
    <w:tbl>
      <w:tblPr>
        <w:tblLayout w:type="fixed"/>
        <w:tblInd w:w="1320" w:type="dxa"/>
        <w:tblCellMar>
          <w:top w:w="0" w:type="dxa"/>
          <w:left w:w="0" w:type="dxa"/>
          <w:bottom w:w="0" w:type="dxa"/>
          <w:right w:w="0" w:type="dxa"/>
        </w:tblCellMar>
      </w:tblPr>
      <w:tr>
        <w:trPr>
          <w:trHeight w:val="313"/>
        </w:trPr>
        <w:tc>
          <w:tcPr>
            <w:tcW w:w="3620" w:type="dxa"/>
            <w:vAlign w:val="bottom"/>
            <w:vMerge w:val="restart"/>
            <w:shd w:val="clear" w:color="auto" w:fill="1414D2"/>
          </w:tcPr>
          <w:p>
            <w:pPr>
              <w:ind w:left="120"/>
              <w:spacing w:after="0"/>
              <w:rPr>
                <w:sz w:val="20"/>
                <w:szCs w:val="20"/>
                <w:color w:val="auto"/>
              </w:rPr>
            </w:pPr>
            <w:r>
              <w:rPr>
                <w:rFonts w:ascii="Arial" w:cs="Arial" w:eastAsia="Arial" w:hAnsi="Arial"/>
                <w:sz w:val="16"/>
                <w:szCs w:val="16"/>
                <w:color w:val="FFFFFF"/>
              </w:rPr>
              <w:t>Sign  up  for  e-delivery  at  proxyvote.com.</w:t>
            </w:r>
          </w:p>
        </w:tc>
        <w:tc>
          <w:tcPr>
            <w:tcW w:w="4780" w:type="dxa"/>
            <w:vAlign w:val="bottom"/>
            <w:gridSpan w:val="2"/>
            <w:shd w:val="clear" w:color="auto" w:fill="1414D2"/>
          </w:tcPr>
          <w:p>
            <w:pPr>
              <w:ind w:left="240"/>
              <w:spacing w:after="0"/>
              <w:rPr>
                <w:sz w:val="20"/>
                <w:szCs w:val="20"/>
                <w:color w:val="auto"/>
              </w:rPr>
            </w:pPr>
            <w:r>
              <w:rPr>
                <w:rFonts w:ascii="Arial" w:cs="Arial" w:eastAsia="Arial" w:hAnsi="Arial"/>
                <w:sz w:val="16"/>
                <w:szCs w:val="16"/>
                <w:color w:val="FFFFFF"/>
              </w:rPr>
              <w:t>Benefts  of  E-Delivery:</w:t>
            </w:r>
          </w:p>
        </w:tc>
        <w:tc>
          <w:tcPr>
            <w:tcW w:w="0" w:type="dxa"/>
            <w:vAlign w:val="bottom"/>
          </w:tcPr>
          <w:p>
            <w:pPr>
              <w:spacing w:after="0"/>
              <w:rPr>
                <w:sz w:val="1"/>
                <w:szCs w:val="1"/>
                <w:color w:val="auto"/>
              </w:rPr>
            </w:pPr>
          </w:p>
        </w:tc>
      </w:tr>
      <w:tr>
        <w:trPr>
          <w:trHeight w:val="141"/>
        </w:trPr>
        <w:tc>
          <w:tcPr>
            <w:tcW w:w="3620" w:type="dxa"/>
            <w:vAlign w:val="bottom"/>
            <w:vMerge w:val="continue"/>
            <w:shd w:val="clear" w:color="auto" w:fill="1414D2"/>
          </w:tcPr>
          <w:p>
            <w:pPr>
              <w:spacing w:after="0"/>
              <w:rPr>
                <w:sz w:val="12"/>
                <w:szCs w:val="12"/>
                <w:color w:val="auto"/>
              </w:rPr>
            </w:pPr>
          </w:p>
        </w:tc>
        <w:tc>
          <w:tcPr>
            <w:tcW w:w="440" w:type="dxa"/>
            <w:vAlign w:val="bottom"/>
            <w:vMerge w:val="restart"/>
            <w:shd w:val="clear" w:color="auto" w:fill="1414D2"/>
          </w:tcPr>
          <w:p>
            <w:pPr>
              <w:ind w:left="240"/>
              <w:spacing w:after="0"/>
              <w:rPr>
                <w:sz w:val="20"/>
                <w:szCs w:val="20"/>
                <w:color w:val="auto"/>
              </w:rPr>
            </w:pPr>
            <w:r>
              <w:rPr>
                <w:rFonts w:ascii="Times New Roman" w:cs="Times New Roman" w:eastAsia="Times New Roman" w:hAnsi="Times New Roman"/>
                <w:sz w:val="16"/>
                <w:szCs w:val="16"/>
                <w:color w:val="FFFFFF"/>
              </w:rPr>
              <w:t>●</w:t>
            </w:r>
          </w:p>
        </w:tc>
        <w:tc>
          <w:tcPr>
            <w:tcW w:w="4340" w:type="dxa"/>
            <w:vAlign w:val="bottom"/>
            <w:vMerge w:val="restart"/>
            <w:shd w:val="clear" w:color="auto" w:fill="1414D2"/>
          </w:tcPr>
          <w:p>
            <w:pPr>
              <w:ind w:left="120"/>
              <w:spacing w:after="0"/>
              <w:rPr>
                <w:sz w:val="20"/>
                <w:szCs w:val="20"/>
                <w:color w:val="auto"/>
              </w:rPr>
            </w:pPr>
            <w:r>
              <w:rPr>
                <w:rFonts w:ascii="Arial" w:cs="Arial" w:eastAsia="Arial" w:hAnsi="Arial"/>
                <w:sz w:val="16"/>
                <w:szCs w:val="16"/>
                <w:color w:val="FFFFFF"/>
              </w:rPr>
              <w:t>immediate  and  convenient  access  to  the  materials</w:t>
            </w:r>
          </w:p>
        </w:tc>
        <w:tc>
          <w:tcPr>
            <w:tcW w:w="0" w:type="dxa"/>
            <w:vAlign w:val="bottom"/>
          </w:tcPr>
          <w:p>
            <w:pPr>
              <w:spacing w:after="0"/>
              <w:rPr>
                <w:sz w:val="1"/>
                <w:szCs w:val="1"/>
                <w:color w:val="auto"/>
              </w:rPr>
            </w:pPr>
          </w:p>
        </w:tc>
      </w:tr>
      <w:tr>
        <w:trPr>
          <w:trHeight w:val="48"/>
        </w:trPr>
        <w:tc>
          <w:tcPr>
            <w:tcW w:w="3620" w:type="dxa"/>
            <w:vAlign w:val="bottom"/>
            <w:shd w:val="clear" w:color="auto" w:fill="1414D2"/>
          </w:tcPr>
          <w:p>
            <w:pPr>
              <w:spacing w:after="0"/>
              <w:rPr>
                <w:sz w:val="4"/>
                <w:szCs w:val="4"/>
                <w:color w:val="auto"/>
              </w:rPr>
            </w:pPr>
          </w:p>
        </w:tc>
        <w:tc>
          <w:tcPr>
            <w:tcW w:w="440" w:type="dxa"/>
            <w:vAlign w:val="bottom"/>
            <w:vMerge w:val="continue"/>
            <w:shd w:val="clear" w:color="auto" w:fill="1414D2"/>
          </w:tcPr>
          <w:p>
            <w:pPr>
              <w:spacing w:after="0"/>
              <w:rPr>
                <w:sz w:val="4"/>
                <w:szCs w:val="4"/>
                <w:color w:val="auto"/>
              </w:rPr>
            </w:pPr>
          </w:p>
        </w:tc>
        <w:tc>
          <w:tcPr>
            <w:tcW w:w="4340" w:type="dxa"/>
            <w:vAlign w:val="bottom"/>
            <w:vMerge w:val="continue"/>
            <w:shd w:val="clear" w:color="auto" w:fill="1414D2"/>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3620" w:type="dxa"/>
            <w:vAlign w:val="bottom"/>
            <w:vMerge w:val="restart"/>
            <w:shd w:val="clear" w:color="auto" w:fill="1414D2"/>
          </w:tcPr>
          <w:p>
            <w:pPr>
              <w:ind w:left="120"/>
              <w:spacing w:after="0"/>
              <w:rPr>
                <w:sz w:val="20"/>
                <w:szCs w:val="20"/>
                <w:color w:val="auto"/>
              </w:rPr>
            </w:pPr>
            <w:r>
              <w:rPr>
                <w:rFonts w:ascii="Arial" w:cs="Arial" w:eastAsia="Arial" w:hAnsi="Arial"/>
                <w:sz w:val="16"/>
                <w:szCs w:val="16"/>
                <w:color w:val="FFFFFF"/>
              </w:rPr>
              <w:t>Please  have  your  control  number  available.</w:t>
            </w:r>
          </w:p>
        </w:tc>
        <w:tc>
          <w:tcPr>
            <w:tcW w:w="4780" w:type="dxa"/>
            <w:vAlign w:val="bottom"/>
            <w:gridSpan w:val="2"/>
            <w:shd w:val="clear" w:color="auto" w:fill="1414D2"/>
          </w:tcPr>
          <w:p>
            <w:pPr>
              <w:ind w:left="240"/>
              <w:spacing w:after="0"/>
              <w:rPr>
                <w:sz w:val="20"/>
                <w:szCs w:val="20"/>
                <w:color w:val="auto"/>
              </w:rPr>
            </w:pPr>
            <w:r>
              <w:rPr>
                <w:rFonts w:ascii="Times New Roman" w:cs="Times New Roman" w:eastAsia="Times New Roman" w:hAnsi="Times New Roman"/>
                <w:sz w:val="16"/>
                <w:szCs w:val="16"/>
                <w:color w:val="FFFFFF"/>
                <w:w w:val="99"/>
              </w:rPr>
              <w:t>●</w:t>
            </w:r>
            <w:r>
              <w:rPr>
                <w:rFonts w:ascii="Arial" w:cs="Arial" w:eastAsia="Arial" w:hAnsi="Arial"/>
                <w:sz w:val="16"/>
                <w:szCs w:val="16"/>
                <w:color w:val="FFFFFF"/>
                <w:w w:val="99"/>
              </w:rPr>
              <w:t>helps  us  reduce  our  impact  on  the  environment</w:t>
            </w:r>
          </w:p>
        </w:tc>
        <w:tc>
          <w:tcPr>
            <w:tcW w:w="0" w:type="dxa"/>
            <w:vAlign w:val="bottom"/>
          </w:tcPr>
          <w:p>
            <w:pPr>
              <w:spacing w:after="0"/>
              <w:rPr>
                <w:sz w:val="1"/>
                <w:szCs w:val="1"/>
                <w:color w:val="auto"/>
              </w:rPr>
            </w:pPr>
          </w:p>
        </w:tc>
      </w:tr>
      <w:tr>
        <w:trPr>
          <w:trHeight w:val="141"/>
        </w:trPr>
        <w:tc>
          <w:tcPr>
            <w:tcW w:w="3620" w:type="dxa"/>
            <w:vAlign w:val="bottom"/>
            <w:vMerge w:val="continue"/>
            <w:shd w:val="clear" w:color="auto" w:fill="1414D2"/>
          </w:tcPr>
          <w:p>
            <w:pPr>
              <w:spacing w:after="0"/>
              <w:rPr>
                <w:sz w:val="12"/>
                <w:szCs w:val="12"/>
                <w:color w:val="auto"/>
              </w:rPr>
            </w:pPr>
          </w:p>
        </w:tc>
        <w:tc>
          <w:tcPr>
            <w:tcW w:w="440" w:type="dxa"/>
            <w:vAlign w:val="bottom"/>
            <w:vMerge w:val="restart"/>
            <w:shd w:val="clear" w:color="auto" w:fill="1414D2"/>
          </w:tcPr>
          <w:p>
            <w:pPr>
              <w:ind w:left="240"/>
              <w:spacing w:after="0"/>
              <w:rPr>
                <w:sz w:val="20"/>
                <w:szCs w:val="20"/>
                <w:color w:val="auto"/>
              </w:rPr>
            </w:pPr>
            <w:r>
              <w:rPr>
                <w:rFonts w:ascii="Times New Roman" w:cs="Times New Roman" w:eastAsia="Times New Roman" w:hAnsi="Times New Roman"/>
                <w:sz w:val="16"/>
                <w:szCs w:val="16"/>
                <w:color w:val="FFFFFF"/>
              </w:rPr>
              <w:t>●</w:t>
            </w:r>
          </w:p>
        </w:tc>
        <w:tc>
          <w:tcPr>
            <w:tcW w:w="4340" w:type="dxa"/>
            <w:vAlign w:val="bottom"/>
            <w:vMerge w:val="restart"/>
            <w:shd w:val="clear" w:color="auto" w:fill="1414D2"/>
          </w:tcPr>
          <w:p>
            <w:pPr>
              <w:ind w:left="120"/>
              <w:spacing w:after="0"/>
              <w:rPr>
                <w:sz w:val="20"/>
                <w:szCs w:val="20"/>
                <w:color w:val="auto"/>
              </w:rPr>
            </w:pPr>
            <w:r>
              <w:rPr>
                <w:rFonts w:ascii="Arial" w:cs="Arial" w:eastAsia="Arial" w:hAnsi="Arial"/>
                <w:sz w:val="16"/>
                <w:szCs w:val="16"/>
                <w:color w:val="FFFFFF"/>
              </w:rPr>
              <w:t>helps  us  reduce  our  printing  and  mailing  costs</w:t>
            </w:r>
          </w:p>
        </w:tc>
        <w:tc>
          <w:tcPr>
            <w:tcW w:w="0" w:type="dxa"/>
            <w:vAlign w:val="bottom"/>
          </w:tcPr>
          <w:p>
            <w:pPr>
              <w:spacing w:after="0"/>
              <w:rPr>
                <w:sz w:val="1"/>
                <w:szCs w:val="1"/>
                <w:color w:val="auto"/>
              </w:rPr>
            </w:pPr>
          </w:p>
        </w:tc>
      </w:tr>
      <w:tr>
        <w:trPr>
          <w:trHeight w:val="95"/>
        </w:trPr>
        <w:tc>
          <w:tcPr>
            <w:tcW w:w="3620" w:type="dxa"/>
            <w:vAlign w:val="bottom"/>
            <w:shd w:val="clear" w:color="auto" w:fill="1414D2"/>
          </w:tcPr>
          <w:p>
            <w:pPr>
              <w:spacing w:after="0"/>
              <w:rPr>
                <w:sz w:val="8"/>
                <w:szCs w:val="8"/>
                <w:color w:val="auto"/>
              </w:rPr>
            </w:pPr>
          </w:p>
        </w:tc>
        <w:tc>
          <w:tcPr>
            <w:tcW w:w="440" w:type="dxa"/>
            <w:vAlign w:val="bottom"/>
            <w:vMerge w:val="continue"/>
            <w:shd w:val="clear" w:color="auto" w:fill="1414D2"/>
          </w:tcPr>
          <w:p>
            <w:pPr>
              <w:spacing w:after="0"/>
              <w:rPr>
                <w:sz w:val="8"/>
                <w:szCs w:val="8"/>
                <w:color w:val="auto"/>
              </w:rPr>
            </w:pPr>
          </w:p>
        </w:tc>
        <w:tc>
          <w:tcPr>
            <w:tcW w:w="4340" w:type="dxa"/>
            <w:vAlign w:val="bottom"/>
            <w:vMerge w:val="continue"/>
            <w:shd w:val="clear" w:color="auto" w:fill="1414D2"/>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3620" w:type="dxa"/>
            <w:vAlign w:val="bottom"/>
            <w:shd w:val="clear" w:color="auto" w:fill="1414D2"/>
          </w:tcPr>
          <w:p>
            <w:pPr>
              <w:spacing w:after="0"/>
              <w:rPr>
                <w:sz w:val="12"/>
                <w:szCs w:val="12"/>
                <w:color w:val="auto"/>
              </w:rPr>
            </w:pPr>
          </w:p>
        </w:tc>
        <w:tc>
          <w:tcPr>
            <w:tcW w:w="440" w:type="dxa"/>
            <w:vAlign w:val="bottom"/>
            <w:shd w:val="clear" w:color="auto" w:fill="1414D2"/>
          </w:tcPr>
          <w:p>
            <w:pPr>
              <w:spacing w:after="0"/>
              <w:rPr>
                <w:sz w:val="12"/>
                <w:szCs w:val="12"/>
                <w:color w:val="auto"/>
              </w:rPr>
            </w:pPr>
          </w:p>
        </w:tc>
        <w:tc>
          <w:tcPr>
            <w:tcW w:w="4340" w:type="dxa"/>
            <w:vAlign w:val="bottom"/>
            <w:shd w:val="clear" w:color="auto" w:fill="1414D2"/>
          </w:tcPr>
          <w:p>
            <w:pPr>
              <w:spacing w:after="0"/>
              <w:rPr>
                <w:sz w:val="12"/>
                <w:szCs w:val="12"/>
                <w:color w:val="auto"/>
              </w:rPr>
            </w:pP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w:t>
      </w:r>
      <w:r>
        <w:rPr>
          <w:rFonts w:ascii="Arial" w:cs="Arial" w:eastAsia="Arial" w:hAnsi="Arial"/>
          <w:sz w:val="25"/>
          <w:szCs w:val="25"/>
          <w:b w:val="1"/>
          <w:bCs w:val="1"/>
          <w:color w:val="1414D2"/>
        </w:rPr>
        <w:t>Our Environmental Impact</w:t>
      </w:r>
    </w:p>
    <w:p>
      <w:pPr>
        <w:spacing w:after="0" w:line="119"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Our  E-Delivery  initiative  has  resulted  in  the  elimination  of  449,962  sets  of</w:t>
      </w:r>
    </w:p>
    <w:p>
      <w:pPr>
        <w:spacing w:after="0" w:line="19" w:lineRule="exact"/>
        <w:rPr>
          <w:sz w:val="20"/>
          <w:szCs w:val="20"/>
          <w:color w:val="auto"/>
        </w:rPr>
      </w:pPr>
    </w:p>
    <w:p>
      <w:pPr>
        <w:ind w:left="4020" w:right="160"/>
        <w:spacing w:after="0" w:line="293" w:lineRule="auto"/>
        <w:rPr>
          <w:sz w:val="20"/>
          <w:szCs w:val="20"/>
          <w:color w:val="auto"/>
        </w:rPr>
      </w:pPr>
      <w:r>
        <w:rPr>
          <w:rFonts w:ascii="Arial" w:cs="Arial" w:eastAsia="Arial" w:hAnsi="Arial"/>
          <w:sz w:val="16"/>
          <w:szCs w:val="16"/>
          <w:color w:val="auto"/>
        </w:rPr>
        <w:t>proxy materials from being produced and mailed. The 506,207 pounds of paper being saved in this process represent the following estimated impacts:</w:t>
      </w:r>
    </w:p>
    <w:p>
      <w:pPr>
        <w:spacing w:after="0" w:line="347" w:lineRule="exact"/>
        <w:rPr>
          <w:sz w:val="20"/>
          <w:szCs w:val="20"/>
          <w:color w:val="auto"/>
        </w:rPr>
      </w:pPr>
    </w:p>
    <w:p>
      <w:pPr>
        <w:ind w:left="5660" w:right="80"/>
        <w:spacing w:after="0" w:line="313" w:lineRule="auto"/>
        <w:rPr>
          <w:sz w:val="20"/>
          <w:szCs w:val="20"/>
          <w:color w:val="auto"/>
        </w:rPr>
      </w:pPr>
      <w:r>
        <w:rPr>
          <w:rFonts w:ascii="Arial" w:cs="Arial" w:eastAsia="Arial" w:hAnsi="Arial"/>
          <w:sz w:val="16"/>
          <w:szCs w:val="16"/>
          <w:color w:val="auto"/>
        </w:rPr>
        <w:t>1,010 tons of wood saved; or the equivalent of 6,060 trees or 94.1 acres of forest</w:t>
      </w:r>
    </w:p>
    <w:p>
      <w:pPr>
        <w:spacing w:after="0" w:line="182" w:lineRule="exact"/>
        <w:rPr>
          <w:sz w:val="20"/>
          <w:szCs w:val="20"/>
          <w:color w:val="auto"/>
        </w:rPr>
      </w:pPr>
    </w:p>
    <w:p>
      <w:pPr>
        <w:ind w:left="5660" w:right="240"/>
        <w:spacing w:after="0" w:line="313" w:lineRule="auto"/>
        <w:rPr>
          <w:sz w:val="20"/>
          <w:szCs w:val="20"/>
          <w:color w:val="auto"/>
        </w:rPr>
      </w:pPr>
      <w:r>
        <w:rPr>
          <w:rFonts w:ascii="Arial" w:cs="Arial" w:eastAsia="Arial" w:hAnsi="Arial"/>
          <w:sz w:val="16"/>
          <w:szCs w:val="16"/>
          <w:color w:val="auto"/>
        </w:rPr>
        <w:t>6.45 billion BTU’s saved; or the equivalent of 7,680 residential refrigerators operating for one year</w:t>
      </w:r>
    </w:p>
    <w:p>
      <w:pPr>
        <w:spacing w:after="0" w:line="141" w:lineRule="exact"/>
        <w:rPr>
          <w:sz w:val="20"/>
          <w:szCs w:val="20"/>
          <w:color w:val="auto"/>
        </w:rPr>
      </w:pPr>
    </w:p>
    <w:p>
      <w:pPr>
        <w:ind w:left="5660"/>
        <w:spacing w:after="0"/>
        <w:rPr>
          <w:sz w:val="20"/>
          <w:szCs w:val="20"/>
          <w:color w:val="auto"/>
        </w:rPr>
      </w:pPr>
      <w:r>
        <w:rPr>
          <w:rFonts w:ascii="Arial" w:cs="Arial" w:eastAsia="Arial" w:hAnsi="Arial"/>
          <w:sz w:val="15"/>
          <w:szCs w:val="15"/>
          <w:color w:val="auto"/>
        </w:rPr>
        <w:t>3,540,000  pounds  of  CO2  saved;  or  the  equivalent  of</w:t>
      </w:r>
    </w:p>
    <w:p>
      <w:pPr>
        <w:spacing w:after="0" w:line="17"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322  cars  operating  for  one  year</w:t>
      </w:r>
    </w:p>
    <w:p>
      <w:pPr>
        <w:spacing w:after="0" w:line="289" w:lineRule="exact"/>
        <w:rPr>
          <w:sz w:val="20"/>
          <w:szCs w:val="20"/>
          <w:color w:val="auto"/>
        </w:rPr>
      </w:pPr>
    </w:p>
    <w:p>
      <w:pPr>
        <w:ind w:left="5660" w:right="180"/>
        <w:spacing w:after="0" w:line="313" w:lineRule="auto"/>
        <w:rPr>
          <w:sz w:val="20"/>
          <w:szCs w:val="20"/>
          <w:color w:val="auto"/>
        </w:rPr>
      </w:pPr>
      <w:r>
        <w:rPr>
          <w:rFonts w:ascii="Arial" w:cs="Arial" w:eastAsia="Arial" w:hAnsi="Arial"/>
          <w:sz w:val="16"/>
          <w:szCs w:val="16"/>
          <w:color w:val="auto"/>
        </w:rPr>
        <w:t>5,410,000 gallons of water saved; or the equivalent of 271 swimming pools</w:t>
      </w:r>
    </w:p>
    <w:p>
      <w:pPr>
        <w:spacing w:after="0" w:line="303"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282,000  pounds  of  solid  waste  saved</w:t>
      </w:r>
    </w:p>
    <w:p>
      <w:pPr>
        <w:spacing w:after="0" w:line="200" w:lineRule="exact"/>
        <w:rPr>
          <w:sz w:val="20"/>
          <w:szCs w:val="20"/>
          <w:color w:val="auto"/>
        </w:rPr>
      </w:pPr>
    </w:p>
    <w:p>
      <w:pPr>
        <w:spacing w:after="0" w:line="291"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404  pounds  of  hazardous  air  pollutants  saved</w:t>
      </w:r>
    </w:p>
    <w:p>
      <w:pPr>
        <w:spacing w:after="0" w:line="383" w:lineRule="exact"/>
        <w:rPr>
          <w:sz w:val="20"/>
          <w:szCs w:val="20"/>
          <w:color w:val="auto"/>
        </w:rPr>
      </w:pPr>
    </w:p>
    <w:p>
      <w:pPr>
        <w:ind w:left="4140" w:right="120"/>
        <w:spacing w:after="0" w:line="264" w:lineRule="auto"/>
        <w:rPr>
          <w:sz w:val="20"/>
          <w:szCs w:val="20"/>
          <w:color w:val="auto"/>
        </w:rPr>
      </w:pPr>
      <w:r>
        <w:rPr>
          <w:rFonts w:ascii="Arial" w:cs="Arial" w:eastAsia="Arial" w:hAnsi="Arial"/>
          <w:sz w:val="16"/>
          <w:szCs w:val="16"/>
          <w:color w:val="auto"/>
        </w:rPr>
        <w:t>Environmental impact estimates are calculated using the Environmental Paper Network Paper Calculator. For more information, visit</w:t>
      </w:r>
    </w:p>
    <w:p>
      <w:pPr>
        <w:ind w:left="4140"/>
        <w:spacing w:after="0"/>
        <w:rPr>
          <w:sz w:val="20"/>
          <w:szCs w:val="20"/>
          <w:color w:val="auto"/>
        </w:rPr>
      </w:pPr>
      <w:r>
        <w:rPr>
          <w:rFonts w:ascii="Arial" w:cs="Arial" w:eastAsia="Arial" w:hAnsi="Arial"/>
          <w:sz w:val="16"/>
          <w:szCs w:val="16"/>
          <w:b w:val="1"/>
          <w:bCs w:val="1"/>
          <w:color w:val="1414D2"/>
        </w:rPr>
        <w:t>www.papercalculator.org</w:t>
      </w:r>
      <w:r>
        <w:rPr>
          <w:rFonts w:ascii="Arial" w:cs="Arial" w:eastAsia="Arial" w:hAnsi="Arial"/>
          <w:sz w:val="16"/>
          <w:szCs w:val="16"/>
          <w:color w:val="000000"/>
        </w:rPr>
        <w:t>.</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3"/>
          <w:szCs w:val="13"/>
          <w:b w:val="1"/>
          <w:bCs w:val="1"/>
          <w:color w:val="1414D2"/>
        </w:rPr>
        <w:t>Important notice regarding the availability of proxy materials for the Annual Meeting to be held on May 19, 2026:</w:t>
      </w:r>
    </w:p>
    <w:p>
      <w:pPr>
        <w:spacing w:after="0" w:line="13" w:lineRule="exact"/>
        <w:rPr>
          <w:sz w:val="20"/>
          <w:szCs w:val="20"/>
          <w:color w:val="auto"/>
        </w:rPr>
      </w:pPr>
    </w:p>
    <w:p>
      <w:pPr>
        <w:ind w:right="20"/>
        <w:spacing w:after="0" w:line="260" w:lineRule="auto"/>
        <w:rPr>
          <w:sz w:val="20"/>
          <w:szCs w:val="20"/>
          <w:color w:val="auto"/>
        </w:rPr>
      </w:pPr>
      <w:r>
        <w:rPr>
          <w:rFonts w:ascii="Arial" w:cs="Arial" w:eastAsia="Arial" w:hAnsi="Arial"/>
          <w:sz w:val="13"/>
          <w:szCs w:val="13"/>
          <w:color w:val="auto"/>
        </w:rPr>
        <w:t>Our Board of Directors is soliciting your proxy on behalf of the Company for the Annual Meeting, which will be held on May 19, 2026 at 9:00 a.m. Central Time, or any adjournment or postponement thereof. Pursuant to rules promulgated by the Securities and Exchange Commission, we have elected to provide access to our proxy materials by notifying you of the availability of our proxy materials on the internet, thereby capturing cost and environmental benefts. On or about April 7, 2026, we will begin mailing a Notice of Internet Availability of Proxy Materials to stockholders informing them that this</w:t>
      </w:r>
    </w:p>
    <w:p>
      <w:pPr>
        <w:ind w:right="120"/>
        <w:spacing w:after="0" w:line="249" w:lineRule="auto"/>
        <w:rPr>
          <w:sz w:val="20"/>
          <w:szCs w:val="20"/>
          <w:color w:val="auto"/>
        </w:rPr>
      </w:pPr>
      <w:r>
        <w:rPr>
          <w:rFonts w:ascii="Arial" w:cs="Arial" w:eastAsia="Arial" w:hAnsi="Arial"/>
          <w:sz w:val="13"/>
          <w:szCs w:val="13"/>
          <w:color w:val="auto"/>
        </w:rPr>
        <w:t xml:space="preserve">Notice of 2026 Annual Meeting of Stockholders, the accompanying proxy statement and our 2025 Annual Report on Form 10-K are available free of charge at </w:t>
      </w:r>
      <w:r>
        <w:rPr>
          <w:rFonts w:ascii="Arial" w:cs="Arial" w:eastAsia="Arial" w:hAnsi="Arial"/>
          <w:sz w:val="13"/>
          <w:szCs w:val="13"/>
          <w:b w:val="1"/>
          <w:bCs w:val="1"/>
          <w:color w:val="1414D2"/>
        </w:rPr>
        <w:t>www.proxyvote.com</w:t>
      </w:r>
      <w:r>
        <w:rPr>
          <w:rFonts w:ascii="Arial" w:cs="Arial" w:eastAsia="Arial" w:hAnsi="Arial"/>
          <w:sz w:val="13"/>
          <w:szCs w:val="13"/>
          <w:color w:val="auto"/>
        </w:rPr>
        <w:t>, a site that does not have “cookies” that identify visitors to the site. We also will begin sending a paper copy of the proxy</w:t>
      </w:r>
    </w:p>
    <w:p>
      <w:pPr>
        <w:ind w:right="40"/>
        <w:spacing w:after="0" w:line="281" w:lineRule="auto"/>
        <w:rPr>
          <w:sz w:val="20"/>
          <w:szCs w:val="20"/>
          <w:color w:val="auto"/>
        </w:rPr>
      </w:pPr>
      <w:r>
        <w:rPr>
          <w:rFonts w:ascii="Arial" w:cs="Arial" w:eastAsia="Arial" w:hAnsi="Arial"/>
          <w:sz w:val="13"/>
          <w:szCs w:val="13"/>
          <w:color w:val="auto"/>
        </w:rPr>
        <w:t xml:space="preserve">materials to those stockholders of record who have requested a paper copy. Brokers and other nominees who hold shares on behalf of benefcial owners may be sending their own similar notices. The proxy materials are available on our investor relations website, </w:t>
      </w:r>
      <w:r>
        <w:rPr>
          <w:rFonts w:ascii="Arial" w:cs="Arial" w:eastAsia="Arial" w:hAnsi="Arial"/>
          <w:sz w:val="13"/>
          <w:szCs w:val="13"/>
          <w:b w:val="1"/>
          <w:bCs w:val="1"/>
          <w:color w:val="1414D2"/>
        </w:rPr>
        <w:t>ir.united.com</w:t>
      </w:r>
      <w:r>
        <w:rPr>
          <w:rFonts w:ascii="Arial" w:cs="Arial" w:eastAsia="Arial" w:hAnsi="Arial"/>
          <w:sz w:val="13"/>
          <w:szCs w:val="13"/>
          <w:color w:val="auto"/>
        </w:rPr>
        <w:t>. Information on our website</w:t>
      </w:r>
    </w:p>
    <w:p>
      <w:pPr>
        <w:spacing w:after="0" w:line="1" w:lineRule="exact"/>
        <w:rPr>
          <w:sz w:val="20"/>
          <w:szCs w:val="20"/>
          <w:color w:val="auto"/>
        </w:rPr>
      </w:pPr>
    </w:p>
    <w:p>
      <w:pPr>
        <w:spacing w:after="0"/>
        <w:tabs>
          <w:tab w:leader="none" w:pos="3140" w:val="left"/>
        </w:tabs>
        <w:rPr>
          <w:sz w:val="20"/>
          <w:szCs w:val="20"/>
          <w:color w:val="auto"/>
        </w:rPr>
      </w:pPr>
      <w:r>
        <w:rPr>
          <w:rFonts w:ascii="Arial" w:cs="Arial" w:eastAsia="Arial" w:hAnsi="Arial"/>
          <w:sz w:val="13"/>
          <w:szCs w:val="13"/>
          <w:color w:val="auto"/>
        </w:rPr>
        <w:t>as  well  as  within  our  Corporate  Impact  Report  (at</w:t>
      </w:r>
      <w:r>
        <w:rPr>
          <w:sz w:val="20"/>
          <w:szCs w:val="20"/>
          <w:color w:val="auto"/>
        </w:rPr>
        <w:tab/>
      </w:r>
      <w:r>
        <w:rPr>
          <w:rFonts w:ascii="Arial" w:cs="Arial" w:eastAsia="Arial" w:hAnsi="Arial"/>
          <w:sz w:val="13"/>
          <w:szCs w:val="13"/>
          <w:b w:val="1"/>
          <w:bCs w:val="1"/>
          <w:color w:val="1414D2"/>
        </w:rPr>
        <w:t>https://corporateimpact.united.com</w:t>
      </w:r>
      <w:r>
        <w:rPr>
          <w:rFonts w:ascii="Arial" w:cs="Arial" w:eastAsia="Arial" w:hAnsi="Arial"/>
          <w:sz w:val="13"/>
          <w:szCs w:val="13"/>
          <w:color w:val="000000"/>
        </w:rPr>
        <w:t>),  is  not  considered  part  of  the  proxy  statement.</w:t>
      </w:r>
    </w:p>
    <w:p>
      <w:pPr>
        <w:sectPr>
          <w:pgSz w:w="11900" w:h="16838" w:orient="portrait"/>
          <w:cols w:equalWidth="0" w:num="1">
            <w:col w:w="9720"/>
          </w:cols>
          <w:pgMar w:left="1080" w:top="844" w:right="1099" w:bottom="1440" w:gutter="0" w:footer="0" w:header="0"/>
        </w:sectPr>
      </w:pPr>
    </w:p>
    <w:bookmarkStart w:id="8" w:name="page9"/>
    <w:bookmarkEnd w:id="8"/>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29"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Table of Contents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200" w:type="dxa"/>
            <w:vAlign w:val="bottom"/>
            <w:gridSpan w:val="32"/>
          </w:tcPr>
          <w:p>
            <w:pPr>
              <w:spacing w:after="0"/>
              <w:rPr>
                <w:sz w:val="20"/>
                <w:szCs w:val="20"/>
                <w:color w:val="auto"/>
              </w:rPr>
            </w:pPr>
            <w:r>
              <w:rPr>
                <w:rFonts w:ascii="Arial" w:cs="Arial" w:eastAsia="Arial" w:hAnsi="Arial"/>
                <w:sz w:val="16"/>
                <w:szCs w:val="16"/>
                <w:b w:val="1"/>
                <w:bCs w:val="1"/>
                <w:color w:val="1414D2"/>
              </w:rPr>
              <w:t>A Message from Our Chairman</w:t>
            </w: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1414D2"/>
          </w:tcPr>
          <w:p>
            <w:pPr>
              <w:spacing w:after="0" w:line="20" w:lineRule="exact"/>
              <w:rPr>
                <w:sz w:val="1"/>
                <w:szCs w:val="1"/>
                <w:color w:val="auto"/>
              </w:rPr>
            </w:pPr>
          </w:p>
        </w:tc>
        <w:tc>
          <w:tcPr>
            <w:tcW w:w="180" w:type="dxa"/>
            <w:vAlign w:val="bottom"/>
            <w:shd w:val="clear" w:color="auto" w:fill="1414D2"/>
          </w:tcPr>
          <w:p>
            <w:pPr>
              <w:spacing w:after="0" w:line="20" w:lineRule="exact"/>
              <w:rPr>
                <w:sz w:val="1"/>
                <w:szCs w:val="1"/>
                <w:color w:val="auto"/>
              </w:rPr>
            </w:pPr>
          </w:p>
        </w:tc>
        <w:tc>
          <w:tcPr>
            <w:tcW w:w="160" w:type="dxa"/>
            <w:vAlign w:val="bottom"/>
            <w:shd w:val="clear" w:color="auto" w:fill="1414D2"/>
          </w:tcPr>
          <w:p>
            <w:pPr>
              <w:spacing w:after="0" w:line="20" w:lineRule="exact"/>
              <w:rPr>
                <w:sz w:val="1"/>
                <w:szCs w:val="1"/>
                <w:color w:val="auto"/>
              </w:rPr>
            </w:pPr>
          </w:p>
        </w:tc>
        <w:tc>
          <w:tcPr>
            <w:tcW w:w="1080" w:type="dxa"/>
            <w:vAlign w:val="bottom"/>
            <w:shd w:val="clear" w:color="auto" w:fill="1414D2"/>
          </w:tcPr>
          <w:p>
            <w:pPr>
              <w:spacing w:after="0" w:line="20" w:lineRule="exact"/>
              <w:rPr>
                <w:sz w:val="1"/>
                <w:szCs w:val="1"/>
                <w:color w:val="auto"/>
              </w:rPr>
            </w:pPr>
          </w:p>
        </w:tc>
        <w:tc>
          <w:tcPr>
            <w:tcW w:w="120" w:type="dxa"/>
            <w:vAlign w:val="bottom"/>
            <w:shd w:val="clear" w:color="auto" w:fill="1414D2"/>
          </w:tcPr>
          <w:p>
            <w:pPr>
              <w:spacing w:after="0" w:line="20" w:lineRule="exact"/>
              <w:rPr>
                <w:sz w:val="1"/>
                <w:szCs w:val="1"/>
                <w:color w:val="auto"/>
              </w:rPr>
            </w:pPr>
          </w:p>
        </w:tc>
        <w:tc>
          <w:tcPr>
            <w:tcW w:w="140" w:type="dxa"/>
            <w:vAlign w:val="bottom"/>
            <w:tcBorders>
              <w:right w:val="single" w:sz="8" w:color="1414D2"/>
            </w:tcBorders>
            <w:shd w:val="clear" w:color="auto" w:fill="1414D2"/>
          </w:tcPr>
          <w:p>
            <w:pPr>
              <w:spacing w:after="0" w:line="20" w:lineRule="exact"/>
              <w:rPr>
                <w:sz w:val="1"/>
                <w:szCs w:val="1"/>
                <w:color w:val="auto"/>
              </w:rPr>
            </w:pPr>
          </w:p>
        </w:tc>
        <w:tc>
          <w:tcPr>
            <w:tcW w:w="20" w:type="dxa"/>
            <w:vAlign w:val="bottom"/>
            <w:shd w:val="clear" w:color="auto" w:fill="1414D2"/>
          </w:tcPr>
          <w:p>
            <w:pPr>
              <w:spacing w:after="0" w:line="20" w:lineRule="exact"/>
              <w:rPr>
                <w:sz w:val="1"/>
                <w:szCs w:val="1"/>
                <w:color w:val="auto"/>
              </w:rPr>
            </w:pPr>
          </w:p>
        </w:tc>
        <w:tc>
          <w:tcPr>
            <w:tcW w:w="120" w:type="dxa"/>
            <w:vAlign w:val="bottom"/>
            <w:tcBorders>
              <w:right w:val="single" w:sz="8" w:color="1414D2"/>
            </w:tcBorders>
            <w:shd w:val="clear" w:color="auto" w:fill="1414D2"/>
          </w:tcPr>
          <w:p>
            <w:pPr>
              <w:spacing w:after="0" w:line="20" w:lineRule="exact"/>
              <w:rPr>
                <w:sz w:val="1"/>
                <w:szCs w:val="1"/>
                <w:color w:val="auto"/>
              </w:rPr>
            </w:pPr>
          </w:p>
        </w:tc>
        <w:tc>
          <w:tcPr>
            <w:tcW w:w="100" w:type="dxa"/>
            <w:vAlign w:val="bottom"/>
            <w:tcBorders>
              <w:right w:val="single" w:sz="8" w:color="1414D2"/>
            </w:tcBorders>
            <w:shd w:val="clear" w:color="auto" w:fill="1414D2"/>
          </w:tcPr>
          <w:p>
            <w:pPr>
              <w:spacing w:after="0" w:line="20" w:lineRule="exact"/>
              <w:rPr>
                <w:sz w:val="1"/>
                <w:szCs w:val="1"/>
                <w:color w:val="auto"/>
              </w:rPr>
            </w:pPr>
          </w:p>
        </w:tc>
        <w:tc>
          <w:tcPr>
            <w:tcW w:w="40" w:type="dxa"/>
            <w:vAlign w:val="bottom"/>
            <w:shd w:val="clear" w:color="auto" w:fill="1414D2"/>
          </w:tcPr>
          <w:p>
            <w:pPr>
              <w:spacing w:after="0" w:line="20" w:lineRule="exact"/>
              <w:rPr>
                <w:sz w:val="1"/>
                <w:szCs w:val="1"/>
                <w:color w:val="auto"/>
              </w:rPr>
            </w:pPr>
          </w:p>
        </w:tc>
        <w:tc>
          <w:tcPr>
            <w:tcW w:w="80" w:type="dxa"/>
            <w:vAlign w:val="bottom"/>
            <w:shd w:val="clear" w:color="auto" w:fill="1414D2"/>
          </w:tcPr>
          <w:p>
            <w:pPr>
              <w:spacing w:after="0" w:line="20" w:lineRule="exact"/>
              <w:rPr>
                <w:sz w:val="1"/>
                <w:szCs w:val="1"/>
                <w:color w:val="auto"/>
              </w:rPr>
            </w:pPr>
          </w:p>
        </w:tc>
        <w:tc>
          <w:tcPr>
            <w:tcW w:w="100" w:type="dxa"/>
            <w:vAlign w:val="bottom"/>
            <w:shd w:val="clear" w:color="auto" w:fill="1414D2"/>
          </w:tcPr>
          <w:p>
            <w:pPr>
              <w:spacing w:after="0" w:line="20" w:lineRule="exact"/>
              <w:rPr>
                <w:sz w:val="1"/>
                <w:szCs w:val="1"/>
                <w:color w:val="auto"/>
              </w:rPr>
            </w:pPr>
          </w:p>
        </w:tc>
        <w:tc>
          <w:tcPr>
            <w:tcW w:w="20" w:type="dxa"/>
            <w:vAlign w:val="bottom"/>
            <w:shd w:val="clear" w:color="auto" w:fill="1414D2"/>
          </w:tcPr>
          <w:p>
            <w:pPr>
              <w:spacing w:after="0" w:line="20" w:lineRule="exact"/>
              <w:rPr>
                <w:sz w:val="1"/>
                <w:szCs w:val="1"/>
                <w:color w:val="auto"/>
              </w:rPr>
            </w:pPr>
          </w:p>
        </w:tc>
        <w:tc>
          <w:tcPr>
            <w:tcW w:w="20" w:type="dxa"/>
            <w:vAlign w:val="bottom"/>
            <w:shd w:val="clear" w:color="auto" w:fill="1414D2"/>
          </w:tcPr>
          <w:p>
            <w:pPr>
              <w:spacing w:after="0" w:line="20" w:lineRule="exact"/>
              <w:rPr>
                <w:sz w:val="1"/>
                <w:szCs w:val="1"/>
                <w:color w:val="auto"/>
              </w:rPr>
            </w:pPr>
          </w:p>
        </w:tc>
        <w:tc>
          <w:tcPr>
            <w:tcW w:w="120" w:type="dxa"/>
            <w:vAlign w:val="bottom"/>
            <w:tcBorders>
              <w:right w:val="single" w:sz="8" w:color="1414D2"/>
            </w:tcBorders>
            <w:shd w:val="clear" w:color="auto" w:fill="1414D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200" w:type="dxa"/>
            <w:vAlign w:val="bottom"/>
            <w:gridSpan w:val="32"/>
          </w:tcPr>
          <w:p>
            <w:pPr>
              <w:spacing w:after="0" w:line="169" w:lineRule="exact"/>
              <w:rPr>
                <w:sz w:val="20"/>
                <w:szCs w:val="20"/>
                <w:color w:val="auto"/>
              </w:rPr>
            </w:pPr>
            <w:r>
              <w:rPr>
                <w:rFonts w:ascii="Arial" w:cs="Arial" w:eastAsia="Arial" w:hAnsi="Arial"/>
                <w:sz w:val="16"/>
                <w:szCs w:val="16"/>
                <w:b w:val="1"/>
                <w:bCs w:val="1"/>
                <w:color w:val="1414D2"/>
              </w:rPr>
              <w:t>A Message from Our Chief Executive Ofcer</w:t>
            </w: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1414D2"/>
          </w:tcPr>
          <w:p>
            <w:pPr>
              <w:spacing w:after="0" w:line="20" w:lineRule="exact"/>
              <w:rPr>
                <w:sz w:val="1"/>
                <w:szCs w:val="1"/>
                <w:color w:val="auto"/>
              </w:rPr>
            </w:pPr>
          </w:p>
        </w:tc>
        <w:tc>
          <w:tcPr>
            <w:tcW w:w="180" w:type="dxa"/>
            <w:vAlign w:val="bottom"/>
            <w:shd w:val="clear" w:color="auto" w:fill="1414D2"/>
          </w:tcPr>
          <w:p>
            <w:pPr>
              <w:spacing w:after="0" w:line="20" w:lineRule="exact"/>
              <w:rPr>
                <w:sz w:val="1"/>
                <w:szCs w:val="1"/>
                <w:color w:val="auto"/>
              </w:rPr>
            </w:pPr>
          </w:p>
        </w:tc>
        <w:tc>
          <w:tcPr>
            <w:tcW w:w="160" w:type="dxa"/>
            <w:vAlign w:val="bottom"/>
            <w:shd w:val="clear" w:color="auto" w:fill="1414D2"/>
          </w:tcPr>
          <w:p>
            <w:pPr>
              <w:spacing w:after="0" w:line="20" w:lineRule="exact"/>
              <w:rPr>
                <w:sz w:val="1"/>
                <w:szCs w:val="1"/>
                <w:color w:val="auto"/>
              </w:rPr>
            </w:pPr>
          </w:p>
        </w:tc>
        <w:tc>
          <w:tcPr>
            <w:tcW w:w="1080" w:type="dxa"/>
            <w:vAlign w:val="bottom"/>
            <w:shd w:val="clear" w:color="auto" w:fill="1414D2"/>
          </w:tcPr>
          <w:p>
            <w:pPr>
              <w:spacing w:after="0" w:line="20" w:lineRule="exact"/>
              <w:rPr>
                <w:sz w:val="1"/>
                <w:szCs w:val="1"/>
                <w:color w:val="auto"/>
              </w:rPr>
            </w:pPr>
          </w:p>
        </w:tc>
        <w:tc>
          <w:tcPr>
            <w:tcW w:w="120" w:type="dxa"/>
            <w:vAlign w:val="bottom"/>
            <w:shd w:val="clear" w:color="auto" w:fill="1414D2"/>
          </w:tcPr>
          <w:p>
            <w:pPr>
              <w:spacing w:after="0" w:line="20" w:lineRule="exact"/>
              <w:rPr>
                <w:sz w:val="1"/>
                <w:szCs w:val="1"/>
                <w:color w:val="auto"/>
              </w:rPr>
            </w:pPr>
          </w:p>
        </w:tc>
        <w:tc>
          <w:tcPr>
            <w:tcW w:w="140" w:type="dxa"/>
            <w:vAlign w:val="bottom"/>
            <w:tcBorders>
              <w:right w:val="single" w:sz="8" w:color="1414D2"/>
            </w:tcBorders>
            <w:shd w:val="clear" w:color="auto" w:fill="1414D2"/>
          </w:tcPr>
          <w:p>
            <w:pPr>
              <w:spacing w:after="0" w:line="20" w:lineRule="exact"/>
              <w:rPr>
                <w:sz w:val="1"/>
                <w:szCs w:val="1"/>
                <w:color w:val="auto"/>
              </w:rPr>
            </w:pPr>
          </w:p>
        </w:tc>
        <w:tc>
          <w:tcPr>
            <w:tcW w:w="20" w:type="dxa"/>
            <w:vAlign w:val="bottom"/>
            <w:shd w:val="clear" w:color="auto" w:fill="1414D2"/>
          </w:tcPr>
          <w:p>
            <w:pPr>
              <w:spacing w:after="0" w:line="20" w:lineRule="exact"/>
              <w:rPr>
                <w:sz w:val="1"/>
                <w:szCs w:val="1"/>
                <w:color w:val="auto"/>
              </w:rPr>
            </w:pPr>
          </w:p>
        </w:tc>
        <w:tc>
          <w:tcPr>
            <w:tcW w:w="120" w:type="dxa"/>
            <w:vAlign w:val="bottom"/>
            <w:tcBorders>
              <w:right w:val="single" w:sz="8" w:color="1414D2"/>
            </w:tcBorders>
            <w:shd w:val="clear" w:color="auto" w:fill="1414D2"/>
          </w:tcPr>
          <w:p>
            <w:pPr>
              <w:spacing w:after="0" w:line="20" w:lineRule="exact"/>
              <w:rPr>
                <w:sz w:val="1"/>
                <w:szCs w:val="1"/>
                <w:color w:val="auto"/>
              </w:rPr>
            </w:pPr>
          </w:p>
        </w:tc>
        <w:tc>
          <w:tcPr>
            <w:tcW w:w="100" w:type="dxa"/>
            <w:vAlign w:val="bottom"/>
            <w:tcBorders>
              <w:right w:val="single" w:sz="8" w:color="1414D2"/>
            </w:tcBorders>
            <w:shd w:val="clear" w:color="auto" w:fill="1414D2"/>
          </w:tcPr>
          <w:p>
            <w:pPr>
              <w:spacing w:after="0" w:line="20" w:lineRule="exact"/>
              <w:rPr>
                <w:sz w:val="1"/>
                <w:szCs w:val="1"/>
                <w:color w:val="auto"/>
              </w:rPr>
            </w:pPr>
          </w:p>
        </w:tc>
        <w:tc>
          <w:tcPr>
            <w:tcW w:w="40" w:type="dxa"/>
            <w:vAlign w:val="bottom"/>
            <w:shd w:val="clear" w:color="auto" w:fill="1414D2"/>
          </w:tcPr>
          <w:p>
            <w:pPr>
              <w:spacing w:after="0" w:line="20" w:lineRule="exact"/>
              <w:rPr>
                <w:sz w:val="1"/>
                <w:szCs w:val="1"/>
                <w:color w:val="auto"/>
              </w:rPr>
            </w:pPr>
          </w:p>
        </w:tc>
        <w:tc>
          <w:tcPr>
            <w:tcW w:w="80" w:type="dxa"/>
            <w:vAlign w:val="bottom"/>
            <w:shd w:val="clear" w:color="auto" w:fill="1414D2"/>
          </w:tcPr>
          <w:p>
            <w:pPr>
              <w:spacing w:after="0" w:line="20" w:lineRule="exact"/>
              <w:rPr>
                <w:sz w:val="1"/>
                <w:szCs w:val="1"/>
                <w:color w:val="auto"/>
              </w:rPr>
            </w:pPr>
          </w:p>
        </w:tc>
        <w:tc>
          <w:tcPr>
            <w:tcW w:w="100" w:type="dxa"/>
            <w:vAlign w:val="bottom"/>
            <w:shd w:val="clear" w:color="auto" w:fill="1414D2"/>
          </w:tcPr>
          <w:p>
            <w:pPr>
              <w:spacing w:after="0" w:line="20" w:lineRule="exact"/>
              <w:rPr>
                <w:sz w:val="1"/>
                <w:szCs w:val="1"/>
                <w:color w:val="auto"/>
              </w:rPr>
            </w:pPr>
          </w:p>
        </w:tc>
        <w:tc>
          <w:tcPr>
            <w:tcW w:w="20" w:type="dxa"/>
            <w:vAlign w:val="bottom"/>
            <w:shd w:val="clear" w:color="auto" w:fill="1414D2"/>
          </w:tcPr>
          <w:p>
            <w:pPr>
              <w:spacing w:after="0" w:line="20" w:lineRule="exact"/>
              <w:rPr>
                <w:sz w:val="1"/>
                <w:szCs w:val="1"/>
                <w:color w:val="auto"/>
              </w:rPr>
            </w:pPr>
          </w:p>
        </w:tc>
        <w:tc>
          <w:tcPr>
            <w:tcW w:w="20" w:type="dxa"/>
            <w:vAlign w:val="bottom"/>
            <w:shd w:val="clear" w:color="auto" w:fill="1414D2"/>
          </w:tcPr>
          <w:p>
            <w:pPr>
              <w:spacing w:after="0" w:line="20" w:lineRule="exact"/>
              <w:rPr>
                <w:sz w:val="1"/>
                <w:szCs w:val="1"/>
                <w:color w:val="auto"/>
              </w:rPr>
            </w:pPr>
          </w:p>
        </w:tc>
        <w:tc>
          <w:tcPr>
            <w:tcW w:w="120" w:type="dxa"/>
            <w:vAlign w:val="bottom"/>
            <w:tcBorders>
              <w:right w:val="single" w:sz="8" w:color="1414D2"/>
            </w:tcBorders>
            <w:shd w:val="clear" w:color="auto" w:fill="1414D2"/>
          </w:tcPr>
          <w:p>
            <w:pPr>
              <w:spacing w:after="0" w:line="20" w:lineRule="exact"/>
              <w:rPr>
                <w:sz w:val="1"/>
                <w:szCs w:val="1"/>
                <w:color w:val="auto"/>
              </w:rPr>
            </w:pPr>
          </w:p>
        </w:tc>
        <w:tc>
          <w:tcPr>
            <w:tcW w:w="120" w:type="dxa"/>
            <w:vAlign w:val="bottom"/>
            <w:shd w:val="clear" w:color="auto" w:fill="1414D2"/>
          </w:tcPr>
          <w:p>
            <w:pPr>
              <w:spacing w:after="0" w:line="20" w:lineRule="exact"/>
              <w:rPr>
                <w:sz w:val="1"/>
                <w:szCs w:val="1"/>
                <w:color w:val="auto"/>
              </w:rPr>
            </w:pPr>
          </w:p>
        </w:tc>
        <w:tc>
          <w:tcPr>
            <w:tcW w:w="140" w:type="dxa"/>
            <w:vAlign w:val="bottom"/>
            <w:shd w:val="clear" w:color="auto" w:fill="1414D2"/>
          </w:tcPr>
          <w:p>
            <w:pPr>
              <w:spacing w:after="0" w:line="20" w:lineRule="exact"/>
              <w:rPr>
                <w:sz w:val="1"/>
                <w:szCs w:val="1"/>
                <w:color w:val="auto"/>
              </w:rPr>
            </w:pPr>
          </w:p>
        </w:tc>
        <w:tc>
          <w:tcPr>
            <w:tcW w:w="20" w:type="dxa"/>
            <w:vAlign w:val="bottom"/>
            <w:shd w:val="clear" w:color="auto" w:fill="1414D2"/>
          </w:tcPr>
          <w:p>
            <w:pPr>
              <w:spacing w:after="0" w:line="20" w:lineRule="exact"/>
              <w:rPr>
                <w:sz w:val="1"/>
                <w:szCs w:val="1"/>
                <w:color w:val="auto"/>
              </w:rPr>
            </w:pPr>
          </w:p>
        </w:tc>
        <w:tc>
          <w:tcPr>
            <w:tcW w:w="60" w:type="dxa"/>
            <w:vAlign w:val="bottom"/>
            <w:shd w:val="clear" w:color="auto" w:fill="1414D2"/>
          </w:tcPr>
          <w:p>
            <w:pPr>
              <w:spacing w:after="0" w:line="20" w:lineRule="exact"/>
              <w:rPr>
                <w:sz w:val="1"/>
                <w:szCs w:val="1"/>
                <w:color w:val="auto"/>
              </w:rPr>
            </w:pPr>
          </w:p>
        </w:tc>
        <w:tc>
          <w:tcPr>
            <w:tcW w:w="340" w:type="dxa"/>
            <w:vAlign w:val="bottom"/>
            <w:shd w:val="clear" w:color="auto" w:fill="1414D2"/>
          </w:tcPr>
          <w:p>
            <w:pPr>
              <w:spacing w:after="0" w:line="20" w:lineRule="exact"/>
              <w:rPr>
                <w:sz w:val="1"/>
                <w:szCs w:val="1"/>
                <w:color w:val="auto"/>
              </w:rPr>
            </w:pPr>
          </w:p>
        </w:tc>
        <w:tc>
          <w:tcPr>
            <w:tcW w:w="220" w:type="dxa"/>
            <w:vAlign w:val="bottom"/>
            <w:shd w:val="clear" w:color="auto" w:fill="1414D2"/>
          </w:tcPr>
          <w:p>
            <w:pPr>
              <w:spacing w:after="0" w:line="20" w:lineRule="exact"/>
              <w:rPr>
                <w:sz w:val="1"/>
                <w:szCs w:val="1"/>
                <w:color w:val="auto"/>
              </w:rPr>
            </w:pPr>
          </w:p>
        </w:tc>
        <w:tc>
          <w:tcPr>
            <w:tcW w:w="140" w:type="dxa"/>
            <w:vAlign w:val="bottom"/>
            <w:tcBorders>
              <w:right w:val="single" w:sz="8" w:color="1414D2"/>
            </w:tcBorders>
            <w:shd w:val="clear" w:color="auto" w:fill="1414D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200" w:type="dxa"/>
            <w:vAlign w:val="bottom"/>
            <w:gridSpan w:val="32"/>
          </w:tcPr>
          <w:p>
            <w:pPr>
              <w:spacing w:after="0" w:line="169" w:lineRule="exact"/>
              <w:rPr>
                <w:sz w:val="20"/>
                <w:szCs w:val="20"/>
                <w:color w:val="auto"/>
              </w:rPr>
            </w:pPr>
            <w:r>
              <w:rPr>
                <w:rFonts w:ascii="Arial" w:cs="Arial" w:eastAsia="Arial" w:hAnsi="Arial"/>
                <w:sz w:val="16"/>
                <w:szCs w:val="16"/>
                <w:b w:val="1"/>
                <w:bCs w:val="1"/>
                <w:color w:val="1414D2"/>
              </w:rPr>
              <w:t>Notice of 2026 Annual Meeting of Stockholders</w:t>
            </w: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780" w:type="dxa"/>
            <w:vAlign w:val="bottom"/>
            <w:tcBorders>
              <w:top w:val="single" w:sz="8" w:color="1414D2"/>
            </w:tcBorders>
            <w:gridSpan w:val="24"/>
          </w:tcPr>
          <w:p>
            <w:pPr>
              <w:spacing w:after="0" w:line="169" w:lineRule="exact"/>
              <w:rPr>
                <w:sz w:val="20"/>
                <w:szCs w:val="20"/>
                <w:color w:val="auto"/>
              </w:rPr>
            </w:pPr>
            <w:r>
              <w:rPr>
                <w:rFonts w:ascii="Arial" w:cs="Arial" w:eastAsia="Arial" w:hAnsi="Arial"/>
                <w:sz w:val="16"/>
                <w:szCs w:val="16"/>
                <w:b w:val="1"/>
                <w:bCs w:val="1"/>
                <w:color w:val="1414D2"/>
              </w:rPr>
              <w:t>Proxy Statement Summary and Voting Map</w:t>
            </w: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52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69"/>
        </w:trPr>
        <w:tc>
          <w:tcPr>
            <w:tcW w:w="180" w:type="dxa"/>
            <w:vAlign w:val="bottom"/>
            <w:tcBorders>
              <w:top w:val="single" w:sz="8" w:color="1414D2"/>
            </w:tcBorders>
          </w:tcPr>
          <w:p>
            <w:pPr>
              <w:spacing w:after="0"/>
              <w:rPr>
                <w:sz w:val="14"/>
                <w:szCs w:val="14"/>
                <w:color w:val="auto"/>
              </w:rPr>
            </w:pPr>
          </w:p>
        </w:tc>
        <w:tc>
          <w:tcPr>
            <w:tcW w:w="3340" w:type="dxa"/>
            <w:vAlign w:val="bottom"/>
            <w:tcBorders>
              <w:top w:val="single" w:sz="8" w:color="1414D2"/>
            </w:tcBorders>
            <w:gridSpan w:val="21"/>
          </w:tcPr>
          <w:p>
            <w:pPr>
              <w:spacing w:after="0" w:line="169" w:lineRule="exact"/>
              <w:rPr>
                <w:sz w:val="20"/>
                <w:szCs w:val="20"/>
                <w:color w:val="auto"/>
              </w:rPr>
            </w:pPr>
            <w:r>
              <w:rPr>
                <w:rFonts w:ascii="Arial" w:cs="Arial" w:eastAsia="Arial" w:hAnsi="Arial"/>
                <w:sz w:val="16"/>
                <w:szCs w:val="16"/>
                <w:color w:val="0000EE"/>
              </w:rPr>
              <w:t>Annual  Meeting  Information</w:t>
            </w:r>
          </w:p>
        </w:tc>
        <w:tc>
          <w:tcPr>
            <w:tcW w:w="140" w:type="dxa"/>
            <w:vAlign w:val="bottom"/>
          </w:tcPr>
          <w:p>
            <w:pPr>
              <w:spacing w:after="0"/>
              <w:rPr>
                <w:sz w:val="14"/>
                <w:szCs w:val="14"/>
                <w:color w:val="auto"/>
              </w:rPr>
            </w:pPr>
          </w:p>
        </w:tc>
        <w:tc>
          <w:tcPr>
            <w:tcW w:w="160" w:type="dxa"/>
            <w:vAlign w:val="bottom"/>
            <w:gridSpan w:val="2"/>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80" w:type="dxa"/>
            <w:vAlign w:val="bottom"/>
          </w:tcPr>
          <w:p>
            <w:pPr>
              <w:spacing w:after="0"/>
              <w:rPr>
                <w:sz w:val="14"/>
                <w:szCs w:val="14"/>
                <w:color w:val="auto"/>
              </w:rPr>
            </w:pPr>
          </w:p>
        </w:tc>
        <w:tc>
          <w:tcPr>
            <w:tcW w:w="2180" w:type="dxa"/>
            <w:vAlign w:val="bottom"/>
            <w:tcBorders>
              <w:top w:val="single" w:sz="8" w:color="0000EE"/>
            </w:tcBorders>
            <w:gridSpan w:val="13"/>
          </w:tcPr>
          <w:p>
            <w:pPr>
              <w:spacing w:after="0" w:line="169" w:lineRule="exact"/>
              <w:rPr>
                <w:sz w:val="20"/>
                <w:szCs w:val="20"/>
                <w:color w:val="auto"/>
              </w:rPr>
            </w:pPr>
            <w:r>
              <w:rPr>
                <w:rFonts w:ascii="Arial" w:cs="Arial" w:eastAsia="Arial" w:hAnsi="Arial"/>
                <w:sz w:val="16"/>
                <w:szCs w:val="16"/>
                <w:color w:val="0000EE"/>
              </w:rPr>
              <w:t>Company  Information</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gridSpan w:val="2"/>
          </w:tcPr>
          <w:p>
            <w:pPr>
              <w:spacing w:after="0"/>
              <w:rPr>
                <w:sz w:val="14"/>
                <w:szCs w:val="14"/>
                <w:color w:val="auto"/>
              </w:rPr>
            </w:pPr>
          </w:p>
        </w:tc>
        <w:tc>
          <w:tcPr>
            <w:tcW w:w="160" w:type="dxa"/>
            <w:vAlign w:val="bottom"/>
            <w:gridSpan w:val="2"/>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520" w:type="dxa"/>
            <w:vAlign w:val="bottom"/>
          </w:tcPr>
          <w:p>
            <w:pPr>
              <w:jc w:val="right"/>
              <w:spacing w:after="0" w:line="169" w:lineRule="exact"/>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20" w:type="dxa"/>
            <w:vAlign w:val="bottom"/>
            <w:vMerge w:val="restart"/>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line="20" w:lineRule="exact"/>
              <w:rPr>
                <w:sz w:val="1"/>
                <w:szCs w:val="1"/>
                <w:color w:val="auto"/>
              </w:rPr>
            </w:pPr>
          </w:p>
        </w:tc>
      </w:tr>
      <w:tr>
        <w:trPr>
          <w:trHeight w:val="169"/>
        </w:trPr>
        <w:tc>
          <w:tcPr>
            <w:tcW w:w="180" w:type="dxa"/>
            <w:vAlign w:val="bottom"/>
          </w:tcPr>
          <w:p>
            <w:pPr>
              <w:spacing w:after="0"/>
              <w:rPr>
                <w:sz w:val="14"/>
                <w:szCs w:val="14"/>
                <w:color w:val="auto"/>
              </w:rPr>
            </w:pPr>
          </w:p>
        </w:tc>
        <w:tc>
          <w:tcPr>
            <w:tcW w:w="8020" w:type="dxa"/>
            <w:vAlign w:val="bottom"/>
            <w:gridSpan w:val="31"/>
          </w:tcPr>
          <w:p>
            <w:pPr>
              <w:spacing w:after="0" w:line="169" w:lineRule="exact"/>
              <w:rPr>
                <w:sz w:val="20"/>
                <w:szCs w:val="20"/>
                <w:color w:val="auto"/>
              </w:rPr>
            </w:pPr>
            <w:r>
              <w:rPr>
                <w:rFonts w:ascii="Arial" w:cs="Arial" w:eastAsia="Arial" w:hAnsi="Arial"/>
                <w:sz w:val="16"/>
                <w:szCs w:val="16"/>
                <w:color w:val="0000EE"/>
              </w:rPr>
              <w:t>Our  Business  Performance</w:t>
            </w:r>
          </w:p>
        </w:tc>
        <w:tc>
          <w:tcPr>
            <w:tcW w:w="1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20" w:type="dxa"/>
            <w:vAlign w:val="bottom"/>
            <w:vMerge w:val="restart"/>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line="20" w:lineRule="exact"/>
              <w:rPr>
                <w:sz w:val="1"/>
                <w:szCs w:val="1"/>
                <w:color w:val="auto"/>
              </w:rPr>
            </w:pPr>
          </w:p>
        </w:tc>
      </w:tr>
      <w:tr>
        <w:trPr>
          <w:trHeight w:val="169"/>
        </w:trPr>
        <w:tc>
          <w:tcPr>
            <w:tcW w:w="180" w:type="dxa"/>
            <w:vAlign w:val="bottom"/>
          </w:tcPr>
          <w:p>
            <w:pPr>
              <w:spacing w:after="0"/>
              <w:rPr>
                <w:sz w:val="14"/>
                <w:szCs w:val="14"/>
                <w:color w:val="auto"/>
              </w:rPr>
            </w:pPr>
          </w:p>
        </w:tc>
        <w:tc>
          <w:tcPr>
            <w:tcW w:w="8020" w:type="dxa"/>
            <w:vAlign w:val="bottom"/>
            <w:gridSpan w:val="31"/>
          </w:tcPr>
          <w:p>
            <w:pPr>
              <w:spacing w:after="0" w:line="169" w:lineRule="exact"/>
              <w:rPr>
                <w:sz w:val="20"/>
                <w:szCs w:val="20"/>
                <w:color w:val="auto"/>
              </w:rPr>
            </w:pPr>
            <w:r>
              <w:rPr>
                <w:rFonts w:ascii="Arial" w:cs="Arial" w:eastAsia="Arial" w:hAnsi="Arial"/>
                <w:sz w:val="16"/>
                <w:szCs w:val="16"/>
                <w:color w:val="0000EE"/>
              </w:rPr>
              <w:t>Corporate  Governance  Highlights</w:t>
            </w:r>
          </w:p>
        </w:tc>
        <w:tc>
          <w:tcPr>
            <w:tcW w:w="1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80" w:type="dxa"/>
            <w:vAlign w:val="bottom"/>
          </w:tcPr>
          <w:p>
            <w:pPr>
              <w:spacing w:after="0"/>
              <w:rPr>
                <w:sz w:val="14"/>
                <w:szCs w:val="14"/>
                <w:color w:val="auto"/>
              </w:rPr>
            </w:pPr>
          </w:p>
        </w:tc>
        <w:tc>
          <w:tcPr>
            <w:tcW w:w="2560" w:type="dxa"/>
            <w:vAlign w:val="bottom"/>
            <w:tcBorders>
              <w:top w:val="single" w:sz="8" w:color="0000EE"/>
            </w:tcBorders>
            <w:gridSpan w:val="16"/>
          </w:tcPr>
          <w:p>
            <w:pPr>
              <w:spacing w:after="0" w:line="169" w:lineRule="exact"/>
              <w:rPr>
                <w:sz w:val="20"/>
                <w:szCs w:val="20"/>
                <w:color w:val="auto"/>
              </w:rPr>
            </w:pPr>
            <w:r>
              <w:rPr>
                <w:rFonts w:ascii="Arial" w:cs="Arial" w:eastAsia="Arial" w:hAnsi="Arial"/>
                <w:sz w:val="16"/>
                <w:szCs w:val="16"/>
                <w:b w:val="1"/>
                <w:bCs w:val="1"/>
                <w:color w:val="0000EE"/>
              </w:rPr>
              <w:t xml:space="preserve">Item 1 </w:t>
            </w:r>
            <w:r>
              <w:rPr>
                <w:rFonts w:ascii="Arial" w:cs="Arial" w:eastAsia="Arial" w:hAnsi="Arial"/>
                <w:sz w:val="16"/>
                <w:szCs w:val="16"/>
                <w:b w:val="1"/>
                <w:bCs w:val="1"/>
                <w:color w:val="1414D2"/>
              </w:rPr>
              <w:t>|</w:t>
            </w:r>
            <w:r>
              <w:rPr>
                <w:rFonts w:ascii="Arial" w:cs="Arial" w:eastAsia="Arial" w:hAnsi="Arial"/>
                <w:sz w:val="16"/>
                <w:szCs w:val="16"/>
                <w:b w:val="1"/>
                <w:bCs w:val="1"/>
                <w:color w:val="0000EE"/>
              </w:rPr>
              <w:t xml:space="preserve"> </w:t>
            </w:r>
            <w:r>
              <w:rPr>
                <w:rFonts w:ascii="Arial" w:cs="Arial" w:eastAsia="Arial" w:hAnsi="Arial"/>
                <w:sz w:val="16"/>
                <w:szCs w:val="16"/>
                <w:color w:val="0000EE"/>
              </w:rPr>
              <w:t>Election  of  Directors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gridSpan w:val="2"/>
          </w:tcPr>
          <w:p>
            <w:pPr>
              <w:spacing w:after="0"/>
              <w:rPr>
                <w:sz w:val="14"/>
                <w:szCs w:val="14"/>
                <w:color w:val="auto"/>
              </w:rPr>
            </w:pPr>
          </w:p>
        </w:tc>
        <w:tc>
          <w:tcPr>
            <w:tcW w:w="160" w:type="dxa"/>
            <w:vAlign w:val="bottom"/>
            <w:gridSpan w:val="2"/>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520" w:type="dxa"/>
            <w:vAlign w:val="bottom"/>
          </w:tcPr>
          <w:p>
            <w:pPr>
              <w:jc w:val="right"/>
              <w:spacing w:after="0" w:line="169" w:lineRule="exact"/>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69"/>
        </w:trPr>
        <w:tc>
          <w:tcPr>
            <w:tcW w:w="180" w:type="dxa"/>
            <w:vAlign w:val="bottom"/>
          </w:tcPr>
          <w:p>
            <w:pPr>
              <w:spacing w:after="0"/>
              <w:rPr>
                <w:sz w:val="14"/>
                <w:szCs w:val="14"/>
                <w:color w:val="auto"/>
              </w:rPr>
            </w:pPr>
          </w:p>
        </w:tc>
        <w:tc>
          <w:tcPr>
            <w:tcW w:w="2300" w:type="dxa"/>
            <w:vAlign w:val="bottom"/>
            <w:tcBorders>
              <w:top w:val="single" w:sz="8" w:color="0000EE"/>
            </w:tcBorders>
            <w:gridSpan w:val="14"/>
          </w:tcPr>
          <w:p>
            <w:pPr>
              <w:spacing w:after="0" w:line="169" w:lineRule="exact"/>
              <w:rPr>
                <w:sz w:val="20"/>
                <w:szCs w:val="20"/>
                <w:color w:val="auto"/>
              </w:rPr>
            </w:pPr>
            <w:r>
              <w:rPr>
                <w:rFonts w:ascii="Arial" w:cs="Arial" w:eastAsia="Arial" w:hAnsi="Arial"/>
                <w:sz w:val="16"/>
                <w:szCs w:val="16"/>
                <w:color w:val="0000EE"/>
              </w:rPr>
              <w:t>Director  Nominee  Details</w:t>
            </w:r>
          </w:p>
        </w:tc>
        <w:tc>
          <w:tcPr>
            <w:tcW w:w="120" w:type="dxa"/>
            <w:vAlign w:val="bottom"/>
          </w:tcPr>
          <w:p>
            <w:pPr>
              <w:spacing w:after="0"/>
              <w:rPr>
                <w:sz w:val="14"/>
                <w:szCs w:val="14"/>
                <w:color w:val="auto"/>
              </w:rPr>
            </w:pPr>
          </w:p>
        </w:tc>
        <w:tc>
          <w:tcPr>
            <w:tcW w:w="16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gridSpan w:val="2"/>
          </w:tcPr>
          <w:p>
            <w:pPr>
              <w:spacing w:after="0"/>
              <w:rPr>
                <w:sz w:val="14"/>
                <w:szCs w:val="14"/>
                <w:color w:val="auto"/>
              </w:rPr>
            </w:pPr>
          </w:p>
        </w:tc>
        <w:tc>
          <w:tcPr>
            <w:tcW w:w="160" w:type="dxa"/>
            <w:vAlign w:val="bottom"/>
            <w:gridSpan w:val="2"/>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520" w:type="dxa"/>
            <w:vAlign w:val="bottom"/>
          </w:tcPr>
          <w:p>
            <w:pPr>
              <w:jc w:val="right"/>
              <w:spacing w:after="0" w:line="169" w:lineRule="exact"/>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20" w:type="dxa"/>
            <w:vAlign w:val="bottom"/>
            <w:vMerge w:val="restart"/>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line="20" w:lineRule="exact"/>
              <w:rPr>
                <w:sz w:val="1"/>
                <w:szCs w:val="1"/>
                <w:color w:val="auto"/>
              </w:rPr>
            </w:pPr>
          </w:p>
        </w:tc>
      </w:tr>
      <w:tr>
        <w:trPr>
          <w:trHeight w:val="169"/>
        </w:trPr>
        <w:tc>
          <w:tcPr>
            <w:tcW w:w="180" w:type="dxa"/>
            <w:vAlign w:val="bottom"/>
          </w:tcPr>
          <w:p>
            <w:pPr>
              <w:spacing w:after="0"/>
              <w:rPr>
                <w:sz w:val="14"/>
                <w:szCs w:val="14"/>
                <w:color w:val="auto"/>
              </w:rPr>
            </w:pPr>
          </w:p>
        </w:tc>
        <w:tc>
          <w:tcPr>
            <w:tcW w:w="8020" w:type="dxa"/>
            <w:vAlign w:val="bottom"/>
            <w:gridSpan w:val="31"/>
          </w:tcPr>
          <w:p>
            <w:pPr>
              <w:spacing w:after="0" w:line="169" w:lineRule="exact"/>
              <w:rPr>
                <w:sz w:val="20"/>
                <w:szCs w:val="20"/>
                <w:color w:val="auto"/>
              </w:rPr>
            </w:pPr>
            <w:r>
              <w:rPr>
                <w:rFonts w:ascii="Arial" w:cs="Arial" w:eastAsia="Arial" w:hAnsi="Arial"/>
                <w:sz w:val="16"/>
                <w:szCs w:val="16"/>
                <w:color w:val="0000EE"/>
              </w:rPr>
              <w:t>Active  Stakeholder  Engagement  in  Fiscal  2025</w:t>
            </w:r>
          </w:p>
        </w:tc>
        <w:tc>
          <w:tcPr>
            <w:tcW w:w="1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20" w:type="dxa"/>
            <w:vAlign w:val="bottom"/>
            <w:vMerge w:val="restart"/>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line="20" w:lineRule="exact"/>
              <w:rPr>
                <w:sz w:val="1"/>
                <w:szCs w:val="1"/>
                <w:color w:val="auto"/>
              </w:rPr>
            </w:pPr>
          </w:p>
        </w:tc>
      </w:tr>
      <w:tr>
        <w:trPr>
          <w:trHeight w:val="169"/>
        </w:trPr>
        <w:tc>
          <w:tcPr>
            <w:tcW w:w="180" w:type="dxa"/>
            <w:vAlign w:val="bottom"/>
          </w:tcPr>
          <w:p>
            <w:pPr>
              <w:spacing w:after="0"/>
              <w:rPr>
                <w:sz w:val="14"/>
                <w:szCs w:val="14"/>
                <w:color w:val="auto"/>
              </w:rPr>
            </w:pPr>
          </w:p>
        </w:tc>
        <w:tc>
          <w:tcPr>
            <w:tcW w:w="8020" w:type="dxa"/>
            <w:vAlign w:val="bottom"/>
            <w:gridSpan w:val="31"/>
          </w:tcPr>
          <w:p>
            <w:pPr>
              <w:spacing w:after="0" w:line="169" w:lineRule="exact"/>
              <w:rPr>
                <w:sz w:val="20"/>
                <w:szCs w:val="20"/>
                <w:color w:val="auto"/>
              </w:rPr>
            </w:pPr>
            <w:r>
              <w:rPr>
                <w:rFonts w:ascii="Arial" w:cs="Arial" w:eastAsia="Arial" w:hAnsi="Arial"/>
                <w:sz w:val="16"/>
                <w:szCs w:val="16"/>
                <w:b w:val="1"/>
                <w:bCs w:val="1"/>
                <w:color w:val="0000EE"/>
              </w:rPr>
              <w:t xml:space="preserve">Item 2 </w:t>
            </w:r>
            <w:r>
              <w:rPr>
                <w:rFonts w:ascii="Arial" w:cs="Arial" w:eastAsia="Arial" w:hAnsi="Arial"/>
                <w:sz w:val="16"/>
                <w:szCs w:val="16"/>
                <w:b w:val="1"/>
                <w:bCs w:val="1"/>
                <w:color w:val="1414D2"/>
              </w:rPr>
              <w:t>|</w:t>
            </w:r>
            <w:r>
              <w:rPr>
                <w:rFonts w:ascii="Arial" w:cs="Arial" w:eastAsia="Arial" w:hAnsi="Arial"/>
                <w:sz w:val="16"/>
                <w:szCs w:val="16"/>
                <w:b w:val="1"/>
                <w:bCs w:val="1"/>
                <w:color w:val="0000EE"/>
              </w:rPr>
              <w:t xml:space="preserve"> </w:t>
            </w:r>
            <w:r>
              <w:rPr>
                <w:rFonts w:ascii="Arial" w:cs="Arial" w:eastAsia="Arial" w:hAnsi="Arial"/>
                <w:sz w:val="16"/>
                <w:szCs w:val="16"/>
                <w:color w:val="0000EE"/>
              </w:rPr>
              <w:t>Ratifcation  of  Appointment  of  Independent  Registered  Public  Accounting  Firm</w:t>
            </w:r>
          </w:p>
        </w:tc>
        <w:tc>
          <w:tcPr>
            <w:tcW w:w="1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80" w:type="dxa"/>
            <w:vAlign w:val="bottom"/>
          </w:tcPr>
          <w:p>
            <w:pPr>
              <w:spacing w:after="0"/>
              <w:rPr>
                <w:sz w:val="14"/>
                <w:szCs w:val="14"/>
                <w:color w:val="auto"/>
              </w:rPr>
            </w:pPr>
          </w:p>
        </w:tc>
        <w:tc>
          <w:tcPr>
            <w:tcW w:w="6660" w:type="dxa"/>
            <w:vAlign w:val="bottom"/>
            <w:tcBorders>
              <w:top w:val="single" w:sz="8" w:color="0000EE"/>
            </w:tcBorders>
            <w:gridSpan w:val="30"/>
          </w:tcPr>
          <w:p>
            <w:pPr>
              <w:spacing w:after="0" w:line="169" w:lineRule="exact"/>
              <w:rPr>
                <w:sz w:val="20"/>
                <w:szCs w:val="20"/>
                <w:color w:val="auto"/>
              </w:rPr>
            </w:pPr>
            <w:r>
              <w:rPr>
                <w:rFonts w:ascii="Arial" w:cs="Arial" w:eastAsia="Arial" w:hAnsi="Arial"/>
                <w:sz w:val="16"/>
                <w:szCs w:val="16"/>
                <w:b w:val="1"/>
                <w:bCs w:val="1"/>
                <w:color w:val="0000EE"/>
              </w:rPr>
              <w:t xml:space="preserve">Item 3 </w:t>
            </w:r>
            <w:r>
              <w:rPr>
                <w:rFonts w:ascii="Arial" w:cs="Arial" w:eastAsia="Arial" w:hAnsi="Arial"/>
                <w:sz w:val="16"/>
                <w:szCs w:val="16"/>
                <w:b w:val="1"/>
                <w:bCs w:val="1"/>
                <w:color w:val="1414D2"/>
              </w:rPr>
              <w:t>|</w:t>
            </w:r>
            <w:r>
              <w:rPr>
                <w:rFonts w:ascii="Arial" w:cs="Arial" w:eastAsia="Arial" w:hAnsi="Arial"/>
                <w:sz w:val="16"/>
                <w:szCs w:val="16"/>
                <w:b w:val="1"/>
                <w:bCs w:val="1"/>
                <w:color w:val="0000EE"/>
              </w:rPr>
              <w:t xml:space="preserve"> </w:t>
            </w:r>
            <w:r>
              <w:rPr>
                <w:rFonts w:ascii="Arial" w:cs="Arial" w:eastAsia="Arial" w:hAnsi="Arial"/>
                <w:sz w:val="16"/>
                <w:szCs w:val="16"/>
                <w:color w:val="0000EE"/>
              </w:rPr>
              <w:t>Advisory  Vote  to  Approve  Executive  Compensation</w:t>
            </w:r>
          </w:p>
        </w:tc>
        <w:tc>
          <w:tcPr>
            <w:tcW w:w="1360" w:type="dxa"/>
            <w:vAlign w:val="bottom"/>
          </w:tcPr>
          <w:p>
            <w:pPr>
              <w:spacing w:after="0"/>
              <w:rPr>
                <w:sz w:val="14"/>
                <w:szCs w:val="14"/>
                <w:color w:val="auto"/>
              </w:rPr>
            </w:pPr>
          </w:p>
        </w:tc>
        <w:tc>
          <w:tcPr>
            <w:tcW w:w="1520" w:type="dxa"/>
            <w:vAlign w:val="bottom"/>
          </w:tcPr>
          <w:p>
            <w:pPr>
              <w:jc w:val="right"/>
              <w:spacing w:after="0" w:line="169" w:lineRule="exact"/>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69"/>
        </w:trPr>
        <w:tc>
          <w:tcPr>
            <w:tcW w:w="180" w:type="dxa"/>
            <w:vAlign w:val="bottom"/>
          </w:tcPr>
          <w:p>
            <w:pPr>
              <w:spacing w:after="0"/>
              <w:rPr>
                <w:sz w:val="14"/>
                <w:szCs w:val="14"/>
                <w:color w:val="auto"/>
              </w:rPr>
            </w:pPr>
          </w:p>
        </w:tc>
        <w:tc>
          <w:tcPr>
            <w:tcW w:w="3640" w:type="dxa"/>
            <w:vAlign w:val="bottom"/>
            <w:tcBorders>
              <w:top w:val="single" w:sz="8" w:color="0000EE"/>
              <w:bottom w:val="single" w:sz="8" w:color="0000EE"/>
            </w:tcBorders>
            <w:gridSpan w:val="24"/>
          </w:tcPr>
          <w:p>
            <w:pPr>
              <w:spacing w:after="0" w:line="169" w:lineRule="exact"/>
              <w:rPr>
                <w:sz w:val="20"/>
                <w:szCs w:val="20"/>
                <w:color w:val="auto"/>
              </w:rPr>
            </w:pPr>
            <w:r>
              <w:rPr>
                <w:rFonts w:ascii="Arial" w:cs="Arial" w:eastAsia="Arial" w:hAnsi="Arial"/>
                <w:sz w:val="16"/>
                <w:szCs w:val="16"/>
                <w:b w:val="1"/>
                <w:bCs w:val="1"/>
                <w:color w:val="0000EE"/>
              </w:rPr>
              <w:t xml:space="preserve">Item 4 </w:t>
            </w:r>
            <w:r>
              <w:rPr>
                <w:rFonts w:ascii="Arial" w:cs="Arial" w:eastAsia="Arial" w:hAnsi="Arial"/>
                <w:sz w:val="16"/>
                <w:szCs w:val="16"/>
                <w:b w:val="1"/>
                <w:bCs w:val="1"/>
                <w:color w:val="1414D2"/>
              </w:rPr>
              <w:t>|</w:t>
            </w:r>
            <w:r>
              <w:rPr>
                <w:rFonts w:ascii="Arial" w:cs="Arial" w:eastAsia="Arial" w:hAnsi="Arial"/>
                <w:sz w:val="16"/>
                <w:szCs w:val="16"/>
                <w:b w:val="1"/>
                <w:bCs w:val="1"/>
                <w:color w:val="0000EE"/>
              </w:rPr>
              <w:t xml:space="preserve"> </w:t>
            </w:r>
            <w:r>
              <w:rPr>
                <w:rFonts w:ascii="Arial" w:cs="Arial" w:eastAsia="Arial" w:hAnsi="Arial"/>
                <w:sz w:val="16"/>
                <w:szCs w:val="16"/>
                <w:color w:val="0000EE"/>
              </w:rPr>
              <w:t>Advisory  Vote  on  Stockholder  Proposal</w:t>
            </w:r>
          </w:p>
        </w:tc>
        <w:tc>
          <w:tcPr>
            <w:tcW w:w="880" w:type="dxa"/>
            <w:vAlign w:val="bottom"/>
            <w:tcBorders>
              <w:top w:val="single" w:sz="8" w:color="0000EE"/>
            </w:tcBorders>
            <w:gridSpan w:val="3"/>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460" w:type="dxa"/>
            <w:vAlign w:val="bottom"/>
            <w:gridSpan w:val="2"/>
          </w:tcPr>
          <w:p>
            <w:pPr>
              <w:spacing w:after="0"/>
              <w:rPr>
                <w:sz w:val="14"/>
                <w:szCs w:val="14"/>
                <w:color w:val="auto"/>
              </w:rPr>
            </w:pPr>
          </w:p>
        </w:tc>
        <w:tc>
          <w:tcPr>
            <w:tcW w:w="1520" w:type="dxa"/>
            <w:vAlign w:val="bottom"/>
          </w:tcPr>
          <w:p>
            <w:pPr>
              <w:jc w:val="right"/>
              <w:spacing w:after="0" w:line="169" w:lineRule="exact"/>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0"/>
        </w:trPr>
        <w:tc>
          <w:tcPr>
            <w:tcW w:w="8200" w:type="dxa"/>
            <w:vAlign w:val="bottom"/>
            <w:gridSpan w:val="32"/>
          </w:tcPr>
          <w:p>
            <w:pPr>
              <w:spacing w:after="0"/>
              <w:rPr>
                <w:sz w:val="20"/>
                <w:szCs w:val="20"/>
                <w:color w:val="auto"/>
              </w:rPr>
            </w:pPr>
            <w:r>
              <w:rPr>
                <w:rFonts w:ascii="Arial" w:cs="Arial" w:eastAsia="Arial" w:hAnsi="Arial"/>
                <w:sz w:val="16"/>
                <w:szCs w:val="16"/>
                <w:b w:val="1"/>
                <w:bCs w:val="1"/>
                <w:color w:val="1414D2"/>
              </w:rPr>
              <w:t>Item 1</w:t>
            </w:r>
          </w:p>
        </w:tc>
        <w:tc>
          <w:tcPr>
            <w:tcW w:w="1520" w:type="dxa"/>
            <w:vAlign w:val="bottom"/>
            <w:vMerge w:val="restart"/>
          </w:tcPr>
          <w:p>
            <w:pPr>
              <w:jc w:val="right"/>
              <w:spacing w:after="0"/>
              <w:rPr>
                <w:sz w:val="20"/>
                <w:szCs w:val="20"/>
                <w:color w:val="auto"/>
              </w:rPr>
            </w:pPr>
            <w:r>
              <w:rPr>
                <w:rFonts w:ascii="Arial" w:cs="Arial" w:eastAsia="Arial" w:hAnsi="Arial"/>
                <w:sz w:val="16"/>
                <w:szCs w:val="16"/>
                <w:b w:val="1"/>
                <w:bCs w:val="1"/>
                <w:color w:val="1414D2"/>
              </w:rPr>
              <w:t>16</w:t>
            </w:r>
          </w:p>
        </w:tc>
        <w:tc>
          <w:tcPr>
            <w:tcW w:w="0" w:type="dxa"/>
            <w:vAlign w:val="bottom"/>
          </w:tcPr>
          <w:p>
            <w:pPr>
              <w:spacing w:after="0"/>
              <w:rPr>
                <w:sz w:val="1"/>
                <w:szCs w:val="1"/>
                <w:color w:val="auto"/>
              </w:rPr>
            </w:pPr>
          </w:p>
        </w:tc>
      </w:tr>
      <w:tr>
        <w:trPr>
          <w:trHeight w:val="169"/>
        </w:trPr>
        <w:tc>
          <w:tcPr>
            <w:tcW w:w="180" w:type="dxa"/>
            <w:vAlign w:val="bottom"/>
            <w:tcBorders>
              <w:top w:val="single" w:sz="8" w:color="1414D2"/>
            </w:tcBorders>
          </w:tcPr>
          <w:p>
            <w:pPr>
              <w:spacing w:after="0"/>
              <w:rPr>
                <w:sz w:val="14"/>
                <w:szCs w:val="14"/>
                <w:color w:val="auto"/>
              </w:rPr>
            </w:pPr>
          </w:p>
        </w:tc>
        <w:tc>
          <w:tcPr>
            <w:tcW w:w="180" w:type="dxa"/>
            <w:vAlign w:val="bottom"/>
            <w:tcBorders>
              <w:top w:val="single" w:sz="8" w:color="1414D2"/>
            </w:tcBorders>
          </w:tcPr>
          <w:p>
            <w:pPr>
              <w:spacing w:after="0"/>
              <w:rPr>
                <w:sz w:val="14"/>
                <w:szCs w:val="14"/>
                <w:color w:val="auto"/>
              </w:rPr>
            </w:pPr>
          </w:p>
        </w:tc>
        <w:tc>
          <w:tcPr>
            <w:tcW w:w="160" w:type="dxa"/>
            <w:vAlign w:val="bottom"/>
            <w:tcBorders>
              <w:top w:val="single" w:sz="8" w:color="1414D2"/>
            </w:tcBorders>
          </w:tcPr>
          <w:p>
            <w:pPr>
              <w:spacing w:after="0"/>
              <w:rPr>
                <w:sz w:val="14"/>
                <w:szCs w:val="14"/>
                <w:color w:val="auto"/>
              </w:rPr>
            </w:pPr>
          </w:p>
        </w:tc>
        <w:tc>
          <w:tcPr>
            <w:tcW w:w="7680" w:type="dxa"/>
            <w:vAlign w:val="bottom"/>
            <w:gridSpan w:val="29"/>
          </w:tcPr>
          <w:p>
            <w:pPr>
              <w:spacing w:after="0" w:line="149" w:lineRule="exact"/>
              <w:rPr>
                <w:sz w:val="20"/>
                <w:szCs w:val="20"/>
                <w:color w:val="auto"/>
              </w:rPr>
            </w:pPr>
            <w:r>
              <w:rPr>
                <w:rFonts w:ascii="Arial" w:cs="Arial" w:eastAsia="Arial" w:hAnsi="Arial"/>
                <w:sz w:val="16"/>
                <w:szCs w:val="16"/>
                <w:b w:val="1"/>
                <w:bCs w:val="1"/>
                <w:color w:val="0000EE"/>
              </w:rPr>
              <w:t>Election of Directors</w:t>
            </w:r>
          </w:p>
        </w:tc>
        <w:tc>
          <w:tcPr>
            <w:tcW w:w="1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520" w:type="dxa"/>
            <w:vAlign w:val="bottom"/>
            <w:vMerge w:val="restart"/>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8020" w:type="dxa"/>
            <w:vAlign w:val="bottom"/>
            <w:gridSpan w:val="31"/>
          </w:tcPr>
          <w:p>
            <w:pPr>
              <w:spacing w:after="0" w:line="183" w:lineRule="exact"/>
              <w:rPr>
                <w:sz w:val="20"/>
                <w:szCs w:val="20"/>
                <w:color w:val="auto"/>
              </w:rPr>
            </w:pPr>
            <w:r>
              <w:rPr>
                <w:rFonts w:ascii="Arial" w:cs="Arial" w:eastAsia="Arial" w:hAnsi="Arial"/>
                <w:sz w:val="16"/>
                <w:szCs w:val="16"/>
                <w:color w:val="0000EE"/>
              </w:rPr>
              <w:t>Director  Qualifcations</w:t>
            </w:r>
          </w:p>
        </w:tc>
        <w:tc>
          <w:tcPr>
            <w:tcW w:w="15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80" w:type="dxa"/>
            <w:vAlign w:val="bottom"/>
          </w:tcPr>
          <w:p>
            <w:pPr>
              <w:spacing w:after="0"/>
              <w:rPr>
                <w:sz w:val="14"/>
                <w:szCs w:val="14"/>
                <w:color w:val="auto"/>
              </w:rPr>
            </w:pPr>
          </w:p>
        </w:tc>
        <w:tc>
          <w:tcPr>
            <w:tcW w:w="1700" w:type="dxa"/>
            <w:vAlign w:val="bottom"/>
            <w:tcBorders>
              <w:top w:val="single" w:sz="8" w:color="0000EE"/>
            </w:tcBorders>
            <w:gridSpan w:val="6"/>
          </w:tcPr>
          <w:p>
            <w:pPr>
              <w:spacing w:after="0" w:line="169" w:lineRule="exact"/>
              <w:rPr>
                <w:sz w:val="20"/>
                <w:szCs w:val="20"/>
                <w:color w:val="auto"/>
              </w:rPr>
            </w:pPr>
            <w:r>
              <w:rPr>
                <w:rFonts w:ascii="Arial" w:cs="Arial" w:eastAsia="Arial" w:hAnsi="Arial"/>
                <w:sz w:val="16"/>
                <w:szCs w:val="16"/>
                <w:color w:val="0000EE"/>
              </w:rPr>
              <w:t>Director  Refreshment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gridSpan w:val="3"/>
          </w:tcPr>
          <w:p>
            <w:pPr>
              <w:spacing w:after="0"/>
              <w:rPr>
                <w:sz w:val="14"/>
                <w:szCs w:val="14"/>
                <w:color w:val="auto"/>
              </w:rPr>
            </w:pPr>
          </w:p>
        </w:tc>
        <w:tc>
          <w:tcPr>
            <w:tcW w:w="16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gridSpan w:val="2"/>
          </w:tcPr>
          <w:p>
            <w:pPr>
              <w:spacing w:after="0"/>
              <w:rPr>
                <w:sz w:val="14"/>
                <w:szCs w:val="14"/>
                <w:color w:val="auto"/>
              </w:rPr>
            </w:pPr>
          </w:p>
        </w:tc>
        <w:tc>
          <w:tcPr>
            <w:tcW w:w="1860" w:type="dxa"/>
            <w:vAlign w:val="bottom"/>
          </w:tcPr>
          <w:p>
            <w:pPr>
              <w:spacing w:after="0"/>
              <w:rPr>
                <w:sz w:val="14"/>
                <w:szCs w:val="14"/>
                <w:color w:val="auto"/>
              </w:rPr>
            </w:pPr>
          </w:p>
        </w:tc>
        <w:tc>
          <w:tcPr>
            <w:tcW w:w="1460" w:type="dxa"/>
            <w:vAlign w:val="bottom"/>
            <w:gridSpan w:val="2"/>
          </w:tcPr>
          <w:p>
            <w:pPr>
              <w:spacing w:after="0"/>
              <w:rPr>
                <w:sz w:val="14"/>
                <w:szCs w:val="14"/>
                <w:color w:val="auto"/>
              </w:rPr>
            </w:pPr>
          </w:p>
        </w:tc>
        <w:tc>
          <w:tcPr>
            <w:tcW w:w="1520" w:type="dxa"/>
            <w:vAlign w:val="bottom"/>
          </w:tcPr>
          <w:p>
            <w:pPr>
              <w:jc w:val="right"/>
              <w:spacing w:after="0" w:line="169" w:lineRule="exact"/>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169"/>
        </w:trPr>
        <w:tc>
          <w:tcPr>
            <w:tcW w:w="180" w:type="dxa"/>
            <w:vAlign w:val="bottom"/>
          </w:tcPr>
          <w:p>
            <w:pPr>
              <w:spacing w:after="0"/>
              <w:rPr>
                <w:sz w:val="14"/>
                <w:szCs w:val="14"/>
                <w:color w:val="auto"/>
              </w:rPr>
            </w:pPr>
          </w:p>
        </w:tc>
        <w:tc>
          <w:tcPr>
            <w:tcW w:w="1680" w:type="dxa"/>
            <w:vAlign w:val="bottom"/>
            <w:tcBorders>
              <w:top w:val="single" w:sz="8" w:color="0000EE"/>
              <w:bottom w:val="single" w:sz="8" w:color="0000EE"/>
            </w:tcBorders>
            <w:gridSpan w:val="5"/>
          </w:tcPr>
          <w:p>
            <w:pPr>
              <w:spacing w:after="0" w:line="169" w:lineRule="exact"/>
              <w:rPr>
                <w:sz w:val="20"/>
                <w:szCs w:val="20"/>
                <w:color w:val="auto"/>
              </w:rPr>
            </w:pPr>
            <w:r>
              <w:rPr>
                <w:rFonts w:ascii="Arial" w:cs="Arial" w:eastAsia="Arial" w:hAnsi="Arial"/>
                <w:sz w:val="16"/>
                <w:szCs w:val="16"/>
                <w:color w:val="0000EE"/>
              </w:rPr>
              <w:t>Director  Biographical</w:t>
            </w:r>
          </w:p>
        </w:tc>
        <w:tc>
          <w:tcPr>
            <w:tcW w:w="900" w:type="dxa"/>
            <w:vAlign w:val="bottom"/>
            <w:tcBorders>
              <w:bottom w:val="single" w:sz="8" w:color="0000EE"/>
            </w:tcBorders>
            <w:gridSpan w:val="12"/>
          </w:tcPr>
          <w:p>
            <w:pPr>
              <w:jc w:val="center"/>
              <w:spacing w:after="0" w:line="169" w:lineRule="exact"/>
              <w:rPr>
                <w:sz w:val="20"/>
                <w:szCs w:val="20"/>
                <w:color w:val="auto"/>
              </w:rPr>
            </w:pPr>
            <w:r>
              <w:rPr>
                <w:rFonts w:ascii="Arial" w:cs="Arial" w:eastAsia="Arial" w:hAnsi="Arial"/>
                <w:sz w:val="16"/>
                <w:szCs w:val="16"/>
                <w:color w:val="0000EE"/>
              </w:rPr>
              <w:t>Information</w:t>
            </w:r>
          </w:p>
        </w:tc>
        <w:tc>
          <w:tcPr>
            <w:tcW w:w="5440" w:type="dxa"/>
            <w:vAlign w:val="bottom"/>
            <w:gridSpan w:val="14"/>
          </w:tcPr>
          <w:p>
            <w:pPr>
              <w:spacing w:after="0"/>
              <w:rPr>
                <w:sz w:val="14"/>
                <w:szCs w:val="14"/>
                <w:color w:val="auto"/>
              </w:rPr>
            </w:pPr>
          </w:p>
        </w:tc>
        <w:tc>
          <w:tcPr>
            <w:tcW w:w="1520" w:type="dxa"/>
            <w:vAlign w:val="bottom"/>
          </w:tcPr>
          <w:p>
            <w:pPr>
              <w:jc w:val="right"/>
              <w:spacing w:after="0" w:line="169" w:lineRule="exact"/>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169"/>
        </w:trPr>
        <w:tc>
          <w:tcPr>
            <w:tcW w:w="2760" w:type="dxa"/>
            <w:vAlign w:val="bottom"/>
            <w:gridSpan w:val="18"/>
          </w:tcPr>
          <w:p>
            <w:pPr>
              <w:spacing w:after="0" w:line="169" w:lineRule="exact"/>
              <w:rPr>
                <w:sz w:val="20"/>
                <w:szCs w:val="20"/>
                <w:color w:val="auto"/>
              </w:rPr>
            </w:pPr>
            <w:r>
              <w:rPr>
                <w:rFonts w:ascii="Arial" w:cs="Arial" w:eastAsia="Arial" w:hAnsi="Arial"/>
                <w:sz w:val="16"/>
                <w:szCs w:val="16"/>
                <w:b w:val="1"/>
                <w:bCs w:val="1"/>
                <w:color w:val="1414D2"/>
              </w:rPr>
              <w:t>Board and Corporate Governance</w:t>
            </w:r>
          </w:p>
        </w:tc>
        <w:tc>
          <w:tcPr>
            <w:tcW w:w="5440" w:type="dxa"/>
            <w:vAlign w:val="bottom"/>
            <w:gridSpan w:val="14"/>
          </w:tcPr>
          <w:p>
            <w:pPr>
              <w:spacing w:after="0" w:line="169" w:lineRule="exact"/>
              <w:rPr>
                <w:sz w:val="20"/>
                <w:szCs w:val="20"/>
                <w:color w:val="auto"/>
              </w:rPr>
            </w:pPr>
            <w:r>
              <w:rPr>
                <w:rFonts w:ascii="Arial" w:cs="Arial" w:eastAsia="Arial" w:hAnsi="Arial"/>
                <w:sz w:val="16"/>
                <w:szCs w:val="16"/>
                <w:b w:val="1"/>
                <w:bCs w:val="1"/>
                <w:color w:val="1414D2"/>
              </w:rPr>
              <w:t>Matters</w:t>
            </w:r>
          </w:p>
        </w:tc>
        <w:tc>
          <w:tcPr>
            <w:tcW w:w="1520" w:type="dxa"/>
            <w:vAlign w:val="bottom"/>
          </w:tcPr>
          <w:p>
            <w:pPr>
              <w:jc w:val="right"/>
              <w:spacing w:after="0" w:line="169" w:lineRule="exact"/>
              <w:rPr>
                <w:sz w:val="20"/>
                <w:szCs w:val="20"/>
                <w:color w:val="auto"/>
              </w:rPr>
            </w:pPr>
            <w:r>
              <w:rPr>
                <w:rFonts w:ascii="Arial" w:cs="Arial" w:eastAsia="Arial" w:hAnsi="Arial"/>
                <w:sz w:val="16"/>
                <w:szCs w:val="16"/>
                <w:b w:val="1"/>
                <w:bCs w:val="1"/>
                <w:color w:val="1414D2"/>
              </w:rPr>
              <w:t>34</w:t>
            </w:r>
          </w:p>
        </w:tc>
        <w:tc>
          <w:tcPr>
            <w:tcW w:w="0" w:type="dxa"/>
            <w:vAlign w:val="bottom"/>
          </w:tcPr>
          <w:p>
            <w:pPr>
              <w:spacing w:after="0"/>
              <w:rPr>
                <w:sz w:val="1"/>
                <w:szCs w:val="1"/>
                <w:color w:val="auto"/>
              </w:rPr>
            </w:pPr>
          </w:p>
        </w:tc>
      </w:tr>
      <w:tr>
        <w:trPr>
          <w:trHeight w:val="169"/>
        </w:trPr>
        <w:tc>
          <w:tcPr>
            <w:tcW w:w="180" w:type="dxa"/>
            <w:vAlign w:val="bottom"/>
            <w:tcBorders>
              <w:top w:val="single" w:sz="8" w:color="1414D2"/>
            </w:tcBorders>
          </w:tcPr>
          <w:p>
            <w:pPr>
              <w:spacing w:after="0"/>
              <w:rPr>
                <w:sz w:val="14"/>
                <w:szCs w:val="14"/>
                <w:color w:val="auto"/>
              </w:rPr>
            </w:pPr>
          </w:p>
        </w:tc>
        <w:tc>
          <w:tcPr>
            <w:tcW w:w="3200" w:type="dxa"/>
            <w:vAlign w:val="bottom"/>
            <w:tcBorders>
              <w:top w:val="single" w:sz="8" w:color="1414D2"/>
            </w:tcBorders>
            <w:gridSpan w:val="20"/>
          </w:tcPr>
          <w:p>
            <w:pPr>
              <w:spacing w:after="0" w:line="169" w:lineRule="exact"/>
              <w:rPr>
                <w:sz w:val="20"/>
                <w:szCs w:val="20"/>
                <w:color w:val="auto"/>
              </w:rPr>
            </w:pPr>
            <w:r>
              <w:rPr>
                <w:rFonts w:ascii="Arial" w:cs="Arial" w:eastAsia="Arial" w:hAnsi="Arial"/>
                <w:sz w:val="16"/>
                <w:szCs w:val="16"/>
                <w:color w:val="0000EE"/>
              </w:rPr>
              <w:t>Board  Selection  and  Election</w:t>
            </w:r>
          </w:p>
        </w:tc>
        <w:tc>
          <w:tcPr>
            <w:tcW w:w="82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gridSpan w:val="2"/>
          </w:tcPr>
          <w:p>
            <w:pPr>
              <w:spacing w:after="0"/>
              <w:rPr>
                <w:sz w:val="14"/>
                <w:szCs w:val="14"/>
                <w:color w:val="auto"/>
              </w:rPr>
            </w:pPr>
          </w:p>
        </w:tc>
        <w:tc>
          <w:tcPr>
            <w:tcW w:w="1860" w:type="dxa"/>
            <w:vAlign w:val="bottom"/>
          </w:tcPr>
          <w:p>
            <w:pPr>
              <w:spacing w:after="0"/>
              <w:rPr>
                <w:sz w:val="14"/>
                <w:szCs w:val="14"/>
                <w:color w:val="auto"/>
              </w:rPr>
            </w:pPr>
          </w:p>
        </w:tc>
        <w:tc>
          <w:tcPr>
            <w:tcW w:w="1460" w:type="dxa"/>
            <w:vAlign w:val="bottom"/>
            <w:gridSpan w:val="2"/>
          </w:tcPr>
          <w:p>
            <w:pPr>
              <w:spacing w:after="0"/>
              <w:rPr>
                <w:sz w:val="14"/>
                <w:szCs w:val="14"/>
                <w:color w:val="auto"/>
              </w:rPr>
            </w:pPr>
          </w:p>
        </w:tc>
        <w:tc>
          <w:tcPr>
            <w:tcW w:w="1520" w:type="dxa"/>
            <w:vAlign w:val="bottom"/>
          </w:tcPr>
          <w:p>
            <w:pPr>
              <w:jc w:val="right"/>
              <w:spacing w:after="0" w:line="169" w:lineRule="exact"/>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169"/>
        </w:trPr>
        <w:tc>
          <w:tcPr>
            <w:tcW w:w="180" w:type="dxa"/>
            <w:vAlign w:val="bottom"/>
          </w:tcPr>
          <w:p>
            <w:pPr>
              <w:spacing w:after="0"/>
              <w:rPr>
                <w:sz w:val="14"/>
                <w:szCs w:val="14"/>
                <w:color w:val="auto"/>
              </w:rPr>
            </w:pPr>
          </w:p>
        </w:tc>
        <w:tc>
          <w:tcPr>
            <w:tcW w:w="2160" w:type="dxa"/>
            <w:vAlign w:val="bottom"/>
            <w:tcBorders>
              <w:top w:val="single" w:sz="8" w:color="0000EE"/>
            </w:tcBorders>
            <w:gridSpan w:val="12"/>
          </w:tcPr>
          <w:p>
            <w:pPr>
              <w:spacing w:after="0" w:line="169" w:lineRule="exact"/>
              <w:rPr>
                <w:sz w:val="20"/>
                <w:szCs w:val="20"/>
                <w:color w:val="auto"/>
              </w:rPr>
            </w:pPr>
            <w:r>
              <w:rPr>
                <w:rFonts w:ascii="Arial" w:cs="Arial" w:eastAsia="Arial" w:hAnsi="Arial"/>
                <w:sz w:val="16"/>
                <w:szCs w:val="16"/>
                <w:color w:val="0000EE"/>
              </w:rPr>
              <w:t>Board  Governance</w:t>
            </w:r>
          </w:p>
        </w:tc>
        <w:tc>
          <w:tcPr>
            <w:tcW w:w="260" w:type="dxa"/>
            <w:vAlign w:val="bottom"/>
            <w:gridSpan w:val="3"/>
          </w:tcPr>
          <w:p>
            <w:pPr>
              <w:spacing w:after="0"/>
              <w:rPr>
                <w:sz w:val="14"/>
                <w:szCs w:val="14"/>
                <w:color w:val="auto"/>
              </w:rPr>
            </w:pPr>
          </w:p>
        </w:tc>
        <w:tc>
          <w:tcPr>
            <w:tcW w:w="220" w:type="dxa"/>
            <w:vAlign w:val="bottom"/>
            <w:gridSpan w:val="3"/>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gridSpan w:val="6"/>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gridSpan w:val="2"/>
          </w:tcPr>
          <w:p>
            <w:pPr>
              <w:spacing w:after="0"/>
              <w:rPr>
                <w:sz w:val="14"/>
                <w:szCs w:val="14"/>
                <w:color w:val="auto"/>
              </w:rPr>
            </w:pPr>
          </w:p>
        </w:tc>
        <w:tc>
          <w:tcPr>
            <w:tcW w:w="1860" w:type="dxa"/>
            <w:vAlign w:val="bottom"/>
          </w:tcPr>
          <w:p>
            <w:pPr>
              <w:spacing w:after="0"/>
              <w:rPr>
                <w:sz w:val="14"/>
                <w:szCs w:val="14"/>
                <w:color w:val="auto"/>
              </w:rPr>
            </w:pPr>
          </w:p>
        </w:tc>
        <w:tc>
          <w:tcPr>
            <w:tcW w:w="1460" w:type="dxa"/>
            <w:vAlign w:val="bottom"/>
            <w:gridSpan w:val="2"/>
          </w:tcPr>
          <w:p>
            <w:pPr>
              <w:spacing w:after="0"/>
              <w:rPr>
                <w:sz w:val="14"/>
                <w:szCs w:val="14"/>
                <w:color w:val="auto"/>
              </w:rPr>
            </w:pPr>
          </w:p>
        </w:tc>
        <w:tc>
          <w:tcPr>
            <w:tcW w:w="1520" w:type="dxa"/>
            <w:vAlign w:val="bottom"/>
          </w:tcPr>
          <w:p>
            <w:pPr>
              <w:jc w:val="right"/>
              <w:spacing w:after="0" w:line="169" w:lineRule="exact"/>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169"/>
        </w:trPr>
        <w:tc>
          <w:tcPr>
            <w:tcW w:w="180" w:type="dxa"/>
            <w:vAlign w:val="bottom"/>
          </w:tcPr>
          <w:p>
            <w:pPr>
              <w:spacing w:after="0"/>
              <w:rPr>
                <w:sz w:val="14"/>
                <w:szCs w:val="14"/>
                <w:color w:val="auto"/>
              </w:rPr>
            </w:pPr>
          </w:p>
        </w:tc>
        <w:tc>
          <w:tcPr>
            <w:tcW w:w="1420" w:type="dxa"/>
            <w:vAlign w:val="bottom"/>
            <w:tcBorders>
              <w:top w:val="single" w:sz="8" w:color="0000EE"/>
            </w:tcBorders>
            <w:gridSpan w:val="3"/>
          </w:tcPr>
          <w:p>
            <w:pPr>
              <w:spacing w:after="0" w:line="169" w:lineRule="exact"/>
              <w:rPr>
                <w:sz w:val="20"/>
                <w:szCs w:val="20"/>
                <w:color w:val="auto"/>
              </w:rPr>
            </w:pPr>
            <w:r>
              <w:rPr>
                <w:rFonts w:ascii="Arial" w:cs="Arial" w:eastAsia="Arial" w:hAnsi="Arial"/>
                <w:sz w:val="16"/>
                <w:szCs w:val="16"/>
                <w:color w:val="0000EE"/>
                <w:w w:val="92"/>
              </w:rPr>
              <w:t>Governance  Policies</w:t>
            </w:r>
          </w:p>
        </w:tc>
        <w:tc>
          <w:tcPr>
            <w:tcW w:w="120" w:type="dxa"/>
            <w:vAlign w:val="bottom"/>
          </w:tcPr>
          <w:p>
            <w:pPr>
              <w:spacing w:after="0"/>
              <w:rPr>
                <w:sz w:val="14"/>
                <w:szCs w:val="14"/>
                <w:color w:val="auto"/>
              </w:rPr>
            </w:pPr>
          </w:p>
        </w:tc>
        <w:tc>
          <w:tcPr>
            <w:tcW w:w="6480" w:type="dxa"/>
            <w:vAlign w:val="bottom"/>
            <w:gridSpan w:val="27"/>
          </w:tcPr>
          <w:p>
            <w:pPr>
              <w:jc w:val="center"/>
              <w:ind w:right="5340"/>
              <w:spacing w:after="0" w:line="169" w:lineRule="exact"/>
              <w:rPr>
                <w:sz w:val="20"/>
                <w:szCs w:val="20"/>
                <w:color w:val="auto"/>
              </w:rPr>
            </w:pPr>
            <w:r>
              <w:rPr>
                <w:rFonts w:ascii="Arial" w:cs="Arial" w:eastAsia="Arial" w:hAnsi="Arial"/>
                <w:sz w:val="16"/>
                <w:szCs w:val="16"/>
                <w:color w:val="0000EE"/>
              </w:rPr>
              <w:t>and  Principles</w:t>
            </w:r>
          </w:p>
        </w:tc>
        <w:tc>
          <w:tcPr>
            <w:tcW w:w="1520" w:type="dxa"/>
            <w:vAlign w:val="bottom"/>
          </w:tcPr>
          <w:p>
            <w:pPr>
              <w:jc w:val="right"/>
              <w:spacing w:after="0" w:line="169" w:lineRule="exact"/>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169"/>
        </w:trPr>
        <w:tc>
          <w:tcPr>
            <w:tcW w:w="180" w:type="dxa"/>
            <w:vAlign w:val="bottom"/>
          </w:tcPr>
          <w:p>
            <w:pPr>
              <w:spacing w:after="0"/>
              <w:rPr>
                <w:sz w:val="14"/>
                <w:szCs w:val="14"/>
                <w:color w:val="auto"/>
              </w:rPr>
            </w:pPr>
          </w:p>
        </w:tc>
        <w:tc>
          <w:tcPr>
            <w:tcW w:w="2640" w:type="dxa"/>
            <w:vAlign w:val="bottom"/>
            <w:tcBorders>
              <w:top w:val="single" w:sz="8" w:color="0000EE"/>
            </w:tcBorders>
            <w:gridSpan w:val="18"/>
          </w:tcPr>
          <w:p>
            <w:pPr>
              <w:spacing w:after="0" w:line="169" w:lineRule="exact"/>
              <w:rPr>
                <w:sz w:val="20"/>
                <w:szCs w:val="20"/>
                <w:color w:val="auto"/>
              </w:rPr>
            </w:pPr>
            <w:r>
              <w:rPr>
                <w:rFonts w:ascii="Arial" w:cs="Arial" w:eastAsia="Arial" w:hAnsi="Arial"/>
                <w:sz w:val="16"/>
                <w:szCs w:val="16"/>
                <w:color w:val="0000EE"/>
              </w:rPr>
              <w:t>How  the  Board  Is  Organized</w:t>
            </w:r>
          </w:p>
        </w:tc>
        <w:tc>
          <w:tcPr>
            <w:tcW w:w="340" w:type="dxa"/>
            <w:vAlign w:val="bottom"/>
          </w:tcPr>
          <w:p>
            <w:pPr>
              <w:spacing w:after="0"/>
              <w:rPr>
                <w:sz w:val="14"/>
                <w:szCs w:val="14"/>
                <w:color w:val="auto"/>
              </w:rPr>
            </w:pPr>
          </w:p>
        </w:tc>
        <w:tc>
          <w:tcPr>
            <w:tcW w:w="1040" w:type="dxa"/>
            <w:vAlign w:val="bottom"/>
            <w:gridSpan w:val="6"/>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gridSpan w:val="2"/>
          </w:tcPr>
          <w:p>
            <w:pPr>
              <w:spacing w:after="0"/>
              <w:rPr>
                <w:sz w:val="14"/>
                <w:szCs w:val="14"/>
                <w:color w:val="auto"/>
              </w:rPr>
            </w:pPr>
          </w:p>
        </w:tc>
        <w:tc>
          <w:tcPr>
            <w:tcW w:w="1860" w:type="dxa"/>
            <w:vAlign w:val="bottom"/>
          </w:tcPr>
          <w:p>
            <w:pPr>
              <w:spacing w:after="0"/>
              <w:rPr>
                <w:sz w:val="14"/>
                <w:szCs w:val="14"/>
                <w:color w:val="auto"/>
              </w:rPr>
            </w:pPr>
          </w:p>
        </w:tc>
        <w:tc>
          <w:tcPr>
            <w:tcW w:w="1460" w:type="dxa"/>
            <w:vAlign w:val="bottom"/>
            <w:gridSpan w:val="2"/>
          </w:tcPr>
          <w:p>
            <w:pPr>
              <w:spacing w:after="0"/>
              <w:rPr>
                <w:sz w:val="14"/>
                <w:szCs w:val="14"/>
                <w:color w:val="auto"/>
              </w:rPr>
            </w:pPr>
          </w:p>
        </w:tc>
        <w:tc>
          <w:tcPr>
            <w:tcW w:w="1520" w:type="dxa"/>
            <w:vAlign w:val="bottom"/>
          </w:tcPr>
          <w:p>
            <w:pPr>
              <w:jc w:val="right"/>
              <w:spacing w:after="0" w:line="169" w:lineRule="exact"/>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540" w:type="dxa"/>
            <w:vAlign w:val="bottom"/>
            <w:gridSpan w:val="4"/>
            <w:shd w:val="clear" w:color="auto" w:fill="0000EE"/>
          </w:tcPr>
          <w:p>
            <w:pPr>
              <w:spacing w:after="0" w:line="20" w:lineRule="exact"/>
              <w:rPr>
                <w:sz w:val="1"/>
                <w:szCs w:val="1"/>
                <w:color w:val="auto"/>
              </w:rPr>
            </w:pPr>
          </w:p>
        </w:tc>
        <w:tc>
          <w:tcPr>
            <w:tcW w:w="28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10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520" w:type="dxa"/>
            <w:vAlign w:val="bottom"/>
            <w:vMerge w:val="restart"/>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line="20" w:lineRule="exact"/>
              <w:rPr>
                <w:sz w:val="1"/>
                <w:szCs w:val="1"/>
                <w:color w:val="auto"/>
              </w:rPr>
            </w:pPr>
          </w:p>
        </w:tc>
      </w:tr>
      <w:tr>
        <w:trPr>
          <w:trHeight w:val="169"/>
        </w:trPr>
        <w:tc>
          <w:tcPr>
            <w:tcW w:w="180" w:type="dxa"/>
            <w:vAlign w:val="bottom"/>
          </w:tcPr>
          <w:p>
            <w:pPr>
              <w:spacing w:after="0"/>
              <w:rPr>
                <w:sz w:val="14"/>
                <w:szCs w:val="14"/>
                <w:color w:val="auto"/>
              </w:rPr>
            </w:pPr>
          </w:p>
        </w:tc>
        <w:tc>
          <w:tcPr>
            <w:tcW w:w="8020" w:type="dxa"/>
            <w:vAlign w:val="bottom"/>
            <w:gridSpan w:val="31"/>
          </w:tcPr>
          <w:p>
            <w:pPr>
              <w:spacing w:after="0" w:line="169" w:lineRule="exact"/>
              <w:rPr>
                <w:sz w:val="20"/>
                <w:szCs w:val="20"/>
                <w:color w:val="auto"/>
              </w:rPr>
            </w:pPr>
            <w:r>
              <w:rPr>
                <w:rFonts w:ascii="Arial" w:cs="Arial" w:eastAsia="Arial" w:hAnsi="Arial"/>
                <w:sz w:val="16"/>
                <w:szCs w:val="16"/>
                <w:color w:val="0000EE"/>
              </w:rPr>
              <w:t>Communications  with  Directors  and  Stockholder  Engagement</w:t>
            </w:r>
          </w:p>
        </w:tc>
        <w:tc>
          <w:tcPr>
            <w:tcW w:w="1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80" w:type="dxa"/>
            <w:vAlign w:val="bottom"/>
          </w:tcPr>
          <w:p>
            <w:pPr>
              <w:spacing w:after="0"/>
              <w:rPr>
                <w:sz w:val="14"/>
                <w:szCs w:val="14"/>
                <w:color w:val="auto"/>
              </w:rPr>
            </w:pPr>
          </w:p>
        </w:tc>
        <w:tc>
          <w:tcPr>
            <w:tcW w:w="4700" w:type="dxa"/>
            <w:vAlign w:val="bottom"/>
            <w:tcBorders>
              <w:top w:val="single" w:sz="8" w:color="0000EE"/>
            </w:tcBorders>
            <w:gridSpan w:val="28"/>
          </w:tcPr>
          <w:p>
            <w:pPr>
              <w:spacing w:after="0" w:line="169" w:lineRule="exact"/>
              <w:rPr>
                <w:sz w:val="20"/>
                <w:szCs w:val="20"/>
                <w:color w:val="auto"/>
              </w:rPr>
            </w:pPr>
            <w:r>
              <w:rPr>
                <w:rFonts w:ascii="Arial" w:cs="Arial" w:eastAsia="Arial" w:hAnsi="Arial"/>
                <w:sz w:val="16"/>
                <w:szCs w:val="16"/>
                <w:color w:val="0000EE"/>
              </w:rPr>
              <w:t>How  Directors  Are  Paid</w:t>
            </w:r>
          </w:p>
        </w:tc>
        <w:tc>
          <w:tcPr>
            <w:tcW w:w="1860" w:type="dxa"/>
            <w:vAlign w:val="bottom"/>
          </w:tcPr>
          <w:p>
            <w:pPr>
              <w:spacing w:after="0"/>
              <w:rPr>
                <w:sz w:val="14"/>
                <w:szCs w:val="14"/>
                <w:color w:val="auto"/>
              </w:rPr>
            </w:pPr>
          </w:p>
        </w:tc>
        <w:tc>
          <w:tcPr>
            <w:tcW w:w="1460" w:type="dxa"/>
            <w:vAlign w:val="bottom"/>
            <w:gridSpan w:val="2"/>
          </w:tcPr>
          <w:p>
            <w:pPr>
              <w:spacing w:after="0"/>
              <w:rPr>
                <w:sz w:val="14"/>
                <w:szCs w:val="14"/>
                <w:color w:val="auto"/>
              </w:rPr>
            </w:pPr>
          </w:p>
        </w:tc>
        <w:tc>
          <w:tcPr>
            <w:tcW w:w="1520" w:type="dxa"/>
            <w:vAlign w:val="bottom"/>
          </w:tcPr>
          <w:p>
            <w:pPr>
              <w:jc w:val="right"/>
              <w:spacing w:after="0" w:line="169" w:lineRule="exact"/>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169"/>
        </w:trPr>
        <w:tc>
          <w:tcPr>
            <w:tcW w:w="180" w:type="dxa"/>
            <w:vAlign w:val="bottom"/>
          </w:tcPr>
          <w:p>
            <w:pPr>
              <w:spacing w:after="0"/>
              <w:rPr>
                <w:sz w:val="14"/>
                <w:szCs w:val="14"/>
                <w:color w:val="auto"/>
              </w:rPr>
            </w:pPr>
          </w:p>
        </w:tc>
        <w:tc>
          <w:tcPr>
            <w:tcW w:w="1820" w:type="dxa"/>
            <w:vAlign w:val="bottom"/>
            <w:tcBorders>
              <w:top w:val="single" w:sz="8" w:color="0000EE"/>
            </w:tcBorders>
            <w:gridSpan w:val="7"/>
          </w:tcPr>
          <w:p>
            <w:pPr>
              <w:spacing w:after="0" w:line="169" w:lineRule="exact"/>
              <w:rPr>
                <w:sz w:val="20"/>
                <w:szCs w:val="20"/>
                <w:color w:val="auto"/>
              </w:rPr>
            </w:pPr>
            <w:r>
              <w:rPr>
                <w:rFonts w:ascii="Arial" w:cs="Arial" w:eastAsia="Arial" w:hAnsi="Arial"/>
                <w:sz w:val="16"/>
                <w:szCs w:val="16"/>
                <w:b w:val="1"/>
                <w:bCs w:val="1"/>
                <w:color w:val="1414D2"/>
              </w:rPr>
              <w:t>Securities Ownership</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gridSpan w:val="6"/>
          </w:tcPr>
          <w:p>
            <w:pPr>
              <w:spacing w:after="0"/>
              <w:rPr>
                <w:sz w:val="14"/>
                <w:szCs w:val="14"/>
                <w:color w:val="auto"/>
              </w:rPr>
            </w:pPr>
          </w:p>
        </w:tc>
        <w:tc>
          <w:tcPr>
            <w:tcW w:w="560" w:type="dxa"/>
            <w:vAlign w:val="bottom"/>
            <w:gridSpan w:val="4"/>
          </w:tcPr>
          <w:p>
            <w:pPr>
              <w:spacing w:after="0"/>
              <w:rPr>
                <w:sz w:val="14"/>
                <w:szCs w:val="14"/>
                <w:color w:val="auto"/>
              </w:rPr>
            </w:pPr>
          </w:p>
        </w:tc>
        <w:tc>
          <w:tcPr>
            <w:tcW w:w="1040" w:type="dxa"/>
            <w:vAlign w:val="bottom"/>
            <w:gridSpan w:val="6"/>
          </w:tcPr>
          <w:p>
            <w:pPr>
              <w:spacing w:after="0"/>
              <w:rPr>
                <w:sz w:val="14"/>
                <w:szCs w:val="14"/>
                <w:color w:val="auto"/>
              </w:rPr>
            </w:pPr>
          </w:p>
        </w:tc>
        <w:tc>
          <w:tcPr>
            <w:tcW w:w="20" w:type="dxa"/>
            <w:vAlign w:val="bottom"/>
          </w:tcPr>
          <w:p>
            <w:pPr>
              <w:spacing w:after="0"/>
              <w:rPr>
                <w:sz w:val="14"/>
                <w:szCs w:val="14"/>
                <w:color w:val="auto"/>
              </w:rPr>
            </w:pPr>
          </w:p>
        </w:tc>
        <w:tc>
          <w:tcPr>
            <w:tcW w:w="2520" w:type="dxa"/>
            <w:vAlign w:val="bottom"/>
            <w:gridSpan w:val="3"/>
          </w:tcPr>
          <w:p>
            <w:pPr>
              <w:spacing w:after="0"/>
              <w:rPr>
                <w:sz w:val="14"/>
                <w:szCs w:val="14"/>
                <w:color w:val="auto"/>
              </w:rPr>
            </w:pPr>
          </w:p>
        </w:tc>
        <w:tc>
          <w:tcPr>
            <w:tcW w:w="1460" w:type="dxa"/>
            <w:vAlign w:val="bottom"/>
            <w:gridSpan w:val="2"/>
          </w:tcPr>
          <w:p>
            <w:pPr>
              <w:spacing w:after="0"/>
              <w:rPr>
                <w:sz w:val="14"/>
                <w:szCs w:val="14"/>
                <w:color w:val="auto"/>
              </w:rPr>
            </w:pPr>
          </w:p>
        </w:tc>
        <w:tc>
          <w:tcPr>
            <w:tcW w:w="1520" w:type="dxa"/>
            <w:vAlign w:val="bottom"/>
          </w:tcPr>
          <w:p>
            <w:pPr>
              <w:jc w:val="right"/>
              <w:spacing w:after="0" w:line="169" w:lineRule="exact"/>
              <w:rPr>
                <w:sz w:val="20"/>
                <w:szCs w:val="20"/>
                <w:color w:val="auto"/>
              </w:rPr>
            </w:pPr>
            <w:r>
              <w:rPr>
                <w:rFonts w:ascii="Arial" w:cs="Arial" w:eastAsia="Arial" w:hAnsi="Arial"/>
                <w:sz w:val="16"/>
                <w:szCs w:val="16"/>
                <w:b w:val="1"/>
                <w:bCs w:val="1"/>
                <w:color w:val="1414D2"/>
              </w:rPr>
              <w:t>67</w:t>
            </w:r>
          </w:p>
        </w:tc>
        <w:tc>
          <w:tcPr>
            <w:tcW w:w="0" w:type="dxa"/>
            <w:vAlign w:val="bottom"/>
          </w:tcPr>
          <w:p>
            <w:pPr>
              <w:spacing w:after="0"/>
              <w:rPr>
                <w:sz w:val="1"/>
                <w:szCs w:val="1"/>
                <w:color w:val="auto"/>
              </w:rPr>
            </w:pPr>
          </w:p>
        </w:tc>
      </w:tr>
      <w:tr>
        <w:trPr>
          <w:trHeight w:val="20"/>
        </w:trPr>
        <w:tc>
          <w:tcPr>
            <w:tcW w:w="180" w:type="dxa"/>
            <w:vAlign w:val="bottom"/>
            <w:shd w:val="clear" w:color="auto" w:fill="1414D2"/>
          </w:tcPr>
          <w:p>
            <w:pPr>
              <w:spacing w:after="0" w:line="20" w:lineRule="exact"/>
              <w:rPr>
                <w:sz w:val="1"/>
                <w:szCs w:val="1"/>
                <w:color w:val="auto"/>
              </w:rPr>
            </w:pPr>
          </w:p>
        </w:tc>
        <w:tc>
          <w:tcPr>
            <w:tcW w:w="1540" w:type="dxa"/>
            <w:vAlign w:val="bottom"/>
            <w:gridSpan w:val="4"/>
            <w:shd w:val="clear" w:color="auto" w:fill="1414D2"/>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10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20" w:type="dxa"/>
            <w:vAlign w:val="bottom"/>
            <w:gridSpan w:val="3"/>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520" w:type="dxa"/>
            <w:vAlign w:val="bottom"/>
            <w:vMerge w:val="restart"/>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line="20" w:lineRule="exact"/>
              <w:rPr>
                <w:sz w:val="1"/>
                <w:szCs w:val="1"/>
                <w:color w:val="auto"/>
              </w:rPr>
            </w:pPr>
          </w:p>
        </w:tc>
      </w:tr>
      <w:tr>
        <w:trPr>
          <w:trHeight w:val="169"/>
        </w:trPr>
        <w:tc>
          <w:tcPr>
            <w:tcW w:w="180" w:type="dxa"/>
            <w:vAlign w:val="bottom"/>
          </w:tcPr>
          <w:p>
            <w:pPr>
              <w:spacing w:after="0"/>
              <w:rPr>
                <w:sz w:val="14"/>
                <w:szCs w:val="14"/>
                <w:color w:val="auto"/>
              </w:rPr>
            </w:pPr>
          </w:p>
        </w:tc>
        <w:tc>
          <w:tcPr>
            <w:tcW w:w="8020" w:type="dxa"/>
            <w:vAlign w:val="bottom"/>
            <w:gridSpan w:val="31"/>
          </w:tcPr>
          <w:p>
            <w:pPr>
              <w:spacing w:after="0" w:line="169" w:lineRule="exact"/>
              <w:rPr>
                <w:sz w:val="20"/>
                <w:szCs w:val="20"/>
                <w:color w:val="auto"/>
              </w:rPr>
            </w:pPr>
            <w:r>
              <w:rPr>
                <w:rFonts w:ascii="Arial" w:cs="Arial" w:eastAsia="Arial" w:hAnsi="Arial"/>
                <w:sz w:val="16"/>
                <w:szCs w:val="16"/>
                <w:color w:val="0000EE"/>
              </w:rPr>
              <w:t>Certain  Benefcial  Owners</w:t>
            </w:r>
          </w:p>
        </w:tc>
        <w:tc>
          <w:tcPr>
            <w:tcW w:w="1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80" w:type="dxa"/>
            <w:vAlign w:val="bottom"/>
          </w:tcPr>
          <w:p>
            <w:pPr>
              <w:spacing w:after="0"/>
              <w:rPr>
                <w:sz w:val="14"/>
                <w:szCs w:val="14"/>
                <w:color w:val="auto"/>
              </w:rPr>
            </w:pPr>
          </w:p>
        </w:tc>
        <w:tc>
          <w:tcPr>
            <w:tcW w:w="1960" w:type="dxa"/>
            <w:vAlign w:val="bottom"/>
            <w:tcBorders>
              <w:top w:val="single" w:sz="8" w:color="0000EE"/>
            </w:tcBorders>
            <w:gridSpan w:val="9"/>
          </w:tcPr>
          <w:p>
            <w:pPr>
              <w:spacing w:after="0" w:line="169" w:lineRule="exact"/>
              <w:rPr>
                <w:sz w:val="20"/>
                <w:szCs w:val="20"/>
                <w:color w:val="auto"/>
              </w:rPr>
            </w:pPr>
            <w:r>
              <w:rPr>
                <w:rFonts w:ascii="Arial" w:cs="Arial" w:eastAsia="Arial" w:hAnsi="Arial"/>
                <w:sz w:val="16"/>
                <w:szCs w:val="16"/>
                <w:color w:val="0000EE"/>
              </w:rPr>
              <w:t>Directors  and  Executive</w:t>
            </w:r>
          </w:p>
        </w:tc>
        <w:tc>
          <w:tcPr>
            <w:tcW w:w="6060" w:type="dxa"/>
            <w:vAlign w:val="bottom"/>
            <w:gridSpan w:val="22"/>
          </w:tcPr>
          <w:p>
            <w:pPr>
              <w:spacing w:after="0" w:line="169" w:lineRule="exact"/>
              <w:rPr>
                <w:sz w:val="20"/>
                <w:szCs w:val="20"/>
                <w:color w:val="auto"/>
              </w:rPr>
            </w:pPr>
            <w:r>
              <w:rPr>
                <w:rFonts w:ascii="Arial" w:cs="Arial" w:eastAsia="Arial" w:hAnsi="Arial"/>
                <w:sz w:val="16"/>
                <w:szCs w:val="16"/>
                <w:color w:val="0000EE"/>
              </w:rPr>
              <w:t>Ofcers</w:t>
            </w:r>
          </w:p>
        </w:tc>
        <w:tc>
          <w:tcPr>
            <w:tcW w:w="1520" w:type="dxa"/>
            <w:vAlign w:val="bottom"/>
          </w:tcPr>
          <w:p>
            <w:pPr>
              <w:jc w:val="right"/>
              <w:spacing w:after="0" w:line="169" w:lineRule="exact"/>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920" w:type="dxa"/>
            <w:vAlign w:val="bottom"/>
            <w:tcBorders>
              <w:right w:val="single" w:sz="8" w:color="0000EE"/>
            </w:tcBorders>
            <w:gridSpan w:val="8"/>
            <w:shd w:val="clear" w:color="auto" w:fill="0000EE"/>
          </w:tcPr>
          <w:p>
            <w:pPr>
              <w:spacing w:after="0" w:line="20" w:lineRule="exact"/>
              <w:rPr>
                <w:sz w:val="1"/>
                <w:szCs w:val="1"/>
                <w:color w:val="auto"/>
              </w:rPr>
            </w:pPr>
          </w:p>
        </w:tc>
        <w:tc>
          <w:tcPr>
            <w:tcW w:w="500" w:type="dxa"/>
            <w:vAlign w:val="bottom"/>
            <w:gridSpan w:val="7"/>
            <w:shd w:val="clear" w:color="auto" w:fill="0000EE"/>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10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20" w:type="dxa"/>
            <w:vAlign w:val="bottom"/>
            <w:gridSpan w:val="3"/>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520" w:type="dxa"/>
            <w:vAlign w:val="bottom"/>
            <w:vMerge w:val="restart"/>
          </w:tcPr>
          <w:p>
            <w:pPr>
              <w:jc w:val="right"/>
              <w:spacing w:after="0"/>
              <w:rPr>
                <w:sz w:val="20"/>
                <w:szCs w:val="20"/>
                <w:color w:val="auto"/>
              </w:rPr>
            </w:pPr>
            <w:r>
              <w:rPr>
                <w:rFonts w:ascii="Arial" w:cs="Arial" w:eastAsia="Arial" w:hAnsi="Arial"/>
                <w:sz w:val="16"/>
                <w:szCs w:val="16"/>
                <w:b w:val="1"/>
                <w:bCs w:val="1"/>
                <w:color w:val="1414D2"/>
              </w:rPr>
              <w:t>70</w:t>
            </w:r>
          </w:p>
        </w:tc>
        <w:tc>
          <w:tcPr>
            <w:tcW w:w="0" w:type="dxa"/>
            <w:vAlign w:val="bottom"/>
          </w:tcPr>
          <w:p>
            <w:pPr>
              <w:spacing w:after="0" w:line="20" w:lineRule="exact"/>
              <w:rPr>
                <w:sz w:val="1"/>
                <w:szCs w:val="1"/>
                <w:color w:val="auto"/>
              </w:rPr>
            </w:pPr>
          </w:p>
        </w:tc>
      </w:tr>
      <w:tr>
        <w:trPr>
          <w:trHeight w:val="169"/>
        </w:trPr>
        <w:tc>
          <w:tcPr>
            <w:tcW w:w="3160" w:type="dxa"/>
            <w:vAlign w:val="bottom"/>
            <w:tcBorders>
              <w:bottom w:val="single" w:sz="8" w:color="1414D2"/>
            </w:tcBorders>
            <w:gridSpan w:val="20"/>
          </w:tcPr>
          <w:p>
            <w:pPr>
              <w:spacing w:after="0" w:line="169" w:lineRule="exact"/>
              <w:rPr>
                <w:sz w:val="20"/>
                <w:szCs w:val="20"/>
                <w:color w:val="auto"/>
              </w:rPr>
            </w:pPr>
            <w:r>
              <w:rPr>
                <w:rFonts w:ascii="Arial" w:cs="Arial" w:eastAsia="Arial" w:hAnsi="Arial"/>
                <w:sz w:val="16"/>
                <w:szCs w:val="16"/>
                <w:b w:val="1"/>
                <w:bCs w:val="1"/>
                <w:color w:val="1414D2"/>
              </w:rPr>
              <w:t>Equity Compensation Plan Information</w:t>
            </w:r>
          </w:p>
        </w:tc>
        <w:tc>
          <w:tcPr>
            <w:tcW w:w="5040" w:type="dxa"/>
            <w:vAlign w:val="bottom"/>
            <w:gridSpan w:val="12"/>
          </w:tcPr>
          <w:p>
            <w:pPr>
              <w:spacing w:after="0"/>
              <w:rPr>
                <w:sz w:val="14"/>
                <w:szCs w:val="14"/>
                <w:color w:val="auto"/>
              </w:rPr>
            </w:pPr>
          </w:p>
        </w:tc>
        <w:tc>
          <w:tcPr>
            <w:tcW w:w="1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8200" w:type="dxa"/>
            <w:vAlign w:val="bottom"/>
            <w:gridSpan w:val="32"/>
          </w:tcPr>
          <w:p>
            <w:pPr>
              <w:spacing w:after="0"/>
              <w:rPr>
                <w:sz w:val="20"/>
                <w:szCs w:val="20"/>
                <w:color w:val="auto"/>
              </w:rPr>
            </w:pPr>
            <w:r>
              <w:rPr>
                <w:rFonts w:ascii="Arial" w:cs="Arial" w:eastAsia="Arial" w:hAnsi="Arial"/>
                <w:sz w:val="16"/>
                <w:szCs w:val="16"/>
                <w:b w:val="1"/>
                <w:bCs w:val="1"/>
                <w:color w:val="1414D2"/>
              </w:rPr>
              <w:t>Item 2</w:t>
            </w:r>
          </w:p>
        </w:tc>
        <w:tc>
          <w:tcPr>
            <w:tcW w:w="1520" w:type="dxa"/>
            <w:vAlign w:val="bottom"/>
            <w:vMerge w:val="restart"/>
          </w:tcPr>
          <w:p>
            <w:pPr>
              <w:jc w:val="right"/>
              <w:spacing w:after="0"/>
              <w:rPr>
                <w:sz w:val="20"/>
                <w:szCs w:val="20"/>
                <w:color w:val="auto"/>
              </w:rPr>
            </w:pPr>
            <w:r>
              <w:rPr>
                <w:rFonts w:ascii="Arial" w:cs="Arial" w:eastAsia="Arial" w:hAnsi="Arial"/>
                <w:sz w:val="16"/>
                <w:szCs w:val="16"/>
                <w:b w:val="1"/>
                <w:bCs w:val="1"/>
                <w:color w:val="1414D2"/>
              </w:rPr>
              <w:t>71</w:t>
            </w:r>
          </w:p>
        </w:tc>
        <w:tc>
          <w:tcPr>
            <w:tcW w:w="0" w:type="dxa"/>
            <w:vAlign w:val="bottom"/>
          </w:tcPr>
          <w:p>
            <w:pPr>
              <w:spacing w:after="0"/>
              <w:rPr>
                <w:sz w:val="1"/>
                <w:szCs w:val="1"/>
                <w:color w:val="auto"/>
              </w:rPr>
            </w:pPr>
          </w:p>
        </w:tc>
      </w:tr>
      <w:tr>
        <w:trPr>
          <w:trHeight w:val="169"/>
        </w:trPr>
        <w:tc>
          <w:tcPr>
            <w:tcW w:w="180" w:type="dxa"/>
            <w:vAlign w:val="bottom"/>
            <w:tcBorders>
              <w:top w:val="single" w:sz="8" w:color="1414D2"/>
            </w:tcBorders>
          </w:tcPr>
          <w:p>
            <w:pPr>
              <w:spacing w:after="0"/>
              <w:rPr>
                <w:sz w:val="14"/>
                <w:szCs w:val="14"/>
                <w:color w:val="auto"/>
              </w:rPr>
            </w:pPr>
          </w:p>
        </w:tc>
        <w:tc>
          <w:tcPr>
            <w:tcW w:w="180" w:type="dxa"/>
            <w:vAlign w:val="bottom"/>
            <w:tcBorders>
              <w:top w:val="single" w:sz="8" w:color="1414D2"/>
            </w:tcBorders>
          </w:tcPr>
          <w:p>
            <w:pPr>
              <w:spacing w:after="0"/>
              <w:rPr>
                <w:sz w:val="14"/>
                <w:szCs w:val="14"/>
                <w:color w:val="auto"/>
              </w:rPr>
            </w:pPr>
          </w:p>
        </w:tc>
        <w:tc>
          <w:tcPr>
            <w:tcW w:w="160" w:type="dxa"/>
            <w:vAlign w:val="bottom"/>
            <w:tcBorders>
              <w:top w:val="single" w:sz="8" w:color="1414D2"/>
            </w:tcBorders>
          </w:tcPr>
          <w:p>
            <w:pPr>
              <w:spacing w:after="0"/>
              <w:rPr>
                <w:sz w:val="14"/>
                <w:szCs w:val="14"/>
                <w:color w:val="auto"/>
              </w:rPr>
            </w:pPr>
          </w:p>
        </w:tc>
        <w:tc>
          <w:tcPr>
            <w:tcW w:w="7680" w:type="dxa"/>
            <w:vAlign w:val="bottom"/>
            <w:gridSpan w:val="29"/>
          </w:tcPr>
          <w:p>
            <w:pPr>
              <w:spacing w:after="0" w:line="149" w:lineRule="exact"/>
              <w:rPr>
                <w:sz w:val="20"/>
                <w:szCs w:val="20"/>
                <w:color w:val="auto"/>
              </w:rPr>
            </w:pPr>
            <w:r>
              <w:rPr>
                <w:rFonts w:ascii="Arial" w:cs="Arial" w:eastAsia="Arial" w:hAnsi="Arial"/>
                <w:sz w:val="16"/>
                <w:szCs w:val="16"/>
                <w:b w:val="1"/>
                <w:bCs w:val="1"/>
                <w:color w:val="0000EE"/>
              </w:rPr>
              <w:t>Ratifcation of Appointment of Independent Registered Public Accounting Firm</w:t>
            </w:r>
          </w:p>
        </w:tc>
        <w:tc>
          <w:tcPr>
            <w:tcW w:w="1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40" w:type="dxa"/>
            <w:vAlign w:val="bottom"/>
            <w:tcBorders>
              <w:right w:val="single" w:sz="8" w:color="0000EE"/>
            </w:tcBorders>
            <w:gridSpan w:val="7"/>
            <w:shd w:val="clear" w:color="auto" w:fill="0000EE"/>
          </w:tcPr>
          <w:p>
            <w:pPr>
              <w:spacing w:after="0" w:line="20" w:lineRule="exact"/>
              <w:rPr>
                <w:sz w:val="1"/>
                <w:szCs w:val="1"/>
                <w:color w:val="auto"/>
              </w:rPr>
            </w:pPr>
          </w:p>
        </w:tc>
        <w:tc>
          <w:tcPr>
            <w:tcW w:w="2100" w:type="dxa"/>
            <w:vAlign w:val="bottom"/>
            <w:gridSpan w:val="17"/>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520" w:type="dxa"/>
            <w:vAlign w:val="bottom"/>
            <w:gridSpan w:val="3"/>
            <w:shd w:val="clear" w:color="auto" w:fill="0000EE"/>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520" w:type="dxa"/>
            <w:vAlign w:val="bottom"/>
            <w:vMerge w:val="restart"/>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1920" w:type="dxa"/>
            <w:vAlign w:val="bottom"/>
            <w:tcBorders>
              <w:bottom w:val="single" w:sz="8" w:color="0000EE"/>
            </w:tcBorders>
            <w:gridSpan w:val="8"/>
          </w:tcPr>
          <w:p>
            <w:pPr>
              <w:spacing w:after="0" w:line="183" w:lineRule="exact"/>
              <w:rPr>
                <w:sz w:val="20"/>
                <w:szCs w:val="20"/>
                <w:color w:val="auto"/>
              </w:rPr>
            </w:pPr>
            <w:r>
              <w:rPr>
                <w:rFonts w:ascii="Arial" w:cs="Arial" w:eastAsia="Arial" w:hAnsi="Arial"/>
                <w:sz w:val="16"/>
                <w:szCs w:val="16"/>
                <w:color w:val="0000EE"/>
              </w:rPr>
              <w:t>Audit  Committee  Report</w:t>
            </w:r>
          </w:p>
        </w:tc>
        <w:tc>
          <w:tcPr>
            <w:tcW w:w="6100" w:type="dxa"/>
            <w:vAlign w:val="bottom"/>
            <w:gridSpan w:val="23"/>
          </w:tcPr>
          <w:p>
            <w:pPr>
              <w:spacing w:after="0"/>
              <w:rPr>
                <w:sz w:val="15"/>
                <w:szCs w:val="15"/>
                <w:color w:val="auto"/>
              </w:rPr>
            </w:pPr>
          </w:p>
        </w:tc>
        <w:tc>
          <w:tcPr>
            <w:tcW w:w="15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80" w:type="dxa"/>
            <w:vAlign w:val="bottom"/>
          </w:tcPr>
          <w:p>
            <w:pPr>
              <w:spacing w:after="0"/>
              <w:rPr>
                <w:sz w:val="14"/>
                <w:szCs w:val="14"/>
                <w:color w:val="auto"/>
              </w:rPr>
            </w:pPr>
          </w:p>
        </w:tc>
        <w:tc>
          <w:tcPr>
            <w:tcW w:w="8020" w:type="dxa"/>
            <w:vAlign w:val="bottom"/>
            <w:gridSpan w:val="31"/>
          </w:tcPr>
          <w:p>
            <w:pPr>
              <w:spacing w:after="0" w:line="169" w:lineRule="exact"/>
              <w:rPr>
                <w:sz w:val="20"/>
                <w:szCs w:val="20"/>
                <w:color w:val="auto"/>
              </w:rPr>
            </w:pPr>
            <w:r>
              <w:rPr>
                <w:rFonts w:ascii="Arial" w:cs="Arial" w:eastAsia="Arial" w:hAnsi="Arial"/>
                <w:sz w:val="16"/>
                <w:szCs w:val="16"/>
                <w:color w:val="0000EE"/>
              </w:rPr>
              <w:t>Audit  Committee  Pre-Approval  Policy  and  Procedures</w:t>
            </w:r>
          </w:p>
        </w:tc>
        <w:tc>
          <w:tcPr>
            <w:tcW w:w="1520" w:type="dxa"/>
            <w:vAlign w:val="bottom"/>
          </w:tcPr>
          <w:p>
            <w:pPr>
              <w:jc w:val="right"/>
              <w:spacing w:after="0" w:line="169" w:lineRule="exact"/>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169"/>
        </w:trPr>
        <w:tc>
          <w:tcPr>
            <w:tcW w:w="180" w:type="dxa"/>
            <w:vAlign w:val="bottom"/>
          </w:tcPr>
          <w:p>
            <w:pPr>
              <w:spacing w:after="0"/>
              <w:rPr>
                <w:sz w:val="14"/>
                <w:szCs w:val="14"/>
                <w:color w:val="auto"/>
              </w:rPr>
            </w:pPr>
          </w:p>
        </w:tc>
        <w:tc>
          <w:tcPr>
            <w:tcW w:w="4040" w:type="dxa"/>
            <w:vAlign w:val="bottom"/>
            <w:tcBorders>
              <w:top w:val="single" w:sz="8" w:color="0000EE"/>
            </w:tcBorders>
            <w:gridSpan w:val="26"/>
          </w:tcPr>
          <w:p>
            <w:pPr>
              <w:spacing w:after="0" w:line="169" w:lineRule="exact"/>
              <w:rPr>
                <w:sz w:val="20"/>
                <w:szCs w:val="20"/>
                <w:color w:val="auto"/>
              </w:rPr>
            </w:pPr>
            <w:r>
              <w:rPr>
                <w:rFonts w:ascii="Arial" w:cs="Arial" w:eastAsia="Arial" w:hAnsi="Arial"/>
                <w:sz w:val="16"/>
                <w:szCs w:val="16"/>
                <w:color w:val="0000EE"/>
              </w:rPr>
              <w:t>Independent  Registered  Public  Accounting  Firm  Fees</w:t>
            </w:r>
          </w:p>
        </w:tc>
        <w:tc>
          <w:tcPr>
            <w:tcW w:w="3980" w:type="dxa"/>
            <w:vAlign w:val="bottom"/>
            <w:gridSpan w:val="5"/>
          </w:tcPr>
          <w:p>
            <w:pPr>
              <w:spacing w:after="0"/>
              <w:rPr>
                <w:sz w:val="14"/>
                <w:szCs w:val="14"/>
                <w:color w:val="auto"/>
              </w:rPr>
            </w:pPr>
          </w:p>
        </w:tc>
        <w:tc>
          <w:tcPr>
            <w:tcW w:w="1520" w:type="dxa"/>
            <w:vAlign w:val="bottom"/>
          </w:tcPr>
          <w:p>
            <w:pPr>
              <w:jc w:val="right"/>
              <w:spacing w:after="0" w:line="169" w:lineRule="exact"/>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720"/>
          </w:cols>
          <w:pgMar w:left="1080" w:top="844" w:right="1099" w:bottom="1440" w:gutter="0" w:footer="0" w:header="0"/>
        </w:sectPr>
      </w:pPr>
    </w:p>
    <w:bookmarkStart w:id="9" w:name="page10"/>
    <w:bookmarkEnd w:id="9"/>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360" w:type="dxa"/>
            <w:vAlign w:val="bottom"/>
            <w:gridSpan w:val="32"/>
          </w:tcPr>
          <w:p>
            <w:pPr>
              <w:spacing w:after="0"/>
              <w:rPr>
                <w:sz w:val="20"/>
                <w:szCs w:val="20"/>
                <w:color w:val="auto"/>
              </w:rPr>
            </w:pPr>
            <w:r>
              <w:rPr>
                <w:rFonts w:ascii="Arial" w:cs="Arial" w:eastAsia="Arial" w:hAnsi="Arial"/>
                <w:sz w:val="14"/>
                <w:szCs w:val="14"/>
                <w:color w:val="808080"/>
              </w:rPr>
              <w:t>Table  of  Contents</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1"/>
        </w:trPr>
        <w:tc>
          <w:tcPr>
            <w:tcW w:w="8360" w:type="dxa"/>
            <w:vAlign w:val="bottom"/>
            <w:gridSpan w:val="32"/>
          </w:tcPr>
          <w:p>
            <w:pPr>
              <w:spacing w:after="0"/>
              <w:rPr>
                <w:sz w:val="20"/>
                <w:szCs w:val="20"/>
                <w:color w:val="auto"/>
              </w:rPr>
            </w:pPr>
            <w:r>
              <w:rPr>
                <w:rFonts w:ascii="Arial" w:cs="Arial" w:eastAsia="Arial" w:hAnsi="Arial"/>
                <w:sz w:val="16"/>
                <w:szCs w:val="16"/>
                <w:b w:val="1"/>
                <w:bCs w:val="1"/>
                <w:color w:val="1414D2"/>
              </w:rPr>
              <w:t>Item 3</w:t>
            </w:r>
          </w:p>
        </w:tc>
        <w:tc>
          <w:tcPr>
            <w:tcW w:w="1360" w:type="dxa"/>
            <w:vAlign w:val="bottom"/>
            <w:vMerge w:val="restart"/>
          </w:tcPr>
          <w:p>
            <w:pPr>
              <w:jc w:val="right"/>
              <w:spacing w:after="0"/>
              <w:rPr>
                <w:sz w:val="20"/>
                <w:szCs w:val="20"/>
                <w:color w:val="auto"/>
              </w:rPr>
            </w:pPr>
            <w:r>
              <w:rPr>
                <w:rFonts w:ascii="Arial" w:cs="Arial" w:eastAsia="Arial" w:hAnsi="Arial"/>
                <w:sz w:val="16"/>
                <w:szCs w:val="16"/>
                <w:b w:val="1"/>
                <w:bCs w:val="1"/>
                <w:color w:val="1414D2"/>
              </w:rPr>
              <w:t>75</w:t>
            </w:r>
          </w:p>
        </w:tc>
        <w:tc>
          <w:tcPr>
            <w:tcW w:w="0" w:type="dxa"/>
            <w:vAlign w:val="bottom"/>
          </w:tcPr>
          <w:p>
            <w:pPr>
              <w:spacing w:after="0"/>
              <w:rPr>
                <w:sz w:val="1"/>
                <w:szCs w:val="1"/>
                <w:color w:val="auto"/>
              </w:rPr>
            </w:pPr>
          </w:p>
        </w:tc>
      </w:tr>
      <w:tr>
        <w:trPr>
          <w:trHeight w:val="20"/>
        </w:trPr>
        <w:tc>
          <w:tcPr>
            <w:tcW w:w="60" w:type="dxa"/>
            <w:vAlign w:val="bottom"/>
            <w:shd w:val="clear" w:color="auto" w:fill="1414D2"/>
          </w:tcPr>
          <w:p>
            <w:pPr>
              <w:spacing w:after="0" w:line="20" w:lineRule="exact"/>
              <w:rPr>
                <w:sz w:val="1"/>
                <w:szCs w:val="1"/>
                <w:color w:val="auto"/>
              </w:rPr>
            </w:pPr>
          </w:p>
        </w:tc>
        <w:tc>
          <w:tcPr>
            <w:tcW w:w="120" w:type="dxa"/>
            <w:vAlign w:val="bottom"/>
            <w:shd w:val="clear" w:color="auto" w:fill="1414D2"/>
          </w:tcPr>
          <w:p>
            <w:pPr>
              <w:spacing w:after="0" w:line="20" w:lineRule="exact"/>
              <w:rPr>
                <w:sz w:val="1"/>
                <w:szCs w:val="1"/>
                <w:color w:val="auto"/>
              </w:rPr>
            </w:pPr>
          </w:p>
        </w:tc>
        <w:tc>
          <w:tcPr>
            <w:tcW w:w="180" w:type="dxa"/>
            <w:vAlign w:val="bottom"/>
            <w:shd w:val="clear" w:color="auto" w:fill="1414D2"/>
          </w:tcPr>
          <w:p>
            <w:pPr>
              <w:spacing w:after="0" w:line="20" w:lineRule="exact"/>
              <w:rPr>
                <w:sz w:val="1"/>
                <w:szCs w:val="1"/>
                <w:color w:val="auto"/>
              </w:rPr>
            </w:pPr>
          </w:p>
        </w:tc>
        <w:tc>
          <w:tcPr>
            <w:tcW w:w="160" w:type="dxa"/>
            <w:vAlign w:val="bottom"/>
            <w:shd w:val="clear" w:color="auto" w:fill="1414D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80" w:type="dxa"/>
            <w:vAlign w:val="bottom"/>
            <w:tcBorders>
              <w:bottom w:val="single" w:sz="8" w:color="0000EE"/>
            </w:tcBorders>
            <w:gridSpan w:val="23"/>
          </w:tcPr>
          <w:p>
            <w:pPr>
              <w:spacing w:after="0" w:line="183" w:lineRule="exact"/>
              <w:rPr>
                <w:sz w:val="20"/>
                <w:szCs w:val="20"/>
                <w:color w:val="auto"/>
              </w:rPr>
            </w:pPr>
            <w:r>
              <w:rPr>
                <w:rFonts w:ascii="Arial" w:cs="Arial" w:eastAsia="Arial" w:hAnsi="Arial"/>
                <w:sz w:val="16"/>
                <w:szCs w:val="16"/>
                <w:b w:val="1"/>
                <w:bCs w:val="1"/>
                <w:color w:val="0000EE"/>
              </w:rPr>
              <w:t>Advisory Vote to Approve Executive Compensation</w:t>
            </w:r>
          </w:p>
        </w:tc>
        <w:tc>
          <w:tcPr>
            <w:tcW w:w="3920" w:type="dxa"/>
            <w:vAlign w:val="bottom"/>
            <w:gridSpan w:val="6"/>
          </w:tcPr>
          <w:p>
            <w:pPr>
              <w:spacing w:after="0"/>
              <w:rPr>
                <w:sz w:val="15"/>
                <w:szCs w:val="15"/>
                <w:color w:val="auto"/>
              </w:rPr>
            </w:pPr>
          </w:p>
        </w:tc>
        <w:tc>
          <w:tcPr>
            <w:tcW w:w="1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440" w:type="dxa"/>
            <w:vAlign w:val="bottom"/>
            <w:gridSpan w:val="26"/>
          </w:tcPr>
          <w:p>
            <w:pPr>
              <w:spacing w:after="0" w:line="169" w:lineRule="exact"/>
              <w:rPr>
                <w:sz w:val="20"/>
                <w:szCs w:val="20"/>
                <w:color w:val="auto"/>
              </w:rPr>
            </w:pPr>
            <w:r>
              <w:rPr>
                <w:rFonts w:ascii="Arial" w:cs="Arial" w:eastAsia="Arial" w:hAnsi="Arial"/>
                <w:sz w:val="16"/>
                <w:szCs w:val="16"/>
                <w:b w:val="1"/>
                <w:bCs w:val="1"/>
                <w:color w:val="1414D2"/>
              </w:rPr>
              <w:t>Compensation Discussion and Analysis</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60" w:type="dxa"/>
            <w:vAlign w:val="bottom"/>
          </w:tcPr>
          <w:p>
            <w:pPr>
              <w:jc w:val="right"/>
              <w:spacing w:after="0" w:line="169" w:lineRule="exact"/>
              <w:rPr>
                <w:sz w:val="20"/>
                <w:szCs w:val="20"/>
                <w:color w:val="auto"/>
              </w:rPr>
            </w:pPr>
            <w:r>
              <w:rPr>
                <w:rFonts w:ascii="Arial" w:cs="Arial" w:eastAsia="Arial" w:hAnsi="Arial"/>
                <w:sz w:val="16"/>
                <w:szCs w:val="16"/>
                <w:b w:val="1"/>
                <w:bCs w:val="1"/>
                <w:color w:val="1414D2"/>
              </w:rPr>
              <w:t>76</w:t>
            </w:r>
          </w:p>
        </w:tc>
        <w:tc>
          <w:tcPr>
            <w:tcW w:w="0" w:type="dxa"/>
            <w:vAlign w:val="bottom"/>
          </w:tcPr>
          <w:p>
            <w:pPr>
              <w:spacing w:after="0"/>
              <w:rPr>
                <w:sz w:val="1"/>
                <w:szCs w:val="1"/>
                <w:color w:val="auto"/>
              </w:rPr>
            </w:pPr>
          </w:p>
        </w:tc>
      </w:tr>
      <w:tr>
        <w:trPr>
          <w:trHeight w:val="169"/>
        </w:trPr>
        <w:tc>
          <w:tcPr>
            <w:tcW w:w="60" w:type="dxa"/>
            <w:vAlign w:val="bottom"/>
            <w:tcBorders>
              <w:top w:val="single" w:sz="8" w:color="1414D2"/>
            </w:tcBorders>
          </w:tcPr>
          <w:p>
            <w:pPr>
              <w:spacing w:after="0"/>
              <w:rPr>
                <w:sz w:val="14"/>
                <w:szCs w:val="14"/>
                <w:color w:val="auto"/>
              </w:rPr>
            </w:pPr>
          </w:p>
        </w:tc>
        <w:tc>
          <w:tcPr>
            <w:tcW w:w="120" w:type="dxa"/>
            <w:vAlign w:val="bottom"/>
            <w:tcBorders>
              <w:top w:val="single" w:sz="8" w:color="1414D2"/>
            </w:tcBorders>
          </w:tcPr>
          <w:p>
            <w:pPr>
              <w:spacing w:after="0"/>
              <w:rPr>
                <w:sz w:val="14"/>
                <w:szCs w:val="14"/>
                <w:color w:val="auto"/>
              </w:rPr>
            </w:pPr>
          </w:p>
        </w:tc>
        <w:tc>
          <w:tcPr>
            <w:tcW w:w="1500" w:type="dxa"/>
            <w:vAlign w:val="bottom"/>
            <w:tcBorders>
              <w:top w:val="single" w:sz="8" w:color="1414D2"/>
              <w:bottom w:val="single" w:sz="8" w:color="0000EE"/>
            </w:tcBorders>
            <w:gridSpan w:val="7"/>
          </w:tcPr>
          <w:p>
            <w:pPr>
              <w:spacing w:after="0" w:line="169" w:lineRule="exact"/>
              <w:rPr>
                <w:sz w:val="20"/>
                <w:szCs w:val="20"/>
                <w:color w:val="auto"/>
              </w:rPr>
            </w:pPr>
            <w:r>
              <w:rPr>
                <w:rFonts w:ascii="Arial" w:cs="Arial" w:eastAsia="Arial" w:hAnsi="Arial"/>
                <w:sz w:val="16"/>
                <w:szCs w:val="16"/>
                <w:color w:val="0000EE"/>
              </w:rPr>
              <w:t>Executive  Summary</w:t>
            </w:r>
          </w:p>
        </w:tc>
        <w:tc>
          <w:tcPr>
            <w:tcW w:w="1460" w:type="dxa"/>
            <w:vAlign w:val="bottom"/>
            <w:tcBorders>
              <w:top w:val="single" w:sz="8" w:color="1414D2"/>
            </w:tcBorders>
            <w:gridSpan w:val="10"/>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60" w:type="dxa"/>
            <w:vAlign w:val="bottom"/>
          </w:tcPr>
          <w:p>
            <w:pPr>
              <w:jc w:val="right"/>
              <w:spacing w:after="0" w:line="169" w:lineRule="exact"/>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80" w:type="dxa"/>
            <w:vAlign w:val="bottom"/>
            <w:tcBorders>
              <w:bottom w:val="single" w:sz="8" w:color="0000EE"/>
            </w:tcBorders>
            <w:gridSpan w:val="12"/>
          </w:tcPr>
          <w:p>
            <w:pPr>
              <w:spacing w:after="0" w:line="169" w:lineRule="exact"/>
              <w:rPr>
                <w:sz w:val="20"/>
                <w:szCs w:val="20"/>
                <w:color w:val="auto"/>
              </w:rPr>
            </w:pPr>
            <w:r>
              <w:rPr>
                <w:rFonts w:ascii="Arial" w:cs="Arial" w:eastAsia="Arial" w:hAnsi="Arial"/>
                <w:sz w:val="16"/>
                <w:szCs w:val="16"/>
                <w:color w:val="0000EE"/>
              </w:rPr>
              <w:t>Company  Performance  Update</w:t>
            </w:r>
          </w:p>
        </w:tc>
        <w:tc>
          <w:tcPr>
            <w:tcW w:w="5800" w:type="dxa"/>
            <w:vAlign w:val="bottom"/>
            <w:gridSpan w:val="18"/>
          </w:tcPr>
          <w:p>
            <w:pPr>
              <w:spacing w:after="0"/>
              <w:rPr>
                <w:sz w:val="14"/>
                <w:szCs w:val="14"/>
                <w:color w:val="auto"/>
              </w:rPr>
            </w:pPr>
          </w:p>
        </w:tc>
        <w:tc>
          <w:tcPr>
            <w:tcW w:w="1360" w:type="dxa"/>
            <w:vAlign w:val="bottom"/>
          </w:tcPr>
          <w:p>
            <w:pPr>
              <w:jc w:val="right"/>
              <w:spacing w:after="0" w:line="169" w:lineRule="exact"/>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180" w:type="dxa"/>
            <w:vAlign w:val="bottom"/>
            <w:gridSpan w:val="30"/>
          </w:tcPr>
          <w:p>
            <w:pPr>
              <w:spacing w:after="0" w:line="169" w:lineRule="exact"/>
              <w:rPr>
                <w:sz w:val="20"/>
                <w:szCs w:val="20"/>
                <w:color w:val="auto"/>
              </w:rPr>
            </w:pPr>
            <w:r>
              <w:rPr>
                <w:rFonts w:ascii="Arial" w:cs="Arial" w:eastAsia="Arial" w:hAnsi="Arial"/>
                <w:sz w:val="16"/>
                <w:szCs w:val="16"/>
                <w:color w:val="0000EE"/>
              </w:rPr>
              <w:t>Executive  Compensation  Program  Overview</w:t>
            </w:r>
          </w:p>
        </w:tc>
        <w:tc>
          <w:tcPr>
            <w:tcW w:w="1360" w:type="dxa"/>
            <w:vAlign w:val="bottom"/>
          </w:tcPr>
          <w:p>
            <w:pPr>
              <w:jc w:val="right"/>
              <w:spacing w:after="0" w:line="169" w:lineRule="exact"/>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340" w:type="dxa"/>
            <w:vAlign w:val="bottom"/>
            <w:tcBorders>
              <w:top w:val="single" w:sz="8" w:color="0000EE"/>
            </w:tcBorders>
            <w:gridSpan w:val="21"/>
          </w:tcPr>
          <w:p>
            <w:pPr>
              <w:spacing w:after="0" w:line="169" w:lineRule="exact"/>
              <w:rPr>
                <w:sz w:val="20"/>
                <w:szCs w:val="20"/>
                <w:color w:val="auto"/>
              </w:rPr>
            </w:pPr>
            <w:r>
              <w:rPr>
                <w:rFonts w:ascii="Arial" w:cs="Arial" w:eastAsia="Arial" w:hAnsi="Arial"/>
                <w:sz w:val="16"/>
                <w:szCs w:val="16"/>
                <w:color w:val="0000EE"/>
                <w:w w:val="98"/>
              </w:rPr>
              <w:t>Executive  Compensation  Setting  Governance</w:t>
            </w:r>
          </w:p>
        </w:tc>
        <w:tc>
          <w:tcPr>
            <w:tcW w:w="4840" w:type="dxa"/>
            <w:vAlign w:val="bottom"/>
            <w:gridSpan w:val="9"/>
          </w:tcPr>
          <w:p>
            <w:pPr>
              <w:ind w:left="120"/>
              <w:spacing w:after="0" w:line="169" w:lineRule="exact"/>
              <w:rPr>
                <w:sz w:val="20"/>
                <w:szCs w:val="20"/>
                <w:color w:val="auto"/>
              </w:rPr>
            </w:pPr>
            <w:r>
              <w:rPr>
                <w:rFonts w:ascii="Arial" w:cs="Arial" w:eastAsia="Arial" w:hAnsi="Arial"/>
                <w:sz w:val="16"/>
                <w:szCs w:val="16"/>
                <w:color w:val="0000EE"/>
              </w:rPr>
              <w:t>and  Process</w:t>
            </w:r>
          </w:p>
        </w:tc>
        <w:tc>
          <w:tcPr>
            <w:tcW w:w="1360" w:type="dxa"/>
            <w:vAlign w:val="bottom"/>
          </w:tcPr>
          <w:p>
            <w:pPr>
              <w:jc w:val="right"/>
              <w:spacing w:after="0" w:line="169" w:lineRule="exact"/>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360" w:type="dxa"/>
            <w:vAlign w:val="bottom"/>
            <w:tcBorders>
              <w:top w:val="single" w:sz="8" w:color="0000EE"/>
            </w:tcBorders>
            <w:gridSpan w:val="26"/>
          </w:tcPr>
          <w:p>
            <w:pPr>
              <w:spacing w:after="0" w:line="169" w:lineRule="exact"/>
              <w:rPr>
                <w:sz w:val="20"/>
                <w:szCs w:val="20"/>
                <w:color w:val="auto"/>
              </w:rPr>
            </w:pPr>
            <w:r>
              <w:rPr>
                <w:rFonts w:ascii="Arial" w:cs="Arial" w:eastAsia="Arial" w:hAnsi="Arial"/>
                <w:sz w:val="16"/>
                <w:szCs w:val="16"/>
                <w:color w:val="0000EE"/>
              </w:rPr>
              <w:t>2025  Compensation  Program  Design</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60" w:type="dxa"/>
            <w:vAlign w:val="bottom"/>
          </w:tcPr>
          <w:p>
            <w:pPr>
              <w:jc w:val="right"/>
              <w:spacing w:after="0" w:line="169" w:lineRule="exact"/>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60" w:type="dxa"/>
            <w:vAlign w:val="bottom"/>
            <w:vMerge w:val="restart"/>
          </w:tcPr>
          <w:p>
            <w:pPr>
              <w:jc w:val="right"/>
              <w:spacing w:after="0"/>
              <w:rPr>
                <w:sz w:val="20"/>
                <w:szCs w:val="20"/>
                <w:color w:val="auto"/>
              </w:rPr>
            </w:pPr>
            <w:r>
              <w:rPr>
                <w:rFonts w:ascii="Arial" w:cs="Arial" w:eastAsia="Arial" w:hAnsi="Arial"/>
                <w:sz w:val="16"/>
                <w:szCs w:val="16"/>
                <w:color w:val="auto"/>
              </w:rPr>
              <w:t>106</w:t>
            </w:r>
          </w:p>
        </w:tc>
        <w:tc>
          <w:tcPr>
            <w:tcW w:w="0" w:type="dxa"/>
            <w:vAlign w:val="bottom"/>
          </w:tcPr>
          <w:p>
            <w:pPr>
              <w:spacing w:after="0" w:line="20" w:lineRule="exact"/>
              <w:rPr>
                <w:sz w:val="1"/>
                <w:szCs w:val="1"/>
                <w:color w:val="auto"/>
              </w:rPr>
            </w:pPr>
          </w:p>
        </w:tc>
      </w:tr>
      <w:tr>
        <w:trPr>
          <w:trHeight w:val="169"/>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180" w:type="dxa"/>
            <w:vAlign w:val="bottom"/>
            <w:gridSpan w:val="30"/>
          </w:tcPr>
          <w:p>
            <w:pPr>
              <w:spacing w:after="0" w:line="169" w:lineRule="exact"/>
              <w:rPr>
                <w:sz w:val="20"/>
                <w:szCs w:val="20"/>
                <w:color w:val="auto"/>
              </w:rPr>
            </w:pPr>
            <w:r>
              <w:rPr>
                <w:rFonts w:ascii="Arial" w:cs="Arial" w:eastAsia="Arial" w:hAnsi="Arial"/>
                <w:sz w:val="16"/>
                <w:szCs w:val="16"/>
                <w:color w:val="0000EE"/>
              </w:rPr>
              <w:t>Other  Elements  of  the  Executive  Compensation  Program</w:t>
            </w: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300" w:type="dxa"/>
            <w:vAlign w:val="bottom"/>
            <w:tcBorders>
              <w:top w:val="single" w:sz="8" w:color="0000EE"/>
            </w:tcBorders>
            <w:gridSpan w:val="25"/>
          </w:tcPr>
          <w:p>
            <w:pPr>
              <w:spacing w:after="0" w:line="169" w:lineRule="exact"/>
              <w:rPr>
                <w:sz w:val="20"/>
                <w:szCs w:val="20"/>
                <w:color w:val="auto"/>
              </w:rPr>
            </w:pPr>
            <w:r>
              <w:rPr>
                <w:rFonts w:ascii="Arial" w:cs="Arial" w:eastAsia="Arial" w:hAnsi="Arial"/>
                <w:sz w:val="16"/>
                <w:szCs w:val="16"/>
                <w:color w:val="0000EE"/>
              </w:rPr>
              <w:t>Signifcant  Compensation  Policies  and  Other  Information</w:t>
            </w:r>
          </w:p>
        </w:tc>
        <w:tc>
          <w:tcPr>
            <w:tcW w:w="3880" w:type="dxa"/>
            <w:vAlign w:val="bottom"/>
            <w:gridSpan w:val="5"/>
          </w:tcPr>
          <w:p>
            <w:pPr>
              <w:ind w:left="80"/>
              <w:spacing w:after="0" w:line="169" w:lineRule="exact"/>
              <w:rPr>
                <w:sz w:val="20"/>
                <w:szCs w:val="20"/>
                <w:color w:val="auto"/>
              </w:rPr>
            </w:pPr>
            <w:r>
              <w:rPr>
                <w:rFonts w:ascii="Arial" w:cs="Arial" w:eastAsia="Arial" w:hAnsi="Arial"/>
                <w:sz w:val="16"/>
                <w:szCs w:val="16"/>
                <w:color w:val="0000EE"/>
              </w:rPr>
              <w:t>Regarding  Executive  Compensation</w:t>
            </w:r>
          </w:p>
        </w:tc>
        <w:tc>
          <w:tcPr>
            <w:tcW w:w="1360" w:type="dxa"/>
            <w:vAlign w:val="bottom"/>
          </w:tcPr>
          <w:p>
            <w:pPr>
              <w:jc w:val="right"/>
              <w:spacing w:after="0" w:line="169" w:lineRule="exact"/>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80" w:type="dxa"/>
            <w:vAlign w:val="bottom"/>
            <w:tcBorders>
              <w:top w:val="single" w:sz="8" w:color="0000EE"/>
            </w:tcBorders>
            <w:gridSpan w:val="29"/>
          </w:tcPr>
          <w:p>
            <w:pPr>
              <w:spacing w:after="0" w:line="169" w:lineRule="exact"/>
              <w:rPr>
                <w:sz w:val="20"/>
                <w:szCs w:val="20"/>
                <w:color w:val="auto"/>
              </w:rPr>
            </w:pPr>
            <w:r>
              <w:rPr>
                <w:rFonts w:ascii="Arial" w:cs="Arial" w:eastAsia="Arial" w:hAnsi="Arial"/>
                <w:sz w:val="16"/>
                <w:szCs w:val="16"/>
                <w:b w:val="1"/>
                <w:bCs w:val="1"/>
                <w:color w:val="1414D2"/>
              </w:rPr>
              <w:t>Compensation Committee Report</w:t>
            </w:r>
          </w:p>
        </w:tc>
        <w:tc>
          <w:tcPr>
            <w:tcW w:w="1100" w:type="dxa"/>
            <w:vAlign w:val="bottom"/>
          </w:tcPr>
          <w:p>
            <w:pPr>
              <w:spacing w:after="0"/>
              <w:rPr>
                <w:sz w:val="14"/>
                <w:szCs w:val="14"/>
                <w:color w:val="auto"/>
              </w:rPr>
            </w:pPr>
          </w:p>
        </w:tc>
        <w:tc>
          <w:tcPr>
            <w:tcW w:w="1360" w:type="dxa"/>
            <w:vAlign w:val="bottom"/>
          </w:tcPr>
          <w:p>
            <w:pPr>
              <w:jc w:val="right"/>
              <w:spacing w:after="0" w:line="169" w:lineRule="exact"/>
              <w:rPr>
                <w:sz w:val="20"/>
                <w:szCs w:val="20"/>
                <w:color w:val="auto"/>
              </w:rPr>
            </w:pPr>
            <w:r>
              <w:rPr>
                <w:rFonts w:ascii="Arial" w:cs="Arial" w:eastAsia="Arial" w:hAnsi="Arial"/>
                <w:sz w:val="16"/>
                <w:szCs w:val="16"/>
                <w:b w:val="1"/>
                <w:bCs w:val="1"/>
                <w:color w:val="1414D2"/>
              </w:rPr>
              <w:t>110</w:t>
            </w:r>
          </w:p>
        </w:tc>
        <w:tc>
          <w:tcPr>
            <w:tcW w:w="0" w:type="dxa"/>
            <w:vAlign w:val="bottom"/>
          </w:tcPr>
          <w:p>
            <w:pPr>
              <w:spacing w:after="0"/>
              <w:rPr>
                <w:sz w:val="1"/>
                <w:szCs w:val="1"/>
                <w:color w:val="auto"/>
              </w:rPr>
            </w:pPr>
          </w:p>
        </w:tc>
      </w:tr>
      <w:tr>
        <w:trPr>
          <w:trHeight w:val="169"/>
        </w:trPr>
        <w:tc>
          <w:tcPr>
            <w:tcW w:w="2720" w:type="dxa"/>
            <w:vAlign w:val="bottom"/>
            <w:tcBorders>
              <w:top w:val="single" w:sz="8" w:color="1414D2"/>
            </w:tcBorders>
            <w:gridSpan w:val="15"/>
          </w:tcPr>
          <w:p>
            <w:pPr>
              <w:spacing w:after="0" w:line="169" w:lineRule="exact"/>
              <w:rPr>
                <w:sz w:val="20"/>
                <w:szCs w:val="20"/>
                <w:color w:val="auto"/>
              </w:rPr>
            </w:pPr>
            <w:r>
              <w:rPr>
                <w:rFonts w:ascii="Arial" w:cs="Arial" w:eastAsia="Arial" w:hAnsi="Arial"/>
                <w:sz w:val="16"/>
                <w:szCs w:val="16"/>
                <w:b w:val="1"/>
                <w:bCs w:val="1"/>
                <w:color w:val="1414D2"/>
              </w:rPr>
              <w:t>Executive Compensation Tables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gridSpan w:val="2"/>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gridSpan w:val="4"/>
          </w:tcPr>
          <w:p>
            <w:pPr>
              <w:spacing w:after="0"/>
              <w:rPr>
                <w:sz w:val="14"/>
                <w:szCs w:val="14"/>
                <w:color w:val="auto"/>
              </w:rPr>
            </w:pPr>
          </w:p>
        </w:tc>
        <w:tc>
          <w:tcPr>
            <w:tcW w:w="340" w:type="dxa"/>
            <w:vAlign w:val="bottom"/>
          </w:tcPr>
          <w:p>
            <w:pPr>
              <w:spacing w:after="0"/>
              <w:rPr>
                <w:sz w:val="14"/>
                <w:szCs w:val="14"/>
                <w:color w:val="auto"/>
              </w:rPr>
            </w:pPr>
          </w:p>
        </w:tc>
        <w:tc>
          <w:tcPr>
            <w:tcW w:w="3340" w:type="dxa"/>
            <w:vAlign w:val="bottom"/>
            <w:gridSpan w:val="2"/>
          </w:tcPr>
          <w:p>
            <w:pPr>
              <w:spacing w:after="0"/>
              <w:rPr>
                <w:sz w:val="14"/>
                <w:szCs w:val="14"/>
                <w:color w:val="auto"/>
              </w:rPr>
            </w:pPr>
          </w:p>
        </w:tc>
        <w:tc>
          <w:tcPr>
            <w:tcW w:w="1360" w:type="dxa"/>
            <w:vAlign w:val="bottom"/>
          </w:tcPr>
          <w:p>
            <w:pPr>
              <w:jc w:val="right"/>
              <w:spacing w:after="0" w:line="169" w:lineRule="exact"/>
              <w:rPr>
                <w:sz w:val="20"/>
                <w:szCs w:val="20"/>
                <w:color w:val="auto"/>
              </w:rPr>
            </w:pPr>
            <w:r>
              <w:rPr>
                <w:rFonts w:ascii="Arial" w:cs="Arial" w:eastAsia="Arial" w:hAnsi="Arial"/>
                <w:sz w:val="16"/>
                <w:szCs w:val="16"/>
                <w:b w:val="1"/>
                <w:bCs w:val="1"/>
                <w:color w:val="1414D2"/>
              </w:rPr>
              <w:t>111</w:t>
            </w:r>
          </w:p>
        </w:tc>
        <w:tc>
          <w:tcPr>
            <w:tcW w:w="0" w:type="dxa"/>
            <w:vAlign w:val="bottom"/>
          </w:tcPr>
          <w:p>
            <w:pPr>
              <w:spacing w:after="0"/>
              <w:rPr>
                <w:sz w:val="1"/>
                <w:szCs w:val="1"/>
                <w:color w:val="auto"/>
              </w:rPr>
            </w:pPr>
          </w:p>
        </w:tc>
      </w:tr>
      <w:tr>
        <w:trPr>
          <w:trHeight w:val="169"/>
        </w:trPr>
        <w:tc>
          <w:tcPr>
            <w:tcW w:w="60" w:type="dxa"/>
            <w:vAlign w:val="bottom"/>
            <w:tcBorders>
              <w:top w:val="single" w:sz="8" w:color="1414D2"/>
            </w:tcBorders>
          </w:tcPr>
          <w:p>
            <w:pPr>
              <w:spacing w:after="0"/>
              <w:rPr>
                <w:sz w:val="14"/>
                <w:szCs w:val="14"/>
                <w:color w:val="auto"/>
              </w:rPr>
            </w:pPr>
          </w:p>
        </w:tc>
        <w:tc>
          <w:tcPr>
            <w:tcW w:w="120" w:type="dxa"/>
            <w:vAlign w:val="bottom"/>
            <w:tcBorders>
              <w:top w:val="single" w:sz="8" w:color="1414D2"/>
            </w:tcBorders>
          </w:tcPr>
          <w:p>
            <w:pPr>
              <w:spacing w:after="0"/>
              <w:rPr>
                <w:sz w:val="14"/>
                <w:szCs w:val="14"/>
                <w:color w:val="auto"/>
              </w:rPr>
            </w:pPr>
          </w:p>
        </w:tc>
        <w:tc>
          <w:tcPr>
            <w:tcW w:w="2360" w:type="dxa"/>
            <w:vAlign w:val="bottom"/>
            <w:tcBorders>
              <w:top w:val="single" w:sz="8" w:color="1414D2"/>
            </w:tcBorders>
            <w:gridSpan w:val="11"/>
          </w:tcPr>
          <w:p>
            <w:pPr>
              <w:spacing w:after="0" w:line="169" w:lineRule="exact"/>
              <w:rPr>
                <w:sz w:val="20"/>
                <w:szCs w:val="20"/>
                <w:color w:val="auto"/>
              </w:rPr>
            </w:pPr>
            <w:r>
              <w:rPr>
                <w:rFonts w:ascii="Arial" w:cs="Arial" w:eastAsia="Arial" w:hAnsi="Arial"/>
                <w:sz w:val="16"/>
                <w:szCs w:val="16"/>
                <w:color w:val="0000EE"/>
              </w:rPr>
              <w:t>2025  Summary  Compensation</w:t>
            </w:r>
          </w:p>
        </w:tc>
        <w:tc>
          <w:tcPr>
            <w:tcW w:w="5820" w:type="dxa"/>
            <w:vAlign w:val="bottom"/>
            <w:gridSpan w:val="19"/>
          </w:tcPr>
          <w:p>
            <w:pPr>
              <w:spacing w:after="0" w:line="169" w:lineRule="exact"/>
              <w:rPr>
                <w:sz w:val="20"/>
                <w:szCs w:val="20"/>
                <w:color w:val="auto"/>
              </w:rPr>
            </w:pPr>
            <w:r>
              <w:rPr>
                <w:rFonts w:ascii="Arial" w:cs="Arial" w:eastAsia="Arial" w:hAnsi="Arial"/>
                <w:sz w:val="16"/>
                <w:szCs w:val="16"/>
                <w:color w:val="0000EE"/>
              </w:rPr>
              <w:t>Table</w:t>
            </w:r>
          </w:p>
        </w:tc>
        <w:tc>
          <w:tcPr>
            <w:tcW w:w="1360" w:type="dxa"/>
            <w:vAlign w:val="bottom"/>
          </w:tcPr>
          <w:p>
            <w:pPr>
              <w:jc w:val="right"/>
              <w:spacing w:after="0" w:line="169" w:lineRule="exact"/>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1360" w:type="dxa"/>
            <w:vAlign w:val="bottom"/>
            <w:vMerge w:val="restart"/>
          </w:tcPr>
          <w:p>
            <w:pPr>
              <w:jc w:val="right"/>
              <w:spacing w:after="0"/>
              <w:rPr>
                <w:sz w:val="20"/>
                <w:szCs w:val="20"/>
                <w:color w:val="auto"/>
              </w:rPr>
            </w:pPr>
            <w:r>
              <w:rPr>
                <w:rFonts w:ascii="Arial" w:cs="Arial" w:eastAsia="Arial" w:hAnsi="Arial"/>
                <w:sz w:val="16"/>
                <w:szCs w:val="16"/>
                <w:color w:val="auto"/>
              </w:rPr>
              <w:t>114</w:t>
            </w:r>
          </w:p>
        </w:tc>
        <w:tc>
          <w:tcPr>
            <w:tcW w:w="0" w:type="dxa"/>
            <w:vAlign w:val="bottom"/>
          </w:tcPr>
          <w:p>
            <w:pPr>
              <w:spacing w:after="0" w:line="20" w:lineRule="exact"/>
              <w:rPr>
                <w:sz w:val="1"/>
                <w:szCs w:val="1"/>
                <w:color w:val="auto"/>
              </w:rPr>
            </w:pPr>
          </w:p>
        </w:tc>
      </w:tr>
      <w:tr>
        <w:trPr>
          <w:trHeight w:val="169"/>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180" w:type="dxa"/>
            <w:vAlign w:val="bottom"/>
            <w:gridSpan w:val="30"/>
          </w:tcPr>
          <w:p>
            <w:pPr>
              <w:spacing w:after="0" w:line="169" w:lineRule="exact"/>
              <w:rPr>
                <w:sz w:val="20"/>
                <w:szCs w:val="20"/>
                <w:color w:val="auto"/>
              </w:rPr>
            </w:pPr>
            <w:r>
              <w:rPr>
                <w:rFonts w:ascii="Arial" w:cs="Arial" w:eastAsia="Arial" w:hAnsi="Arial"/>
                <w:sz w:val="16"/>
                <w:szCs w:val="16"/>
                <w:color w:val="0000EE"/>
              </w:rPr>
              <w:t>Grants  of  Plan-Based  Awards  for  2025</w:t>
            </w: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1360" w:type="dxa"/>
            <w:vAlign w:val="bottom"/>
            <w:vMerge w:val="restart"/>
          </w:tcPr>
          <w:p>
            <w:pPr>
              <w:jc w:val="right"/>
              <w:spacing w:after="0"/>
              <w:rPr>
                <w:sz w:val="20"/>
                <w:szCs w:val="20"/>
                <w:color w:val="auto"/>
              </w:rPr>
            </w:pPr>
            <w:r>
              <w:rPr>
                <w:rFonts w:ascii="Arial" w:cs="Arial" w:eastAsia="Arial" w:hAnsi="Arial"/>
                <w:sz w:val="16"/>
                <w:szCs w:val="16"/>
                <w:color w:val="auto"/>
              </w:rPr>
              <w:t>116</w:t>
            </w:r>
          </w:p>
        </w:tc>
        <w:tc>
          <w:tcPr>
            <w:tcW w:w="0" w:type="dxa"/>
            <w:vAlign w:val="bottom"/>
          </w:tcPr>
          <w:p>
            <w:pPr>
              <w:spacing w:after="0" w:line="20" w:lineRule="exact"/>
              <w:rPr>
                <w:sz w:val="1"/>
                <w:szCs w:val="1"/>
                <w:color w:val="auto"/>
              </w:rPr>
            </w:pPr>
          </w:p>
        </w:tc>
      </w:tr>
      <w:tr>
        <w:trPr>
          <w:trHeight w:val="169"/>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180" w:type="dxa"/>
            <w:vAlign w:val="bottom"/>
            <w:gridSpan w:val="30"/>
          </w:tcPr>
          <w:p>
            <w:pPr>
              <w:spacing w:after="0" w:line="169" w:lineRule="exact"/>
              <w:rPr>
                <w:sz w:val="20"/>
                <w:szCs w:val="20"/>
                <w:color w:val="auto"/>
              </w:rPr>
            </w:pPr>
            <w:r>
              <w:rPr>
                <w:rFonts w:ascii="Arial" w:cs="Arial" w:eastAsia="Arial" w:hAnsi="Arial"/>
                <w:sz w:val="16"/>
                <w:szCs w:val="16"/>
                <w:color w:val="0000EE"/>
              </w:rPr>
              <w:t>Outstanding  Equity  Awards  at  2025  Fiscal  Year-End</w:t>
            </w: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60" w:type="dxa"/>
            <w:vAlign w:val="bottom"/>
            <w:tcBorders>
              <w:top w:val="single" w:sz="8" w:color="0000EE"/>
            </w:tcBorders>
            <w:gridSpan w:val="23"/>
          </w:tcPr>
          <w:p>
            <w:pPr>
              <w:spacing w:after="0" w:line="169" w:lineRule="exact"/>
              <w:rPr>
                <w:sz w:val="20"/>
                <w:szCs w:val="20"/>
                <w:color w:val="auto"/>
              </w:rPr>
            </w:pPr>
            <w:r>
              <w:rPr>
                <w:rFonts w:ascii="Arial" w:cs="Arial" w:eastAsia="Arial" w:hAnsi="Arial"/>
                <w:sz w:val="16"/>
                <w:szCs w:val="16"/>
                <w:color w:val="0000EE"/>
              </w:rPr>
              <w:t>Option  Exercises  and  Stock  Vested  for  2025</w:t>
            </w:r>
          </w:p>
        </w:tc>
        <w:tc>
          <w:tcPr>
            <w:tcW w:w="640" w:type="dxa"/>
            <w:vAlign w:val="bottom"/>
            <w:gridSpan w:val="4"/>
          </w:tcPr>
          <w:p>
            <w:pPr>
              <w:spacing w:after="0"/>
              <w:rPr>
                <w:sz w:val="14"/>
                <w:szCs w:val="14"/>
                <w:color w:val="auto"/>
              </w:rPr>
            </w:pPr>
          </w:p>
        </w:tc>
        <w:tc>
          <w:tcPr>
            <w:tcW w:w="340" w:type="dxa"/>
            <w:vAlign w:val="bottom"/>
          </w:tcPr>
          <w:p>
            <w:pPr>
              <w:spacing w:after="0"/>
              <w:rPr>
                <w:sz w:val="14"/>
                <w:szCs w:val="14"/>
                <w:color w:val="auto"/>
              </w:rPr>
            </w:pPr>
          </w:p>
        </w:tc>
        <w:tc>
          <w:tcPr>
            <w:tcW w:w="3340" w:type="dxa"/>
            <w:vAlign w:val="bottom"/>
            <w:gridSpan w:val="2"/>
          </w:tcPr>
          <w:p>
            <w:pPr>
              <w:spacing w:after="0"/>
              <w:rPr>
                <w:sz w:val="14"/>
                <w:szCs w:val="14"/>
                <w:color w:val="auto"/>
              </w:rPr>
            </w:pPr>
          </w:p>
        </w:tc>
        <w:tc>
          <w:tcPr>
            <w:tcW w:w="1360" w:type="dxa"/>
            <w:vAlign w:val="bottom"/>
          </w:tcPr>
          <w:p>
            <w:pPr>
              <w:jc w:val="right"/>
              <w:spacing w:after="0" w:line="169" w:lineRule="exact"/>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80" w:type="dxa"/>
            <w:vAlign w:val="bottom"/>
            <w:tcBorders>
              <w:top w:val="single" w:sz="8" w:color="0000EE"/>
            </w:tcBorders>
            <w:gridSpan w:val="18"/>
          </w:tcPr>
          <w:p>
            <w:pPr>
              <w:spacing w:after="0" w:line="169" w:lineRule="exact"/>
              <w:rPr>
                <w:sz w:val="20"/>
                <w:szCs w:val="20"/>
                <w:color w:val="auto"/>
              </w:rPr>
            </w:pPr>
            <w:r>
              <w:rPr>
                <w:rFonts w:ascii="Arial" w:cs="Arial" w:eastAsia="Arial" w:hAnsi="Arial"/>
                <w:sz w:val="16"/>
                <w:szCs w:val="16"/>
                <w:color w:val="0000EE"/>
              </w:rPr>
              <w:t>2025  Pension  Benefts  Table</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gridSpan w:val="2"/>
          </w:tcPr>
          <w:p>
            <w:pPr>
              <w:spacing w:after="0"/>
              <w:rPr>
                <w:sz w:val="14"/>
                <w:szCs w:val="14"/>
                <w:color w:val="auto"/>
              </w:rPr>
            </w:pPr>
          </w:p>
        </w:tc>
        <w:tc>
          <w:tcPr>
            <w:tcW w:w="900" w:type="dxa"/>
            <w:vAlign w:val="bottom"/>
            <w:gridSpan w:val="5"/>
          </w:tcPr>
          <w:p>
            <w:pPr>
              <w:spacing w:after="0"/>
              <w:rPr>
                <w:sz w:val="14"/>
                <w:szCs w:val="14"/>
                <w:color w:val="auto"/>
              </w:rPr>
            </w:pPr>
          </w:p>
        </w:tc>
        <w:tc>
          <w:tcPr>
            <w:tcW w:w="340" w:type="dxa"/>
            <w:vAlign w:val="bottom"/>
          </w:tcPr>
          <w:p>
            <w:pPr>
              <w:spacing w:after="0"/>
              <w:rPr>
                <w:sz w:val="14"/>
                <w:szCs w:val="14"/>
                <w:color w:val="auto"/>
              </w:rPr>
            </w:pPr>
          </w:p>
        </w:tc>
        <w:tc>
          <w:tcPr>
            <w:tcW w:w="3340" w:type="dxa"/>
            <w:vAlign w:val="bottom"/>
            <w:gridSpan w:val="2"/>
          </w:tcPr>
          <w:p>
            <w:pPr>
              <w:spacing w:after="0"/>
              <w:rPr>
                <w:sz w:val="14"/>
                <w:szCs w:val="14"/>
                <w:color w:val="auto"/>
              </w:rPr>
            </w:pPr>
          </w:p>
        </w:tc>
        <w:tc>
          <w:tcPr>
            <w:tcW w:w="1360" w:type="dxa"/>
            <w:vAlign w:val="bottom"/>
          </w:tcPr>
          <w:p>
            <w:pPr>
              <w:jc w:val="right"/>
              <w:spacing w:after="0" w:line="169" w:lineRule="exact"/>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tcBorders>
              <w:top w:val="single" w:sz="8" w:color="0000EE"/>
            </w:tcBorders>
            <w:gridSpan w:val="9"/>
          </w:tcPr>
          <w:p>
            <w:pPr>
              <w:spacing w:after="0" w:line="169" w:lineRule="exact"/>
              <w:rPr>
                <w:sz w:val="20"/>
                <w:szCs w:val="20"/>
                <w:color w:val="auto"/>
              </w:rPr>
            </w:pPr>
            <w:r>
              <w:rPr>
                <w:rFonts w:ascii="Arial" w:cs="Arial" w:eastAsia="Arial" w:hAnsi="Arial"/>
                <w:sz w:val="16"/>
                <w:szCs w:val="16"/>
                <w:color w:val="0000EE"/>
                <w:w w:val="97"/>
              </w:rPr>
              <w:t>Narrative  to  Pension  Benefts</w:t>
            </w:r>
          </w:p>
        </w:tc>
        <w:tc>
          <w:tcPr>
            <w:tcW w:w="60" w:type="dxa"/>
            <w:vAlign w:val="bottom"/>
          </w:tcPr>
          <w:p>
            <w:pPr>
              <w:spacing w:after="0"/>
              <w:rPr>
                <w:sz w:val="14"/>
                <w:szCs w:val="14"/>
                <w:color w:val="auto"/>
              </w:rPr>
            </w:pPr>
          </w:p>
        </w:tc>
        <w:tc>
          <w:tcPr>
            <w:tcW w:w="5980" w:type="dxa"/>
            <w:vAlign w:val="bottom"/>
            <w:gridSpan w:val="20"/>
          </w:tcPr>
          <w:p>
            <w:pPr>
              <w:ind w:left="60"/>
              <w:spacing w:after="0" w:line="169" w:lineRule="exact"/>
              <w:rPr>
                <w:sz w:val="20"/>
                <w:szCs w:val="20"/>
                <w:color w:val="auto"/>
              </w:rPr>
            </w:pPr>
            <w:r>
              <w:rPr>
                <w:rFonts w:ascii="Arial" w:cs="Arial" w:eastAsia="Arial" w:hAnsi="Arial"/>
                <w:sz w:val="16"/>
                <w:szCs w:val="16"/>
                <w:color w:val="0000EE"/>
              </w:rPr>
              <w:t>Table</w:t>
            </w:r>
          </w:p>
        </w:tc>
        <w:tc>
          <w:tcPr>
            <w:tcW w:w="1360" w:type="dxa"/>
            <w:vAlign w:val="bottom"/>
          </w:tcPr>
          <w:p>
            <w:pPr>
              <w:jc w:val="right"/>
              <w:spacing w:after="0" w:line="169" w:lineRule="exact"/>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60" w:type="dxa"/>
            <w:vAlign w:val="bottom"/>
            <w:tcBorders>
              <w:top w:val="single" w:sz="8" w:color="0000EE"/>
            </w:tcBorders>
            <w:gridSpan w:val="14"/>
          </w:tcPr>
          <w:p>
            <w:pPr>
              <w:spacing w:after="0" w:line="169" w:lineRule="exact"/>
              <w:rPr>
                <w:sz w:val="20"/>
                <w:szCs w:val="20"/>
                <w:color w:val="auto"/>
              </w:rPr>
            </w:pPr>
            <w:r>
              <w:rPr>
                <w:rFonts w:ascii="Arial" w:cs="Arial" w:eastAsia="Arial" w:hAnsi="Arial"/>
                <w:sz w:val="16"/>
                <w:szCs w:val="16"/>
                <w:color w:val="0000EE"/>
                <w:w w:val="94"/>
              </w:rPr>
              <w:t>Potential  Payments  upon  Termination</w:t>
            </w:r>
          </w:p>
        </w:tc>
        <w:tc>
          <w:tcPr>
            <w:tcW w:w="5520" w:type="dxa"/>
            <w:vAlign w:val="bottom"/>
            <w:gridSpan w:val="16"/>
          </w:tcPr>
          <w:p>
            <w:pPr>
              <w:ind w:left="260"/>
              <w:spacing w:after="0" w:line="169" w:lineRule="exact"/>
              <w:rPr>
                <w:sz w:val="20"/>
                <w:szCs w:val="20"/>
                <w:color w:val="auto"/>
              </w:rPr>
            </w:pPr>
            <w:r>
              <w:rPr>
                <w:rFonts w:ascii="Arial" w:cs="Arial" w:eastAsia="Arial" w:hAnsi="Arial"/>
                <w:sz w:val="16"/>
                <w:szCs w:val="16"/>
                <w:color w:val="0000EE"/>
              </w:rPr>
              <w:t>or  Change  in  Control</w:t>
            </w:r>
          </w:p>
        </w:tc>
        <w:tc>
          <w:tcPr>
            <w:tcW w:w="1360" w:type="dxa"/>
            <w:vAlign w:val="bottom"/>
          </w:tcPr>
          <w:p>
            <w:pPr>
              <w:jc w:val="right"/>
              <w:spacing w:after="0" w:line="169" w:lineRule="exact"/>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500" w:type="dxa"/>
            <w:vAlign w:val="bottom"/>
            <w:tcBorders>
              <w:top w:val="single" w:sz="8" w:color="0000EE"/>
            </w:tcBorders>
            <w:gridSpan w:val="27"/>
          </w:tcPr>
          <w:p>
            <w:pPr>
              <w:spacing w:after="0" w:line="169" w:lineRule="exact"/>
              <w:rPr>
                <w:sz w:val="20"/>
                <w:szCs w:val="20"/>
                <w:color w:val="auto"/>
              </w:rPr>
            </w:pPr>
            <w:r>
              <w:rPr>
                <w:rFonts w:ascii="Arial" w:cs="Arial" w:eastAsia="Arial" w:hAnsi="Arial"/>
                <w:sz w:val="16"/>
                <w:szCs w:val="16"/>
                <w:color w:val="0000EE"/>
              </w:rPr>
              <w:t>Potential  Payments  upon  Termination  Table</w:t>
            </w:r>
          </w:p>
        </w:tc>
        <w:tc>
          <w:tcPr>
            <w:tcW w:w="340" w:type="dxa"/>
            <w:vAlign w:val="bottom"/>
          </w:tcPr>
          <w:p>
            <w:pPr>
              <w:spacing w:after="0"/>
              <w:rPr>
                <w:sz w:val="14"/>
                <w:szCs w:val="14"/>
                <w:color w:val="auto"/>
              </w:rPr>
            </w:pPr>
          </w:p>
        </w:tc>
        <w:tc>
          <w:tcPr>
            <w:tcW w:w="3340" w:type="dxa"/>
            <w:vAlign w:val="bottom"/>
            <w:gridSpan w:val="2"/>
          </w:tcPr>
          <w:p>
            <w:pPr>
              <w:spacing w:after="0"/>
              <w:rPr>
                <w:sz w:val="14"/>
                <w:szCs w:val="14"/>
                <w:color w:val="auto"/>
              </w:rPr>
            </w:pPr>
          </w:p>
        </w:tc>
        <w:tc>
          <w:tcPr>
            <w:tcW w:w="1360" w:type="dxa"/>
            <w:vAlign w:val="bottom"/>
          </w:tcPr>
          <w:p>
            <w:pPr>
              <w:jc w:val="right"/>
              <w:spacing w:after="0" w:line="169" w:lineRule="exact"/>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320" w:type="dxa"/>
            <w:vAlign w:val="bottom"/>
            <w:tcBorders>
              <w:top w:val="single" w:sz="8" w:color="0000EE"/>
            </w:tcBorders>
            <w:gridSpan w:val="20"/>
          </w:tcPr>
          <w:p>
            <w:pPr>
              <w:spacing w:after="0" w:line="169" w:lineRule="exact"/>
              <w:rPr>
                <w:sz w:val="20"/>
                <w:szCs w:val="20"/>
                <w:color w:val="auto"/>
              </w:rPr>
            </w:pPr>
            <w:r>
              <w:rPr>
                <w:rFonts w:ascii="Arial" w:cs="Arial" w:eastAsia="Arial" w:hAnsi="Arial"/>
                <w:sz w:val="16"/>
                <w:szCs w:val="16"/>
                <w:color w:val="0000EE"/>
              </w:rPr>
              <w:t>2025  CEO  Pay  Ratio</w:t>
            </w:r>
          </w:p>
        </w:tc>
        <w:tc>
          <w:tcPr>
            <w:tcW w:w="280" w:type="dxa"/>
            <w:vAlign w:val="bottom"/>
            <w:gridSpan w:val="2"/>
          </w:tcPr>
          <w:p>
            <w:pPr>
              <w:spacing w:after="0"/>
              <w:rPr>
                <w:sz w:val="14"/>
                <w:szCs w:val="14"/>
                <w:color w:val="auto"/>
              </w:rPr>
            </w:pPr>
          </w:p>
        </w:tc>
        <w:tc>
          <w:tcPr>
            <w:tcW w:w="1240" w:type="dxa"/>
            <w:vAlign w:val="bottom"/>
            <w:gridSpan w:val="6"/>
          </w:tcPr>
          <w:p>
            <w:pPr>
              <w:spacing w:after="0"/>
              <w:rPr>
                <w:sz w:val="14"/>
                <w:szCs w:val="14"/>
                <w:color w:val="auto"/>
              </w:rPr>
            </w:pPr>
          </w:p>
        </w:tc>
        <w:tc>
          <w:tcPr>
            <w:tcW w:w="3340" w:type="dxa"/>
            <w:vAlign w:val="bottom"/>
            <w:gridSpan w:val="2"/>
          </w:tcPr>
          <w:p>
            <w:pPr>
              <w:spacing w:after="0"/>
              <w:rPr>
                <w:sz w:val="14"/>
                <w:szCs w:val="14"/>
                <w:color w:val="auto"/>
              </w:rPr>
            </w:pPr>
          </w:p>
        </w:tc>
        <w:tc>
          <w:tcPr>
            <w:tcW w:w="1360" w:type="dxa"/>
            <w:vAlign w:val="bottom"/>
          </w:tcPr>
          <w:p>
            <w:pPr>
              <w:jc w:val="right"/>
              <w:spacing w:after="0" w:line="169" w:lineRule="exact"/>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100" w:type="dxa"/>
            <w:vAlign w:val="bottom"/>
            <w:gridSpan w:val="9"/>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40" w:type="dxa"/>
            <w:vAlign w:val="bottom"/>
            <w:gridSpan w:val="6"/>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1360" w:type="dxa"/>
            <w:vAlign w:val="bottom"/>
            <w:vMerge w:val="restart"/>
          </w:tcPr>
          <w:p>
            <w:pPr>
              <w:jc w:val="right"/>
              <w:spacing w:after="0"/>
              <w:rPr>
                <w:sz w:val="20"/>
                <w:szCs w:val="20"/>
                <w:color w:val="auto"/>
              </w:rPr>
            </w:pPr>
            <w:r>
              <w:rPr>
                <w:rFonts w:ascii="Arial" w:cs="Arial" w:eastAsia="Arial" w:hAnsi="Arial"/>
                <w:sz w:val="16"/>
                <w:szCs w:val="16"/>
                <w:color w:val="auto"/>
              </w:rPr>
              <w:t>129</w:t>
            </w:r>
          </w:p>
        </w:tc>
        <w:tc>
          <w:tcPr>
            <w:tcW w:w="0" w:type="dxa"/>
            <w:vAlign w:val="bottom"/>
          </w:tcPr>
          <w:p>
            <w:pPr>
              <w:spacing w:after="0" w:line="20" w:lineRule="exact"/>
              <w:rPr>
                <w:sz w:val="1"/>
                <w:szCs w:val="1"/>
                <w:color w:val="auto"/>
              </w:rPr>
            </w:pPr>
          </w:p>
        </w:tc>
      </w:tr>
      <w:tr>
        <w:trPr>
          <w:trHeight w:val="169"/>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tcBorders>
              <w:bottom w:val="single" w:sz="8" w:color="0000EE"/>
            </w:tcBorders>
            <w:gridSpan w:val="8"/>
          </w:tcPr>
          <w:p>
            <w:pPr>
              <w:spacing w:after="0" w:line="169" w:lineRule="exact"/>
              <w:rPr>
                <w:sz w:val="20"/>
                <w:szCs w:val="20"/>
                <w:color w:val="auto"/>
              </w:rPr>
            </w:pPr>
            <w:r>
              <w:rPr>
                <w:rFonts w:ascii="Arial" w:cs="Arial" w:eastAsia="Arial" w:hAnsi="Arial"/>
                <w:sz w:val="16"/>
                <w:szCs w:val="16"/>
                <w:color w:val="0000EE"/>
                <w:w w:val="98"/>
              </w:rPr>
              <w:t>Pay  Versus  Performance</w:t>
            </w:r>
          </w:p>
        </w:tc>
        <w:tc>
          <w:tcPr>
            <w:tcW w:w="6320" w:type="dxa"/>
            <w:vAlign w:val="bottom"/>
            <w:gridSpan w:val="22"/>
          </w:tcPr>
          <w:p>
            <w:pPr>
              <w:spacing w:after="0"/>
              <w:rPr>
                <w:sz w:val="14"/>
                <w:szCs w:val="14"/>
                <w:color w:val="auto"/>
              </w:rPr>
            </w:pP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40" w:type="dxa"/>
            <w:vAlign w:val="bottom"/>
            <w:gridSpan w:val="10"/>
          </w:tcPr>
          <w:p>
            <w:pPr>
              <w:spacing w:after="0" w:line="169" w:lineRule="exact"/>
              <w:rPr>
                <w:sz w:val="20"/>
                <w:szCs w:val="20"/>
                <w:color w:val="auto"/>
              </w:rPr>
            </w:pPr>
            <w:r>
              <w:rPr>
                <w:rFonts w:ascii="Arial" w:cs="Arial" w:eastAsia="Arial" w:hAnsi="Arial"/>
                <w:sz w:val="16"/>
                <w:szCs w:val="16"/>
                <w:b w:val="1"/>
                <w:bCs w:val="1"/>
                <w:color w:val="1414D2"/>
              </w:rPr>
              <w:t>Item 4</w:t>
            </w:r>
          </w:p>
        </w:tc>
        <w:tc>
          <w:tcPr>
            <w:tcW w:w="340" w:type="dxa"/>
            <w:vAlign w:val="bottom"/>
            <w:gridSpan w:val="2"/>
          </w:tcPr>
          <w:p>
            <w:pPr>
              <w:spacing w:after="0"/>
              <w:rPr>
                <w:sz w:val="14"/>
                <w:szCs w:val="14"/>
                <w:color w:val="auto"/>
              </w:rPr>
            </w:pPr>
          </w:p>
        </w:tc>
        <w:tc>
          <w:tcPr>
            <w:tcW w:w="1100" w:type="dxa"/>
            <w:vAlign w:val="bottom"/>
            <w:gridSpan w:val="9"/>
          </w:tcPr>
          <w:p>
            <w:pPr>
              <w:spacing w:after="0"/>
              <w:rPr>
                <w:sz w:val="14"/>
                <w:szCs w:val="14"/>
                <w:color w:val="auto"/>
              </w:rPr>
            </w:pPr>
          </w:p>
        </w:tc>
        <w:tc>
          <w:tcPr>
            <w:tcW w:w="300" w:type="dxa"/>
            <w:vAlign w:val="bottom"/>
            <w:gridSpan w:val="3"/>
          </w:tcPr>
          <w:p>
            <w:pPr>
              <w:spacing w:after="0"/>
              <w:rPr>
                <w:sz w:val="14"/>
                <w:szCs w:val="14"/>
                <w:color w:val="auto"/>
              </w:rPr>
            </w:pPr>
          </w:p>
        </w:tc>
        <w:tc>
          <w:tcPr>
            <w:tcW w:w="1240" w:type="dxa"/>
            <w:vAlign w:val="bottom"/>
            <w:gridSpan w:val="6"/>
          </w:tcPr>
          <w:p>
            <w:pPr>
              <w:spacing w:after="0"/>
              <w:rPr>
                <w:sz w:val="14"/>
                <w:szCs w:val="14"/>
                <w:color w:val="auto"/>
              </w:rPr>
            </w:pPr>
          </w:p>
        </w:tc>
        <w:tc>
          <w:tcPr>
            <w:tcW w:w="3340" w:type="dxa"/>
            <w:vAlign w:val="bottom"/>
            <w:gridSpan w:val="2"/>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Arial" w:cs="Arial" w:eastAsia="Arial" w:hAnsi="Arial"/>
                <w:sz w:val="16"/>
                <w:szCs w:val="16"/>
                <w:b w:val="1"/>
                <w:bCs w:val="1"/>
                <w:color w:val="1414D2"/>
              </w:rPr>
              <w:t>133</w:t>
            </w:r>
          </w:p>
        </w:tc>
        <w:tc>
          <w:tcPr>
            <w:tcW w:w="0" w:type="dxa"/>
            <w:vAlign w:val="bottom"/>
          </w:tcPr>
          <w:p>
            <w:pPr>
              <w:spacing w:after="0"/>
              <w:rPr>
                <w:sz w:val="1"/>
                <w:szCs w:val="1"/>
                <w:color w:val="auto"/>
              </w:rPr>
            </w:pPr>
          </w:p>
        </w:tc>
      </w:tr>
      <w:tr>
        <w:trPr>
          <w:trHeight w:val="20"/>
        </w:trPr>
        <w:tc>
          <w:tcPr>
            <w:tcW w:w="60" w:type="dxa"/>
            <w:vAlign w:val="bottom"/>
            <w:shd w:val="clear" w:color="auto" w:fill="1414D2"/>
          </w:tcPr>
          <w:p>
            <w:pPr>
              <w:spacing w:after="0" w:line="20" w:lineRule="exact"/>
              <w:rPr>
                <w:sz w:val="1"/>
                <w:szCs w:val="1"/>
                <w:color w:val="auto"/>
              </w:rPr>
            </w:pPr>
          </w:p>
        </w:tc>
        <w:tc>
          <w:tcPr>
            <w:tcW w:w="120" w:type="dxa"/>
            <w:vAlign w:val="bottom"/>
            <w:shd w:val="clear" w:color="auto" w:fill="1414D2"/>
          </w:tcPr>
          <w:p>
            <w:pPr>
              <w:spacing w:after="0" w:line="20" w:lineRule="exact"/>
              <w:rPr>
                <w:sz w:val="1"/>
                <w:szCs w:val="1"/>
                <w:color w:val="auto"/>
              </w:rPr>
            </w:pPr>
          </w:p>
        </w:tc>
        <w:tc>
          <w:tcPr>
            <w:tcW w:w="180" w:type="dxa"/>
            <w:vAlign w:val="bottom"/>
            <w:shd w:val="clear" w:color="auto" w:fill="1414D2"/>
          </w:tcPr>
          <w:p>
            <w:pPr>
              <w:spacing w:after="0" w:line="20" w:lineRule="exact"/>
              <w:rPr>
                <w:sz w:val="1"/>
                <w:szCs w:val="1"/>
                <w:color w:val="auto"/>
              </w:rPr>
            </w:pPr>
          </w:p>
        </w:tc>
        <w:tc>
          <w:tcPr>
            <w:tcW w:w="160" w:type="dxa"/>
            <w:vAlign w:val="bottom"/>
            <w:shd w:val="clear" w:color="auto" w:fill="1414D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1100" w:type="dxa"/>
            <w:vAlign w:val="bottom"/>
            <w:gridSpan w:val="9"/>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40" w:type="dxa"/>
            <w:vAlign w:val="bottom"/>
            <w:gridSpan w:val="6"/>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13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0" w:type="dxa"/>
            <w:vAlign w:val="bottom"/>
            <w:gridSpan w:val="29"/>
          </w:tcPr>
          <w:p>
            <w:pPr>
              <w:spacing w:after="0" w:line="183" w:lineRule="exact"/>
              <w:rPr>
                <w:sz w:val="20"/>
                <w:szCs w:val="20"/>
                <w:color w:val="auto"/>
              </w:rPr>
            </w:pPr>
            <w:r>
              <w:rPr>
                <w:rFonts w:ascii="Arial" w:cs="Arial" w:eastAsia="Arial" w:hAnsi="Arial"/>
                <w:sz w:val="16"/>
                <w:szCs w:val="16"/>
                <w:b w:val="1"/>
                <w:bCs w:val="1"/>
                <w:color w:val="0000EE"/>
              </w:rPr>
              <w:t>Advisory Vote on Stockholder Proposal</w:t>
            </w:r>
          </w:p>
        </w:tc>
        <w:tc>
          <w:tcPr>
            <w:tcW w:w="1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40" w:type="dxa"/>
            <w:vAlign w:val="bottom"/>
            <w:gridSpan w:val="5"/>
            <w:shd w:val="clear" w:color="auto" w:fill="0000EE"/>
          </w:tcPr>
          <w:p>
            <w:pPr>
              <w:spacing w:after="0" w:line="20" w:lineRule="exact"/>
              <w:rPr>
                <w:sz w:val="1"/>
                <w:szCs w:val="1"/>
                <w:color w:val="auto"/>
              </w:rPr>
            </w:pPr>
          </w:p>
        </w:tc>
        <w:tc>
          <w:tcPr>
            <w:tcW w:w="1100" w:type="dxa"/>
            <w:vAlign w:val="bottom"/>
            <w:gridSpan w:val="9"/>
            <w:shd w:val="clear" w:color="auto" w:fill="0000EE"/>
          </w:tcPr>
          <w:p>
            <w:pPr>
              <w:spacing w:after="0" w:line="20" w:lineRule="exact"/>
              <w:rPr>
                <w:sz w:val="1"/>
                <w:szCs w:val="1"/>
                <w:color w:val="auto"/>
              </w:rPr>
            </w:pPr>
          </w:p>
        </w:tc>
        <w:tc>
          <w:tcPr>
            <w:tcW w:w="300" w:type="dxa"/>
            <w:vAlign w:val="bottom"/>
            <w:gridSpan w:val="3"/>
            <w:vMerge w:val="restart"/>
          </w:tcPr>
          <w:p>
            <w:pPr>
              <w:spacing w:after="0" w:line="20" w:lineRule="exact"/>
              <w:rPr>
                <w:sz w:val="1"/>
                <w:szCs w:val="1"/>
                <w:color w:val="auto"/>
              </w:rPr>
            </w:pPr>
          </w:p>
        </w:tc>
        <w:tc>
          <w:tcPr>
            <w:tcW w:w="1240" w:type="dxa"/>
            <w:vAlign w:val="bottom"/>
            <w:gridSpan w:val="6"/>
            <w:vMerge w:val="restart"/>
          </w:tcPr>
          <w:p>
            <w:pPr>
              <w:spacing w:after="0" w:line="20" w:lineRule="exact"/>
              <w:rPr>
                <w:sz w:val="1"/>
                <w:szCs w:val="1"/>
                <w:color w:val="auto"/>
              </w:rPr>
            </w:pPr>
          </w:p>
        </w:tc>
        <w:tc>
          <w:tcPr>
            <w:tcW w:w="3340" w:type="dxa"/>
            <w:vAlign w:val="bottom"/>
            <w:gridSpan w:val="2"/>
            <w:vMerge w:val="restart"/>
          </w:tcPr>
          <w:p>
            <w:pPr>
              <w:spacing w:after="0" w:line="20" w:lineRule="exact"/>
              <w:rPr>
                <w:sz w:val="1"/>
                <w:szCs w:val="1"/>
                <w:color w:val="auto"/>
              </w:rPr>
            </w:pPr>
          </w:p>
        </w:tc>
        <w:tc>
          <w:tcPr>
            <w:tcW w:w="1360" w:type="dxa"/>
            <w:vAlign w:val="bottom"/>
            <w:vMerge w:val="restart"/>
          </w:tcPr>
          <w:p>
            <w:pPr>
              <w:jc w:val="right"/>
              <w:spacing w:after="0"/>
              <w:rPr>
                <w:sz w:val="20"/>
                <w:szCs w:val="20"/>
                <w:color w:val="auto"/>
              </w:rPr>
            </w:pPr>
            <w:r>
              <w:rPr>
                <w:rFonts w:ascii="Arial" w:cs="Arial" w:eastAsia="Arial" w:hAnsi="Arial"/>
                <w:sz w:val="16"/>
                <w:szCs w:val="16"/>
                <w:b w:val="1"/>
                <w:bCs w:val="1"/>
                <w:color w:val="1414D2"/>
              </w:rPr>
              <w:t>139</w:t>
            </w:r>
          </w:p>
        </w:tc>
        <w:tc>
          <w:tcPr>
            <w:tcW w:w="0" w:type="dxa"/>
            <w:vAlign w:val="bottom"/>
          </w:tcPr>
          <w:p>
            <w:pPr>
              <w:spacing w:after="0" w:line="20" w:lineRule="exact"/>
              <w:rPr>
                <w:sz w:val="1"/>
                <w:szCs w:val="1"/>
                <w:color w:val="auto"/>
              </w:rPr>
            </w:pPr>
          </w:p>
        </w:tc>
      </w:tr>
      <w:tr>
        <w:trPr>
          <w:trHeight w:val="169"/>
        </w:trPr>
        <w:tc>
          <w:tcPr>
            <w:tcW w:w="60" w:type="dxa"/>
            <w:vAlign w:val="bottom"/>
          </w:tcPr>
          <w:p>
            <w:pPr>
              <w:spacing w:after="0"/>
              <w:rPr>
                <w:sz w:val="14"/>
                <w:szCs w:val="14"/>
                <w:color w:val="auto"/>
              </w:rPr>
            </w:pPr>
          </w:p>
        </w:tc>
        <w:tc>
          <w:tcPr>
            <w:tcW w:w="3420" w:type="dxa"/>
            <w:vAlign w:val="bottom"/>
            <w:gridSpan w:val="20"/>
          </w:tcPr>
          <w:p>
            <w:pPr>
              <w:spacing w:after="0" w:line="169" w:lineRule="exact"/>
              <w:rPr>
                <w:sz w:val="20"/>
                <w:szCs w:val="20"/>
                <w:color w:val="auto"/>
              </w:rPr>
            </w:pPr>
            <w:r>
              <w:rPr>
                <w:rFonts w:ascii="Arial" w:cs="Arial" w:eastAsia="Arial" w:hAnsi="Arial"/>
                <w:sz w:val="16"/>
                <w:szCs w:val="16"/>
                <w:b w:val="1"/>
                <w:bCs w:val="1"/>
                <w:color w:val="1414D2"/>
              </w:rPr>
              <w:t>Annual Meeting Information</w:t>
            </w:r>
          </w:p>
        </w:tc>
        <w:tc>
          <w:tcPr>
            <w:tcW w:w="300" w:type="dxa"/>
            <w:vAlign w:val="bottom"/>
            <w:gridSpan w:val="3"/>
            <w:vMerge w:val="continue"/>
          </w:tcPr>
          <w:p>
            <w:pPr>
              <w:spacing w:after="0"/>
              <w:rPr>
                <w:sz w:val="14"/>
                <w:szCs w:val="14"/>
                <w:color w:val="auto"/>
              </w:rPr>
            </w:pPr>
          </w:p>
        </w:tc>
        <w:tc>
          <w:tcPr>
            <w:tcW w:w="1240" w:type="dxa"/>
            <w:vAlign w:val="bottom"/>
            <w:gridSpan w:val="6"/>
            <w:vMerge w:val="continue"/>
          </w:tcPr>
          <w:p>
            <w:pPr>
              <w:spacing w:after="0"/>
              <w:rPr>
                <w:sz w:val="14"/>
                <w:szCs w:val="14"/>
                <w:color w:val="auto"/>
              </w:rPr>
            </w:pPr>
          </w:p>
        </w:tc>
        <w:tc>
          <w:tcPr>
            <w:tcW w:w="3340" w:type="dxa"/>
            <w:vAlign w:val="bottom"/>
            <w:gridSpan w:val="2"/>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20" w:type="dxa"/>
            <w:vAlign w:val="bottom"/>
            <w:shd w:val="clear" w:color="auto" w:fill="1414D2"/>
          </w:tcPr>
          <w:p>
            <w:pPr>
              <w:spacing w:after="0" w:line="20" w:lineRule="exact"/>
              <w:rPr>
                <w:sz w:val="1"/>
                <w:szCs w:val="1"/>
                <w:color w:val="auto"/>
              </w:rPr>
            </w:pPr>
          </w:p>
        </w:tc>
        <w:tc>
          <w:tcPr>
            <w:tcW w:w="180" w:type="dxa"/>
            <w:vAlign w:val="bottom"/>
            <w:shd w:val="clear" w:color="auto" w:fill="1414D2"/>
          </w:tcPr>
          <w:p>
            <w:pPr>
              <w:spacing w:after="0" w:line="20" w:lineRule="exact"/>
              <w:rPr>
                <w:sz w:val="1"/>
                <w:szCs w:val="1"/>
                <w:color w:val="auto"/>
              </w:rPr>
            </w:pPr>
          </w:p>
        </w:tc>
        <w:tc>
          <w:tcPr>
            <w:tcW w:w="560" w:type="dxa"/>
            <w:vAlign w:val="bottom"/>
            <w:gridSpan w:val="2"/>
            <w:shd w:val="clear" w:color="auto" w:fill="1414D2"/>
          </w:tcPr>
          <w:p>
            <w:pPr>
              <w:spacing w:after="0" w:line="20" w:lineRule="exact"/>
              <w:rPr>
                <w:sz w:val="1"/>
                <w:szCs w:val="1"/>
                <w:color w:val="auto"/>
              </w:rPr>
            </w:pPr>
          </w:p>
        </w:tc>
        <w:tc>
          <w:tcPr>
            <w:tcW w:w="340" w:type="dxa"/>
            <w:vAlign w:val="bottom"/>
            <w:shd w:val="clear" w:color="auto" w:fill="1414D2"/>
          </w:tcPr>
          <w:p>
            <w:pPr>
              <w:spacing w:after="0" w:line="20" w:lineRule="exact"/>
              <w:rPr>
                <w:sz w:val="1"/>
                <w:szCs w:val="1"/>
                <w:color w:val="auto"/>
              </w:rPr>
            </w:pPr>
          </w:p>
        </w:tc>
        <w:tc>
          <w:tcPr>
            <w:tcW w:w="80" w:type="dxa"/>
            <w:vAlign w:val="bottom"/>
            <w:shd w:val="clear" w:color="auto" w:fill="1414D2"/>
          </w:tcPr>
          <w:p>
            <w:pPr>
              <w:spacing w:after="0" w:line="20" w:lineRule="exact"/>
              <w:rPr>
                <w:sz w:val="1"/>
                <w:szCs w:val="1"/>
                <w:color w:val="auto"/>
              </w:rPr>
            </w:pPr>
          </w:p>
        </w:tc>
        <w:tc>
          <w:tcPr>
            <w:tcW w:w="1040" w:type="dxa"/>
            <w:vAlign w:val="bottom"/>
            <w:gridSpan w:val="5"/>
            <w:shd w:val="clear" w:color="auto" w:fill="1414D2"/>
          </w:tcPr>
          <w:p>
            <w:pPr>
              <w:spacing w:after="0" w:line="20" w:lineRule="exact"/>
              <w:rPr>
                <w:sz w:val="1"/>
                <w:szCs w:val="1"/>
                <w:color w:val="auto"/>
              </w:rPr>
            </w:pPr>
          </w:p>
        </w:tc>
        <w:tc>
          <w:tcPr>
            <w:tcW w:w="1400" w:type="dxa"/>
            <w:vAlign w:val="bottom"/>
            <w:gridSpan w:val="12"/>
          </w:tcPr>
          <w:p>
            <w:pPr>
              <w:spacing w:after="0" w:line="20" w:lineRule="exact"/>
              <w:rPr>
                <w:sz w:val="1"/>
                <w:szCs w:val="1"/>
                <w:color w:val="auto"/>
              </w:rPr>
            </w:pPr>
          </w:p>
        </w:tc>
        <w:tc>
          <w:tcPr>
            <w:tcW w:w="1240" w:type="dxa"/>
            <w:vAlign w:val="bottom"/>
            <w:gridSpan w:val="6"/>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1360" w:type="dxa"/>
            <w:vAlign w:val="bottom"/>
            <w:vMerge w:val="restart"/>
          </w:tcPr>
          <w:p>
            <w:pPr>
              <w:jc w:val="right"/>
              <w:spacing w:after="0"/>
              <w:rPr>
                <w:sz w:val="20"/>
                <w:szCs w:val="20"/>
                <w:color w:val="auto"/>
              </w:rPr>
            </w:pPr>
            <w:r>
              <w:rPr>
                <w:rFonts w:ascii="Arial" w:cs="Arial" w:eastAsia="Arial" w:hAnsi="Arial"/>
                <w:sz w:val="16"/>
                <w:szCs w:val="16"/>
                <w:color w:val="auto"/>
              </w:rPr>
              <w:t>139</w:t>
            </w:r>
          </w:p>
        </w:tc>
        <w:tc>
          <w:tcPr>
            <w:tcW w:w="0" w:type="dxa"/>
            <w:vAlign w:val="bottom"/>
          </w:tcPr>
          <w:p>
            <w:pPr>
              <w:spacing w:after="0" w:line="20" w:lineRule="exact"/>
              <w:rPr>
                <w:sz w:val="1"/>
                <w:szCs w:val="1"/>
                <w:color w:val="auto"/>
              </w:rPr>
            </w:pPr>
          </w:p>
        </w:tc>
      </w:tr>
      <w:tr>
        <w:trPr>
          <w:trHeight w:val="169"/>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180" w:type="dxa"/>
            <w:vAlign w:val="bottom"/>
            <w:gridSpan w:val="30"/>
          </w:tcPr>
          <w:p>
            <w:pPr>
              <w:spacing w:after="0" w:line="169" w:lineRule="exact"/>
              <w:rPr>
                <w:sz w:val="20"/>
                <w:szCs w:val="20"/>
                <w:color w:val="auto"/>
              </w:rPr>
            </w:pPr>
            <w:r>
              <w:rPr>
                <w:rFonts w:ascii="Arial" w:cs="Arial" w:eastAsia="Arial" w:hAnsi="Arial"/>
                <w:sz w:val="16"/>
                <w:szCs w:val="16"/>
                <w:color w:val="0000EE"/>
              </w:rPr>
              <w:t>General  Information  About  the  Annual  Meeting</w:t>
            </w: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0" w:type="dxa"/>
            <w:vAlign w:val="bottom"/>
            <w:tcBorders>
              <w:top w:val="single" w:sz="8" w:color="0000EE"/>
            </w:tcBorders>
            <w:gridSpan w:val="22"/>
          </w:tcPr>
          <w:p>
            <w:pPr>
              <w:spacing w:after="0" w:line="169" w:lineRule="exact"/>
              <w:rPr>
                <w:sz w:val="20"/>
                <w:szCs w:val="20"/>
                <w:color w:val="auto"/>
              </w:rPr>
            </w:pPr>
            <w:r>
              <w:rPr>
                <w:rFonts w:ascii="Arial" w:cs="Arial" w:eastAsia="Arial" w:hAnsi="Arial"/>
                <w:sz w:val="16"/>
                <w:szCs w:val="16"/>
                <w:color w:val="0000EE"/>
              </w:rPr>
              <w:t>Householding</w:t>
            </w:r>
          </w:p>
        </w:tc>
        <w:tc>
          <w:tcPr>
            <w:tcW w:w="1240" w:type="dxa"/>
            <w:vAlign w:val="bottom"/>
            <w:gridSpan w:val="6"/>
          </w:tcPr>
          <w:p>
            <w:pPr>
              <w:spacing w:after="0"/>
              <w:rPr>
                <w:sz w:val="14"/>
                <w:szCs w:val="14"/>
                <w:color w:val="auto"/>
              </w:rPr>
            </w:pPr>
          </w:p>
        </w:tc>
        <w:tc>
          <w:tcPr>
            <w:tcW w:w="3340" w:type="dxa"/>
            <w:vAlign w:val="bottom"/>
            <w:gridSpan w:val="2"/>
          </w:tcPr>
          <w:p>
            <w:pPr>
              <w:spacing w:after="0"/>
              <w:rPr>
                <w:sz w:val="14"/>
                <w:szCs w:val="14"/>
                <w:color w:val="auto"/>
              </w:rPr>
            </w:pPr>
          </w:p>
        </w:tc>
        <w:tc>
          <w:tcPr>
            <w:tcW w:w="1360" w:type="dxa"/>
            <w:vAlign w:val="bottom"/>
          </w:tcPr>
          <w:p>
            <w:pPr>
              <w:jc w:val="right"/>
              <w:spacing w:after="0" w:line="169" w:lineRule="exact"/>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Borders>
              <w:top w:val="single" w:sz="8" w:color="0000EE"/>
              <w:bottom w:val="single" w:sz="8" w:color="0000EE"/>
            </w:tcBorders>
            <w:gridSpan w:val="4"/>
          </w:tcPr>
          <w:p>
            <w:pPr>
              <w:spacing w:after="0" w:line="169" w:lineRule="exact"/>
              <w:rPr>
                <w:sz w:val="20"/>
                <w:szCs w:val="20"/>
                <w:color w:val="auto"/>
              </w:rPr>
            </w:pPr>
            <w:r>
              <w:rPr>
                <w:rFonts w:ascii="Arial" w:cs="Arial" w:eastAsia="Arial" w:hAnsi="Arial"/>
                <w:sz w:val="16"/>
                <w:szCs w:val="16"/>
                <w:color w:val="0000EE"/>
                <w:w w:val="93"/>
              </w:rPr>
              <w:t>Other  Business</w:t>
            </w:r>
          </w:p>
        </w:tc>
        <w:tc>
          <w:tcPr>
            <w:tcW w:w="80" w:type="dxa"/>
            <w:vAlign w:val="bottom"/>
            <w:tcBorders>
              <w:bottom w:val="single" w:sz="8" w:color="0000EE"/>
            </w:tcBorders>
          </w:tcPr>
          <w:p>
            <w:pPr>
              <w:spacing w:after="0"/>
              <w:rPr>
                <w:sz w:val="14"/>
                <w:szCs w:val="14"/>
                <w:color w:val="auto"/>
              </w:rPr>
            </w:pPr>
          </w:p>
        </w:tc>
        <w:tc>
          <w:tcPr>
            <w:tcW w:w="3680" w:type="dxa"/>
            <w:vAlign w:val="bottom"/>
            <w:gridSpan w:val="23"/>
          </w:tcPr>
          <w:p>
            <w:pPr>
              <w:spacing w:after="0"/>
              <w:rPr>
                <w:sz w:val="14"/>
                <w:szCs w:val="14"/>
                <w:color w:val="auto"/>
              </w:rPr>
            </w:pPr>
          </w:p>
        </w:tc>
        <w:tc>
          <w:tcPr>
            <w:tcW w:w="3340" w:type="dxa"/>
            <w:vAlign w:val="bottom"/>
            <w:gridSpan w:val="2"/>
          </w:tcPr>
          <w:p>
            <w:pPr>
              <w:spacing w:after="0"/>
              <w:rPr>
                <w:sz w:val="14"/>
                <w:szCs w:val="14"/>
                <w:color w:val="auto"/>
              </w:rPr>
            </w:pPr>
          </w:p>
        </w:tc>
        <w:tc>
          <w:tcPr>
            <w:tcW w:w="1360" w:type="dxa"/>
            <w:vAlign w:val="bottom"/>
          </w:tcPr>
          <w:p>
            <w:pPr>
              <w:jc w:val="right"/>
              <w:spacing w:after="0" w:line="169" w:lineRule="exact"/>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250"/>
        </w:trPr>
        <w:tc>
          <w:tcPr>
            <w:tcW w:w="8360" w:type="dxa"/>
            <w:vAlign w:val="bottom"/>
            <w:gridSpan w:val="32"/>
          </w:tcPr>
          <w:p>
            <w:pPr>
              <w:spacing w:after="0"/>
              <w:rPr>
                <w:sz w:val="20"/>
                <w:szCs w:val="20"/>
                <w:color w:val="auto"/>
              </w:rPr>
            </w:pPr>
            <w:r>
              <w:rPr>
                <w:rFonts w:ascii="Arial" w:cs="Arial" w:eastAsia="Arial" w:hAnsi="Arial"/>
                <w:sz w:val="16"/>
                <w:szCs w:val="16"/>
                <w:b w:val="1"/>
                <w:bCs w:val="1"/>
                <w:color w:val="1414D2"/>
              </w:rPr>
              <w:t>Appendix A</w:t>
            </w:r>
          </w:p>
        </w:tc>
        <w:tc>
          <w:tcPr>
            <w:tcW w:w="1360" w:type="dxa"/>
            <w:vAlign w:val="bottom"/>
            <w:vMerge w:val="restart"/>
          </w:tcPr>
          <w:p>
            <w:pPr>
              <w:jc w:val="right"/>
              <w:spacing w:after="0"/>
              <w:rPr>
                <w:sz w:val="20"/>
                <w:szCs w:val="20"/>
                <w:color w:val="auto"/>
              </w:rPr>
            </w:pPr>
            <w:r>
              <w:rPr>
                <w:rFonts w:ascii="Arial" w:cs="Arial" w:eastAsia="Arial" w:hAnsi="Arial"/>
                <w:sz w:val="16"/>
                <w:szCs w:val="16"/>
                <w:b w:val="1"/>
                <w:bCs w:val="1"/>
                <w:color w:val="1414D2"/>
              </w:rPr>
              <w:t>A-1</w:t>
            </w:r>
          </w:p>
        </w:tc>
        <w:tc>
          <w:tcPr>
            <w:tcW w:w="0" w:type="dxa"/>
            <w:vAlign w:val="bottom"/>
          </w:tcPr>
          <w:p>
            <w:pPr>
              <w:spacing w:after="0"/>
              <w:rPr>
                <w:sz w:val="1"/>
                <w:szCs w:val="1"/>
                <w:color w:val="auto"/>
              </w:rPr>
            </w:pPr>
          </w:p>
        </w:tc>
      </w:tr>
      <w:tr>
        <w:trPr>
          <w:trHeight w:val="20"/>
        </w:trPr>
        <w:tc>
          <w:tcPr>
            <w:tcW w:w="60" w:type="dxa"/>
            <w:vAlign w:val="bottom"/>
            <w:shd w:val="clear" w:color="auto" w:fill="1414D2"/>
          </w:tcPr>
          <w:p>
            <w:pPr>
              <w:spacing w:after="0" w:line="20" w:lineRule="exact"/>
              <w:rPr>
                <w:sz w:val="1"/>
                <w:szCs w:val="1"/>
                <w:color w:val="auto"/>
              </w:rPr>
            </w:pPr>
          </w:p>
        </w:tc>
        <w:tc>
          <w:tcPr>
            <w:tcW w:w="120" w:type="dxa"/>
            <w:vAlign w:val="bottom"/>
            <w:shd w:val="clear" w:color="auto" w:fill="1414D2"/>
          </w:tcPr>
          <w:p>
            <w:pPr>
              <w:spacing w:after="0" w:line="20" w:lineRule="exact"/>
              <w:rPr>
                <w:sz w:val="1"/>
                <w:szCs w:val="1"/>
                <w:color w:val="auto"/>
              </w:rPr>
            </w:pPr>
          </w:p>
        </w:tc>
        <w:tc>
          <w:tcPr>
            <w:tcW w:w="180" w:type="dxa"/>
            <w:vAlign w:val="bottom"/>
            <w:shd w:val="clear" w:color="auto" w:fill="1414D2"/>
          </w:tcPr>
          <w:p>
            <w:pPr>
              <w:spacing w:after="0" w:line="20" w:lineRule="exact"/>
              <w:rPr>
                <w:sz w:val="1"/>
                <w:szCs w:val="1"/>
                <w:color w:val="auto"/>
              </w:rPr>
            </w:pPr>
          </w:p>
        </w:tc>
        <w:tc>
          <w:tcPr>
            <w:tcW w:w="560" w:type="dxa"/>
            <w:vAlign w:val="bottom"/>
            <w:gridSpan w:val="2"/>
            <w:shd w:val="clear" w:color="auto" w:fill="1414D2"/>
          </w:tcPr>
          <w:p>
            <w:pPr>
              <w:spacing w:after="0" w:line="20" w:lineRule="exact"/>
              <w:rPr>
                <w:sz w:val="1"/>
                <w:szCs w:val="1"/>
                <w:color w:val="auto"/>
              </w:rPr>
            </w:pPr>
          </w:p>
        </w:tc>
        <w:tc>
          <w:tcPr>
            <w:tcW w:w="4100" w:type="dxa"/>
            <w:vAlign w:val="bottom"/>
            <w:gridSpan w:val="25"/>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13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0" w:type="dxa"/>
            <w:vAlign w:val="bottom"/>
            <w:gridSpan w:val="29"/>
          </w:tcPr>
          <w:p>
            <w:pPr>
              <w:spacing w:after="0" w:line="183" w:lineRule="exact"/>
              <w:rPr>
                <w:sz w:val="20"/>
                <w:szCs w:val="20"/>
                <w:color w:val="auto"/>
              </w:rPr>
            </w:pPr>
            <w:r>
              <w:rPr>
                <w:rFonts w:ascii="Arial" w:cs="Arial" w:eastAsia="Arial" w:hAnsi="Arial"/>
                <w:sz w:val="16"/>
                <w:szCs w:val="16"/>
                <w:b w:val="1"/>
                <w:bCs w:val="1"/>
                <w:color w:val="0000EE"/>
              </w:rPr>
              <w:t>Reconciliation of GAAP and Non-GAAP Financial Measures</w:t>
            </w:r>
          </w:p>
        </w:tc>
        <w:tc>
          <w:tcPr>
            <w:tcW w:w="1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80"/>
        </w:trPr>
        <w:tc>
          <w:tcPr>
            <w:tcW w:w="60" w:type="dxa"/>
            <w:vAlign w:val="bottom"/>
            <w:tcBorders>
              <w:bottom w:val="single" w:sz="8" w:color="1414D2"/>
            </w:tcBorders>
          </w:tcPr>
          <w:p>
            <w:pPr>
              <w:spacing w:after="0"/>
              <w:rPr>
                <w:sz w:val="24"/>
                <w:szCs w:val="24"/>
                <w:color w:val="auto"/>
              </w:rPr>
            </w:pPr>
          </w:p>
        </w:tc>
        <w:tc>
          <w:tcPr>
            <w:tcW w:w="120" w:type="dxa"/>
            <w:vAlign w:val="bottom"/>
            <w:tcBorders>
              <w:bottom w:val="single" w:sz="8" w:color="1414D2"/>
            </w:tcBorders>
          </w:tcPr>
          <w:p>
            <w:pPr>
              <w:spacing w:after="0"/>
              <w:rPr>
                <w:sz w:val="24"/>
                <w:szCs w:val="24"/>
                <w:color w:val="auto"/>
              </w:rPr>
            </w:pPr>
          </w:p>
        </w:tc>
        <w:tc>
          <w:tcPr>
            <w:tcW w:w="180" w:type="dxa"/>
            <w:vAlign w:val="bottom"/>
            <w:tcBorders>
              <w:bottom w:val="single" w:sz="8" w:color="1414D2"/>
            </w:tcBorders>
          </w:tcPr>
          <w:p>
            <w:pPr>
              <w:spacing w:after="0"/>
              <w:rPr>
                <w:sz w:val="24"/>
                <w:szCs w:val="24"/>
                <w:color w:val="auto"/>
              </w:rPr>
            </w:pPr>
          </w:p>
        </w:tc>
        <w:tc>
          <w:tcPr>
            <w:tcW w:w="160" w:type="dxa"/>
            <w:vAlign w:val="bottom"/>
            <w:tcBorders>
              <w:top w:val="single" w:sz="8" w:color="0000EE"/>
              <w:bottom w:val="single" w:sz="8" w:color="1414D2"/>
            </w:tcBorders>
          </w:tcPr>
          <w:p>
            <w:pPr>
              <w:spacing w:after="0"/>
              <w:rPr>
                <w:sz w:val="24"/>
                <w:szCs w:val="24"/>
                <w:color w:val="auto"/>
              </w:rPr>
            </w:pPr>
          </w:p>
        </w:tc>
        <w:tc>
          <w:tcPr>
            <w:tcW w:w="400" w:type="dxa"/>
            <w:vAlign w:val="bottom"/>
            <w:tcBorders>
              <w:top w:val="single" w:sz="8" w:color="0000EE"/>
              <w:bottom w:val="single" w:sz="8" w:color="1414D2"/>
            </w:tcBorders>
          </w:tcPr>
          <w:p>
            <w:pPr>
              <w:spacing w:after="0"/>
              <w:rPr>
                <w:sz w:val="24"/>
                <w:szCs w:val="24"/>
                <w:color w:val="auto"/>
              </w:rPr>
            </w:pPr>
          </w:p>
        </w:tc>
        <w:tc>
          <w:tcPr>
            <w:tcW w:w="340" w:type="dxa"/>
            <w:vAlign w:val="bottom"/>
            <w:tcBorders>
              <w:top w:val="single" w:sz="8" w:color="0000EE"/>
              <w:bottom w:val="single" w:sz="8" w:color="1414D2"/>
            </w:tcBorders>
          </w:tcPr>
          <w:p>
            <w:pPr>
              <w:spacing w:after="0"/>
              <w:rPr>
                <w:sz w:val="24"/>
                <w:szCs w:val="24"/>
                <w:color w:val="auto"/>
              </w:rPr>
            </w:pPr>
          </w:p>
        </w:tc>
        <w:tc>
          <w:tcPr>
            <w:tcW w:w="80" w:type="dxa"/>
            <w:vAlign w:val="bottom"/>
            <w:tcBorders>
              <w:top w:val="single" w:sz="8" w:color="0000EE"/>
              <w:bottom w:val="single" w:sz="8" w:color="1414D2"/>
            </w:tcBorders>
          </w:tcPr>
          <w:p>
            <w:pPr>
              <w:spacing w:after="0"/>
              <w:rPr>
                <w:sz w:val="24"/>
                <w:szCs w:val="24"/>
                <w:color w:val="auto"/>
              </w:rPr>
            </w:pPr>
          </w:p>
        </w:tc>
        <w:tc>
          <w:tcPr>
            <w:tcW w:w="320" w:type="dxa"/>
            <w:vAlign w:val="bottom"/>
            <w:tcBorders>
              <w:top w:val="single" w:sz="8" w:color="0000EE"/>
              <w:bottom w:val="single" w:sz="8" w:color="1414D2"/>
            </w:tcBorders>
          </w:tcPr>
          <w:p>
            <w:pPr>
              <w:spacing w:after="0"/>
              <w:rPr>
                <w:sz w:val="24"/>
                <w:szCs w:val="24"/>
                <w:color w:val="auto"/>
              </w:rPr>
            </w:pPr>
          </w:p>
        </w:tc>
        <w:tc>
          <w:tcPr>
            <w:tcW w:w="20" w:type="dxa"/>
            <w:vAlign w:val="bottom"/>
            <w:tcBorders>
              <w:top w:val="single" w:sz="8" w:color="0000EE"/>
              <w:bottom w:val="single" w:sz="8" w:color="1414D2"/>
            </w:tcBorders>
          </w:tcPr>
          <w:p>
            <w:pPr>
              <w:spacing w:after="0"/>
              <w:rPr>
                <w:sz w:val="24"/>
                <w:szCs w:val="24"/>
                <w:color w:val="auto"/>
              </w:rPr>
            </w:pPr>
          </w:p>
        </w:tc>
        <w:tc>
          <w:tcPr>
            <w:tcW w:w="360" w:type="dxa"/>
            <w:vAlign w:val="bottom"/>
            <w:tcBorders>
              <w:top w:val="single" w:sz="8" w:color="0000EE"/>
              <w:bottom w:val="single" w:sz="8" w:color="1414D2"/>
            </w:tcBorders>
          </w:tcPr>
          <w:p>
            <w:pPr>
              <w:spacing w:after="0"/>
              <w:rPr>
                <w:sz w:val="24"/>
                <w:szCs w:val="24"/>
                <w:color w:val="auto"/>
              </w:rPr>
            </w:pPr>
          </w:p>
        </w:tc>
        <w:tc>
          <w:tcPr>
            <w:tcW w:w="280" w:type="dxa"/>
            <w:vAlign w:val="bottom"/>
            <w:tcBorders>
              <w:top w:val="single" w:sz="8" w:color="0000EE"/>
              <w:bottom w:val="single" w:sz="8" w:color="1414D2"/>
            </w:tcBorders>
          </w:tcPr>
          <w:p>
            <w:pPr>
              <w:spacing w:after="0"/>
              <w:rPr>
                <w:sz w:val="24"/>
                <w:szCs w:val="24"/>
                <w:color w:val="auto"/>
              </w:rPr>
            </w:pPr>
          </w:p>
        </w:tc>
        <w:tc>
          <w:tcPr>
            <w:tcW w:w="60" w:type="dxa"/>
            <w:vAlign w:val="bottom"/>
            <w:tcBorders>
              <w:top w:val="single" w:sz="8" w:color="0000EE"/>
              <w:bottom w:val="single" w:sz="8" w:color="1414D2"/>
            </w:tcBorders>
          </w:tcPr>
          <w:p>
            <w:pPr>
              <w:spacing w:after="0"/>
              <w:rPr>
                <w:sz w:val="24"/>
                <w:szCs w:val="24"/>
                <w:color w:val="auto"/>
              </w:rPr>
            </w:pPr>
          </w:p>
        </w:tc>
        <w:tc>
          <w:tcPr>
            <w:tcW w:w="160" w:type="dxa"/>
            <w:vAlign w:val="bottom"/>
            <w:tcBorders>
              <w:top w:val="single" w:sz="8" w:color="0000EE"/>
              <w:bottom w:val="single" w:sz="8" w:color="1414D2"/>
            </w:tcBorders>
          </w:tcPr>
          <w:p>
            <w:pPr>
              <w:spacing w:after="0"/>
              <w:rPr>
                <w:sz w:val="24"/>
                <w:szCs w:val="24"/>
                <w:color w:val="auto"/>
              </w:rPr>
            </w:pPr>
          </w:p>
        </w:tc>
        <w:tc>
          <w:tcPr>
            <w:tcW w:w="20" w:type="dxa"/>
            <w:vAlign w:val="bottom"/>
            <w:tcBorders>
              <w:top w:val="single" w:sz="8" w:color="0000EE"/>
              <w:bottom w:val="single" w:sz="8" w:color="1414D2"/>
            </w:tcBorders>
          </w:tcPr>
          <w:p>
            <w:pPr>
              <w:spacing w:after="0"/>
              <w:rPr>
                <w:sz w:val="24"/>
                <w:szCs w:val="24"/>
                <w:color w:val="auto"/>
              </w:rPr>
            </w:pPr>
          </w:p>
        </w:tc>
        <w:tc>
          <w:tcPr>
            <w:tcW w:w="160" w:type="dxa"/>
            <w:vAlign w:val="bottom"/>
            <w:tcBorders>
              <w:top w:val="single" w:sz="8" w:color="0000EE"/>
              <w:bottom w:val="single" w:sz="8" w:color="1414D2"/>
            </w:tcBorders>
          </w:tcPr>
          <w:p>
            <w:pPr>
              <w:spacing w:after="0"/>
              <w:rPr>
                <w:sz w:val="24"/>
                <w:szCs w:val="24"/>
                <w:color w:val="auto"/>
              </w:rPr>
            </w:pPr>
          </w:p>
        </w:tc>
        <w:tc>
          <w:tcPr>
            <w:tcW w:w="120" w:type="dxa"/>
            <w:vAlign w:val="bottom"/>
            <w:tcBorders>
              <w:top w:val="single" w:sz="8" w:color="0000EE"/>
              <w:bottom w:val="single" w:sz="8" w:color="1414D2"/>
            </w:tcBorders>
          </w:tcPr>
          <w:p>
            <w:pPr>
              <w:spacing w:after="0"/>
              <w:rPr>
                <w:sz w:val="24"/>
                <w:szCs w:val="24"/>
                <w:color w:val="auto"/>
              </w:rPr>
            </w:pPr>
          </w:p>
        </w:tc>
        <w:tc>
          <w:tcPr>
            <w:tcW w:w="80" w:type="dxa"/>
            <w:vAlign w:val="bottom"/>
            <w:tcBorders>
              <w:top w:val="single" w:sz="8" w:color="0000EE"/>
              <w:bottom w:val="single" w:sz="8" w:color="1414D2"/>
            </w:tcBorders>
          </w:tcPr>
          <w:p>
            <w:pPr>
              <w:spacing w:after="0"/>
              <w:rPr>
                <w:sz w:val="24"/>
                <w:szCs w:val="24"/>
                <w:color w:val="auto"/>
              </w:rPr>
            </w:pPr>
          </w:p>
        </w:tc>
        <w:tc>
          <w:tcPr>
            <w:tcW w:w="140" w:type="dxa"/>
            <w:vAlign w:val="bottom"/>
            <w:tcBorders>
              <w:top w:val="single" w:sz="8" w:color="0000EE"/>
              <w:bottom w:val="single" w:sz="8" w:color="1414D2"/>
            </w:tcBorders>
          </w:tcPr>
          <w:p>
            <w:pPr>
              <w:spacing w:after="0"/>
              <w:rPr>
                <w:sz w:val="24"/>
                <w:szCs w:val="24"/>
                <w:color w:val="auto"/>
              </w:rPr>
            </w:pPr>
          </w:p>
        </w:tc>
        <w:tc>
          <w:tcPr>
            <w:tcW w:w="80" w:type="dxa"/>
            <w:vAlign w:val="bottom"/>
            <w:tcBorders>
              <w:top w:val="single" w:sz="8" w:color="0000EE"/>
              <w:bottom w:val="single" w:sz="8" w:color="1414D2"/>
            </w:tcBorders>
          </w:tcPr>
          <w:p>
            <w:pPr>
              <w:spacing w:after="0"/>
              <w:rPr>
                <w:sz w:val="24"/>
                <w:szCs w:val="24"/>
                <w:color w:val="auto"/>
              </w:rPr>
            </w:pPr>
          </w:p>
        </w:tc>
        <w:tc>
          <w:tcPr>
            <w:tcW w:w="320" w:type="dxa"/>
            <w:vAlign w:val="bottom"/>
            <w:tcBorders>
              <w:top w:val="single" w:sz="8" w:color="0000EE"/>
              <w:bottom w:val="single" w:sz="8" w:color="1414D2"/>
            </w:tcBorders>
          </w:tcPr>
          <w:p>
            <w:pPr>
              <w:spacing w:after="0"/>
              <w:rPr>
                <w:sz w:val="24"/>
                <w:szCs w:val="24"/>
                <w:color w:val="auto"/>
              </w:rPr>
            </w:pPr>
          </w:p>
        </w:tc>
        <w:tc>
          <w:tcPr>
            <w:tcW w:w="20" w:type="dxa"/>
            <w:vAlign w:val="bottom"/>
            <w:tcBorders>
              <w:top w:val="single" w:sz="8" w:color="0000EE"/>
              <w:bottom w:val="single" w:sz="8" w:color="1414D2"/>
            </w:tcBorders>
          </w:tcPr>
          <w:p>
            <w:pPr>
              <w:spacing w:after="0"/>
              <w:rPr>
                <w:sz w:val="24"/>
                <w:szCs w:val="24"/>
                <w:color w:val="auto"/>
              </w:rPr>
            </w:pPr>
          </w:p>
        </w:tc>
        <w:tc>
          <w:tcPr>
            <w:tcW w:w="20" w:type="dxa"/>
            <w:vAlign w:val="bottom"/>
            <w:tcBorders>
              <w:top w:val="single" w:sz="8" w:color="0000EE"/>
              <w:bottom w:val="single" w:sz="8" w:color="1414D2"/>
            </w:tcBorders>
          </w:tcPr>
          <w:p>
            <w:pPr>
              <w:spacing w:after="0"/>
              <w:rPr>
                <w:sz w:val="24"/>
                <w:szCs w:val="24"/>
                <w:color w:val="auto"/>
              </w:rPr>
            </w:pPr>
          </w:p>
        </w:tc>
        <w:tc>
          <w:tcPr>
            <w:tcW w:w="20" w:type="dxa"/>
            <w:vAlign w:val="bottom"/>
            <w:tcBorders>
              <w:top w:val="single" w:sz="8" w:color="0000EE"/>
              <w:bottom w:val="single" w:sz="8" w:color="1414D2"/>
            </w:tcBorders>
          </w:tcPr>
          <w:p>
            <w:pPr>
              <w:spacing w:after="0"/>
              <w:rPr>
                <w:sz w:val="24"/>
                <w:szCs w:val="24"/>
                <w:color w:val="auto"/>
              </w:rPr>
            </w:pPr>
          </w:p>
        </w:tc>
        <w:tc>
          <w:tcPr>
            <w:tcW w:w="260" w:type="dxa"/>
            <w:vAlign w:val="bottom"/>
            <w:tcBorders>
              <w:top w:val="single" w:sz="8" w:color="0000EE"/>
              <w:bottom w:val="single" w:sz="8" w:color="1414D2"/>
            </w:tcBorders>
          </w:tcPr>
          <w:p>
            <w:pPr>
              <w:spacing w:after="0"/>
              <w:rPr>
                <w:sz w:val="24"/>
                <w:szCs w:val="24"/>
                <w:color w:val="auto"/>
              </w:rPr>
            </w:pPr>
          </w:p>
        </w:tc>
        <w:tc>
          <w:tcPr>
            <w:tcW w:w="260" w:type="dxa"/>
            <w:vAlign w:val="bottom"/>
            <w:tcBorders>
              <w:top w:val="single" w:sz="8" w:color="0000EE"/>
              <w:bottom w:val="single" w:sz="8" w:color="1414D2"/>
            </w:tcBorders>
          </w:tcPr>
          <w:p>
            <w:pPr>
              <w:spacing w:after="0"/>
              <w:rPr>
                <w:sz w:val="24"/>
                <w:szCs w:val="24"/>
                <w:color w:val="auto"/>
              </w:rPr>
            </w:pPr>
          </w:p>
        </w:tc>
        <w:tc>
          <w:tcPr>
            <w:tcW w:w="400" w:type="dxa"/>
            <w:vAlign w:val="bottom"/>
            <w:tcBorders>
              <w:top w:val="single" w:sz="8" w:color="0000EE"/>
              <w:bottom w:val="single" w:sz="8" w:color="1414D2"/>
            </w:tcBorders>
          </w:tcPr>
          <w:p>
            <w:pPr>
              <w:spacing w:after="0"/>
              <w:rPr>
                <w:sz w:val="24"/>
                <w:szCs w:val="24"/>
                <w:color w:val="auto"/>
              </w:rPr>
            </w:pPr>
          </w:p>
        </w:tc>
        <w:tc>
          <w:tcPr>
            <w:tcW w:w="40" w:type="dxa"/>
            <w:vAlign w:val="bottom"/>
            <w:tcBorders>
              <w:top w:val="single" w:sz="8" w:color="0000EE"/>
              <w:bottom w:val="single" w:sz="8" w:color="1414D2"/>
            </w:tcBorders>
          </w:tcPr>
          <w:p>
            <w:pPr>
              <w:spacing w:after="0"/>
              <w:rPr>
                <w:sz w:val="24"/>
                <w:szCs w:val="24"/>
                <w:color w:val="auto"/>
              </w:rPr>
            </w:pPr>
          </w:p>
        </w:tc>
        <w:tc>
          <w:tcPr>
            <w:tcW w:w="60" w:type="dxa"/>
            <w:vAlign w:val="bottom"/>
            <w:tcBorders>
              <w:top w:val="single" w:sz="8" w:color="0000EE"/>
              <w:bottom w:val="single" w:sz="8" w:color="1414D2"/>
            </w:tcBorders>
          </w:tcPr>
          <w:p>
            <w:pPr>
              <w:spacing w:after="0"/>
              <w:rPr>
                <w:sz w:val="24"/>
                <w:szCs w:val="24"/>
                <w:color w:val="auto"/>
              </w:rPr>
            </w:pPr>
          </w:p>
        </w:tc>
        <w:tc>
          <w:tcPr>
            <w:tcW w:w="140" w:type="dxa"/>
            <w:vAlign w:val="bottom"/>
            <w:tcBorders>
              <w:top w:val="single" w:sz="8" w:color="0000EE"/>
              <w:bottom w:val="single" w:sz="8" w:color="1414D2"/>
            </w:tcBorders>
          </w:tcPr>
          <w:p>
            <w:pPr>
              <w:spacing w:after="0"/>
              <w:rPr>
                <w:sz w:val="24"/>
                <w:szCs w:val="24"/>
                <w:color w:val="auto"/>
              </w:rPr>
            </w:pPr>
          </w:p>
        </w:tc>
        <w:tc>
          <w:tcPr>
            <w:tcW w:w="340" w:type="dxa"/>
            <w:vAlign w:val="bottom"/>
            <w:tcBorders>
              <w:top w:val="single" w:sz="8" w:color="0000EE"/>
              <w:bottom w:val="single" w:sz="8" w:color="1414D2"/>
            </w:tcBorders>
          </w:tcPr>
          <w:p>
            <w:pPr>
              <w:spacing w:after="0"/>
              <w:rPr>
                <w:sz w:val="24"/>
                <w:szCs w:val="24"/>
                <w:color w:val="auto"/>
              </w:rPr>
            </w:pPr>
          </w:p>
        </w:tc>
        <w:tc>
          <w:tcPr>
            <w:tcW w:w="2240" w:type="dxa"/>
            <w:vAlign w:val="bottom"/>
            <w:tcBorders>
              <w:bottom w:val="single" w:sz="8" w:color="1414D2"/>
            </w:tcBorders>
          </w:tcPr>
          <w:p>
            <w:pPr>
              <w:spacing w:after="0"/>
              <w:rPr>
                <w:sz w:val="24"/>
                <w:szCs w:val="24"/>
                <w:color w:val="auto"/>
              </w:rPr>
            </w:pPr>
          </w:p>
        </w:tc>
        <w:tc>
          <w:tcPr>
            <w:tcW w:w="1100" w:type="dxa"/>
            <w:vAlign w:val="bottom"/>
            <w:tcBorders>
              <w:bottom w:val="single" w:sz="8" w:color="1414D2"/>
            </w:tcBorders>
          </w:tcPr>
          <w:p>
            <w:pPr>
              <w:spacing w:after="0"/>
              <w:rPr>
                <w:sz w:val="24"/>
                <w:szCs w:val="24"/>
                <w:color w:val="auto"/>
              </w:rPr>
            </w:pPr>
          </w:p>
        </w:tc>
        <w:tc>
          <w:tcPr>
            <w:tcW w:w="1360" w:type="dxa"/>
            <w:vAlign w:val="bottom"/>
            <w:tcBorders>
              <w:bottom w:val="single" w:sz="8" w:color="1414D2"/>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720"/>
          </w:cols>
          <w:pgMar w:left="1080" w:top="844" w:right="1099" w:bottom="1440" w:gutter="0" w:footer="0" w:header="0"/>
        </w:sectPr>
      </w:pPr>
    </w:p>
    <w:bookmarkStart w:id="10" w:name="page11"/>
    <w:bookmarkEnd w:id="10"/>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40" w:lineRule="exact"/>
        <w:rPr>
          <w:sz w:val="20"/>
          <w:szCs w:val="20"/>
          <w:color w:val="auto"/>
        </w:rPr>
      </w:pPr>
    </w:p>
    <w:p>
      <w:pPr>
        <w:jc w:val="right"/>
        <w:spacing w:after="0"/>
        <w:rPr>
          <w:sz w:val="20"/>
          <w:szCs w:val="20"/>
          <w:color w:val="auto"/>
        </w:rPr>
      </w:pPr>
      <w:r>
        <w:rPr>
          <w:rFonts w:ascii="Arial" w:cs="Arial" w:eastAsia="Arial" w:hAnsi="Arial"/>
          <w:sz w:val="14"/>
          <w:szCs w:val="14"/>
          <w:color w:val="808080"/>
        </w:rPr>
        <w:t>Table  of  Contents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CAUTIONARY STATEMENT REGARDING FORWARD-LOOKING STATEMENTS</w:t>
      </w:r>
    </w:p>
    <w:p>
      <w:pPr>
        <w:spacing w:after="0" w:line="127"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This proxy statement (the “Proxy Statement”) and accompanying materials (collectively, the “Proxy Materials”) contain certain “forward-looking statements” within the meaning of the Private Securities Litigation Reform Act of 1995. All statements that are not statements of historical facts are, or may be deemed to be, forward-looking statements. Such forward-looking statements are based on historical performance and current expectations, estimates, forecasts and projections about our future fnancial</w:t>
      </w:r>
    </w:p>
    <w:p>
      <w:pPr>
        <w:spacing w:after="0" w:line="3"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results, goals, plans, commitments, strategies and objectives and involve inherent risks, assumptions and uncertainties, known or unknown, including internal or external factors that could delay, divert or change any of them, that are difcult to predict, may be beyond our control and could cause our future fnancial results, goals, plans and objectives to difer materially from those expressed in, or implied by, the statements. No forward-looking statement can be guaranteed. Forward-looking</w:t>
      </w:r>
    </w:p>
    <w:p>
      <w:pPr>
        <w:spacing w:after="0" w:line="3"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statements in the Proxy Materials should be evaluated together with the many risks and uncertainties that afect United Airlines Holdings, Inc.’s (“we,” “us,” “our,” “United” or the “Company”) business and market, particularly those identifed in the “Management’s Discussion and Analysis of Financial Condition and Results of Operations” and “Risk Factors” sections in the Company’s Annual Report on Form 10-K for the year ended December 31, 2025 (“2025 Annual Report on Form 10-K”), as</w:t>
      </w:r>
    </w:p>
    <w:p>
      <w:pPr>
        <w:spacing w:after="0" w:line="3" w:lineRule="exact"/>
        <w:rPr>
          <w:sz w:val="20"/>
          <w:szCs w:val="20"/>
          <w:color w:val="auto"/>
        </w:rPr>
      </w:pPr>
    </w:p>
    <w:p>
      <w:pPr>
        <w:ind w:right="60"/>
        <w:spacing w:after="0" w:line="252" w:lineRule="auto"/>
        <w:rPr>
          <w:sz w:val="20"/>
          <w:szCs w:val="20"/>
          <w:color w:val="auto"/>
        </w:rPr>
      </w:pPr>
      <w:r>
        <w:rPr>
          <w:rFonts w:ascii="Arial" w:cs="Arial" w:eastAsia="Arial" w:hAnsi="Arial"/>
          <w:sz w:val="16"/>
          <w:szCs w:val="16"/>
          <w:color w:val="auto"/>
        </w:rPr>
        <w:t>updated by its subsequent Current Reports on Form 8-K and other flings with the Securities and Exchange Commission (“SEC”). The forward-looking statements included in this document are made only as of the date of this document and except as otherwise required by applicable law or regulation, the Company undertakes no obligation to publicly update or revise any</w:t>
      </w:r>
    </w:p>
    <w:p>
      <w:pPr>
        <w:spacing w:after="0" w:line="1" w:lineRule="exact"/>
        <w:rPr>
          <w:sz w:val="20"/>
          <w:szCs w:val="20"/>
          <w:color w:val="auto"/>
        </w:rPr>
      </w:pPr>
    </w:p>
    <w:p>
      <w:pPr>
        <w:ind w:right="620"/>
        <w:spacing w:after="0" w:line="457" w:lineRule="auto"/>
        <w:rPr>
          <w:sz w:val="20"/>
          <w:szCs w:val="20"/>
          <w:color w:val="auto"/>
        </w:rPr>
      </w:pPr>
      <w:r>
        <w:rPr>
          <w:rFonts w:ascii="Arial" w:cs="Arial" w:eastAsia="Arial" w:hAnsi="Arial"/>
          <w:sz w:val="16"/>
          <w:szCs w:val="16"/>
          <w:color w:val="auto"/>
        </w:rPr>
        <w:t xml:space="preserve">forward-looking statement, whether as a result of new information, future events, changed circumstances or otherwise. </w:t>
      </w:r>
      <w:r>
        <w:rPr>
          <w:rFonts w:ascii="Arial" w:cs="Arial" w:eastAsia="Arial" w:hAnsi="Arial"/>
          <w:sz w:val="16"/>
          <w:szCs w:val="16"/>
          <w:b w:val="1"/>
          <w:bCs w:val="1"/>
          <w:color w:val="auto"/>
        </w:rPr>
        <w:t>WEBSITE REFERENCES</w:t>
      </w:r>
    </w:p>
    <w:p>
      <w:pPr>
        <w:spacing w:after="0" w:line="1"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The Proxy Materials include several website addresses and references to additional materials found on those websites, including our Corporate Impact Report. These websites and materials are provided for convenience only and the content on the</w:t>
      </w:r>
    </w:p>
    <w:p>
      <w:pPr>
        <w:spacing w:after="0" w:line="1" w:lineRule="exact"/>
        <w:rPr>
          <w:sz w:val="20"/>
          <w:szCs w:val="20"/>
          <w:color w:val="auto"/>
        </w:rPr>
      </w:pPr>
    </w:p>
    <w:p>
      <w:pPr>
        <w:ind w:right="120"/>
        <w:spacing w:after="0" w:line="313" w:lineRule="auto"/>
        <w:rPr>
          <w:sz w:val="20"/>
          <w:szCs w:val="20"/>
          <w:color w:val="auto"/>
        </w:rPr>
      </w:pPr>
      <w:r>
        <w:rPr>
          <w:rFonts w:ascii="Arial" w:cs="Arial" w:eastAsia="Arial" w:hAnsi="Arial"/>
          <w:sz w:val="16"/>
          <w:szCs w:val="16"/>
          <w:color w:val="auto"/>
        </w:rPr>
        <w:t>referenced websites is not incorporated by reference herein and does not constitute a part of the Proxy Materials or any of the Company’s other SEC flings.</w:t>
      </w:r>
    </w:p>
    <w:p>
      <w:pPr>
        <w:sectPr>
          <w:pgSz w:w="11900" w:h="16838" w:orient="portrait"/>
          <w:cols w:equalWidth="0" w:num="1">
            <w:col w:w="9720"/>
          </w:cols>
          <w:pgMar w:left="1080" w:top="844" w:right="1099" w:bottom="1440" w:gutter="0" w:footer="0" w:header="0"/>
        </w:sectPr>
      </w:pPr>
    </w:p>
    <w:bookmarkStart w:id="11" w:name="page12"/>
    <w:bookmarkEnd w:id="11"/>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16"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Proxy Statement Summary and Voting Map</w:t>
      </w:r>
    </w:p>
    <w:p>
      <w:pPr>
        <w:spacing w:after="0" w:line="40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This summary highlights certain information contained elsewhere in the Proxy Statement. This summary does not contain all of the</w:t>
      </w:r>
    </w:p>
    <w:p>
      <w:pPr>
        <w:spacing w:after="0" w:line="32" w:lineRule="exact"/>
        <w:rPr>
          <w:sz w:val="20"/>
          <w:szCs w:val="20"/>
          <w:color w:val="auto"/>
        </w:rPr>
      </w:pPr>
    </w:p>
    <w:p>
      <w:pPr>
        <w:ind w:right="320"/>
        <w:spacing w:after="0" w:line="313" w:lineRule="auto"/>
        <w:rPr>
          <w:sz w:val="20"/>
          <w:szCs w:val="20"/>
          <w:color w:val="auto"/>
        </w:rPr>
      </w:pPr>
      <w:r>
        <w:rPr>
          <w:rFonts w:ascii="Arial" w:cs="Arial" w:eastAsia="Arial" w:hAnsi="Arial"/>
          <w:sz w:val="16"/>
          <w:szCs w:val="16"/>
          <w:b w:val="1"/>
          <w:bCs w:val="1"/>
          <w:i w:val="1"/>
          <w:iCs w:val="1"/>
          <w:color w:val="auto"/>
        </w:rPr>
        <w:t>information you should consider and you should read the entire Proxy Statement and our 2025 Annual Report on Form 10-K before casting your vote.</w:t>
      </w:r>
    </w:p>
    <w:p>
      <w:pPr>
        <w:spacing w:after="0" w:line="6"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The Board of Directors of the Company (the “Board”) is soliciting your proxy on behalf of the Company to vote your shares at the 2026 Annual Meeting of Stockholders (the “Annual Meeting”). The Proxy Statement has been prepared by our management and</w:t>
      </w:r>
    </w:p>
    <w:p>
      <w:pPr>
        <w:spacing w:after="0" w:line="1" w:lineRule="exact"/>
        <w:rPr>
          <w:sz w:val="20"/>
          <w:szCs w:val="20"/>
          <w:color w:val="auto"/>
        </w:rPr>
      </w:pPr>
    </w:p>
    <w:p>
      <w:pPr>
        <w:ind w:right="660"/>
        <w:spacing w:after="0" w:line="313" w:lineRule="auto"/>
        <w:rPr>
          <w:sz w:val="20"/>
          <w:szCs w:val="20"/>
          <w:color w:val="auto"/>
        </w:rPr>
      </w:pPr>
      <w:r>
        <w:rPr>
          <w:rFonts w:ascii="Arial" w:cs="Arial" w:eastAsia="Arial" w:hAnsi="Arial"/>
          <w:sz w:val="16"/>
          <w:szCs w:val="16"/>
          <w:color w:val="auto"/>
        </w:rPr>
        <w:t>approved by the Board and is being sent or made available on or about April 7, 2026 to our stockholders of record as of March 24, 2026 (the “Record Date”).</w:t>
      </w:r>
    </w:p>
    <w:p>
      <w:pPr>
        <w:spacing w:after="0" w:line="4" w:lineRule="exact"/>
        <w:rPr>
          <w:sz w:val="20"/>
          <w:szCs w:val="20"/>
          <w:color w:val="auto"/>
        </w:rPr>
      </w:pPr>
    </w:p>
    <w:p>
      <w:pPr>
        <w:spacing w:after="0"/>
        <w:rPr>
          <w:sz w:val="20"/>
          <w:szCs w:val="20"/>
          <w:color w:val="auto"/>
        </w:rPr>
      </w:pPr>
      <w:r>
        <w:rPr>
          <w:rFonts w:ascii="Arial" w:cs="Arial" w:eastAsia="Arial" w:hAnsi="Arial"/>
          <w:sz w:val="25"/>
          <w:szCs w:val="25"/>
          <w:b w:val="1"/>
          <w:bCs w:val="1"/>
          <w:color w:val="1414D2"/>
        </w:rPr>
        <w:t>Annual Meeting Information</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340"/>
        </w:trPr>
        <w:tc>
          <w:tcPr>
            <w:tcW w:w="2520" w:type="dxa"/>
            <w:vAlign w:val="bottom"/>
            <w:shd w:val="clear" w:color="auto" w:fill="1414D2"/>
          </w:tcPr>
          <w:p>
            <w:pPr>
              <w:ind w:left="260"/>
              <w:spacing w:after="0"/>
              <w:rPr>
                <w:sz w:val="20"/>
                <w:szCs w:val="20"/>
                <w:color w:val="auto"/>
              </w:rPr>
            </w:pPr>
            <w:r>
              <w:rPr>
                <w:rFonts w:ascii="Arial" w:cs="Arial" w:eastAsia="Arial" w:hAnsi="Arial"/>
                <w:sz w:val="18"/>
                <w:szCs w:val="18"/>
                <w:b w:val="1"/>
                <w:bCs w:val="1"/>
                <w:color w:val="FFFFFF"/>
              </w:rPr>
              <w:t>DATE &amp; TIME</w:t>
            </w:r>
          </w:p>
        </w:tc>
        <w:tc>
          <w:tcPr>
            <w:tcW w:w="4040" w:type="dxa"/>
            <w:vAlign w:val="bottom"/>
            <w:shd w:val="clear" w:color="auto" w:fill="1414D2"/>
          </w:tcPr>
          <w:p>
            <w:pPr>
              <w:ind w:left="1020"/>
              <w:spacing w:after="0"/>
              <w:rPr>
                <w:sz w:val="20"/>
                <w:szCs w:val="20"/>
                <w:color w:val="auto"/>
              </w:rPr>
            </w:pPr>
            <w:r>
              <w:rPr>
                <w:rFonts w:ascii="Arial" w:cs="Arial" w:eastAsia="Arial" w:hAnsi="Arial"/>
                <w:sz w:val="18"/>
                <w:szCs w:val="18"/>
                <w:b w:val="1"/>
                <w:bCs w:val="1"/>
                <w:color w:val="FFFFFF"/>
              </w:rPr>
              <w:t>WHERE</w:t>
            </w:r>
          </w:p>
        </w:tc>
        <w:tc>
          <w:tcPr>
            <w:tcW w:w="3160" w:type="dxa"/>
            <w:vAlign w:val="bottom"/>
            <w:shd w:val="clear" w:color="auto" w:fill="1414D2"/>
          </w:tcPr>
          <w:p>
            <w:pPr>
              <w:ind w:left="220"/>
              <w:spacing w:after="0"/>
              <w:rPr>
                <w:sz w:val="20"/>
                <w:szCs w:val="20"/>
                <w:color w:val="auto"/>
              </w:rPr>
            </w:pPr>
            <w:r>
              <w:rPr>
                <w:rFonts w:ascii="Arial" w:cs="Arial" w:eastAsia="Arial" w:hAnsi="Arial"/>
                <w:sz w:val="18"/>
                <w:szCs w:val="18"/>
                <w:b w:val="1"/>
                <w:bCs w:val="1"/>
                <w:color w:val="FFFFFF"/>
              </w:rPr>
              <w:t>RECORD DATE</w:t>
            </w:r>
          </w:p>
        </w:tc>
      </w:tr>
      <w:tr>
        <w:trPr>
          <w:trHeight w:val="891"/>
        </w:trPr>
        <w:tc>
          <w:tcPr>
            <w:tcW w:w="2520" w:type="dxa"/>
            <w:vAlign w:val="bottom"/>
            <w:shd w:val="clear" w:color="auto" w:fill="1414D2"/>
          </w:tcPr>
          <w:p>
            <w:pPr>
              <w:ind w:left="260"/>
              <w:spacing w:after="0"/>
              <w:rPr>
                <w:sz w:val="20"/>
                <w:szCs w:val="20"/>
                <w:color w:val="auto"/>
              </w:rPr>
            </w:pPr>
            <w:r>
              <w:rPr>
                <w:rFonts w:ascii="Arial" w:cs="Arial" w:eastAsia="Arial" w:hAnsi="Arial"/>
                <w:sz w:val="16"/>
                <w:szCs w:val="16"/>
                <w:color w:val="FFFFFF"/>
              </w:rPr>
              <w:t>May  19,  2026</w:t>
            </w:r>
          </w:p>
        </w:tc>
        <w:tc>
          <w:tcPr>
            <w:tcW w:w="4040" w:type="dxa"/>
            <w:vAlign w:val="bottom"/>
            <w:shd w:val="clear" w:color="auto" w:fill="1414D2"/>
          </w:tcPr>
          <w:p>
            <w:pPr>
              <w:ind w:left="1020"/>
              <w:spacing w:after="0"/>
              <w:rPr>
                <w:sz w:val="20"/>
                <w:szCs w:val="20"/>
                <w:color w:val="auto"/>
              </w:rPr>
            </w:pPr>
            <w:r>
              <w:rPr>
                <w:rFonts w:ascii="Arial" w:cs="Arial" w:eastAsia="Arial" w:hAnsi="Arial"/>
                <w:sz w:val="16"/>
                <w:szCs w:val="16"/>
                <w:color w:val="FFFFFF"/>
              </w:rPr>
              <w:t>Virtually  online  at</w:t>
            </w:r>
          </w:p>
        </w:tc>
        <w:tc>
          <w:tcPr>
            <w:tcW w:w="3160" w:type="dxa"/>
            <w:vAlign w:val="bottom"/>
            <w:shd w:val="clear" w:color="auto" w:fill="1414D2"/>
          </w:tcPr>
          <w:p>
            <w:pPr>
              <w:ind w:left="220"/>
              <w:spacing w:after="0"/>
              <w:rPr>
                <w:sz w:val="20"/>
                <w:szCs w:val="20"/>
                <w:color w:val="auto"/>
              </w:rPr>
            </w:pPr>
            <w:r>
              <w:rPr>
                <w:rFonts w:ascii="Arial" w:cs="Arial" w:eastAsia="Arial" w:hAnsi="Arial"/>
                <w:sz w:val="16"/>
                <w:szCs w:val="16"/>
                <w:color w:val="FFFFFF"/>
              </w:rPr>
              <w:t>March  24,  2026</w:t>
            </w:r>
          </w:p>
        </w:tc>
      </w:tr>
      <w:tr>
        <w:trPr>
          <w:trHeight w:val="189"/>
        </w:trPr>
        <w:tc>
          <w:tcPr>
            <w:tcW w:w="2520" w:type="dxa"/>
            <w:vAlign w:val="bottom"/>
            <w:shd w:val="clear" w:color="auto" w:fill="1414D2"/>
          </w:tcPr>
          <w:p>
            <w:pPr>
              <w:ind w:left="260"/>
              <w:spacing w:after="0"/>
              <w:rPr>
                <w:sz w:val="20"/>
                <w:szCs w:val="20"/>
                <w:color w:val="auto"/>
              </w:rPr>
            </w:pPr>
            <w:r>
              <w:rPr>
                <w:rFonts w:ascii="Arial" w:cs="Arial" w:eastAsia="Arial" w:hAnsi="Arial"/>
                <w:sz w:val="16"/>
                <w:szCs w:val="16"/>
                <w:color w:val="FFFFFF"/>
              </w:rPr>
              <w:t>at  9:00  a.m.  CDT</w:t>
            </w:r>
          </w:p>
        </w:tc>
        <w:tc>
          <w:tcPr>
            <w:tcW w:w="4040" w:type="dxa"/>
            <w:vAlign w:val="bottom"/>
            <w:shd w:val="clear" w:color="auto" w:fill="1414D2"/>
          </w:tcPr>
          <w:p>
            <w:pPr>
              <w:ind w:left="1020"/>
              <w:spacing w:after="0"/>
              <w:rPr>
                <w:sz w:val="20"/>
                <w:szCs w:val="20"/>
                <w:color w:val="auto"/>
              </w:rPr>
            </w:pPr>
            <w:r>
              <w:rPr>
                <w:rFonts w:ascii="Arial" w:cs="Arial" w:eastAsia="Arial" w:hAnsi="Arial"/>
                <w:sz w:val="16"/>
                <w:szCs w:val="16"/>
                <w:color w:val="FFFFFF"/>
              </w:rPr>
              <w:t>www.virtualshareholdermeeting.com</w:t>
            </w:r>
          </w:p>
        </w:tc>
        <w:tc>
          <w:tcPr>
            <w:tcW w:w="3160" w:type="dxa"/>
            <w:vAlign w:val="bottom"/>
            <w:shd w:val="clear" w:color="auto" w:fill="1414D2"/>
          </w:tcPr>
          <w:p>
            <w:pPr>
              <w:spacing w:after="0"/>
              <w:rPr>
                <w:sz w:val="16"/>
                <w:szCs w:val="16"/>
                <w:color w:val="auto"/>
              </w:rPr>
            </w:pPr>
          </w:p>
        </w:tc>
      </w:tr>
      <w:tr>
        <w:trPr>
          <w:trHeight w:val="235"/>
        </w:trPr>
        <w:tc>
          <w:tcPr>
            <w:tcW w:w="2520" w:type="dxa"/>
            <w:vAlign w:val="bottom"/>
            <w:shd w:val="clear" w:color="auto" w:fill="1414D2"/>
          </w:tcPr>
          <w:p>
            <w:pPr>
              <w:spacing w:after="0"/>
              <w:rPr>
                <w:sz w:val="20"/>
                <w:szCs w:val="20"/>
                <w:color w:val="auto"/>
              </w:rPr>
            </w:pPr>
          </w:p>
        </w:tc>
        <w:tc>
          <w:tcPr>
            <w:tcW w:w="4040" w:type="dxa"/>
            <w:vAlign w:val="bottom"/>
            <w:shd w:val="clear" w:color="auto" w:fill="1414D2"/>
          </w:tcPr>
          <w:p>
            <w:pPr>
              <w:ind w:left="1020"/>
              <w:spacing w:after="0"/>
              <w:rPr>
                <w:sz w:val="20"/>
                <w:szCs w:val="20"/>
                <w:color w:val="auto"/>
              </w:rPr>
            </w:pPr>
            <w:r>
              <w:rPr>
                <w:rFonts w:ascii="Arial" w:cs="Arial" w:eastAsia="Arial" w:hAnsi="Arial"/>
                <w:sz w:val="16"/>
                <w:szCs w:val="16"/>
                <w:color w:val="FFFFFF"/>
              </w:rPr>
              <w:t>/UAL2026</w:t>
            </w:r>
          </w:p>
        </w:tc>
        <w:tc>
          <w:tcPr>
            <w:tcW w:w="3160" w:type="dxa"/>
            <w:vAlign w:val="bottom"/>
            <w:shd w:val="clear" w:color="auto" w:fill="1414D2"/>
          </w:tcPr>
          <w:p>
            <w:pPr>
              <w:spacing w:after="0"/>
              <w:rPr>
                <w:sz w:val="20"/>
                <w:szCs w:val="20"/>
                <w:color w:val="auto"/>
              </w:rPr>
            </w:pPr>
          </w:p>
        </w:tc>
      </w:tr>
      <w:tr>
        <w:trPr>
          <w:trHeight w:val="100"/>
        </w:trPr>
        <w:tc>
          <w:tcPr>
            <w:tcW w:w="2520" w:type="dxa"/>
            <w:vAlign w:val="bottom"/>
            <w:shd w:val="clear" w:color="auto" w:fill="1414D2"/>
          </w:tcPr>
          <w:p>
            <w:pPr>
              <w:spacing w:after="0"/>
              <w:rPr>
                <w:sz w:val="8"/>
                <w:szCs w:val="8"/>
                <w:color w:val="auto"/>
              </w:rPr>
            </w:pPr>
          </w:p>
        </w:tc>
        <w:tc>
          <w:tcPr>
            <w:tcW w:w="4040" w:type="dxa"/>
            <w:vAlign w:val="bottom"/>
            <w:shd w:val="clear" w:color="auto" w:fill="1414D2"/>
          </w:tcPr>
          <w:p>
            <w:pPr>
              <w:spacing w:after="0"/>
              <w:rPr>
                <w:sz w:val="8"/>
                <w:szCs w:val="8"/>
                <w:color w:val="auto"/>
              </w:rPr>
            </w:pPr>
          </w:p>
        </w:tc>
        <w:tc>
          <w:tcPr>
            <w:tcW w:w="3160" w:type="dxa"/>
            <w:vAlign w:val="bottom"/>
            <w:shd w:val="clear" w:color="auto" w:fill="1414D2"/>
          </w:tcPr>
          <w:p>
            <w:pPr>
              <w:spacing w:after="0"/>
              <w:rPr>
                <w:sz w:val="8"/>
                <w:szCs w:val="8"/>
                <w:color w:val="auto"/>
              </w:rPr>
            </w:pPr>
          </w:p>
        </w:tc>
      </w:tr>
    </w:tbl>
    <w:p>
      <w:pPr>
        <w:spacing w:after="0" w:line="83" w:lineRule="exact"/>
        <w:rPr>
          <w:sz w:val="20"/>
          <w:szCs w:val="20"/>
          <w:color w:val="auto"/>
        </w:rPr>
      </w:pPr>
    </w:p>
    <w:p>
      <w:pPr>
        <w:sectPr>
          <w:pgSz w:w="11900" w:h="16838" w:orient="portrait"/>
          <w:cols w:equalWidth="0" w:num="1">
            <w:col w:w="9720"/>
          </w:cols>
          <w:pgMar w:left="1080" w:top="695" w:right="1099" w:bottom="1440" w:gutter="0" w:footer="0" w:header="0"/>
        </w:sectPr>
      </w:pPr>
    </w:p>
    <w:p>
      <w:pPr>
        <w:spacing w:after="0"/>
        <w:rPr>
          <w:sz w:val="20"/>
          <w:szCs w:val="20"/>
          <w:color w:val="auto"/>
        </w:rPr>
      </w:pPr>
      <w:r>
        <w:rPr>
          <w:rFonts w:ascii="Arial" w:cs="Arial" w:eastAsia="Arial" w:hAnsi="Arial"/>
          <w:sz w:val="16"/>
          <w:szCs w:val="16"/>
          <w:b w:val="1"/>
          <w:bCs w:val="1"/>
          <w:color w:val="auto"/>
        </w:rPr>
        <w:t>VOTING:</w:t>
      </w:r>
    </w:p>
    <w:p>
      <w:pPr>
        <w:spacing w:after="0" w:line="20" w:lineRule="exact"/>
        <w:rPr>
          <w:sz w:val="20"/>
          <w:szCs w:val="20"/>
          <w:color w:val="auto"/>
        </w:rPr>
      </w:pPr>
      <w:r>
        <w:rPr>
          <w:sz w:val="20"/>
          <w:szCs w:val="20"/>
          <w:color w:val="auto"/>
        </w:rPr>
        <w:br w:type="column"/>
      </w:r>
    </w:p>
    <w:p>
      <w:pPr>
        <w:ind w:right="480"/>
        <w:spacing w:after="0" w:line="288" w:lineRule="auto"/>
        <w:rPr>
          <w:sz w:val="20"/>
          <w:szCs w:val="20"/>
          <w:color w:val="auto"/>
        </w:rPr>
      </w:pPr>
      <w:r>
        <w:rPr>
          <w:rFonts w:ascii="Arial" w:cs="Arial" w:eastAsia="Arial" w:hAnsi="Arial"/>
          <w:sz w:val="16"/>
          <w:szCs w:val="16"/>
          <w:color w:val="auto"/>
        </w:rPr>
        <w:t>Holders will be entitled to one vote at the Annual Meeting for each of the outstanding shares of our common stock, $0.01 par value per share (“Common Stock”) they hold as of the Record Date.</w:t>
      </w:r>
    </w:p>
    <w:p>
      <w:pPr>
        <w:spacing w:after="0" w:line="115" w:lineRule="exact"/>
        <w:rPr>
          <w:sz w:val="20"/>
          <w:szCs w:val="20"/>
          <w:color w:val="auto"/>
        </w:rPr>
      </w:pPr>
    </w:p>
    <w:p>
      <w:pPr>
        <w:sectPr>
          <w:pgSz w:w="11900" w:h="16838" w:orient="portrait"/>
          <w:cols w:equalWidth="0" w:num="2">
            <w:col w:w="2520" w:space="720"/>
            <w:col w:w="6480"/>
          </w:cols>
          <w:pgMar w:left="1080" w:top="695" w:right="109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6460" w:type="dxa"/>
            <w:vAlign w:val="bottom"/>
            <w:vMerge w:val="restart"/>
          </w:tcPr>
          <w:p>
            <w:pPr>
              <w:spacing w:after="0"/>
              <w:rPr>
                <w:sz w:val="20"/>
                <w:szCs w:val="20"/>
                <w:color w:val="auto"/>
              </w:rPr>
            </w:pPr>
            <w:r>
              <w:rPr>
                <w:rFonts w:ascii="Arial" w:cs="Arial" w:eastAsia="Arial" w:hAnsi="Arial"/>
                <w:sz w:val="25"/>
                <w:szCs w:val="25"/>
                <w:b w:val="1"/>
                <w:bCs w:val="1"/>
                <w:color w:val="1414D2"/>
              </w:rPr>
              <w:t>Meeting Agenda</w:t>
            </w:r>
          </w:p>
        </w:tc>
        <w:tc>
          <w:tcPr>
            <w:tcW w:w="2120" w:type="dxa"/>
            <w:vAlign w:val="bottom"/>
          </w:tcPr>
          <w:p>
            <w:pPr>
              <w:jc w:val="center"/>
              <w:ind w:left="70"/>
              <w:spacing w:after="0"/>
              <w:rPr>
                <w:sz w:val="20"/>
                <w:szCs w:val="20"/>
                <w:color w:val="auto"/>
              </w:rPr>
            </w:pPr>
            <w:r>
              <w:rPr>
                <w:rFonts w:ascii="Arial" w:cs="Arial" w:eastAsia="Arial" w:hAnsi="Arial"/>
                <w:sz w:val="18"/>
                <w:szCs w:val="18"/>
                <w:b w:val="1"/>
                <w:bCs w:val="1"/>
                <w:color w:val="auto"/>
                <w:w w:val="96"/>
              </w:rPr>
              <w:t>BOARD</w:t>
            </w:r>
          </w:p>
        </w:tc>
        <w:tc>
          <w:tcPr>
            <w:tcW w:w="1140" w:type="dxa"/>
            <w:vAlign w:val="bottom"/>
          </w:tcPr>
          <w:p>
            <w:pPr>
              <w:ind w:left="80"/>
              <w:spacing w:after="0"/>
              <w:rPr>
                <w:sz w:val="20"/>
                <w:szCs w:val="20"/>
                <w:color w:val="auto"/>
              </w:rPr>
            </w:pPr>
            <w:r>
              <w:rPr>
                <w:rFonts w:ascii="Arial" w:cs="Arial" w:eastAsia="Arial" w:hAnsi="Arial"/>
                <w:sz w:val="18"/>
                <w:szCs w:val="18"/>
                <w:b w:val="1"/>
                <w:bCs w:val="1"/>
                <w:color w:val="auto"/>
              </w:rPr>
              <w:t>​​   PAGE</w:t>
            </w:r>
          </w:p>
        </w:tc>
        <w:tc>
          <w:tcPr>
            <w:tcW w:w="0" w:type="dxa"/>
            <w:vAlign w:val="bottom"/>
          </w:tcPr>
          <w:p>
            <w:pPr>
              <w:spacing w:after="0"/>
              <w:rPr>
                <w:sz w:val="1"/>
                <w:szCs w:val="1"/>
                <w:color w:val="auto"/>
              </w:rPr>
            </w:pPr>
          </w:p>
        </w:tc>
      </w:tr>
      <w:tr>
        <w:trPr>
          <w:trHeight w:val="288"/>
        </w:trPr>
        <w:tc>
          <w:tcPr>
            <w:tcW w:w="6460" w:type="dxa"/>
            <w:vAlign w:val="bottom"/>
            <w:vMerge w:val="continue"/>
          </w:tcPr>
          <w:p>
            <w:pPr>
              <w:spacing w:after="0"/>
              <w:rPr>
                <w:sz w:val="24"/>
                <w:szCs w:val="24"/>
                <w:color w:val="auto"/>
              </w:rPr>
            </w:pPr>
          </w:p>
        </w:tc>
        <w:tc>
          <w:tcPr>
            <w:tcW w:w="2120" w:type="dxa"/>
            <w:vAlign w:val="bottom"/>
          </w:tcPr>
          <w:p>
            <w:pPr>
              <w:jc w:val="center"/>
              <w:ind w:left="70"/>
              <w:spacing w:after="0"/>
              <w:rPr>
                <w:sz w:val="20"/>
                <w:szCs w:val="20"/>
                <w:color w:val="auto"/>
              </w:rPr>
            </w:pPr>
            <w:r>
              <w:rPr>
                <w:rFonts w:ascii="Arial" w:cs="Arial" w:eastAsia="Arial" w:hAnsi="Arial"/>
                <w:sz w:val="18"/>
                <w:szCs w:val="18"/>
                <w:b w:val="1"/>
                <w:bCs w:val="1"/>
                <w:color w:val="auto"/>
                <w:w w:val="99"/>
              </w:rPr>
              <w:t>RECOMMENDATION</w:t>
            </w:r>
          </w:p>
        </w:tc>
        <w:tc>
          <w:tcPr>
            <w:tcW w:w="1140" w:type="dxa"/>
            <w:vAlign w:val="bottom"/>
          </w:tcPr>
          <w:p>
            <w:pPr>
              <w:ind w:left="80"/>
              <w:spacing w:after="0"/>
              <w:rPr>
                <w:sz w:val="20"/>
                <w:szCs w:val="20"/>
                <w:color w:val="auto"/>
              </w:rPr>
            </w:pPr>
            <w:r>
              <w:rPr>
                <w:rFonts w:ascii="Arial" w:cs="Arial" w:eastAsia="Arial" w:hAnsi="Arial"/>
                <w:sz w:val="18"/>
                <w:szCs w:val="18"/>
                <w:b w:val="1"/>
                <w:bCs w:val="1"/>
                <w:color w:val="auto"/>
                <w:w w:val="93"/>
              </w:rPr>
              <w:t>​REFERENCE</w:t>
            </w:r>
          </w:p>
        </w:tc>
        <w:tc>
          <w:tcPr>
            <w:tcW w:w="0" w:type="dxa"/>
            <w:vAlign w:val="bottom"/>
          </w:tcPr>
          <w:p>
            <w:pPr>
              <w:spacing w:after="0"/>
              <w:rPr>
                <w:sz w:val="1"/>
                <w:szCs w:val="1"/>
                <w:color w:val="auto"/>
              </w:rPr>
            </w:pPr>
          </w:p>
        </w:tc>
      </w:tr>
      <w:tr>
        <w:trPr>
          <w:trHeight w:val="39"/>
        </w:trPr>
        <w:tc>
          <w:tcPr>
            <w:tcW w:w="6460" w:type="dxa"/>
            <w:vAlign w:val="bottom"/>
            <w:tcBorders>
              <w:bottom w:val="single" w:sz="8" w:color="808080"/>
            </w:tcBorders>
          </w:tcPr>
          <w:p>
            <w:pPr>
              <w:spacing w:after="0"/>
              <w:rPr>
                <w:sz w:val="3"/>
                <w:szCs w:val="3"/>
                <w:color w:val="auto"/>
              </w:rPr>
            </w:pPr>
          </w:p>
        </w:tc>
        <w:tc>
          <w:tcPr>
            <w:tcW w:w="2120" w:type="dxa"/>
            <w:vAlign w:val="bottom"/>
            <w:tcBorders>
              <w:bottom w:val="single" w:sz="8" w:color="808080"/>
            </w:tcBorders>
          </w:tcPr>
          <w:p>
            <w:pPr>
              <w:spacing w:after="0"/>
              <w:rPr>
                <w:sz w:val="3"/>
                <w:szCs w:val="3"/>
                <w:color w:val="auto"/>
              </w:rPr>
            </w:pPr>
          </w:p>
        </w:tc>
        <w:tc>
          <w:tcPr>
            <w:tcW w:w="114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93"/>
        </w:trPr>
        <w:tc>
          <w:tcPr>
            <w:tcW w:w="6460" w:type="dxa"/>
            <w:vAlign w:val="bottom"/>
          </w:tcPr>
          <w:p>
            <w:pPr>
              <w:ind w:left="60"/>
              <w:spacing w:after="0"/>
              <w:rPr>
                <w:sz w:val="20"/>
                <w:szCs w:val="20"/>
                <w:color w:val="auto"/>
              </w:rPr>
            </w:pPr>
            <w:r>
              <w:rPr>
                <w:rFonts w:ascii="Arial" w:cs="Arial" w:eastAsia="Arial" w:hAnsi="Arial"/>
                <w:sz w:val="18"/>
                <w:szCs w:val="18"/>
                <w:b w:val="1"/>
                <w:bCs w:val="1"/>
                <w:color w:val="1414D2"/>
              </w:rPr>
              <w:t>MANAGEMENT PROPOSALS</w:t>
            </w:r>
          </w:p>
        </w:tc>
        <w:tc>
          <w:tcPr>
            <w:tcW w:w="2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6460" w:type="dxa"/>
            <w:vAlign w:val="bottom"/>
            <w:tcBorders>
              <w:bottom w:val="single" w:sz="8" w:color="808080"/>
            </w:tcBorders>
          </w:tcPr>
          <w:p>
            <w:pPr>
              <w:spacing w:after="0"/>
              <w:rPr>
                <w:sz w:val="3"/>
                <w:szCs w:val="3"/>
                <w:color w:val="auto"/>
              </w:rPr>
            </w:pPr>
          </w:p>
        </w:tc>
        <w:tc>
          <w:tcPr>
            <w:tcW w:w="2120" w:type="dxa"/>
            <w:vAlign w:val="bottom"/>
            <w:tcBorders>
              <w:bottom w:val="single" w:sz="8" w:color="808080"/>
            </w:tcBorders>
          </w:tcPr>
          <w:p>
            <w:pPr>
              <w:spacing w:after="0"/>
              <w:rPr>
                <w:sz w:val="3"/>
                <w:szCs w:val="3"/>
                <w:color w:val="auto"/>
              </w:rPr>
            </w:pPr>
          </w:p>
        </w:tc>
        <w:tc>
          <w:tcPr>
            <w:tcW w:w="114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6460" w:type="dxa"/>
            <w:vAlign w:val="bottom"/>
          </w:tcPr>
          <w:p>
            <w:pPr>
              <w:ind w:left="800"/>
              <w:spacing w:after="0"/>
              <w:rPr>
                <w:sz w:val="20"/>
                <w:szCs w:val="20"/>
                <w:color w:val="auto"/>
              </w:rPr>
            </w:pPr>
            <w:r>
              <w:rPr>
                <w:rFonts w:ascii="Arial" w:cs="Arial" w:eastAsia="Arial" w:hAnsi="Arial"/>
                <w:sz w:val="16"/>
                <w:szCs w:val="16"/>
                <w:color w:val="auto"/>
              </w:rPr>
              <w:t>The  election  of  the  director  nominees  named  in  the  attached  proxy</w:t>
            </w:r>
          </w:p>
        </w:tc>
        <w:tc>
          <w:tcPr>
            <w:tcW w:w="2120" w:type="dxa"/>
            <w:vAlign w:val="bottom"/>
          </w:tcPr>
          <w:p>
            <w:pPr>
              <w:ind w:left="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1414D2"/>
              </w:rPr>
              <w:t>FOR EACH NOMINEE</w:t>
            </w:r>
          </w:p>
        </w:tc>
        <w:tc>
          <w:tcPr>
            <w:tcW w:w="1140" w:type="dxa"/>
            <w:vAlign w:val="bottom"/>
          </w:tcPr>
          <w:p>
            <w:pPr>
              <w:jc w:val="center"/>
              <w:ind w:left="50"/>
              <w:spacing w:after="0"/>
              <w:rPr>
                <w:sz w:val="20"/>
                <w:szCs w:val="20"/>
                <w:color w:val="auto"/>
              </w:rPr>
            </w:pPr>
            <w:r>
              <w:rPr>
                <w:rFonts w:ascii="Arial" w:cs="Arial" w:eastAsia="Arial" w:hAnsi="Arial"/>
                <w:sz w:val="18"/>
                <w:szCs w:val="18"/>
                <w:b w:val="1"/>
                <w:bCs w:val="1"/>
                <w:color w:val="1414D2"/>
                <w:w w:val="99"/>
              </w:rPr>
              <w:t>16</w:t>
            </w:r>
          </w:p>
        </w:tc>
        <w:tc>
          <w:tcPr>
            <w:tcW w:w="0" w:type="dxa"/>
            <w:vAlign w:val="bottom"/>
          </w:tcPr>
          <w:p>
            <w:pPr>
              <w:spacing w:after="0"/>
              <w:rPr>
                <w:sz w:val="1"/>
                <w:szCs w:val="1"/>
                <w:color w:val="auto"/>
              </w:rPr>
            </w:pPr>
          </w:p>
        </w:tc>
      </w:tr>
      <w:tr>
        <w:trPr>
          <w:trHeight w:val="235"/>
        </w:trPr>
        <w:tc>
          <w:tcPr>
            <w:tcW w:w="6460" w:type="dxa"/>
            <w:vAlign w:val="bottom"/>
          </w:tcPr>
          <w:p>
            <w:pPr>
              <w:ind w:left="800"/>
              <w:spacing w:after="0"/>
              <w:rPr>
                <w:sz w:val="20"/>
                <w:szCs w:val="20"/>
                <w:color w:val="auto"/>
              </w:rPr>
            </w:pPr>
            <w:r>
              <w:rPr>
                <w:rFonts w:ascii="Arial" w:cs="Arial" w:eastAsia="Arial" w:hAnsi="Arial"/>
                <w:sz w:val="16"/>
                <w:szCs w:val="16"/>
                <w:color w:val="auto"/>
              </w:rPr>
              <w:t>statement  for  a  one-year  term.</w:t>
            </w:r>
          </w:p>
        </w:tc>
        <w:tc>
          <w:tcPr>
            <w:tcW w:w="2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6460" w:type="dxa"/>
            <w:vAlign w:val="bottom"/>
            <w:tcBorders>
              <w:bottom w:val="single" w:sz="8" w:color="808080"/>
            </w:tcBorders>
          </w:tcPr>
          <w:p>
            <w:pPr>
              <w:spacing w:after="0"/>
              <w:rPr>
                <w:sz w:val="4"/>
                <w:szCs w:val="4"/>
                <w:color w:val="auto"/>
              </w:rPr>
            </w:pPr>
          </w:p>
        </w:tc>
        <w:tc>
          <w:tcPr>
            <w:tcW w:w="2120" w:type="dxa"/>
            <w:vAlign w:val="bottom"/>
            <w:tcBorders>
              <w:bottom w:val="single" w:sz="8" w:color="808080"/>
            </w:tcBorders>
          </w:tcPr>
          <w:p>
            <w:pPr>
              <w:spacing w:after="0"/>
              <w:rPr>
                <w:sz w:val="4"/>
                <w:szCs w:val="4"/>
                <w:color w:val="auto"/>
              </w:rPr>
            </w:pPr>
          </w:p>
        </w:tc>
        <w:tc>
          <w:tcPr>
            <w:tcW w:w="114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6460" w:type="dxa"/>
            <w:vAlign w:val="bottom"/>
          </w:tcPr>
          <w:p>
            <w:pPr>
              <w:ind w:left="800"/>
              <w:spacing w:after="0"/>
              <w:rPr>
                <w:sz w:val="20"/>
                <w:szCs w:val="20"/>
                <w:color w:val="auto"/>
              </w:rPr>
            </w:pPr>
            <w:r>
              <w:rPr>
                <w:rFonts w:ascii="Arial" w:cs="Arial" w:eastAsia="Arial" w:hAnsi="Arial"/>
                <w:sz w:val="16"/>
                <w:szCs w:val="16"/>
                <w:color w:val="auto"/>
                <w:w w:val="99"/>
              </w:rPr>
              <w:t>The  ratifcation  of  the  appointment  of  Ernst  &amp;  Young  LLP  to  serve  as  our</w:t>
            </w:r>
          </w:p>
        </w:tc>
        <w:tc>
          <w:tcPr>
            <w:tcW w:w="2120" w:type="dxa"/>
            <w:vAlign w:val="bottom"/>
          </w:tcPr>
          <w:p>
            <w:pPr>
              <w:ind w:left="180"/>
              <w:spacing w:after="0"/>
              <w:rPr>
                <w:sz w:val="20"/>
                <w:szCs w:val="20"/>
                <w:color w:val="auto"/>
              </w:rPr>
            </w:pPr>
            <w:r>
              <w:rPr>
                <w:rFonts w:ascii="Arial" w:cs="Arial" w:eastAsia="Arial" w:hAnsi="Arial"/>
                <w:sz w:val="18"/>
                <w:szCs w:val="18"/>
                <w:b w:val="1"/>
                <w:bCs w:val="1"/>
                <w:color w:val="1414D2"/>
              </w:rPr>
              <w:t>FOR</w:t>
            </w:r>
          </w:p>
        </w:tc>
        <w:tc>
          <w:tcPr>
            <w:tcW w:w="1140" w:type="dxa"/>
            <w:vAlign w:val="bottom"/>
          </w:tcPr>
          <w:p>
            <w:pPr>
              <w:jc w:val="center"/>
              <w:ind w:left="50"/>
              <w:spacing w:after="0"/>
              <w:rPr>
                <w:sz w:val="20"/>
                <w:szCs w:val="20"/>
                <w:color w:val="auto"/>
              </w:rPr>
            </w:pPr>
            <w:r>
              <w:rPr>
                <w:rFonts w:ascii="Arial" w:cs="Arial" w:eastAsia="Arial" w:hAnsi="Arial"/>
                <w:sz w:val="18"/>
                <w:szCs w:val="18"/>
                <w:b w:val="1"/>
                <w:bCs w:val="1"/>
                <w:color w:val="1414D2"/>
                <w:w w:val="99"/>
              </w:rPr>
              <w:t>71</w:t>
            </w:r>
          </w:p>
        </w:tc>
        <w:tc>
          <w:tcPr>
            <w:tcW w:w="0" w:type="dxa"/>
            <w:vAlign w:val="bottom"/>
          </w:tcPr>
          <w:p>
            <w:pPr>
              <w:spacing w:after="0"/>
              <w:rPr>
                <w:sz w:val="1"/>
                <w:szCs w:val="1"/>
                <w:color w:val="auto"/>
              </w:rPr>
            </w:pPr>
          </w:p>
        </w:tc>
      </w:tr>
      <w:tr>
        <w:trPr>
          <w:trHeight w:val="189"/>
        </w:trPr>
        <w:tc>
          <w:tcPr>
            <w:tcW w:w="6460" w:type="dxa"/>
            <w:vAlign w:val="bottom"/>
          </w:tcPr>
          <w:p>
            <w:pPr>
              <w:ind w:left="800"/>
              <w:spacing w:after="0"/>
              <w:rPr>
                <w:sz w:val="20"/>
                <w:szCs w:val="20"/>
                <w:color w:val="auto"/>
              </w:rPr>
            </w:pPr>
            <w:r>
              <w:rPr>
                <w:rFonts w:ascii="Arial" w:cs="Arial" w:eastAsia="Arial" w:hAnsi="Arial"/>
                <w:sz w:val="16"/>
                <w:szCs w:val="16"/>
                <w:color w:val="auto"/>
              </w:rPr>
              <w:t>independent  registered  public  accounting  frm  for  the  fscal  year  ending</w:t>
            </w:r>
          </w:p>
        </w:tc>
        <w:tc>
          <w:tcPr>
            <w:tcW w:w="2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6460" w:type="dxa"/>
            <w:vAlign w:val="bottom"/>
          </w:tcPr>
          <w:p>
            <w:pPr>
              <w:ind w:left="800"/>
              <w:spacing w:after="0"/>
              <w:rPr>
                <w:sz w:val="20"/>
                <w:szCs w:val="20"/>
                <w:color w:val="auto"/>
              </w:rPr>
            </w:pPr>
            <w:r>
              <w:rPr>
                <w:rFonts w:ascii="Arial" w:cs="Arial" w:eastAsia="Arial" w:hAnsi="Arial"/>
                <w:sz w:val="16"/>
                <w:szCs w:val="16"/>
                <w:color w:val="auto"/>
              </w:rPr>
              <w:t>December  31,  2026.</w:t>
            </w:r>
          </w:p>
        </w:tc>
        <w:tc>
          <w:tcPr>
            <w:tcW w:w="2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6460" w:type="dxa"/>
            <w:vAlign w:val="bottom"/>
            <w:tcBorders>
              <w:bottom w:val="single" w:sz="8" w:color="808080"/>
            </w:tcBorders>
          </w:tcPr>
          <w:p>
            <w:pPr>
              <w:spacing w:after="0"/>
              <w:rPr>
                <w:sz w:val="4"/>
                <w:szCs w:val="4"/>
                <w:color w:val="auto"/>
              </w:rPr>
            </w:pPr>
          </w:p>
        </w:tc>
        <w:tc>
          <w:tcPr>
            <w:tcW w:w="2120" w:type="dxa"/>
            <w:vAlign w:val="bottom"/>
            <w:tcBorders>
              <w:bottom w:val="single" w:sz="8" w:color="808080"/>
            </w:tcBorders>
          </w:tcPr>
          <w:p>
            <w:pPr>
              <w:spacing w:after="0"/>
              <w:rPr>
                <w:sz w:val="4"/>
                <w:szCs w:val="4"/>
                <w:color w:val="auto"/>
              </w:rPr>
            </w:pPr>
          </w:p>
        </w:tc>
        <w:tc>
          <w:tcPr>
            <w:tcW w:w="114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6460" w:type="dxa"/>
            <w:vAlign w:val="bottom"/>
          </w:tcPr>
          <w:p>
            <w:pPr>
              <w:ind w:left="800"/>
              <w:spacing w:after="0"/>
              <w:rPr>
                <w:sz w:val="20"/>
                <w:szCs w:val="20"/>
                <w:color w:val="auto"/>
              </w:rPr>
            </w:pPr>
            <w:r>
              <w:rPr>
                <w:rFonts w:ascii="Arial" w:cs="Arial" w:eastAsia="Arial" w:hAnsi="Arial"/>
                <w:sz w:val="16"/>
                <w:szCs w:val="16"/>
                <w:color w:val="auto"/>
              </w:rPr>
              <w:t>A  vote  to  approve,  on  a  nonbinding  advisory  basis,  the  compensation  of</w:t>
            </w:r>
          </w:p>
        </w:tc>
        <w:tc>
          <w:tcPr>
            <w:tcW w:w="2120" w:type="dxa"/>
            <w:vAlign w:val="bottom"/>
          </w:tcPr>
          <w:p>
            <w:pPr>
              <w:ind w:left="180"/>
              <w:spacing w:after="0"/>
              <w:rPr>
                <w:sz w:val="20"/>
                <w:szCs w:val="20"/>
                <w:color w:val="auto"/>
              </w:rPr>
            </w:pPr>
            <w:r>
              <w:rPr>
                <w:rFonts w:ascii="Arial" w:cs="Arial" w:eastAsia="Arial" w:hAnsi="Arial"/>
                <w:sz w:val="18"/>
                <w:szCs w:val="18"/>
                <w:b w:val="1"/>
                <w:bCs w:val="1"/>
                <w:color w:val="1414D2"/>
              </w:rPr>
              <w:t>FOR</w:t>
            </w:r>
          </w:p>
        </w:tc>
        <w:tc>
          <w:tcPr>
            <w:tcW w:w="1140" w:type="dxa"/>
            <w:vAlign w:val="bottom"/>
          </w:tcPr>
          <w:p>
            <w:pPr>
              <w:jc w:val="center"/>
              <w:ind w:left="50"/>
              <w:spacing w:after="0"/>
              <w:rPr>
                <w:sz w:val="20"/>
                <w:szCs w:val="20"/>
                <w:color w:val="auto"/>
              </w:rPr>
            </w:pPr>
            <w:r>
              <w:rPr>
                <w:rFonts w:ascii="Arial" w:cs="Arial" w:eastAsia="Arial" w:hAnsi="Arial"/>
                <w:sz w:val="18"/>
                <w:szCs w:val="18"/>
                <w:b w:val="1"/>
                <w:bCs w:val="1"/>
                <w:color w:val="1414D2"/>
                <w:w w:val="99"/>
              </w:rPr>
              <w:t>75</w:t>
            </w:r>
          </w:p>
        </w:tc>
        <w:tc>
          <w:tcPr>
            <w:tcW w:w="0" w:type="dxa"/>
            <w:vAlign w:val="bottom"/>
          </w:tcPr>
          <w:p>
            <w:pPr>
              <w:spacing w:after="0"/>
              <w:rPr>
                <w:sz w:val="1"/>
                <w:szCs w:val="1"/>
                <w:color w:val="auto"/>
              </w:rPr>
            </w:pPr>
          </w:p>
        </w:tc>
      </w:tr>
      <w:tr>
        <w:trPr>
          <w:trHeight w:val="235"/>
        </w:trPr>
        <w:tc>
          <w:tcPr>
            <w:tcW w:w="6460" w:type="dxa"/>
            <w:vAlign w:val="bottom"/>
          </w:tcPr>
          <w:p>
            <w:pPr>
              <w:ind w:left="800"/>
              <w:spacing w:after="0"/>
              <w:rPr>
                <w:sz w:val="20"/>
                <w:szCs w:val="20"/>
                <w:color w:val="auto"/>
              </w:rPr>
            </w:pPr>
            <w:r>
              <w:rPr>
                <w:rFonts w:ascii="Arial" w:cs="Arial" w:eastAsia="Arial" w:hAnsi="Arial"/>
                <w:sz w:val="16"/>
                <w:szCs w:val="16"/>
                <w:color w:val="auto"/>
              </w:rPr>
              <w:t>our  named  executive  ofcers.</w:t>
            </w:r>
          </w:p>
        </w:tc>
        <w:tc>
          <w:tcPr>
            <w:tcW w:w="2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6460" w:type="dxa"/>
            <w:vAlign w:val="bottom"/>
            <w:tcBorders>
              <w:bottom w:val="single" w:sz="8" w:color="808080"/>
            </w:tcBorders>
          </w:tcPr>
          <w:p>
            <w:pPr>
              <w:spacing w:after="0"/>
              <w:rPr>
                <w:sz w:val="4"/>
                <w:szCs w:val="4"/>
                <w:color w:val="auto"/>
              </w:rPr>
            </w:pPr>
          </w:p>
        </w:tc>
        <w:tc>
          <w:tcPr>
            <w:tcW w:w="2120" w:type="dxa"/>
            <w:vAlign w:val="bottom"/>
            <w:tcBorders>
              <w:bottom w:val="single" w:sz="8" w:color="808080"/>
            </w:tcBorders>
          </w:tcPr>
          <w:p>
            <w:pPr>
              <w:spacing w:after="0"/>
              <w:rPr>
                <w:sz w:val="4"/>
                <w:szCs w:val="4"/>
                <w:color w:val="auto"/>
              </w:rPr>
            </w:pPr>
          </w:p>
        </w:tc>
        <w:tc>
          <w:tcPr>
            <w:tcW w:w="114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93"/>
        </w:trPr>
        <w:tc>
          <w:tcPr>
            <w:tcW w:w="6460" w:type="dxa"/>
            <w:vAlign w:val="bottom"/>
          </w:tcPr>
          <w:p>
            <w:pPr>
              <w:ind w:left="60"/>
              <w:spacing w:after="0"/>
              <w:rPr>
                <w:sz w:val="20"/>
                <w:szCs w:val="20"/>
                <w:color w:val="auto"/>
              </w:rPr>
            </w:pPr>
            <w:r>
              <w:rPr>
                <w:rFonts w:ascii="Arial" w:cs="Arial" w:eastAsia="Arial" w:hAnsi="Arial"/>
                <w:sz w:val="18"/>
                <w:szCs w:val="18"/>
                <w:b w:val="1"/>
                <w:bCs w:val="1"/>
                <w:color w:val="1414D2"/>
              </w:rPr>
              <w:t>STOCKHOLDER PROPOSAL</w:t>
            </w:r>
          </w:p>
        </w:tc>
        <w:tc>
          <w:tcPr>
            <w:tcW w:w="2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6460" w:type="dxa"/>
            <w:vAlign w:val="bottom"/>
            <w:tcBorders>
              <w:bottom w:val="single" w:sz="8" w:color="808080"/>
            </w:tcBorders>
          </w:tcPr>
          <w:p>
            <w:pPr>
              <w:spacing w:after="0"/>
              <w:rPr>
                <w:sz w:val="3"/>
                <w:szCs w:val="3"/>
                <w:color w:val="auto"/>
              </w:rPr>
            </w:pPr>
          </w:p>
        </w:tc>
        <w:tc>
          <w:tcPr>
            <w:tcW w:w="2120" w:type="dxa"/>
            <w:vAlign w:val="bottom"/>
            <w:tcBorders>
              <w:bottom w:val="single" w:sz="8" w:color="808080"/>
            </w:tcBorders>
          </w:tcPr>
          <w:p>
            <w:pPr>
              <w:spacing w:after="0"/>
              <w:rPr>
                <w:sz w:val="3"/>
                <w:szCs w:val="3"/>
                <w:color w:val="auto"/>
              </w:rPr>
            </w:pPr>
          </w:p>
        </w:tc>
        <w:tc>
          <w:tcPr>
            <w:tcW w:w="114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6460" w:type="dxa"/>
            <w:vAlign w:val="bottom"/>
          </w:tcPr>
          <w:p>
            <w:pPr>
              <w:ind w:left="800"/>
              <w:spacing w:after="0"/>
              <w:rPr>
                <w:sz w:val="20"/>
                <w:szCs w:val="20"/>
                <w:color w:val="auto"/>
              </w:rPr>
            </w:pPr>
            <w:r>
              <w:rPr>
                <w:rFonts w:ascii="Arial" w:cs="Arial" w:eastAsia="Arial" w:hAnsi="Arial"/>
                <w:sz w:val="16"/>
                <w:szCs w:val="16"/>
                <w:color w:val="auto"/>
              </w:rPr>
              <w:t>Advisory  vote  on  stockholder  proposal  regarding  the  stockholder  right  to</w:t>
            </w:r>
          </w:p>
        </w:tc>
        <w:tc>
          <w:tcPr>
            <w:tcW w:w="2120" w:type="dxa"/>
            <w:vAlign w:val="bottom"/>
          </w:tcPr>
          <w:p>
            <w:pPr>
              <w:ind w:left="180"/>
              <w:spacing w:after="0"/>
              <w:rPr>
                <w:sz w:val="20"/>
                <w:szCs w:val="20"/>
                <w:color w:val="auto"/>
              </w:rPr>
            </w:pPr>
            <w:r>
              <w:rPr>
                <w:rFonts w:ascii="Arial" w:cs="Arial" w:eastAsia="Arial" w:hAnsi="Arial"/>
                <w:sz w:val="18"/>
                <w:szCs w:val="18"/>
                <w:b w:val="1"/>
                <w:bCs w:val="1"/>
                <w:color w:val="FF0000"/>
              </w:rPr>
              <w:t>AGAINST</w:t>
            </w:r>
          </w:p>
        </w:tc>
        <w:tc>
          <w:tcPr>
            <w:tcW w:w="1140" w:type="dxa"/>
            <w:vAlign w:val="bottom"/>
          </w:tcPr>
          <w:p>
            <w:pPr>
              <w:jc w:val="center"/>
              <w:ind w:left="70"/>
              <w:spacing w:after="0"/>
              <w:rPr>
                <w:sz w:val="20"/>
                <w:szCs w:val="20"/>
                <w:color w:val="auto"/>
              </w:rPr>
            </w:pPr>
            <w:r>
              <w:rPr>
                <w:rFonts w:ascii="Arial" w:cs="Arial" w:eastAsia="Arial" w:hAnsi="Arial"/>
                <w:sz w:val="18"/>
                <w:szCs w:val="18"/>
                <w:b w:val="1"/>
                <w:bCs w:val="1"/>
                <w:color w:val="1414D2"/>
                <w:w w:val="99"/>
              </w:rPr>
              <w:t>133</w:t>
            </w:r>
          </w:p>
        </w:tc>
        <w:tc>
          <w:tcPr>
            <w:tcW w:w="0" w:type="dxa"/>
            <w:vAlign w:val="bottom"/>
          </w:tcPr>
          <w:p>
            <w:pPr>
              <w:spacing w:after="0"/>
              <w:rPr>
                <w:sz w:val="1"/>
                <w:szCs w:val="1"/>
                <w:color w:val="auto"/>
              </w:rPr>
            </w:pPr>
          </w:p>
        </w:tc>
      </w:tr>
      <w:tr>
        <w:trPr>
          <w:trHeight w:val="235"/>
        </w:trPr>
        <w:tc>
          <w:tcPr>
            <w:tcW w:w="6460" w:type="dxa"/>
            <w:vAlign w:val="bottom"/>
          </w:tcPr>
          <w:p>
            <w:pPr>
              <w:ind w:left="800"/>
              <w:spacing w:after="0"/>
              <w:rPr>
                <w:sz w:val="20"/>
                <w:szCs w:val="20"/>
                <w:color w:val="auto"/>
              </w:rPr>
            </w:pPr>
            <w:r>
              <w:rPr>
                <w:rFonts w:ascii="Arial" w:cs="Arial" w:eastAsia="Arial" w:hAnsi="Arial"/>
                <w:sz w:val="16"/>
                <w:szCs w:val="16"/>
                <w:color w:val="auto"/>
              </w:rPr>
              <w:t>act  by  written  consent.</w:t>
            </w:r>
          </w:p>
        </w:tc>
        <w:tc>
          <w:tcPr>
            <w:tcW w:w="2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6460" w:type="dxa"/>
            <w:vAlign w:val="bottom"/>
            <w:tcBorders>
              <w:bottom w:val="single" w:sz="8" w:color="808080"/>
            </w:tcBorders>
          </w:tcPr>
          <w:p>
            <w:pPr>
              <w:spacing w:after="0"/>
              <w:rPr>
                <w:sz w:val="4"/>
                <w:szCs w:val="4"/>
                <w:color w:val="auto"/>
              </w:rPr>
            </w:pPr>
          </w:p>
        </w:tc>
        <w:tc>
          <w:tcPr>
            <w:tcW w:w="2120" w:type="dxa"/>
            <w:vAlign w:val="bottom"/>
            <w:tcBorders>
              <w:bottom w:val="single" w:sz="8" w:color="808080"/>
            </w:tcBorders>
          </w:tcPr>
          <w:p>
            <w:pPr>
              <w:spacing w:after="0"/>
              <w:rPr>
                <w:sz w:val="4"/>
                <w:szCs w:val="4"/>
                <w:color w:val="auto"/>
              </w:rPr>
            </w:pPr>
          </w:p>
        </w:tc>
        <w:tc>
          <w:tcPr>
            <w:tcW w:w="114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2026  Proxy  Statement</w:t>
      </w:r>
    </w:p>
    <w:p>
      <w:pPr>
        <w:spacing w:after="0" w:line="167" w:lineRule="exact"/>
        <w:rPr>
          <w:sz w:val="20"/>
          <w:szCs w:val="20"/>
          <w:color w:val="auto"/>
        </w:rPr>
      </w:pPr>
    </w:p>
    <w:p>
      <w:pPr>
        <w:ind w:left="9640"/>
        <w:spacing w:after="0"/>
        <w:rPr>
          <w:sz w:val="20"/>
          <w:szCs w:val="20"/>
          <w:color w:val="auto"/>
        </w:rPr>
      </w:pPr>
      <w:r>
        <w:rPr>
          <w:rFonts w:ascii="Arial" w:cs="Arial" w:eastAsia="Arial" w:hAnsi="Arial"/>
          <w:sz w:val="14"/>
          <w:szCs w:val="14"/>
          <w:b w:val="1"/>
          <w:bCs w:val="1"/>
          <w:color w:val="1414D2"/>
        </w:rPr>
        <w:t>1</w:t>
      </w:r>
    </w:p>
    <w:p>
      <w:pPr>
        <w:sectPr>
          <w:pgSz w:w="11900" w:h="16838" w:orient="portrait"/>
          <w:cols w:equalWidth="0" w:num="1">
            <w:col w:w="9720"/>
          </w:cols>
          <w:pgMar w:left="1080" w:top="695" w:right="109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6D6F71"/>
        </w:rPr>
        <w:t>Proxy  Statement  Summary  and  Voting  Map</w:t>
      </w:r>
    </w:p>
    <w:p>
      <w:pPr>
        <w:spacing w:after="0" w:line="223" w:lineRule="exact"/>
        <w:rPr>
          <w:sz w:val="20"/>
          <w:szCs w:val="20"/>
          <w:color w:val="auto"/>
        </w:rPr>
      </w:pPr>
    </w:p>
    <w:p>
      <w:pPr>
        <w:spacing w:after="0"/>
        <w:rPr>
          <w:sz w:val="20"/>
          <w:szCs w:val="20"/>
          <w:color w:val="auto"/>
        </w:rPr>
      </w:pPr>
      <w:r>
        <w:rPr>
          <w:rFonts w:ascii="Arial" w:cs="Arial" w:eastAsia="Arial" w:hAnsi="Arial"/>
          <w:sz w:val="25"/>
          <w:szCs w:val="25"/>
          <w:b w:val="1"/>
          <w:bCs w:val="1"/>
          <w:color w:val="1414D2"/>
        </w:rPr>
        <w:t>Company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560"/>
        <w:spacing w:after="0" w:line="210" w:lineRule="auto"/>
        <w:rPr>
          <w:sz w:val="20"/>
          <w:szCs w:val="20"/>
          <w:color w:val="auto"/>
        </w:rPr>
      </w:pPr>
      <w:r>
        <w:rPr>
          <w:rFonts w:ascii="Arial" w:cs="Arial" w:eastAsia="Arial" w:hAnsi="Arial"/>
          <w:sz w:val="28"/>
          <w:szCs w:val="28"/>
          <w:b w:val="1"/>
          <w:bCs w:val="1"/>
          <w:color w:val="1414D2"/>
        </w:rPr>
        <w:t>United is the largest airline in the world</w:t>
      </w:r>
      <w:r>
        <w:rPr>
          <w:rFonts w:ascii="Arial" w:cs="Arial" w:eastAsia="Arial" w:hAnsi="Arial"/>
          <w:sz w:val="42"/>
          <w:szCs w:val="42"/>
          <w:b w:val="1"/>
          <w:bCs w:val="1"/>
          <w:color w:val="1414D2"/>
          <w:vertAlign w:val="superscript"/>
        </w:rPr>
        <w:t>1</w:t>
      </w:r>
      <w:r>
        <w:rPr>
          <w:rFonts w:ascii="Arial" w:cs="Arial" w:eastAsia="Arial" w:hAnsi="Arial"/>
          <w:sz w:val="28"/>
          <w:szCs w:val="28"/>
          <w:b w:val="1"/>
          <w:bCs w:val="1"/>
          <w:color w:val="1414D2"/>
        </w:rPr>
        <w:t>. Our 113,000+ employees help over 180 million passengers get to more than 380 destinations</w:t>
      </w:r>
    </w:p>
    <w:p>
      <w:pPr>
        <w:sectPr>
          <w:pgSz w:w="11900" w:h="16838" w:orient="portrait"/>
          <w:cols w:equalWidth="0" w:num="1">
            <w:col w:w="9720"/>
          </w:cols>
          <w:pgMar w:left="1080" w:top="695" w:right="109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29"/>
          <w:szCs w:val="29"/>
          <w:b w:val="1"/>
          <w:bCs w:val="1"/>
          <w:color w:val="1414D2"/>
        </w:rPr>
        <w:t>across six continents each year.</w:t>
      </w:r>
    </w:p>
    <w:p>
      <w:pPr>
        <w:spacing w:after="0" w:line="114" w:lineRule="exact"/>
        <w:rPr>
          <w:sz w:val="20"/>
          <w:szCs w:val="20"/>
          <w:color w:val="auto"/>
        </w:rPr>
      </w:pPr>
    </w:p>
    <w:p>
      <w:pPr>
        <w:ind w:left="320"/>
        <w:spacing w:after="0"/>
        <w:rPr>
          <w:sz w:val="20"/>
          <w:szCs w:val="20"/>
          <w:color w:val="auto"/>
        </w:rPr>
      </w:pPr>
      <w:r>
        <w:rPr>
          <w:rFonts w:ascii="Arial" w:cs="Arial" w:eastAsia="Arial" w:hAnsi="Arial"/>
          <w:sz w:val="20"/>
          <w:szCs w:val="20"/>
          <w:b w:val="1"/>
          <w:bCs w:val="1"/>
          <w:color w:val="auto"/>
        </w:rPr>
        <w:t>Largest Airline in the World</w:t>
      </w:r>
    </w:p>
    <w:p>
      <w:pPr>
        <w:spacing w:after="0" w:line="15" w:lineRule="exact"/>
        <w:rPr>
          <w:sz w:val="20"/>
          <w:szCs w:val="20"/>
          <w:color w:val="auto"/>
        </w:rPr>
      </w:pPr>
    </w:p>
    <w:p>
      <w:pPr>
        <w:ind w:right="480"/>
        <w:spacing w:after="0" w:line="214" w:lineRule="auto"/>
        <w:rPr>
          <w:sz w:val="20"/>
          <w:szCs w:val="20"/>
          <w:color w:val="auto"/>
        </w:rPr>
      </w:pPr>
      <w:r>
        <w:rPr>
          <w:rFonts w:ascii="Arial" w:cs="Arial" w:eastAsia="Arial" w:hAnsi="Arial"/>
          <w:sz w:val="15"/>
          <w:szCs w:val="15"/>
          <w:color w:val="auto"/>
        </w:rPr>
        <w:t>United continues to be the largest airline in the world</w:t>
      </w:r>
      <w:r>
        <w:rPr>
          <w:rFonts w:ascii="Arial" w:cs="Arial" w:eastAsia="Arial" w:hAnsi="Arial"/>
          <w:sz w:val="21"/>
          <w:szCs w:val="21"/>
          <w:color w:val="auto"/>
          <w:vertAlign w:val="superscript"/>
        </w:rPr>
        <w:t>1</w:t>
      </w:r>
      <w:r>
        <w:rPr>
          <w:rFonts w:ascii="Arial" w:cs="Arial" w:eastAsia="Arial" w:hAnsi="Arial"/>
          <w:sz w:val="15"/>
          <w:szCs w:val="15"/>
          <w:color w:val="auto"/>
        </w:rPr>
        <w:t>, connecting passengers to more than 380 destinations and</w:t>
      </w:r>
    </w:p>
    <w:p>
      <w:pPr>
        <w:spacing w:after="0" w:line="1" w:lineRule="exact"/>
        <w:rPr>
          <w:sz w:val="20"/>
          <w:szCs w:val="20"/>
          <w:color w:val="auto"/>
        </w:rPr>
      </w:pPr>
    </w:p>
    <w:p>
      <w:pPr>
        <w:ind w:right="20"/>
        <w:spacing w:after="0" w:line="312" w:lineRule="auto"/>
        <w:rPr>
          <w:sz w:val="20"/>
          <w:szCs w:val="20"/>
          <w:color w:val="auto"/>
        </w:rPr>
      </w:pPr>
      <w:r>
        <w:rPr>
          <w:rFonts w:ascii="Arial" w:cs="Arial" w:eastAsia="Arial" w:hAnsi="Arial"/>
          <w:sz w:val="15"/>
          <w:szCs w:val="15"/>
          <w:color w:val="auto"/>
        </w:rPr>
        <w:t>serving more than 75 destinations around the world that are not served by any other U.S. legacy carrier.</w:t>
      </w:r>
    </w:p>
    <w:p>
      <w:pPr>
        <w:spacing w:after="0" w:line="3" w:lineRule="exact"/>
        <w:rPr>
          <w:sz w:val="20"/>
          <w:szCs w:val="20"/>
          <w:color w:val="auto"/>
        </w:rPr>
      </w:pPr>
    </w:p>
    <w:p>
      <w:pPr>
        <w:spacing w:after="0"/>
        <w:rPr>
          <w:sz w:val="20"/>
          <w:szCs w:val="20"/>
          <w:color w:val="auto"/>
        </w:rPr>
      </w:pPr>
      <w:r>
        <w:rPr>
          <w:sz w:val="1"/>
          <w:szCs w:val="1"/>
          <w:color w:val="auto"/>
        </w:rPr>
        <w:drawing>
          <wp:inline distT="0" distB="0" distL="0" distR="0">
            <wp:extent cx="111125" cy="13716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1125" cy="137160"/>
                    </a:xfrm>
                    <a:prstGeom prst="rect">
                      <a:avLst/>
                    </a:prstGeom>
                    <a:noFill/>
                    <a:ln>
                      <a:noFill/>
                    </a:ln>
                  </pic:spPr>
                </pic:pic>
              </a:graphicData>
            </a:graphic>
          </wp:inline>
        </w:drawing>
      </w:r>
      <w:r>
        <w:rPr>
          <w:rFonts w:ascii="Arial" w:cs="Arial" w:eastAsia="Arial" w:hAnsi="Arial"/>
          <w:sz w:val="20"/>
          <w:szCs w:val="20"/>
          <w:b w:val="1"/>
          <w:bCs w:val="1"/>
          <w:color w:val="auto"/>
        </w:rPr>
        <w:t xml:space="preserve"> Leading Carrier</w:t>
      </w:r>
    </w:p>
    <w:p>
      <w:pPr>
        <w:ind w:right="320"/>
        <w:spacing w:after="0" w:line="214" w:lineRule="auto"/>
        <w:rPr>
          <w:sz w:val="20"/>
          <w:szCs w:val="20"/>
          <w:color w:val="auto"/>
        </w:rPr>
      </w:pPr>
      <w:r>
        <w:rPr>
          <w:rFonts w:ascii="Arial" w:cs="Arial" w:eastAsia="Arial" w:hAnsi="Arial"/>
          <w:sz w:val="15"/>
          <w:szCs w:val="15"/>
          <w:color w:val="auto"/>
        </w:rPr>
        <w:t>United is the leading carrier across the Atlantic and Pacifc</w:t>
      </w:r>
      <w:r>
        <w:rPr>
          <w:rFonts w:ascii="Arial" w:cs="Arial" w:eastAsia="Arial" w:hAnsi="Arial"/>
          <w:sz w:val="21"/>
          <w:szCs w:val="21"/>
          <w:color w:val="auto"/>
          <w:vertAlign w:val="superscript"/>
        </w:rPr>
        <w:t>1</w:t>
      </w:r>
      <w:r>
        <w:rPr>
          <w:rFonts w:ascii="Arial" w:cs="Arial" w:eastAsia="Arial" w:hAnsi="Arial"/>
          <w:sz w:val="15"/>
          <w:szCs w:val="15"/>
          <w:color w:val="auto"/>
        </w:rPr>
        <w:t>, ofering direct fights to international cities in Asia, Australia,</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Europe,  Latin  America,  the  Middle  East  and  Africa.</w:t>
      </w:r>
    </w:p>
    <w:p>
      <w:pPr>
        <w:spacing w:after="0" w:line="109" w:lineRule="exact"/>
        <w:rPr>
          <w:sz w:val="20"/>
          <w:szCs w:val="20"/>
          <w:color w:val="auto"/>
        </w:rPr>
      </w:pPr>
    </w:p>
    <w:p>
      <w:pPr>
        <w:spacing w:after="0"/>
        <w:rPr>
          <w:sz w:val="20"/>
          <w:szCs w:val="20"/>
          <w:color w:val="auto"/>
        </w:rPr>
      </w:pPr>
      <w:r>
        <w:rPr>
          <w:sz w:val="1"/>
          <w:szCs w:val="1"/>
          <w:color w:val="auto"/>
        </w:rPr>
        <w:drawing>
          <wp:inline distT="0" distB="0" distL="0" distR="0">
            <wp:extent cx="196850" cy="19685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6850" cy="196850"/>
                    </a:xfrm>
                    <a:prstGeom prst="rect">
                      <a:avLst/>
                    </a:prstGeom>
                    <a:noFill/>
                    <a:ln>
                      <a:noFill/>
                    </a:ln>
                  </pic:spPr>
                </pic:pic>
              </a:graphicData>
            </a:graphic>
          </wp:inline>
        </w:drawing>
      </w:r>
      <w:r>
        <w:rPr>
          <w:rFonts w:ascii="Arial" w:cs="Arial" w:eastAsia="Arial" w:hAnsi="Arial"/>
          <w:sz w:val="20"/>
          <w:szCs w:val="20"/>
          <w:b w:val="1"/>
          <w:bCs w:val="1"/>
          <w:color w:val="auto"/>
        </w:rPr>
        <w:t xml:space="preserve"> Historic Growth through United Next</w:t>
      </w:r>
    </w:p>
    <w:p>
      <w:pPr>
        <w:spacing w:after="0"/>
        <w:rPr>
          <w:sz w:val="20"/>
          <w:szCs w:val="20"/>
          <w:color w:val="auto"/>
        </w:rPr>
      </w:pPr>
      <w:r>
        <w:rPr>
          <w:rFonts w:ascii="Arial" w:cs="Arial" w:eastAsia="Arial" w:hAnsi="Arial"/>
          <w:sz w:val="15"/>
          <w:szCs w:val="15"/>
          <w:color w:val="auto"/>
        </w:rPr>
        <w:t>As part of our United Next growth plan, we hired more  than</w:t>
      </w:r>
    </w:p>
    <w:p>
      <w:pPr>
        <w:spacing w:after="0" w:line="17" w:lineRule="exact"/>
        <w:rPr>
          <w:sz w:val="20"/>
          <w:szCs w:val="20"/>
          <w:color w:val="auto"/>
        </w:rPr>
      </w:pPr>
    </w:p>
    <w:p>
      <w:pPr>
        <w:ind w:right="220"/>
        <w:spacing w:after="0" w:line="200" w:lineRule="auto"/>
        <w:rPr>
          <w:sz w:val="20"/>
          <w:szCs w:val="20"/>
          <w:color w:val="auto"/>
        </w:rPr>
      </w:pPr>
      <w:r>
        <w:rPr>
          <w:rFonts w:ascii="Arial" w:cs="Arial" w:eastAsia="Arial" w:hAnsi="Arial"/>
          <w:sz w:val="15"/>
          <w:szCs w:val="15"/>
          <w:color w:val="auto"/>
        </w:rPr>
        <w:t>60,000 employees since 2022. We expect to take delivery of more than 250 new aircraft</w:t>
      </w:r>
      <w:r>
        <w:rPr>
          <w:rFonts w:ascii="Arial" w:cs="Arial" w:eastAsia="Arial" w:hAnsi="Arial"/>
          <w:sz w:val="22"/>
          <w:szCs w:val="22"/>
          <w:color w:val="auto"/>
          <w:vertAlign w:val="superscript"/>
        </w:rPr>
        <w:t>2</w:t>
      </w:r>
      <w:r>
        <w:rPr>
          <w:rFonts w:ascii="Arial" w:cs="Arial" w:eastAsia="Arial" w:hAnsi="Arial"/>
          <w:sz w:val="15"/>
          <w:szCs w:val="15"/>
          <w:color w:val="auto"/>
        </w:rPr>
        <w:t xml:space="preserve"> by April 2028</w:t>
      </w:r>
      <w:r>
        <w:rPr>
          <w:rFonts w:ascii="Arial" w:cs="Arial" w:eastAsia="Arial" w:hAnsi="Arial"/>
          <w:sz w:val="16"/>
          <w:szCs w:val="16"/>
          <w:color w:val="auto"/>
        </w:rPr>
        <w:t>, including our new</w:t>
      </w:r>
    </w:p>
    <w:p>
      <w:pPr>
        <w:ind w:right="80"/>
        <w:spacing w:after="0" w:line="318" w:lineRule="auto"/>
        <w:rPr>
          <w:sz w:val="20"/>
          <w:szCs w:val="20"/>
          <w:color w:val="auto"/>
        </w:rPr>
      </w:pPr>
      <w:r>
        <w:rPr>
          <w:rFonts w:ascii="Arial" w:cs="Arial" w:eastAsia="Arial" w:hAnsi="Arial"/>
          <w:sz w:val="16"/>
          <w:szCs w:val="16"/>
          <w:color w:val="auto"/>
        </w:rPr>
        <w:t>Boeing 787-9 with United Elevated interior and a new Airbus A321neo called the “Coastliner</w:t>
      </w:r>
      <w:r>
        <w:rPr>
          <w:rFonts w:ascii="Arial" w:cs="Arial" w:eastAsia="Arial" w:hAnsi="Arial"/>
          <w:sz w:val="15"/>
          <w:szCs w:val="15"/>
          <w:color w:val="auto"/>
        </w:rPr>
        <w:t>.”</w:t>
      </w:r>
    </w:p>
    <w:p>
      <w:pPr>
        <w:spacing w:after="0" w:line="1" w:lineRule="exact"/>
        <w:rPr>
          <w:sz w:val="20"/>
          <w:szCs w:val="20"/>
          <w:color w:val="auto"/>
        </w:rPr>
      </w:pPr>
    </w:p>
    <w:p>
      <w:pPr>
        <w:spacing w:after="0"/>
        <w:rPr>
          <w:sz w:val="20"/>
          <w:szCs w:val="20"/>
          <w:color w:val="auto"/>
        </w:rPr>
      </w:pPr>
      <w:r>
        <w:rPr>
          <w:sz w:val="1"/>
          <w:szCs w:val="1"/>
          <w:color w:val="auto"/>
        </w:rPr>
        <w:drawing>
          <wp:inline distT="0" distB="0" distL="0" distR="0">
            <wp:extent cx="137160" cy="9398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7160" cy="93980"/>
                    </a:xfrm>
                    <a:prstGeom prst="rect">
                      <a:avLst/>
                    </a:prstGeom>
                    <a:noFill/>
                    <a:ln>
                      <a:noFill/>
                    </a:ln>
                  </pic:spPr>
                </pic:pic>
              </a:graphicData>
            </a:graphic>
          </wp:inline>
        </w:drawing>
      </w:r>
      <w:r>
        <w:rPr>
          <w:rFonts w:ascii="Arial" w:cs="Arial" w:eastAsia="Arial" w:hAnsi="Arial"/>
          <w:sz w:val="20"/>
          <w:szCs w:val="20"/>
          <w:b w:val="1"/>
          <w:bCs w:val="1"/>
          <w:color w:val="auto"/>
        </w:rPr>
        <w:t xml:space="preserve"> Industry-Leading Loyalty Program</w:t>
      </w:r>
    </w:p>
    <w:p>
      <w:pPr>
        <w:spacing w:after="0" w:line="7" w:lineRule="exact"/>
        <w:rPr>
          <w:sz w:val="20"/>
          <w:szCs w:val="20"/>
          <w:color w:val="auto"/>
        </w:rPr>
      </w:pPr>
    </w:p>
    <w:p>
      <w:pPr>
        <w:spacing w:after="0"/>
        <w:rPr>
          <w:sz w:val="20"/>
          <w:szCs w:val="20"/>
          <w:color w:val="auto"/>
        </w:rPr>
      </w:pPr>
      <w:r>
        <w:rPr>
          <w:rFonts w:ascii="Arial" w:cs="Arial" w:eastAsia="Arial" w:hAnsi="Arial"/>
          <w:sz w:val="15"/>
          <w:szCs w:val="15"/>
          <w:color w:val="auto"/>
        </w:rPr>
        <w:t>130+ million MileagePlus members can earn travel  benefits,</w:t>
      </w:r>
    </w:p>
    <w:p>
      <w:pPr>
        <w:spacing w:after="0" w:line="17" w:lineRule="exact"/>
        <w:rPr>
          <w:sz w:val="20"/>
          <w:szCs w:val="20"/>
          <w:color w:val="auto"/>
        </w:rPr>
      </w:pPr>
    </w:p>
    <w:p>
      <w:pPr>
        <w:ind w:right="100"/>
        <w:spacing w:after="0" w:line="278" w:lineRule="auto"/>
        <w:rPr>
          <w:sz w:val="20"/>
          <w:szCs w:val="20"/>
          <w:color w:val="auto"/>
        </w:rPr>
      </w:pPr>
      <w:r>
        <w:rPr>
          <w:rFonts w:ascii="Arial" w:cs="Arial" w:eastAsia="Arial" w:hAnsi="Arial"/>
          <w:sz w:val="15"/>
          <w:szCs w:val="15"/>
          <w:color w:val="auto"/>
        </w:rPr>
        <w:t>achieve Premier status and use miles toward flights, hotels, cars, gift cards, snacks, entertainment and more. United miles never expire and there are no blackout dates for award seats.</w:t>
      </w:r>
    </w:p>
    <w:p>
      <w:pPr>
        <w:spacing w:after="0" w:line="47" w:lineRule="exact"/>
        <w:rPr>
          <w:sz w:val="20"/>
          <w:szCs w:val="20"/>
          <w:color w:val="auto"/>
        </w:rPr>
      </w:pPr>
    </w:p>
    <w:p>
      <w:pPr>
        <w:spacing w:after="0"/>
        <w:rPr>
          <w:sz w:val="20"/>
          <w:szCs w:val="20"/>
          <w:color w:val="auto"/>
        </w:rPr>
      </w:pPr>
      <w:r>
        <w:rPr>
          <w:sz w:val="1"/>
          <w:szCs w:val="1"/>
          <w:color w:val="auto"/>
        </w:rPr>
        <w:drawing>
          <wp:inline distT="0" distB="0" distL="0" distR="0">
            <wp:extent cx="154305" cy="13716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4305" cy="137160"/>
                    </a:xfrm>
                    <a:prstGeom prst="rect">
                      <a:avLst/>
                    </a:prstGeom>
                    <a:noFill/>
                    <a:ln>
                      <a:noFill/>
                    </a:ln>
                  </pic:spPr>
                </pic:pic>
              </a:graphicData>
            </a:graphic>
          </wp:inline>
        </w:drawing>
      </w:r>
      <w:r>
        <w:rPr>
          <w:rFonts w:ascii="Arial" w:cs="Arial" w:eastAsia="Arial" w:hAnsi="Arial"/>
          <w:sz w:val="20"/>
          <w:szCs w:val="20"/>
          <w:b w:val="1"/>
          <w:bCs w:val="1"/>
          <w:color w:val="auto"/>
        </w:rPr>
        <w:t xml:space="preserve"> Elevating the Customer Experience</w:t>
      </w:r>
    </w:p>
    <w:p>
      <w:pPr>
        <w:ind w:right="220"/>
        <w:spacing w:after="0" w:line="253" w:lineRule="auto"/>
        <w:rPr>
          <w:sz w:val="20"/>
          <w:szCs w:val="20"/>
          <w:color w:val="auto"/>
        </w:rPr>
      </w:pPr>
      <w:r>
        <w:rPr>
          <w:rFonts w:ascii="Arial" w:cs="Arial" w:eastAsia="Arial" w:hAnsi="Arial"/>
          <w:sz w:val="15"/>
          <w:szCs w:val="15"/>
          <w:color w:val="auto"/>
        </w:rPr>
        <w:t>United has an agreement with SpaceX to bring Starlink, the world’s fastest, most reliable high-speed Wi-Fi in the sky, to its</w:t>
      </w:r>
    </w:p>
    <w:p>
      <w:pPr>
        <w:spacing w:after="0" w:line="1" w:lineRule="exact"/>
        <w:rPr>
          <w:sz w:val="20"/>
          <w:szCs w:val="20"/>
          <w:color w:val="auto"/>
        </w:rPr>
      </w:pPr>
    </w:p>
    <w:p>
      <w:pPr>
        <w:spacing w:after="0"/>
        <w:tabs>
          <w:tab w:leader="none" w:pos="880" w:val="left"/>
        </w:tabs>
        <w:rPr>
          <w:sz w:val="20"/>
          <w:szCs w:val="20"/>
          <w:color w:val="auto"/>
        </w:rPr>
      </w:pPr>
      <w:r>
        <w:rPr>
          <w:rFonts w:ascii="Arial" w:cs="Arial" w:eastAsia="Arial" w:hAnsi="Arial"/>
          <w:sz w:val="15"/>
          <w:szCs w:val="15"/>
          <w:color w:val="auto"/>
        </w:rPr>
        <w:t>entire  feet.</w:t>
        <w:tab/>
        <w:t>With  our  new  United  Polaris  product  (United  Polaris</w:t>
      </w:r>
    </w:p>
    <w:p>
      <w:pPr>
        <w:spacing w:after="0" w:line="10" w:lineRule="exact"/>
        <w:rPr>
          <w:sz w:val="20"/>
          <w:szCs w:val="20"/>
          <w:color w:val="auto"/>
        </w:rPr>
      </w:pPr>
    </w:p>
    <w:p>
      <w:pPr>
        <w:spacing w:after="0" w:line="198" w:lineRule="auto"/>
        <w:rPr>
          <w:sz w:val="20"/>
          <w:szCs w:val="20"/>
          <w:color w:val="auto"/>
        </w:rPr>
      </w:pPr>
      <w:r>
        <w:rPr>
          <w:rFonts w:ascii="Arial" w:cs="Arial" w:eastAsia="Arial" w:hAnsi="Arial"/>
          <w:sz w:val="15"/>
          <w:szCs w:val="15"/>
          <w:color w:val="auto"/>
        </w:rPr>
        <w:t>Studio</w:t>
      </w:r>
      <w:r>
        <w:rPr>
          <w:rFonts w:ascii="Arial" w:cs="Arial" w:eastAsia="Arial" w:hAnsi="Arial"/>
          <w:sz w:val="24"/>
          <w:szCs w:val="24"/>
          <w:color w:val="auto"/>
          <w:vertAlign w:val="superscript"/>
        </w:rPr>
        <w:t>SM</w:t>
      </w:r>
      <w:r>
        <w:rPr>
          <w:rFonts w:ascii="Arial" w:cs="Arial" w:eastAsia="Arial" w:hAnsi="Arial"/>
          <w:sz w:val="15"/>
          <w:szCs w:val="15"/>
          <w:color w:val="auto"/>
        </w:rPr>
        <w:t>), featuring lie-fat seats and unique accouterments, and more than 530 new and retroftted aircraft, featuring United's</w:t>
      </w:r>
    </w:p>
    <w:p>
      <w:pPr>
        <w:spacing w:after="0" w:line="1" w:lineRule="exact"/>
        <w:rPr>
          <w:sz w:val="20"/>
          <w:szCs w:val="20"/>
          <w:color w:val="auto"/>
        </w:rPr>
      </w:pPr>
    </w:p>
    <w:p>
      <w:pPr>
        <w:ind w:right="120"/>
        <w:spacing w:after="0" w:line="253" w:lineRule="auto"/>
        <w:rPr>
          <w:sz w:val="20"/>
          <w:szCs w:val="20"/>
          <w:color w:val="auto"/>
        </w:rPr>
      </w:pPr>
      <w:r>
        <w:rPr>
          <w:rFonts w:ascii="Arial" w:cs="Arial" w:eastAsia="Arial" w:hAnsi="Arial"/>
          <w:sz w:val="15"/>
          <w:szCs w:val="15"/>
          <w:color w:val="auto"/>
        </w:rPr>
        <w:t>signature interior with bigger bins, seatback screens at every seat and Bluetooth connectivity, the experience of fying United</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is  best-in-class.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sz w:val="1"/>
          <w:szCs w:val="1"/>
          <w:color w:val="auto"/>
        </w:rPr>
        <w:drawing>
          <wp:inline distT="0" distB="0" distL="0" distR="0">
            <wp:extent cx="111125" cy="14605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1125" cy="146050"/>
                    </a:xfrm>
                    <a:prstGeom prst="rect">
                      <a:avLst/>
                    </a:prstGeom>
                    <a:noFill/>
                    <a:ln>
                      <a:noFill/>
                    </a:ln>
                  </pic:spPr>
                </pic:pic>
              </a:graphicData>
            </a:graphic>
          </wp:inline>
        </w:drawing>
      </w:r>
      <w:r>
        <w:rPr>
          <w:rFonts w:ascii="Arial" w:cs="Arial" w:eastAsia="Arial" w:hAnsi="Arial"/>
          <w:sz w:val="20"/>
          <w:szCs w:val="20"/>
          <w:b w:val="1"/>
          <w:bCs w:val="1"/>
          <w:color w:val="auto"/>
        </w:rPr>
        <w:t xml:space="preserve"> Innovation in Aviation and Aerospace</w:t>
      </w:r>
    </w:p>
    <w:p>
      <w:pPr>
        <w:ind w:right="40"/>
        <w:spacing w:after="0" w:line="253" w:lineRule="auto"/>
        <w:rPr>
          <w:sz w:val="20"/>
          <w:szCs w:val="20"/>
          <w:color w:val="auto"/>
        </w:rPr>
      </w:pPr>
      <w:r>
        <w:rPr>
          <w:rFonts w:ascii="Arial" w:cs="Arial" w:eastAsia="Arial" w:hAnsi="Arial"/>
          <w:sz w:val="15"/>
          <w:szCs w:val="15"/>
          <w:color w:val="auto"/>
        </w:rPr>
        <w:t>United Airlines Ventures (“UAV”) invests in technologies intended to redefne commercial air travel for decades, including next-</w:t>
      </w:r>
    </w:p>
    <w:p>
      <w:pPr>
        <w:spacing w:after="0" w:line="1" w:lineRule="exact"/>
        <w:rPr>
          <w:sz w:val="20"/>
          <w:szCs w:val="20"/>
          <w:color w:val="auto"/>
        </w:rPr>
      </w:pPr>
    </w:p>
    <w:p>
      <w:pPr>
        <w:jc w:val="both"/>
        <w:ind w:right="160"/>
        <w:spacing w:after="0" w:line="250" w:lineRule="auto"/>
        <w:rPr>
          <w:sz w:val="20"/>
          <w:szCs w:val="20"/>
          <w:color w:val="auto"/>
        </w:rPr>
      </w:pPr>
      <w:r>
        <w:rPr>
          <w:rFonts w:ascii="Arial" w:cs="Arial" w:eastAsia="Arial" w:hAnsi="Arial"/>
          <w:sz w:val="15"/>
          <w:szCs w:val="15"/>
          <w:color w:val="auto"/>
        </w:rPr>
        <w:t>generation air trafc management and aviation infrastructure, cutting-edge aerospace technologies and artifcial intelligence-driven travel innovation. In 2026, UAV launched its Startup</w:t>
      </w:r>
    </w:p>
    <w:p>
      <w:pPr>
        <w:spacing w:after="0" w:line="1" w:lineRule="exact"/>
        <w:rPr>
          <w:sz w:val="20"/>
          <w:szCs w:val="20"/>
          <w:color w:val="auto"/>
        </w:rPr>
      </w:pPr>
    </w:p>
    <w:p>
      <w:pPr>
        <w:ind w:right="60"/>
        <w:spacing w:after="0" w:line="253" w:lineRule="auto"/>
        <w:rPr>
          <w:sz w:val="20"/>
          <w:szCs w:val="20"/>
          <w:color w:val="auto"/>
        </w:rPr>
      </w:pPr>
      <w:r>
        <w:rPr>
          <w:rFonts w:ascii="Arial" w:cs="Arial" w:eastAsia="Arial" w:hAnsi="Arial"/>
          <w:sz w:val="15"/>
          <w:szCs w:val="15"/>
          <w:color w:val="auto"/>
        </w:rPr>
        <w:t>Testing for Aviation Readiness &amp; Transformation Program, an in-house testing program designed to facilitate the product</w:t>
      </w:r>
    </w:p>
    <w:p>
      <w:pPr>
        <w:spacing w:after="0" w:line="1" w:lineRule="exact"/>
        <w:rPr>
          <w:sz w:val="20"/>
          <w:szCs w:val="20"/>
          <w:color w:val="auto"/>
        </w:rPr>
      </w:pPr>
    </w:p>
    <w:p>
      <w:pPr>
        <w:spacing w:after="0" w:line="253" w:lineRule="auto"/>
        <w:rPr>
          <w:sz w:val="20"/>
          <w:szCs w:val="20"/>
          <w:color w:val="auto"/>
        </w:rPr>
      </w:pPr>
      <w:r>
        <w:rPr>
          <w:rFonts w:ascii="Arial" w:cs="Arial" w:eastAsia="Arial" w:hAnsi="Arial"/>
          <w:sz w:val="15"/>
          <w:szCs w:val="15"/>
          <w:color w:val="auto"/>
        </w:rPr>
        <w:t>development of UAV’s portfolio companies through collaboration between UAV portfolio companies and United's operational</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teams.</w:t>
      </w:r>
    </w:p>
    <w:p>
      <w:pPr>
        <w:spacing w:after="0" w:line="18" w:lineRule="exact"/>
        <w:rPr>
          <w:sz w:val="20"/>
          <w:szCs w:val="20"/>
          <w:color w:val="auto"/>
        </w:rPr>
      </w:pPr>
    </w:p>
    <w:p>
      <w:pPr>
        <w:ind w:left="260" w:right="220" w:hanging="263"/>
        <w:spacing w:after="0"/>
        <w:rPr>
          <w:sz w:val="20"/>
          <w:szCs w:val="20"/>
          <w:color w:val="auto"/>
        </w:rPr>
      </w:pPr>
      <w:r>
        <w:rPr>
          <w:sz w:val="1"/>
          <w:szCs w:val="1"/>
          <w:color w:val="auto"/>
        </w:rPr>
        <w:drawing>
          <wp:inline distT="0" distB="0" distL="0" distR="0">
            <wp:extent cx="85725" cy="14605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5725" cy="146050"/>
                    </a:xfrm>
                    <a:prstGeom prst="rect">
                      <a:avLst/>
                    </a:prstGeom>
                    <a:noFill/>
                    <a:ln>
                      <a:noFill/>
                    </a:ln>
                  </pic:spPr>
                </pic:pic>
              </a:graphicData>
            </a:graphic>
          </wp:inline>
        </w:drawing>
      </w:r>
      <w:r>
        <w:rPr>
          <w:rFonts w:ascii="Arial" w:cs="Arial" w:eastAsia="Arial" w:hAnsi="Arial"/>
          <w:sz w:val="20"/>
          <w:szCs w:val="20"/>
          <w:b w:val="1"/>
          <w:bCs w:val="1"/>
          <w:color w:val="auto"/>
        </w:rPr>
        <w:t xml:space="preserve"> Pioneering the use of Sustainable Aviation Fuel</w:t>
      </w:r>
    </w:p>
    <w:p>
      <w:pPr>
        <w:ind w:right="180"/>
        <w:spacing w:after="0" w:line="253" w:lineRule="auto"/>
        <w:rPr>
          <w:sz w:val="20"/>
          <w:szCs w:val="20"/>
          <w:color w:val="auto"/>
        </w:rPr>
      </w:pPr>
      <w:r>
        <w:rPr>
          <w:rFonts w:ascii="Arial" w:cs="Arial" w:eastAsia="Arial" w:hAnsi="Arial"/>
          <w:sz w:val="15"/>
          <w:szCs w:val="15"/>
          <w:color w:val="auto"/>
        </w:rPr>
        <w:t>In 2025, United doubled its use of sustainable aviation fuel (“SAF”) compared to 2024 across the network, using more than</w:t>
      </w:r>
    </w:p>
    <w:p>
      <w:pPr>
        <w:spacing w:after="0" w:line="1" w:lineRule="exact"/>
        <w:rPr>
          <w:sz w:val="20"/>
          <w:szCs w:val="20"/>
          <w:color w:val="auto"/>
        </w:rPr>
      </w:pPr>
    </w:p>
    <w:p>
      <w:pPr>
        <w:ind w:right="80"/>
        <w:spacing w:after="0" w:line="253" w:lineRule="auto"/>
        <w:rPr>
          <w:sz w:val="20"/>
          <w:szCs w:val="20"/>
          <w:color w:val="auto"/>
        </w:rPr>
      </w:pPr>
      <w:r>
        <w:rPr>
          <w:rFonts w:ascii="Arial" w:cs="Arial" w:eastAsia="Arial" w:hAnsi="Arial"/>
          <w:sz w:val="15"/>
          <w:szCs w:val="15"/>
          <w:color w:val="auto"/>
        </w:rPr>
        <w:t>27M gallons of SAF across our domestic and international locations. For the frst time in 2025, United used blended SAF at</w:t>
      </w:r>
    </w:p>
    <w:p>
      <w:pPr>
        <w:spacing w:after="0" w:line="1" w:lineRule="exact"/>
        <w:rPr>
          <w:sz w:val="20"/>
          <w:szCs w:val="20"/>
          <w:color w:val="auto"/>
        </w:rPr>
      </w:pPr>
    </w:p>
    <w:p>
      <w:pPr>
        <w:ind w:right="220"/>
        <w:spacing w:after="0" w:line="253" w:lineRule="auto"/>
        <w:rPr>
          <w:sz w:val="20"/>
          <w:szCs w:val="20"/>
          <w:color w:val="auto"/>
        </w:rPr>
      </w:pPr>
      <w:r>
        <w:rPr>
          <w:rFonts w:ascii="Arial" w:cs="Arial" w:eastAsia="Arial" w:hAnsi="Arial"/>
          <w:sz w:val="15"/>
          <w:szCs w:val="15"/>
          <w:color w:val="auto"/>
        </w:rPr>
        <w:t>three domestic hub locations: George Bush Intercontinental Airport, Newark International Airport and Dulles International</w:t>
      </w:r>
    </w:p>
    <w:p>
      <w:pPr>
        <w:spacing w:after="0" w:line="1" w:lineRule="exact"/>
        <w:rPr>
          <w:sz w:val="20"/>
          <w:szCs w:val="20"/>
          <w:color w:val="auto"/>
        </w:rPr>
      </w:pPr>
    </w:p>
    <w:p>
      <w:pPr>
        <w:ind w:right="240"/>
        <w:spacing w:after="0" w:line="253" w:lineRule="auto"/>
        <w:rPr>
          <w:sz w:val="20"/>
          <w:szCs w:val="20"/>
          <w:color w:val="auto"/>
        </w:rPr>
      </w:pPr>
      <w:r>
        <w:rPr>
          <w:rFonts w:ascii="Arial" w:cs="Arial" w:eastAsia="Arial" w:hAnsi="Arial"/>
          <w:sz w:val="15"/>
          <w:szCs w:val="15"/>
          <w:color w:val="auto"/>
        </w:rPr>
        <w:t>Airport. United frst used blended SAF in 2016 at Los Angeles International Airport, at San Francisco International Airport in</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2023  and  in  2024,  at  Chicago  O’Hare  International  Airport.  By</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2025  year-end,  United  had  used  blended  SAF  at  6  of  its  7</w:t>
      </w:r>
    </w:p>
    <w:p>
      <w:pPr>
        <w:spacing w:after="0" w:line="4" w:lineRule="exact"/>
        <w:rPr>
          <w:sz w:val="20"/>
          <w:szCs w:val="20"/>
          <w:color w:val="auto"/>
        </w:rPr>
      </w:pPr>
    </w:p>
    <w:p>
      <w:pPr>
        <w:spacing w:after="0"/>
        <w:rPr>
          <w:sz w:val="20"/>
          <w:szCs w:val="20"/>
          <w:color w:val="auto"/>
        </w:rPr>
      </w:pPr>
      <w:r>
        <w:rPr>
          <w:rFonts w:ascii="Arial" w:cs="Arial" w:eastAsia="Arial" w:hAnsi="Arial"/>
          <w:sz w:val="15"/>
          <w:szCs w:val="15"/>
          <w:color w:val="auto"/>
        </w:rPr>
        <w:t>domestic  hub  stations.</w:t>
      </w:r>
      <w:r>
        <w:rPr>
          <w:rFonts w:ascii="Arial" w:cs="Arial" w:eastAsia="Arial" w:hAnsi="Arial"/>
          <w:sz w:val="22"/>
          <w:szCs w:val="22"/>
          <w:color w:val="auto"/>
          <w:vertAlign w:val="superscript"/>
        </w:rPr>
        <w:t>3</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vertAlign w:val="superscript"/>
        </w:rPr>
        <w:t>1</w:t>
      </w:r>
      <w:r>
        <w:rPr>
          <w:rFonts w:ascii="Arial" w:cs="Arial" w:eastAsia="Arial" w:hAnsi="Arial"/>
          <w:sz w:val="13"/>
          <w:szCs w:val="13"/>
          <w:color w:val="auto"/>
        </w:rPr>
        <w:t xml:space="preserve">  Measured  by  available  seat  miles.</w:t>
      </w:r>
    </w:p>
    <w:p>
      <w:pPr>
        <w:spacing w:after="0" w:line="234" w:lineRule="auto"/>
        <w:rPr>
          <w:sz w:val="20"/>
          <w:szCs w:val="20"/>
          <w:color w:val="auto"/>
        </w:rPr>
      </w:pPr>
      <w:r>
        <w:rPr>
          <w:rFonts w:ascii="Arial" w:cs="Arial" w:eastAsia="Arial" w:hAnsi="Arial"/>
          <w:sz w:val="18"/>
          <w:szCs w:val="18"/>
          <w:color w:val="auto"/>
          <w:vertAlign w:val="superscript"/>
        </w:rPr>
        <w:t>2</w:t>
      </w:r>
      <w:r>
        <w:rPr>
          <w:rFonts w:ascii="Arial" w:cs="Arial" w:eastAsia="Arial" w:hAnsi="Arial"/>
          <w:sz w:val="13"/>
          <w:szCs w:val="13"/>
          <w:color w:val="auto"/>
        </w:rPr>
        <w:t xml:space="preserve">  Including  operating  leases.</w:t>
      </w:r>
    </w:p>
    <w:p>
      <w:pPr>
        <w:spacing w:after="0" w:line="1"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vertAlign w:val="superscript"/>
        </w:rPr>
        <w:t>3</w:t>
      </w:r>
      <w:r>
        <w:rPr>
          <w:rFonts w:ascii="Arial" w:cs="Arial" w:eastAsia="Arial" w:hAnsi="Arial"/>
          <w:sz w:val="13"/>
          <w:szCs w:val="13"/>
          <w:color w:val="auto"/>
        </w:rPr>
        <w:t xml:space="preserve"> SAF is only used at specifc airports and is not used on all fights. As of December 2024, the total volume of SAF used in our operations represented approximately 0.3% of our total aviation fuel usage. SAF must be blended with conventional fuel in accordance with regulatory requirements. Use of blended SAF results in lower carbon emissions on a lifecycle basis than conventional fuel alone, but still results in emissions. For further information about our environmental impact, review United’s Corporate Impact Report and Annual Report on Form 10-K, available at corporateimpact.united.com and ir.united.com.</w:t>
      </w:r>
    </w:p>
    <w:p>
      <w:pPr>
        <w:spacing w:after="0" w:line="200" w:lineRule="exact"/>
        <w:rPr>
          <w:sz w:val="20"/>
          <w:szCs w:val="20"/>
          <w:color w:val="auto"/>
        </w:rPr>
      </w:pPr>
    </w:p>
    <w:p>
      <w:pPr>
        <w:sectPr>
          <w:pgSz w:w="11900" w:h="16838" w:orient="portrait"/>
          <w:cols w:equalWidth="0" w:num="2">
            <w:col w:w="4660" w:space="400"/>
            <w:col w:w="4660"/>
          </w:cols>
          <w:pgMar w:left="1080" w:top="695" w:right="10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​​2026​  Proxy</w:t>
      </w:r>
    </w:p>
    <w:p>
      <w:pPr>
        <w:spacing w:after="0" w:line="5"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b w:val="1"/>
          <w:bCs w:val="1"/>
          <w:color w:val="1414D2"/>
        </w:rPr>
        <w:t>2</w:t>
      </w:r>
      <w:r>
        <w:rPr>
          <w:sz w:val="20"/>
          <w:szCs w:val="20"/>
          <w:color w:val="auto"/>
        </w:rPr>
        <w:tab/>
      </w:r>
      <w:r>
        <w:rPr>
          <w:rFonts w:ascii="Arial" w:cs="Arial" w:eastAsia="Arial" w:hAnsi="Arial"/>
          <w:sz w:val="16"/>
          <w:szCs w:val="16"/>
          <w:color w:val="auto"/>
        </w:rPr>
        <w:t>Statement</w:t>
      </w:r>
    </w:p>
    <w:p>
      <w:pPr>
        <w:sectPr>
          <w:pgSz w:w="11900" w:h="16838" w:orient="portrait"/>
          <w:cols w:equalWidth="0" w:num="1">
            <w:col w:w="9720"/>
          </w:cols>
          <w:pgMar w:left="1080" w:top="695" w:right="109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27" w:lineRule="exact"/>
        <w:rPr>
          <w:sz w:val="20"/>
          <w:szCs w:val="20"/>
          <w:color w:val="auto"/>
        </w:rPr>
      </w:pPr>
    </w:p>
    <w:p>
      <w:pPr>
        <w:jc w:val="right"/>
        <w:spacing w:after="0"/>
        <w:rPr>
          <w:sz w:val="20"/>
          <w:szCs w:val="20"/>
          <w:color w:val="auto"/>
        </w:rPr>
      </w:pPr>
      <w:r>
        <w:rPr>
          <w:rFonts w:ascii="Arial" w:cs="Arial" w:eastAsia="Arial" w:hAnsi="Arial"/>
          <w:sz w:val="14"/>
          <w:szCs w:val="14"/>
          <w:color w:val="6D6F71"/>
        </w:rPr>
        <w:t>Proxy  Statement  Summary  and  Voting  Map</w:t>
      </w:r>
    </w:p>
    <w:p>
      <w:pPr>
        <w:spacing w:after="0" w:line="115" w:lineRule="exact"/>
        <w:rPr>
          <w:sz w:val="20"/>
          <w:szCs w:val="20"/>
          <w:color w:val="auto"/>
        </w:rPr>
      </w:pPr>
    </w:p>
    <w:p>
      <w:pPr>
        <w:spacing w:after="0"/>
        <w:rPr>
          <w:sz w:val="20"/>
          <w:szCs w:val="20"/>
          <w:color w:val="auto"/>
        </w:rPr>
      </w:pPr>
      <w:r>
        <w:rPr>
          <w:rFonts w:ascii="Arial" w:cs="Arial" w:eastAsia="Arial" w:hAnsi="Arial"/>
          <w:sz w:val="25"/>
          <w:szCs w:val="25"/>
          <w:b w:val="1"/>
          <w:bCs w:val="1"/>
          <w:color w:val="1414D2"/>
        </w:rPr>
        <w:t>Our Business Performance</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auto"/>
        </w:rPr>
        <w:t>In  2025,  United  continued  strong  execution  of  our  United  Next  plan  to  align  our  network  and  product  with  the  potential  of  our</w:t>
      </w:r>
    </w:p>
    <w:p>
      <w:pPr>
        <w:spacing w:after="0" w:line="19"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hubs. We remained focused on protecting the safety of our employees and customers, as well as providing a superior customer experience. We continued to win brand-loyal customers across all of our hubs with our customer-focused investments. These investments included deploying new and retroftted aircraft featuring United's signature interior with larger bins, seatback screens at every seat and Bluetooth connectivity; bringing Starlink's Wi-Fi service (the world's fastest, most reliable high-speed</w:t>
      </w:r>
    </w:p>
    <w:p>
      <w:pPr>
        <w:spacing w:after="0" w:line="3" w:lineRule="exact"/>
        <w:rPr>
          <w:sz w:val="20"/>
          <w:szCs w:val="20"/>
          <w:color w:val="auto"/>
        </w:rPr>
      </w:pPr>
    </w:p>
    <w:p>
      <w:pPr>
        <w:ind w:right="440"/>
        <w:spacing w:after="0" w:line="268" w:lineRule="auto"/>
        <w:rPr>
          <w:sz w:val="20"/>
          <w:szCs w:val="20"/>
          <w:color w:val="auto"/>
        </w:rPr>
      </w:pPr>
      <w:r>
        <w:rPr>
          <w:rFonts w:ascii="Arial" w:cs="Arial" w:eastAsia="Arial" w:hAnsi="Arial"/>
          <w:sz w:val="16"/>
          <w:szCs w:val="16"/>
          <w:color w:val="auto"/>
        </w:rPr>
        <w:t>Wi-Fi in the sky) to our dual-class, United Express regional aircraft and beginning its installation on our mainline aircraft; expanding our leading global network to more than 380 destinations; and making signifcant technology investments that empower our employees and improve the customer experience. These investments helped us deliver some of the best operational metrics in our history, which were fundamental to producing the following strong fnancial results in 2025:</w:t>
      </w:r>
    </w:p>
    <w:p>
      <w:pPr>
        <w:spacing w:after="0" w:line="80" w:lineRule="exact"/>
        <w:rPr>
          <w:sz w:val="20"/>
          <w:szCs w:val="20"/>
          <w:color w:val="auto"/>
        </w:rPr>
      </w:pPr>
    </w:p>
    <w:tbl>
      <w:tblPr>
        <w:tblLayout w:type="fixed"/>
        <w:tblInd w:w="980" w:type="dxa"/>
        <w:tblCellMar>
          <w:top w:w="0" w:type="dxa"/>
          <w:left w:w="0" w:type="dxa"/>
          <w:bottom w:w="0" w:type="dxa"/>
          <w:right w:w="0" w:type="dxa"/>
        </w:tblCellMar>
      </w:tblPr>
      <w:tr>
        <w:trPr>
          <w:trHeight w:val="294"/>
        </w:trPr>
        <w:tc>
          <w:tcPr>
            <w:tcW w:w="1880" w:type="dxa"/>
            <w:vAlign w:val="bottom"/>
            <w:vMerge w:val="restart"/>
            <w:shd w:val="clear" w:color="auto" w:fill="1414D2"/>
          </w:tcPr>
          <w:p>
            <w:pPr>
              <w:ind w:left="120"/>
              <w:spacing w:after="0"/>
              <w:rPr>
                <w:sz w:val="20"/>
                <w:szCs w:val="20"/>
                <w:color w:val="auto"/>
              </w:rPr>
            </w:pPr>
            <w:r>
              <w:rPr>
                <w:rFonts w:ascii="Arial" w:cs="Arial" w:eastAsia="Arial" w:hAnsi="Arial"/>
                <w:sz w:val="18"/>
                <w:szCs w:val="18"/>
                <w:b w:val="1"/>
                <w:bCs w:val="1"/>
                <w:color w:val="FFFFFF"/>
              </w:rPr>
              <w:t>Pre-Tax Margin</w:t>
            </w:r>
          </w:p>
        </w:tc>
        <w:tc>
          <w:tcPr>
            <w:tcW w:w="1780" w:type="dxa"/>
            <w:vAlign w:val="bottom"/>
            <w:shd w:val="clear" w:color="auto" w:fill="1414D2"/>
          </w:tcPr>
          <w:p>
            <w:pPr>
              <w:spacing w:after="0"/>
              <w:rPr>
                <w:sz w:val="24"/>
                <w:szCs w:val="24"/>
                <w:color w:val="auto"/>
              </w:rPr>
            </w:pPr>
          </w:p>
        </w:tc>
        <w:tc>
          <w:tcPr>
            <w:tcW w:w="440" w:type="dxa"/>
            <w:vAlign w:val="bottom"/>
          </w:tcPr>
          <w:p>
            <w:pPr>
              <w:ind w:left="220"/>
              <w:spacing w:after="0"/>
              <w:rPr>
                <w:sz w:val="20"/>
                <w:szCs w:val="20"/>
                <w:color w:val="auto"/>
              </w:rPr>
            </w:pPr>
            <w:r>
              <w:rPr>
                <w:rFonts w:ascii="Arial" w:cs="Arial" w:eastAsia="Arial" w:hAnsi="Arial"/>
                <w:sz w:val="18"/>
                <w:szCs w:val="18"/>
                <w:b w:val="1"/>
                <w:bCs w:val="1"/>
                <w:color w:val="auto"/>
              </w:rPr>
              <w:t>​​</w:t>
            </w:r>
          </w:p>
        </w:tc>
        <w:tc>
          <w:tcPr>
            <w:tcW w:w="3680" w:type="dxa"/>
            <w:vAlign w:val="bottom"/>
            <w:gridSpan w:val="2"/>
            <w:shd w:val="clear" w:color="auto" w:fill="1414D2"/>
          </w:tcPr>
          <w:p>
            <w:pPr>
              <w:ind w:left="120"/>
              <w:spacing w:after="0"/>
              <w:rPr>
                <w:sz w:val="20"/>
                <w:szCs w:val="20"/>
                <w:color w:val="auto"/>
              </w:rPr>
            </w:pPr>
            <w:r>
              <w:rPr>
                <w:rFonts w:ascii="Arial" w:cs="Arial" w:eastAsia="Arial" w:hAnsi="Arial"/>
                <w:sz w:val="18"/>
                <w:szCs w:val="18"/>
                <w:b w:val="1"/>
                <w:bCs w:val="1"/>
                <w:color w:val="FFFFFF"/>
              </w:rPr>
              <w:t>Earnings Per Share (“EPS”)</w:t>
            </w:r>
          </w:p>
        </w:tc>
        <w:tc>
          <w:tcPr>
            <w:tcW w:w="0" w:type="dxa"/>
            <w:vAlign w:val="bottom"/>
          </w:tcPr>
          <w:p>
            <w:pPr>
              <w:spacing w:after="0"/>
              <w:rPr>
                <w:sz w:val="1"/>
                <w:szCs w:val="1"/>
                <w:color w:val="auto"/>
              </w:rPr>
            </w:pPr>
          </w:p>
        </w:tc>
      </w:tr>
      <w:tr>
        <w:trPr>
          <w:trHeight w:val="141"/>
        </w:trPr>
        <w:tc>
          <w:tcPr>
            <w:tcW w:w="1880" w:type="dxa"/>
            <w:vAlign w:val="bottom"/>
            <w:vMerge w:val="continue"/>
            <w:shd w:val="clear" w:color="auto" w:fill="1414D2"/>
          </w:tcPr>
          <w:p>
            <w:pPr>
              <w:spacing w:after="0"/>
              <w:rPr>
                <w:sz w:val="12"/>
                <w:szCs w:val="12"/>
                <w:color w:val="auto"/>
              </w:rPr>
            </w:pPr>
          </w:p>
        </w:tc>
        <w:tc>
          <w:tcPr>
            <w:tcW w:w="1780" w:type="dxa"/>
            <w:vAlign w:val="bottom"/>
            <w:shd w:val="clear" w:color="auto" w:fill="1414D2"/>
          </w:tcPr>
          <w:p>
            <w:pPr>
              <w:spacing w:after="0"/>
              <w:rPr>
                <w:sz w:val="12"/>
                <w:szCs w:val="12"/>
                <w:color w:val="auto"/>
              </w:rPr>
            </w:pPr>
          </w:p>
        </w:tc>
        <w:tc>
          <w:tcPr>
            <w:tcW w:w="44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w:t>
            </w:r>
          </w:p>
        </w:tc>
        <w:tc>
          <w:tcPr>
            <w:tcW w:w="1840" w:type="dxa"/>
            <w:vAlign w:val="bottom"/>
            <w:shd w:val="clear" w:color="auto" w:fill="1414D2"/>
          </w:tcPr>
          <w:p>
            <w:pPr>
              <w:spacing w:after="0"/>
              <w:rPr>
                <w:sz w:val="12"/>
                <w:szCs w:val="12"/>
                <w:color w:val="auto"/>
              </w:rPr>
            </w:pPr>
          </w:p>
        </w:tc>
        <w:tc>
          <w:tcPr>
            <w:tcW w:w="1840" w:type="dxa"/>
            <w:vAlign w:val="bottom"/>
            <w:shd w:val="clear" w:color="auto" w:fill="1414D2"/>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880" w:type="dxa"/>
            <w:vAlign w:val="bottom"/>
            <w:shd w:val="clear" w:color="auto" w:fill="1414D2"/>
          </w:tcPr>
          <w:p>
            <w:pPr>
              <w:spacing w:after="0"/>
              <w:rPr>
                <w:sz w:val="10"/>
                <w:szCs w:val="10"/>
                <w:color w:val="auto"/>
              </w:rPr>
            </w:pPr>
          </w:p>
        </w:tc>
        <w:tc>
          <w:tcPr>
            <w:tcW w:w="1780" w:type="dxa"/>
            <w:vAlign w:val="bottom"/>
            <w:shd w:val="clear" w:color="auto" w:fill="1414D2"/>
          </w:tcPr>
          <w:p>
            <w:pPr>
              <w:spacing w:after="0"/>
              <w:rPr>
                <w:sz w:val="10"/>
                <w:szCs w:val="10"/>
                <w:color w:val="auto"/>
              </w:rPr>
            </w:pPr>
          </w:p>
        </w:tc>
        <w:tc>
          <w:tcPr>
            <w:tcW w:w="440" w:type="dxa"/>
            <w:vAlign w:val="bottom"/>
            <w:vMerge w:val="continue"/>
          </w:tcPr>
          <w:p>
            <w:pPr>
              <w:spacing w:after="0"/>
              <w:rPr>
                <w:sz w:val="10"/>
                <w:szCs w:val="10"/>
                <w:color w:val="auto"/>
              </w:rPr>
            </w:pPr>
          </w:p>
        </w:tc>
        <w:tc>
          <w:tcPr>
            <w:tcW w:w="1840" w:type="dxa"/>
            <w:vAlign w:val="bottom"/>
            <w:shd w:val="clear" w:color="auto" w:fill="1414D2"/>
          </w:tcPr>
          <w:p>
            <w:pPr>
              <w:spacing w:after="0"/>
              <w:rPr>
                <w:sz w:val="10"/>
                <w:szCs w:val="10"/>
                <w:color w:val="auto"/>
              </w:rPr>
            </w:pPr>
          </w:p>
        </w:tc>
        <w:tc>
          <w:tcPr>
            <w:tcW w:w="1840" w:type="dxa"/>
            <w:vAlign w:val="bottom"/>
            <w:shd w:val="clear" w:color="auto" w:fill="1414D2"/>
          </w:tcPr>
          <w:p>
            <w:pPr>
              <w:spacing w:after="0"/>
              <w:rPr>
                <w:sz w:val="10"/>
                <w:szCs w:val="10"/>
                <w:color w:val="auto"/>
              </w:rPr>
            </w:pPr>
          </w:p>
        </w:tc>
        <w:tc>
          <w:tcPr>
            <w:tcW w:w="0" w:type="dxa"/>
            <w:vAlign w:val="bottom"/>
          </w:tcPr>
          <w:p>
            <w:pPr>
              <w:spacing w:after="0"/>
              <w:rPr>
                <w:sz w:val="1"/>
                <w:szCs w:val="1"/>
                <w:color w:val="auto"/>
              </w:rPr>
            </w:pPr>
          </w:p>
        </w:tc>
      </w:tr>
      <w:tr>
        <w:trPr>
          <w:trHeight w:val="79"/>
        </w:trPr>
        <w:tc>
          <w:tcPr>
            <w:tcW w:w="1880" w:type="dxa"/>
            <w:vAlign w:val="bottom"/>
            <w:vMerge w:val="restart"/>
            <w:shd w:val="clear" w:color="auto" w:fill="1414D2"/>
          </w:tcPr>
          <w:p>
            <w:pPr>
              <w:jc w:val="right"/>
              <w:ind w:right="423"/>
              <w:spacing w:after="0"/>
              <w:rPr>
                <w:sz w:val="20"/>
                <w:szCs w:val="20"/>
                <w:color w:val="auto"/>
              </w:rPr>
            </w:pPr>
            <w:r>
              <w:rPr>
                <w:rFonts w:ascii="Arial" w:cs="Arial" w:eastAsia="Arial" w:hAnsi="Arial"/>
                <w:sz w:val="36"/>
                <w:szCs w:val="36"/>
                <w:b w:val="1"/>
                <w:bCs w:val="1"/>
                <w:color w:val="FFFFFF"/>
              </w:rPr>
              <w:t>7.3%</w:t>
            </w:r>
          </w:p>
        </w:tc>
        <w:tc>
          <w:tcPr>
            <w:tcW w:w="1780" w:type="dxa"/>
            <w:vAlign w:val="bottom"/>
            <w:vMerge w:val="restart"/>
            <w:shd w:val="clear" w:color="auto" w:fill="1414D2"/>
          </w:tcPr>
          <w:p>
            <w:pPr>
              <w:jc w:val="center"/>
              <w:spacing w:after="0"/>
              <w:rPr>
                <w:sz w:val="20"/>
                <w:szCs w:val="20"/>
                <w:color w:val="auto"/>
              </w:rPr>
            </w:pPr>
            <w:r>
              <w:rPr>
                <w:rFonts w:ascii="Arial" w:cs="Arial" w:eastAsia="Arial" w:hAnsi="Arial"/>
                <w:sz w:val="36"/>
                <w:szCs w:val="36"/>
                <w:b w:val="1"/>
                <w:bCs w:val="1"/>
                <w:color w:val="FFFFFF"/>
                <w:w w:val="99"/>
              </w:rPr>
              <w:t>7.8%</w:t>
            </w:r>
          </w:p>
        </w:tc>
        <w:tc>
          <w:tcPr>
            <w:tcW w:w="440" w:type="dxa"/>
            <w:vAlign w:val="bottom"/>
          </w:tcPr>
          <w:p>
            <w:pPr>
              <w:spacing w:after="0"/>
              <w:rPr>
                <w:sz w:val="6"/>
                <w:szCs w:val="6"/>
                <w:color w:val="auto"/>
              </w:rPr>
            </w:pPr>
          </w:p>
        </w:tc>
        <w:tc>
          <w:tcPr>
            <w:tcW w:w="1840" w:type="dxa"/>
            <w:vAlign w:val="bottom"/>
            <w:vMerge w:val="restart"/>
            <w:shd w:val="clear" w:color="auto" w:fill="1414D2"/>
          </w:tcPr>
          <w:p>
            <w:pPr>
              <w:jc w:val="right"/>
              <w:ind w:right="243"/>
              <w:spacing w:after="0"/>
              <w:rPr>
                <w:sz w:val="20"/>
                <w:szCs w:val="20"/>
                <w:color w:val="auto"/>
              </w:rPr>
            </w:pPr>
            <w:r>
              <w:rPr>
                <w:rFonts w:ascii="Arial" w:cs="Arial" w:eastAsia="Arial" w:hAnsi="Arial"/>
                <w:sz w:val="36"/>
                <w:szCs w:val="36"/>
                <w:b w:val="1"/>
                <w:bCs w:val="1"/>
                <w:color w:val="FFFFFF"/>
              </w:rPr>
              <w:t>$10.20</w:t>
            </w:r>
          </w:p>
        </w:tc>
        <w:tc>
          <w:tcPr>
            <w:tcW w:w="1840" w:type="dxa"/>
            <w:vAlign w:val="bottom"/>
            <w:vMerge w:val="restart"/>
            <w:shd w:val="clear" w:color="auto" w:fill="1414D2"/>
          </w:tcPr>
          <w:p>
            <w:pPr>
              <w:jc w:val="center"/>
              <w:spacing w:after="0"/>
              <w:rPr>
                <w:sz w:val="20"/>
                <w:szCs w:val="20"/>
                <w:color w:val="auto"/>
              </w:rPr>
            </w:pPr>
            <w:r>
              <w:rPr>
                <w:rFonts w:ascii="Arial" w:cs="Arial" w:eastAsia="Arial" w:hAnsi="Arial"/>
                <w:sz w:val="36"/>
                <w:szCs w:val="36"/>
                <w:b w:val="1"/>
                <w:bCs w:val="1"/>
                <w:color w:val="FFFFFF"/>
              </w:rPr>
              <w:t>$10.62</w:t>
            </w:r>
          </w:p>
        </w:tc>
        <w:tc>
          <w:tcPr>
            <w:tcW w:w="0" w:type="dxa"/>
            <w:vAlign w:val="bottom"/>
          </w:tcPr>
          <w:p>
            <w:pPr>
              <w:spacing w:after="0"/>
              <w:rPr>
                <w:sz w:val="1"/>
                <w:szCs w:val="1"/>
                <w:color w:val="auto"/>
              </w:rPr>
            </w:pPr>
          </w:p>
        </w:tc>
      </w:tr>
      <w:tr>
        <w:trPr>
          <w:trHeight w:val="27"/>
        </w:trPr>
        <w:tc>
          <w:tcPr>
            <w:tcW w:w="1880" w:type="dxa"/>
            <w:vAlign w:val="bottom"/>
            <w:vMerge w:val="continue"/>
            <w:shd w:val="clear" w:color="auto" w:fill="1414D2"/>
          </w:tcPr>
          <w:p>
            <w:pPr>
              <w:spacing w:after="0"/>
              <w:rPr>
                <w:sz w:val="2"/>
                <w:szCs w:val="2"/>
                <w:color w:val="auto"/>
              </w:rPr>
            </w:pPr>
          </w:p>
        </w:tc>
        <w:tc>
          <w:tcPr>
            <w:tcW w:w="1780" w:type="dxa"/>
            <w:vAlign w:val="bottom"/>
            <w:vMerge w:val="continue"/>
            <w:shd w:val="clear" w:color="auto" w:fill="1414D2"/>
          </w:tcPr>
          <w:p>
            <w:pPr>
              <w:spacing w:after="0"/>
              <w:rPr>
                <w:sz w:val="2"/>
                <w:szCs w:val="2"/>
                <w:color w:val="auto"/>
              </w:rPr>
            </w:pPr>
          </w:p>
        </w:tc>
        <w:tc>
          <w:tcPr>
            <w:tcW w:w="440" w:type="dxa"/>
            <w:vAlign w:val="bottom"/>
          </w:tcPr>
          <w:p>
            <w:pPr>
              <w:spacing w:after="0"/>
              <w:rPr>
                <w:sz w:val="2"/>
                <w:szCs w:val="2"/>
                <w:color w:val="auto"/>
              </w:rPr>
            </w:pPr>
          </w:p>
        </w:tc>
        <w:tc>
          <w:tcPr>
            <w:tcW w:w="1840" w:type="dxa"/>
            <w:vAlign w:val="bottom"/>
            <w:vMerge w:val="continue"/>
            <w:shd w:val="clear" w:color="auto" w:fill="1414D2"/>
          </w:tcPr>
          <w:p>
            <w:pPr>
              <w:spacing w:after="0"/>
              <w:rPr>
                <w:sz w:val="2"/>
                <w:szCs w:val="2"/>
                <w:color w:val="auto"/>
              </w:rPr>
            </w:pPr>
          </w:p>
        </w:tc>
        <w:tc>
          <w:tcPr>
            <w:tcW w:w="1840" w:type="dxa"/>
            <w:vAlign w:val="bottom"/>
            <w:vMerge w:val="continue"/>
            <w:shd w:val="clear" w:color="auto" w:fill="1414D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586"/>
        </w:trPr>
        <w:tc>
          <w:tcPr>
            <w:tcW w:w="1880" w:type="dxa"/>
            <w:vAlign w:val="bottom"/>
            <w:vMerge w:val="continue"/>
            <w:shd w:val="clear" w:color="auto" w:fill="1414D2"/>
          </w:tcPr>
          <w:p>
            <w:pPr>
              <w:spacing w:after="0"/>
              <w:rPr>
                <w:sz w:val="24"/>
                <w:szCs w:val="24"/>
                <w:color w:val="auto"/>
              </w:rPr>
            </w:pPr>
          </w:p>
        </w:tc>
        <w:tc>
          <w:tcPr>
            <w:tcW w:w="1780" w:type="dxa"/>
            <w:vAlign w:val="bottom"/>
            <w:vMerge w:val="continue"/>
            <w:shd w:val="clear" w:color="auto" w:fill="1414D2"/>
          </w:tcPr>
          <w:p>
            <w:pPr>
              <w:spacing w:after="0"/>
              <w:rPr>
                <w:sz w:val="24"/>
                <w:szCs w:val="24"/>
                <w:color w:val="auto"/>
              </w:rPr>
            </w:pPr>
          </w:p>
        </w:tc>
        <w:tc>
          <w:tcPr>
            <w:tcW w:w="440" w:type="dxa"/>
            <w:vAlign w:val="bottom"/>
          </w:tcPr>
          <w:p>
            <w:pPr>
              <w:spacing w:after="0"/>
              <w:rPr>
                <w:sz w:val="24"/>
                <w:szCs w:val="24"/>
                <w:color w:val="auto"/>
              </w:rPr>
            </w:pPr>
          </w:p>
        </w:tc>
        <w:tc>
          <w:tcPr>
            <w:tcW w:w="1840" w:type="dxa"/>
            <w:vAlign w:val="bottom"/>
            <w:vMerge w:val="continue"/>
            <w:shd w:val="clear" w:color="auto" w:fill="1414D2"/>
          </w:tcPr>
          <w:p>
            <w:pPr>
              <w:spacing w:after="0"/>
              <w:rPr>
                <w:sz w:val="24"/>
                <w:szCs w:val="24"/>
                <w:color w:val="auto"/>
              </w:rPr>
            </w:pPr>
          </w:p>
        </w:tc>
        <w:tc>
          <w:tcPr>
            <w:tcW w:w="1840" w:type="dxa"/>
            <w:vAlign w:val="bottom"/>
            <w:vMerge w:val="continue"/>
            <w:shd w:val="clear" w:color="auto" w:fill="1414D2"/>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880" w:type="dxa"/>
            <w:vAlign w:val="bottom"/>
            <w:shd w:val="clear" w:color="auto" w:fill="1414D2"/>
          </w:tcPr>
          <w:p>
            <w:pPr>
              <w:jc w:val="center"/>
              <w:spacing w:after="0"/>
              <w:rPr>
                <w:sz w:val="20"/>
                <w:szCs w:val="20"/>
                <w:color w:val="auto"/>
              </w:rPr>
            </w:pPr>
            <w:r>
              <w:rPr>
                <w:rFonts w:ascii="Arial" w:cs="Arial" w:eastAsia="Arial" w:hAnsi="Arial"/>
                <w:sz w:val="16"/>
                <w:szCs w:val="16"/>
                <w:color w:val="FFFFFF"/>
                <w:w w:val="99"/>
              </w:rPr>
              <w:t>Pre-Tax  Margin</w:t>
            </w:r>
          </w:p>
        </w:tc>
        <w:tc>
          <w:tcPr>
            <w:tcW w:w="1780" w:type="dxa"/>
            <w:vAlign w:val="bottom"/>
            <w:shd w:val="clear" w:color="auto" w:fill="1414D2"/>
          </w:tcPr>
          <w:p>
            <w:pPr>
              <w:jc w:val="center"/>
              <w:spacing w:after="0"/>
              <w:rPr>
                <w:sz w:val="20"/>
                <w:szCs w:val="20"/>
                <w:color w:val="auto"/>
              </w:rPr>
            </w:pPr>
            <w:r>
              <w:rPr>
                <w:rFonts w:ascii="Arial" w:cs="Arial" w:eastAsia="Arial" w:hAnsi="Arial"/>
                <w:sz w:val="16"/>
                <w:szCs w:val="16"/>
                <w:color w:val="FFFFFF"/>
                <w:w w:val="98"/>
              </w:rPr>
              <w:t>Adjusted  Pre-Tax</w:t>
            </w:r>
          </w:p>
        </w:tc>
        <w:tc>
          <w:tcPr>
            <w:tcW w:w="440" w:type="dxa"/>
            <w:vAlign w:val="bottom"/>
          </w:tcPr>
          <w:p>
            <w:pPr>
              <w:spacing w:after="0"/>
              <w:rPr>
                <w:sz w:val="24"/>
                <w:szCs w:val="24"/>
                <w:color w:val="auto"/>
              </w:rPr>
            </w:pPr>
          </w:p>
        </w:tc>
        <w:tc>
          <w:tcPr>
            <w:tcW w:w="1840" w:type="dxa"/>
            <w:vAlign w:val="bottom"/>
            <w:shd w:val="clear" w:color="auto" w:fill="1414D2"/>
          </w:tcPr>
          <w:p>
            <w:pPr>
              <w:jc w:val="center"/>
              <w:spacing w:after="0"/>
              <w:rPr>
                <w:sz w:val="20"/>
                <w:szCs w:val="20"/>
                <w:color w:val="auto"/>
              </w:rPr>
            </w:pPr>
            <w:r>
              <w:rPr>
                <w:rFonts w:ascii="Arial" w:cs="Arial" w:eastAsia="Arial" w:hAnsi="Arial"/>
                <w:sz w:val="16"/>
                <w:szCs w:val="16"/>
                <w:color w:val="FFFFFF"/>
                <w:w w:val="94"/>
              </w:rPr>
              <w:t>Diluted  EPS</w:t>
            </w:r>
          </w:p>
        </w:tc>
        <w:tc>
          <w:tcPr>
            <w:tcW w:w="1840" w:type="dxa"/>
            <w:vAlign w:val="bottom"/>
            <w:shd w:val="clear" w:color="auto" w:fill="1414D2"/>
          </w:tcPr>
          <w:p>
            <w:pPr>
              <w:jc w:val="center"/>
              <w:spacing w:after="0"/>
              <w:rPr>
                <w:sz w:val="20"/>
                <w:szCs w:val="20"/>
                <w:color w:val="auto"/>
              </w:rPr>
            </w:pPr>
            <w:r>
              <w:rPr>
                <w:rFonts w:ascii="Arial" w:cs="Arial" w:eastAsia="Arial" w:hAnsi="Arial"/>
                <w:sz w:val="16"/>
                <w:szCs w:val="16"/>
                <w:color w:val="FFFFFF"/>
              </w:rPr>
              <w:t>Adjusted  Diluted</w:t>
            </w:r>
          </w:p>
        </w:tc>
        <w:tc>
          <w:tcPr>
            <w:tcW w:w="0" w:type="dxa"/>
            <w:vAlign w:val="bottom"/>
          </w:tcPr>
          <w:p>
            <w:pPr>
              <w:spacing w:after="0"/>
              <w:rPr>
                <w:sz w:val="1"/>
                <w:szCs w:val="1"/>
                <w:color w:val="auto"/>
              </w:rPr>
            </w:pPr>
          </w:p>
        </w:tc>
      </w:tr>
      <w:tr>
        <w:trPr>
          <w:trHeight w:val="229"/>
        </w:trPr>
        <w:tc>
          <w:tcPr>
            <w:tcW w:w="1880" w:type="dxa"/>
            <w:vAlign w:val="bottom"/>
            <w:shd w:val="clear" w:color="auto" w:fill="1414D2"/>
          </w:tcPr>
          <w:p>
            <w:pPr>
              <w:spacing w:after="0"/>
              <w:rPr>
                <w:sz w:val="19"/>
                <w:szCs w:val="19"/>
                <w:color w:val="auto"/>
              </w:rPr>
            </w:pPr>
          </w:p>
        </w:tc>
        <w:tc>
          <w:tcPr>
            <w:tcW w:w="1780" w:type="dxa"/>
            <w:vAlign w:val="bottom"/>
            <w:shd w:val="clear" w:color="auto" w:fill="1414D2"/>
          </w:tcPr>
          <w:p>
            <w:pPr>
              <w:jc w:val="center"/>
              <w:spacing w:after="0"/>
              <w:rPr>
                <w:sz w:val="20"/>
                <w:szCs w:val="20"/>
                <w:color w:val="auto"/>
              </w:rPr>
            </w:pPr>
            <w:r>
              <w:rPr>
                <w:rFonts w:ascii="Arial" w:cs="Arial" w:eastAsia="Arial" w:hAnsi="Arial"/>
                <w:sz w:val="16"/>
                <w:szCs w:val="16"/>
                <w:color w:val="FFFFFF"/>
              </w:rPr>
              <w:t>Margin</w:t>
            </w:r>
          </w:p>
        </w:tc>
        <w:tc>
          <w:tcPr>
            <w:tcW w:w="440" w:type="dxa"/>
            <w:vAlign w:val="bottom"/>
          </w:tcPr>
          <w:p>
            <w:pPr>
              <w:spacing w:after="0"/>
              <w:rPr>
                <w:sz w:val="19"/>
                <w:szCs w:val="19"/>
                <w:color w:val="auto"/>
              </w:rPr>
            </w:pPr>
          </w:p>
        </w:tc>
        <w:tc>
          <w:tcPr>
            <w:tcW w:w="1840" w:type="dxa"/>
            <w:vAlign w:val="bottom"/>
            <w:shd w:val="clear" w:color="auto" w:fill="1414D2"/>
          </w:tcPr>
          <w:p>
            <w:pPr>
              <w:spacing w:after="0"/>
              <w:rPr>
                <w:sz w:val="19"/>
                <w:szCs w:val="19"/>
                <w:color w:val="auto"/>
              </w:rPr>
            </w:pPr>
          </w:p>
        </w:tc>
        <w:tc>
          <w:tcPr>
            <w:tcW w:w="1840" w:type="dxa"/>
            <w:vAlign w:val="bottom"/>
            <w:shd w:val="clear" w:color="auto" w:fill="1414D2"/>
          </w:tcPr>
          <w:p>
            <w:pPr>
              <w:jc w:val="center"/>
              <w:spacing w:after="0" w:line="229" w:lineRule="exact"/>
              <w:rPr>
                <w:sz w:val="20"/>
                <w:szCs w:val="20"/>
                <w:color w:val="auto"/>
              </w:rPr>
            </w:pPr>
            <w:r>
              <w:rPr>
                <w:rFonts w:ascii="Arial" w:cs="Arial" w:eastAsia="Arial" w:hAnsi="Arial"/>
                <w:sz w:val="16"/>
                <w:szCs w:val="16"/>
                <w:color w:val="FFFFFF"/>
                <w:w w:val="90"/>
              </w:rPr>
              <w:t>EPS  (Non-GAAP)</w:t>
            </w:r>
            <w:r>
              <w:rPr>
                <w:rFonts w:ascii="Arial" w:cs="Arial" w:eastAsia="Arial" w:hAnsi="Arial"/>
                <w:sz w:val="24"/>
                <w:szCs w:val="24"/>
                <w:color w:val="FFFFFF"/>
                <w:w w:val="90"/>
                <w:vertAlign w:val="superscript"/>
              </w:rPr>
              <w:t>(1)</w:t>
            </w:r>
          </w:p>
        </w:tc>
        <w:tc>
          <w:tcPr>
            <w:tcW w:w="0" w:type="dxa"/>
            <w:vAlign w:val="bottom"/>
          </w:tcPr>
          <w:p>
            <w:pPr>
              <w:spacing w:after="0"/>
              <w:rPr>
                <w:sz w:val="1"/>
                <w:szCs w:val="1"/>
                <w:color w:val="auto"/>
              </w:rPr>
            </w:pPr>
          </w:p>
        </w:tc>
      </w:tr>
      <w:tr>
        <w:trPr>
          <w:trHeight w:val="373"/>
        </w:trPr>
        <w:tc>
          <w:tcPr>
            <w:tcW w:w="1880" w:type="dxa"/>
            <w:vAlign w:val="bottom"/>
            <w:shd w:val="clear" w:color="auto" w:fill="1414D2"/>
          </w:tcPr>
          <w:p>
            <w:pPr>
              <w:spacing w:after="0"/>
              <w:rPr>
                <w:sz w:val="24"/>
                <w:szCs w:val="24"/>
                <w:color w:val="auto"/>
              </w:rPr>
            </w:pPr>
          </w:p>
        </w:tc>
        <w:tc>
          <w:tcPr>
            <w:tcW w:w="1780" w:type="dxa"/>
            <w:vAlign w:val="bottom"/>
            <w:shd w:val="clear" w:color="auto" w:fill="1414D2"/>
          </w:tcPr>
          <w:p>
            <w:pPr>
              <w:jc w:val="center"/>
              <w:spacing w:after="0"/>
              <w:rPr>
                <w:sz w:val="20"/>
                <w:szCs w:val="20"/>
                <w:color w:val="auto"/>
              </w:rPr>
            </w:pPr>
            <w:r>
              <w:rPr>
                <w:rFonts w:ascii="Arial" w:cs="Arial" w:eastAsia="Arial" w:hAnsi="Arial"/>
                <w:sz w:val="16"/>
                <w:szCs w:val="16"/>
                <w:color w:val="FFFFFF"/>
                <w:w w:val="93"/>
              </w:rPr>
              <w:t>(Non-GAAP)</w:t>
            </w:r>
            <w:r>
              <w:rPr>
                <w:rFonts w:ascii="Arial" w:cs="Arial" w:eastAsia="Arial" w:hAnsi="Arial"/>
                <w:sz w:val="24"/>
                <w:szCs w:val="24"/>
                <w:color w:val="FFFFFF"/>
                <w:w w:val="93"/>
                <w:vertAlign w:val="superscript"/>
              </w:rPr>
              <w:t>(1)</w:t>
            </w:r>
          </w:p>
        </w:tc>
        <w:tc>
          <w:tcPr>
            <w:tcW w:w="440" w:type="dxa"/>
            <w:vAlign w:val="bottom"/>
          </w:tcPr>
          <w:p>
            <w:pPr>
              <w:spacing w:after="0"/>
              <w:rPr>
                <w:sz w:val="24"/>
                <w:szCs w:val="24"/>
                <w:color w:val="auto"/>
              </w:rPr>
            </w:pPr>
          </w:p>
        </w:tc>
        <w:tc>
          <w:tcPr>
            <w:tcW w:w="1840" w:type="dxa"/>
            <w:vAlign w:val="bottom"/>
            <w:shd w:val="clear" w:color="auto" w:fill="1414D2"/>
          </w:tcPr>
          <w:p>
            <w:pPr>
              <w:spacing w:after="0"/>
              <w:rPr>
                <w:sz w:val="24"/>
                <w:szCs w:val="24"/>
                <w:color w:val="auto"/>
              </w:rPr>
            </w:pPr>
          </w:p>
        </w:tc>
        <w:tc>
          <w:tcPr>
            <w:tcW w:w="1840" w:type="dxa"/>
            <w:vAlign w:val="bottom"/>
            <w:shd w:val="clear" w:color="auto" w:fill="1414D2"/>
          </w:tcPr>
          <w:p>
            <w:pPr>
              <w:spacing w:after="0"/>
              <w:rPr>
                <w:sz w:val="24"/>
                <w:szCs w:val="24"/>
                <w:color w:val="auto"/>
              </w:rPr>
            </w:pPr>
          </w:p>
        </w:tc>
        <w:tc>
          <w:tcPr>
            <w:tcW w:w="0" w:type="dxa"/>
            <w:vAlign w:val="bottom"/>
          </w:tcPr>
          <w:p>
            <w:pPr>
              <w:spacing w:after="0"/>
              <w:rPr>
                <w:sz w:val="1"/>
                <w:szCs w:val="1"/>
                <w:color w:val="auto"/>
              </w:rPr>
            </w:pPr>
          </w:p>
        </w:tc>
      </w:tr>
    </w:tbl>
    <w:p>
      <w:pPr>
        <w:spacing w:after="0" w:line="124" w:lineRule="exact"/>
        <w:rPr>
          <w:sz w:val="20"/>
          <w:szCs w:val="20"/>
          <w:color w:val="auto"/>
        </w:rPr>
      </w:pPr>
    </w:p>
    <w:p>
      <w:pPr>
        <w:sectPr>
          <w:pgSz w:w="11900" w:h="16838" w:orient="portrait"/>
          <w:cols w:equalWidth="0" w:num="1">
            <w:col w:w="9720"/>
          </w:cols>
          <w:pgMar w:left="1080" w:top="695" w:right="1099" w:bottom="1440" w:gutter="0" w:footer="0" w:header="0"/>
        </w:sectPr>
      </w:pPr>
    </w:p>
    <w:p>
      <w:pPr>
        <w:ind w:left="1100" w:right="120"/>
        <w:spacing w:after="0" w:line="272" w:lineRule="auto"/>
        <w:rPr>
          <w:sz w:val="20"/>
          <w:szCs w:val="20"/>
          <w:color w:val="auto"/>
        </w:rPr>
      </w:pPr>
      <w:r>
        <w:rPr>
          <w:rFonts w:ascii="Arial" w:cs="Arial" w:eastAsia="Arial" w:hAnsi="Arial"/>
          <w:sz w:val="16"/>
          <w:szCs w:val="16"/>
          <w:color w:val="auto"/>
        </w:rPr>
        <w:t xml:space="preserve">During 2025 we delivered 7.8% in Adjusted Pre-Tax Margin, </w:t>
      </w:r>
      <w:r>
        <w:rPr>
          <w:rFonts w:ascii="Arial" w:cs="Arial" w:eastAsia="Arial" w:hAnsi="Arial"/>
          <w:sz w:val="24"/>
          <w:szCs w:val="24"/>
          <w:color w:val="auto"/>
          <w:vertAlign w:val="superscript"/>
        </w:rPr>
        <w:t>(1)</w:t>
      </w:r>
      <w:r>
        <w:rPr>
          <w:rFonts w:ascii="Arial" w:cs="Arial" w:eastAsia="Arial" w:hAnsi="Arial"/>
          <w:sz w:val="16"/>
          <w:szCs w:val="16"/>
          <w:color w:val="auto"/>
        </w:rPr>
        <w:t xml:space="preserve"> representing our continued focus on margin expansion.</w:t>
      </w:r>
    </w:p>
    <w:p>
      <w:pPr>
        <w:spacing w:after="0" w:line="20" w:lineRule="exact"/>
        <w:rPr>
          <w:sz w:val="20"/>
          <w:szCs w:val="20"/>
          <w:color w:val="auto"/>
        </w:rPr>
      </w:pPr>
      <w:r>
        <w:rPr>
          <w:sz w:val="20"/>
          <w:szCs w:val="20"/>
          <w:color w:val="auto"/>
        </w:rPr>
        <w:br w:type="column"/>
      </w:r>
    </w:p>
    <w:p>
      <w:pPr>
        <w:ind w:right="1200"/>
        <w:spacing w:after="0" w:line="264" w:lineRule="auto"/>
        <w:rPr>
          <w:sz w:val="20"/>
          <w:szCs w:val="20"/>
          <w:color w:val="auto"/>
        </w:rPr>
      </w:pPr>
      <w:r>
        <w:rPr>
          <w:rFonts w:ascii="Arial" w:cs="Arial" w:eastAsia="Arial" w:hAnsi="Arial"/>
          <w:sz w:val="16"/>
          <w:szCs w:val="16"/>
          <w:color w:val="auto"/>
        </w:rPr>
        <w:t>We delivered Diluted EPS up 8% year-over-year and our Adjusted Diluted EPS</w:t>
      </w:r>
      <w:r>
        <w:rPr>
          <w:rFonts w:ascii="Arial" w:cs="Arial" w:eastAsia="Arial" w:hAnsi="Arial"/>
          <w:sz w:val="24"/>
          <w:szCs w:val="24"/>
          <w:color w:val="auto"/>
          <w:vertAlign w:val="superscript"/>
        </w:rPr>
        <w:t>(1)</w:t>
      </w:r>
      <w:r>
        <w:rPr>
          <w:rFonts w:ascii="Arial" w:cs="Arial" w:eastAsia="Arial" w:hAnsi="Arial"/>
          <w:sz w:val="16"/>
          <w:szCs w:val="16"/>
          <w:color w:val="auto"/>
        </w:rPr>
        <w:t xml:space="preserve"> was near the high-end of our Adjusted Diluted EPS guidance range. Further, of our U.S. competitors</w:t>
      </w:r>
      <w:r>
        <w:rPr>
          <w:rFonts w:ascii="Arial" w:cs="Arial" w:eastAsia="Arial" w:hAnsi="Arial"/>
          <w:sz w:val="24"/>
          <w:szCs w:val="24"/>
          <w:color w:val="auto"/>
          <w:vertAlign w:val="superscript"/>
        </w:rPr>
        <w:t>(2)</w:t>
      </w:r>
      <w:r>
        <w:rPr>
          <w:rFonts w:ascii="Arial" w:cs="Arial" w:eastAsia="Arial" w:hAnsi="Arial"/>
          <w:sz w:val="16"/>
          <w:szCs w:val="16"/>
          <w:color w:val="auto"/>
        </w:rPr>
        <w:t>, we were the only airline to grow Adjusted Diluted EPS</w:t>
      </w:r>
      <w:r>
        <w:rPr>
          <w:rFonts w:ascii="Arial" w:cs="Arial" w:eastAsia="Arial" w:hAnsi="Arial"/>
          <w:sz w:val="24"/>
          <w:szCs w:val="24"/>
          <w:color w:val="auto"/>
          <w:vertAlign w:val="superscript"/>
        </w:rPr>
        <w:t>(1)</w:t>
      </w:r>
      <w:r>
        <w:rPr>
          <w:rFonts w:ascii="Arial" w:cs="Arial" w:eastAsia="Arial" w:hAnsi="Arial"/>
          <w:sz w:val="16"/>
          <w:szCs w:val="16"/>
          <w:color w:val="auto"/>
        </w:rPr>
        <w:t xml:space="preserve"> year-over-year.</w:t>
      </w:r>
    </w:p>
    <w:p>
      <w:pPr>
        <w:spacing w:after="0" w:line="200" w:lineRule="exact"/>
        <w:rPr>
          <w:sz w:val="20"/>
          <w:szCs w:val="20"/>
          <w:color w:val="auto"/>
        </w:rPr>
      </w:pPr>
    </w:p>
    <w:p>
      <w:pPr>
        <w:sectPr>
          <w:pgSz w:w="11900" w:h="16838" w:orient="portrait"/>
          <w:cols w:equalWidth="0" w:num="2">
            <w:col w:w="4480" w:space="720"/>
            <w:col w:w="4520"/>
          </w:cols>
          <w:pgMar w:left="1080" w:top="695" w:right="1099" w:bottom="1440" w:gutter="0" w:footer="0" w:header="0"/>
          <w:type w:val="continuous"/>
        </w:sectPr>
      </w:pPr>
    </w:p>
    <w:p>
      <w:pPr>
        <w:spacing w:after="0" w:line="126"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FFFFFF"/>
        </w:rPr>
        <w:t>Total Operating Revenue</w:t>
      </w:r>
    </w:p>
    <w:p>
      <w:pPr>
        <w:spacing w:after="0" w:line="269" w:lineRule="exact"/>
        <w:rPr>
          <w:sz w:val="20"/>
          <w:szCs w:val="20"/>
          <w:color w:val="auto"/>
        </w:rPr>
      </w:pPr>
    </w:p>
    <w:tbl>
      <w:tblPr>
        <w:tblLayout w:type="fixed"/>
        <w:tblInd w:w="980" w:type="dxa"/>
        <w:tblCellMar>
          <w:top w:w="0" w:type="dxa"/>
          <w:left w:w="0" w:type="dxa"/>
          <w:bottom w:w="0" w:type="dxa"/>
          <w:right w:w="0" w:type="dxa"/>
        </w:tblCellMar>
      </w:tblPr>
      <w:tr>
        <w:trPr>
          <w:trHeight w:val="599"/>
        </w:trPr>
        <w:tc>
          <w:tcPr>
            <w:tcW w:w="1880" w:type="dxa"/>
            <w:vAlign w:val="bottom"/>
            <w:shd w:val="clear" w:color="auto" w:fill="1414D2"/>
          </w:tcPr>
          <w:p>
            <w:pPr>
              <w:jc w:val="center"/>
              <w:spacing w:after="0"/>
              <w:rPr>
                <w:sz w:val="20"/>
                <w:szCs w:val="20"/>
                <w:color w:val="auto"/>
              </w:rPr>
            </w:pPr>
            <w:r>
              <w:rPr>
                <w:rFonts w:ascii="Arial" w:cs="Arial" w:eastAsia="Arial" w:hAnsi="Arial"/>
                <w:sz w:val="36"/>
                <w:szCs w:val="36"/>
                <w:b w:val="1"/>
                <w:bCs w:val="1"/>
                <w:color w:val="FFFFFF"/>
                <w:w w:val="96"/>
              </w:rPr>
              <w:t xml:space="preserve">$59.1B </w:t>
            </w:r>
            <w:r>
              <w:rPr>
                <w:rFonts w:ascii="Wingdings" w:cs="Wingdings" w:eastAsia="Wingdings" w:hAnsi="Wingdings"/>
                <w:sz w:val="32"/>
                <w:szCs w:val="32"/>
                <w:b w:val="1"/>
                <w:bCs w:val="1"/>
                <w:color w:val="000000"/>
                <w:highlight w:val="white"/>
                <w:w w:val="96"/>
              </w:rPr>
              <w:t>ä</w:t>
            </w:r>
          </w:p>
        </w:tc>
        <w:tc>
          <w:tcPr>
            <w:tcW w:w="1780" w:type="dxa"/>
            <w:vAlign w:val="bottom"/>
          </w:tcPr>
          <w:p>
            <w:pPr>
              <w:ind w:left="300"/>
              <w:spacing w:after="0"/>
              <w:rPr>
                <w:sz w:val="20"/>
                <w:szCs w:val="20"/>
                <w:color w:val="auto"/>
              </w:rPr>
            </w:pPr>
            <w:r>
              <w:rPr>
                <w:rFonts w:ascii="Arial" w:cs="Arial" w:eastAsia="Arial" w:hAnsi="Arial"/>
                <w:sz w:val="36"/>
                <w:szCs w:val="36"/>
                <w:b w:val="1"/>
                <w:bCs w:val="1"/>
                <w:color w:val="FFFFFF"/>
              </w:rPr>
              <w:t xml:space="preserve">3.5% </w:t>
            </w:r>
            <w:r>
              <w:rPr>
                <w:rFonts w:ascii="Wingdings" w:cs="Wingdings" w:eastAsia="Wingdings" w:hAnsi="Wingdings"/>
                <w:sz w:val="32"/>
                <w:szCs w:val="32"/>
                <w:b w:val="1"/>
                <w:bCs w:val="1"/>
                <w:color w:val="000000"/>
                <w:highlight w:val="white"/>
              </w:rPr>
              <w:t>ä</w:t>
            </w:r>
          </w:p>
        </w:tc>
      </w:tr>
      <w:tr>
        <w:trPr>
          <w:trHeight w:val="76"/>
        </w:trPr>
        <w:tc>
          <w:tcPr>
            <w:tcW w:w="1880" w:type="dxa"/>
            <w:vAlign w:val="bottom"/>
            <w:shd w:val="clear" w:color="auto" w:fill="1414D2"/>
          </w:tcPr>
          <w:p>
            <w:pPr>
              <w:spacing w:after="0"/>
              <w:rPr>
                <w:sz w:val="6"/>
                <w:szCs w:val="6"/>
                <w:color w:val="auto"/>
              </w:rPr>
            </w:pPr>
          </w:p>
        </w:tc>
        <w:tc>
          <w:tcPr>
            <w:tcW w:w="1780" w:type="dxa"/>
            <w:vAlign w:val="bottom"/>
          </w:tcPr>
          <w:p>
            <w:pPr>
              <w:spacing w:after="0"/>
              <w:rPr>
                <w:sz w:val="6"/>
                <w:szCs w:val="6"/>
                <w:color w:val="auto"/>
              </w:rPr>
            </w:pPr>
          </w:p>
        </w:tc>
      </w:tr>
      <w:tr>
        <w:trPr>
          <w:trHeight w:val="286"/>
        </w:trPr>
        <w:tc>
          <w:tcPr>
            <w:tcW w:w="1880" w:type="dxa"/>
            <w:vAlign w:val="bottom"/>
            <w:shd w:val="clear" w:color="auto" w:fill="1414D2"/>
          </w:tcPr>
          <w:p>
            <w:pPr>
              <w:jc w:val="center"/>
              <w:spacing w:after="0"/>
              <w:rPr>
                <w:sz w:val="20"/>
                <w:szCs w:val="20"/>
                <w:color w:val="auto"/>
              </w:rPr>
            </w:pPr>
            <w:r>
              <w:rPr>
                <w:rFonts w:ascii="Arial" w:cs="Arial" w:eastAsia="Arial" w:hAnsi="Arial"/>
                <w:sz w:val="16"/>
                <w:szCs w:val="16"/>
                <w:color w:val="FFFFFF"/>
              </w:rPr>
              <w:t>Total  Operating</w:t>
            </w:r>
          </w:p>
        </w:tc>
        <w:tc>
          <w:tcPr>
            <w:tcW w:w="1780" w:type="dxa"/>
            <w:vAlign w:val="bottom"/>
            <w:shd w:val="clear" w:color="auto" w:fill="1414D2"/>
          </w:tcPr>
          <w:p>
            <w:pPr>
              <w:ind w:left="300"/>
              <w:spacing w:after="0"/>
              <w:rPr>
                <w:sz w:val="20"/>
                <w:szCs w:val="20"/>
                <w:color w:val="auto"/>
              </w:rPr>
            </w:pPr>
            <w:r>
              <w:rPr>
                <w:rFonts w:ascii="Arial" w:cs="Arial" w:eastAsia="Arial" w:hAnsi="Arial"/>
                <w:sz w:val="16"/>
                <w:szCs w:val="16"/>
                <w:color w:val="FFFFFF"/>
              </w:rPr>
              <w:t>Total  Operating</w:t>
            </w:r>
          </w:p>
        </w:tc>
      </w:tr>
      <w:tr>
        <w:trPr>
          <w:trHeight w:val="189"/>
        </w:trPr>
        <w:tc>
          <w:tcPr>
            <w:tcW w:w="1880" w:type="dxa"/>
            <w:vAlign w:val="bottom"/>
            <w:shd w:val="clear" w:color="auto" w:fill="1414D2"/>
          </w:tcPr>
          <w:p>
            <w:pPr>
              <w:jc w:val="center"/>
              <w:spacing w:after="0"/>
              <w:rPr>
                <w:sz w:val="20"/>
                <w:szCs w:val="20"/>
                <w:color w:val="auto"/>
              </w:rPr>
            </w:pPr>
            <w:r>
              <w:rPr>
                <w:rFonts w:ascii="Arial" w:cs="Arial" w:eastAsia="Arial" w:hAnsi="Arial"/>
                <w:sz w:val="16"/>
                <w:szCs w:val="16"/>
                <w:color w:val="FFFFFF"/>
              </w:rPr>
              <w:t>Revenue</w:t>
            </w:r>
          </w:p>
        </w:tc>
        <w:tc>
          <w:tcPr>
            <w:tcW w:w="1780" w:type="dxa"/>
            <w:vAlign w:val="bottom"/>
            <w:shd w:val="clear" w:color="auto" w:fill="1414D2"/>
          </w:tcPr>
          <w:p>
            <w:pPr>
              <w:ind w:left="260"/>
              <w:spacing w:after="0"/>
              <w:rPr>
                <w:sz w:val="20"/>
                <w:szCs w:val="20"/>
                <w:color w:val="auto"/>
              </w:rPr>
            </w:pPr>
            <w:r>
              <w:rPr>
                <w:rFonts w:ascii="Arial" w:cs="Arial" w:eastAsia="Arial" w:hAnsi="Arial"/>
                <w:sz w:val="16"/>
                <w:szCs w:val="16"/>
                <w:color w:val="FFFFFF"/>
              </w:rPr>
              <w:t>Revenue  Growth</w:t>
            </w:r>
          </w:p>
        </w:tc>
      </w:tr>
      <w:tr>
        <w:trPr>
          <w:trHeight w:val="235"/>
        </w:trPr>
        <w:tc>
          <w:tcPr>
            <w:tcW w:w="1880" w:type="dxa"/>
            <w:vAlign w:val="bottom"/>
            <w:shd w:val="clear" w:color="auto" w:fill="1414D2"/>
          </w:tcPr>
          <w:p>
            <w:pPr>
              <w:spacing w:after="0"/>
              <w:rPr>
                <w:sz w:val="20"/>
                <w:szCs w:val="20"/>
                <w:color w:val="auto"/>
              </w:rPr>
            </w:pPr>
          </w:p>
        </w:tc>
        <w:tc>
          <w:tcPr>
            <w:tcW w:w="1780" w:type="dxa"/>
            <w:vAlign w:val="bottom"/>
            <w:shd w:val="clear" w:color="auto" w:fill="1414D2"/>
          </w:tcPr>
          <w:p>
            <w:pPr>
              <w:ind w:left="320"/>
              <w:spacing w:after="0"/>
              <w:rPr>
                <w:sz w:val="20"/>
                <w:szCs w:val="20"/>
                <w:color w:val="auto"/>
              </w:rPr>
            </w:pPr>
            <w:r>
              <w:rPr>
                <w:rFonts w:ascii="Arial" w:cs="Arial" w:eastAsia="Arial" w:hAnsi="Arial"/>
                <w:sz w:val="16"/>
                <w:szCs w:val="16"/>
                <w:color w:val="FFFFFF"/>
              </w:rPr>
              <w:t>Year-Over-Year</w:t>
            </w:r>
          </w:p>
        </w:tc>
      </w:tr>
      <w:tr>
        <w:trPr>
          <w:trHeight w:val="113"/>
        </w:trPr>
        <w:tc>
          <w:tcPr>
            <w:tcW w:w="1880" w:type="dxa"/>
            <w:vAlign w:val="bottom"/>
            <w:shd w:val="clear" w:color="auto" w:fill="1414D2"/>
          </w:tcPr>
          <w:p>
            <w:pPr>
              <w:spacing w:after="0"/>
              <w:rPr>
                <w:sz w:val="9"/>
                <w:szCs w:val="9"/>
                <w:color w:val="auto"/>
              </w:rPr>
            </w:pPr>
          </w:p>
        </w:tc>
        <w:tc>
          <w:tcPr>
            <w:tcW w:w="1780" w:type="dxa"/>
            <w:vAlign w:val="bottom"/>
            <w:shd w:val="clear" w:color="auto" w:fill="1414D2"/>
          </w:tcPr>
          <w:p>
            <w:pPr>
              <w:spacing w:after="0"/>
              <w:rPr>
                <w:sz w:val="9"/>
                <w:szCs w:val="9"/>
                <w:color w:val="auto"/>
              </w:rPr>
            </w:pPr>
          </w:p>
        </w:tc>
      </w:tr>
    </w:tbl>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ind w:left="40"/>
        <w:spacing w:after="0"/>
        <w:tabs>
          <w:tab w:leader="none" w:pos="360" w:val="left"/>
        </w:tabs>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FFFF"/>
        </w:rPr>
        <w:tab/>
        <w:t>Free Cash Flow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147" w:lineRule="exact"/>
        <w:rPr>
          <w:sz w:val="20"/>
          <w:szCs w:val="20"/>
          <w:color w:val="auto"/>
        </w:rPr>
      </w:pPr>
    </w:p>
    <w:tbl>
      <w:tblPr>
        <w:tblLayout w:type="fixed"/>
        <w:tblInd w:w="260" w:type="dxa"/>
        <w:tblCellMar>
          <w:top w:w="0" w:type="dxa"/>
          <w:left w:w="0" w:type="dxa"/>
          <w:bottom w:w="0" w:type="dxa"/>
          <w:right w:w="0" w:type="dxa"/>
        </w:tblCellMar>
      </w:tblPr>
      <w:tr>
        <w:trPr>
          <w:trHeight w:val="599"/>
        </w:trPr>
        <w:tc>
          <w:tcPr>
            <w:tcW w:w="1840" w:type="dxa"/>
            <w:vAlign w:val="bottom"/>
            <w:shd w:val="clear" w:color="auto" w:fill="1414D2"/>
          </w:tcPr>
          <w:p>
            <w:pPr>
              <w:jc w:val="center"/>
              <w:spacing w:after="0"/>
              <w:rPr>
                <w:sz w:val="20"/>
                <w:szCs w:val="20"/>
                <w:color w:val="auto"/>
              </w:rPr>
            </w:pPr>
            <w:r>
              <w:rPr>
                <w:rFonts w:ascii="Arial" w:cs="Arial" w:eastAsia="Arial" w:hAnsi="Arial"/>
                <w:sz w:val="36"/>
                <w:szCs w:val="36"/>
                <w:b w:val="1"/>
                <w:bCs w:val="1"/>
                <w:color w:val="FFFFFF"/>
                <w:w w:val="99"/>
              </w:rPr>
              <w:t>$8.4B</w:t>
            </w:r>
          </w:p>
        </w:tc>
        <w:tc>
          <w:tcPr>
            <w:tcW w:w="1860" w:type="dxa"/>
            <w:vAlign w:val="bottom"/>
            <w:tcBorders>
              <w:right w:val="single" w:sz="8" w:color="D9D9D9"/>
            </w:tcBorders>
          </w:tcPr>
          <w:p>
            <w:pPr>
              <w:jc w:val="center"/>
              <w:spacing w:after="0"/>
              <w:rPr>
                <w:sz w:val="20"/>
                <w:szCs w:val="20"/>
                <w:color w:val="auto"/>
              </w:rPr>
            </w:pPr>
            <w:r>
              <w:rPr>
                <w:rFonts w:ascii="Arial" w:cs="Arial" w:eastAsia="Arial" w:hAnsi="Arial"/>
                <w:sz w:val="36"/>
                <w:szCs w:val="36"/>
                <w:b w:val="1"/>
                <w:bCs w:val="1"/>
                <w:color w:val="FFFFFF"/>
                <w:w w:val="99"/>
              </w:rPr>
              <w:t>$2.7B</w:t>
            </w:r>
          </w:p>
        </w:tc>
        <w:tc>
          <w:tcPr>
            <w:tcW w:w="0" w:type="dxa"/>
            <w:vAlign w:val="bottom"/>
          </w:tcPr>
          <w:p>
            <w:pPr>
              <w:spacing w:after="0"/>
              <w:rPr>
                <w:sz w:val="1"/>
                <w:szCs w:val="1"/>
                <w:color w:val="auto"/>
              </w:rPr>
            </w:pPr>
          </w:p>
        </w:tc>
      </w:tr>
      <w:tr>
        <w:trPr>
          <w:trHeight w:val="76"/>
        </w:trPr>
        <w:tc>
          <w:tcPr>
            <w:tcW w:w="1840" w:type="dxa"/>
            <w:vAlign w:val="bottom"/>
            <w:vMerge w:val="restart"/>
            <w:shd w:val="clear" w:color="auto" w:fill="1414D2"/>
          </w:tcPr>
          <w:p>
            <w:pPr>
              <w:jc w:val="center"/>
              <w:spacing w:after="0"/>
              <w:rPr>
                <w:sz w:val="20"/>
                <w:szCs w:val="20"/>
                <w:color w:val="auto"/>
              </w:rPr>
            </w:pPr>
            <w:r>
              <w:rPr>
                <w:rFonts w:ascii="Arial" w:cs="Arial" w:eastAsia="Arial" w:hAnsi="Arial"/>
                <w:sz w:val="16"/>
                <w:szCs w:val="16"/>
                <w:color w:val="FFFFFF"/>
              </w:rPr>
              <w:t>Operating  Cash</w:t>
            </w:r>
          </w:p>
        </w:tc>
        <w:tc>
          <w:tcPr>
            <w:tcW w:w="1860" w:type="dxa"/>
            <w:vAlign w:val="bottom"/>
            <w:tcBorders>
              <w:right w:val="single" w:sz="8" w:color="D9D9D9"/>
            </w:tcBorders>
          </w:tcPr>
          <w:p>
            <w:pPr>
              <w:spacing w:after="0"/>
              <w:rPr>
                <w:sz w:val="6"/>
                <w:szCs w:val="6"/>
                <w:color w:val="auto"/>
              </w:rPr>
            </w:pPr>
          </w:p>
        </w:tc>
        <w:tc>
          <w:tcPr>
            <w:tcW w:w="0" w:type="dxa"/>
            <w:vAlign w:val="bottom"/>
          </w:tcPr>
          <w:p>
            <w:pPr>
              <w:spacing w:after="0"/>
              <w:rPr>
                <w:sz w:val="1"/>
                <w:szCs w:val="1"/>
                <w:color w:val="auto"/>
              </w:rPr>
            </w:pPr>
          </w:p>
        </w:tc>
      </w:tr>
      <w:tr>
        <w:trPr>
          <w:trHeight w:val="297"/>
        </w:trPr>
        <w:tc>
          <w:tcPr>
            <w:tcW w:w="1840" w:type="dxa"/>
            <w:vAlign w:val="bottom"/>
            <w:vMerge w:val="continue"/>
            <w:shd w:val="clear" w:color="auto" w:fill="1414D2"/>
          </w:tcPr>
          <w:p>
            <w:pPr>
              <w:spacing w:after="0"/>
              <w:rPr>
                <w:sz w:val="24"/>
                <w:szCs w:val="24"/>
                <w:color w:val="auto"/>
              </w:rPr>
            </w:pPr>
          </w:p>
        </w:tc>
        <w:tc>
          <w:tcPr>
            <w:tcW w:w="1860" w:type="dxa"/>
            <w:vAlign w:val="bottom"/>
            <w:tcBorders>
              <w:right w:val="single" w:sz="8" w:color="D9D9D9"/>
            </w:tcBorders>
            <w:shd w:val="clear" w:color="auto" w:fill="1414D2"/>
          </w:tcPr>
          <w:p>
            <w:pPr>
              <w:jc w:val="center"/>
              <w:spacing w:after="0"/>
              <w:rPr>
                <w:sz w:val="20"/>
                <w:szCs w:val="20"/>
                <w:color w:val="auto"/>
              </w:rPr>
            </w:pPr>
            <w:r>
              <w:rPr>
                <w:rFonts w:ascii="Arial" w:cs="Arial" w:eastAsia="Arial" w:hAnsi="Arial"/>
                <w:sz w:val="16"/>
                <w:szCs w:val="16"/>
                <w:color w:val="FFFFFF"/>
                <w:w w:val="91"/>
              </w:rPr>
              <w:t>Free  Cash  Flow</w:t>
            </w:r>
          </w:p>
        </w:tc>
        <w:tc>
          <w:tcPr>
            <w:tcW w:w="0" w:type="dxa"/>
            <w:vAlign w:val="bottom"/>
          </w:tcPr>
          <w:p>
            <w:pPr>
              <w:spacing w:after="0"/>
              <w:rPr>
                <w:sz w:val="1"/>
                <w:szCs w:val="1"/>
                <w:color w:val="auto"/>
              </w:rPr>
            </w:pPr>
          </w:p>
        </w:tc>
      </w:tr>
      <w:tr>
        <w:trPr>
          <w:trHeight w:val="403"/>
        </w:trPr>
        <w:tc>
          <w:tcPr>
            <w:tcW w:w="1840" w:type="dxa"/>
            <w:vAlign w:val="bottom"/>
            <w:shd w:val="clear" w:color="auto" w:fill="1414D2"/>
          </w:tcPr>
          <w:p>
            <w:pPr>
              <w:jc w:val="center"/>
              <w:spacing w:after="0"/>
              <w:rPr>
                <w:sz w:val="20"/>
                <w:szCs w:val="20"/>
                <w:color w:val="auto"/>
              </w:rPr>
            </w:pPr>
            <w:r>
              <w:rPr>
                <w:rFonts w:ascii="Arial" w:cs="Arial" w:eastAsia="Arial" w:hAnsi="Arial"/>
                <w:sz w:val="16"/>
                <w:szCs w:val="16"/>
                <w:color w:val="FFFFFF"/>
              </w:rPr>
              <w:t>Flow</w:t>
            </w:r>
          </w:p>
        </w:tc>
        <w:tc>
          <w:tcPr>
            <w:tcW w:w="1860" w:type="dxa"/>
            <w:vAlign w:val="bottom"/>
            <w:tcBorders>
              <w:right w:val="single" w:sz="8" w:color="D9D9D9"/>
            </w:tcBorders>
            <w:shd w:val="clear" w:color="auto" w:fill="1414D2"/>
          </w:tcPr>
          <w:p>
            <w:pPr>
              <w:jc w:val="center"/>
              <w:spacing w:after="0"/>
              <w:rPr>
                <w:sz w:val="20"/>
                <w:szCs w:val="20"/>
                <w:color w:val="auto"/>
              </w:rPr>
            </w:pPr>
            <w:r>
              <w:rPr>
                <w:rFonts w:ascii="Arial" w:cs="Arial" w:eastAsia="Arial" w:hAnsi="Arial"/>
                <w:sz w:val="16"/>
                <w:szCs w:val="16"/>
                <w:color w:val="FFFFFF"/>
                <w:w w:val="95"/>
              </w:rPr>
              <w:t>(Non-GAAP)</w:t>
            </w:r>
            <w:r>
              <w:rPr>
                <w:rFonts w:ascii="Arial" w:cs="Arial" w:eastAsia="Arial" w:hAnsi="Arial"/>
                <w:sz w:val="24"/>
                <w:szCs w:val="24"/>
                <w:color w:val="FFFFFF"/>
                <w:w w:val="95"/>
                <w:vertAlign w:val="superscript"/>
              </w:rPr>
              <w:t>(1)</w:t>
            </w:r>
          </w:p>
        </w:tc>
        <w:tc>
          <w:tcPr>
            <w:tcW w:w="0" w:type="dxa"/>
            <w:vAlign w:val="bottom"/>
          </w:tcPr>
          <w:p>
            <w:pPr>
              <w:spacing w:after="0"/>
              <w:rPr>
                <w:sz w:val="1"/>
                <w:szCs w:val="1"/>
                <w:color w:val="auto"/>
              </w:rPr>
            </w:pPr>
          </w:p>
        </w:tc>
      </w:tr>
      <w:tr>
        <w:trPr>
          <w:trHeight w:val="124"/>
        </w:trPr>
        <w:tc>
          <w:tcPr>
            <w:tcW w:w="1840" w:type="dxa"/>
            <w:vAlign w:val="bottom"/>
            <w:shd w:val="clear" w:color="auto" w:fill="1414D2"/>
          </w:tcPr>
          <w:p>
            <w:pPr>
              <w:spacing w:after="0"/>
              <w:rPr>
                <w:sz w:val="10"/>
                <w:szCs w:val="10"/>
                <w:color w:val="auto"/>
              </w:rPr>
            </w:pPr>
          </w:p>
        </w:tc>
        <w:tc>
          <w:tcPr>
            <w:tcW w:w="1860" w:type="dxa"/>
            <w:vAlign w:val="bottom"/>
            <w:tcBorders>
              <w:right w:val="single" w:sz="8" w:color="D9D9D9"/>
            </w:tcBorders>
            <w:shd w:val="clear" w:color="auto" w:fill="1414D2"/>
          </w:tcPr>
          <w:p>
            <w:pPr>
              <w:spacing w:after="0"/>
              <w:rPr>
                <w:sz w:val="10"/>
                <w:szCs w:val="10"/>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sectPr>
          <w:pgSz w:w="11900" w:h="16838" w:orient="portrait"/>
          <w:cols w:equalWidth="0" w:num="2">
            <w:col w:w="4640" w:space="180"/>
            <w:col w:w="4900"/>
          </w:cols>
          <w:pgMar w:left="1080" w:top="695" w:right="1099" w:bottom="1440" w:gutter="0" w:footer="0" w:header="0"/>
          <w:type w:val="continuous"/>
        </w:sectPr>
      </w:pPr>
    </w:p>
    <w:p>
      <w:pPr>
        <w:ind w:left="1100" w:right="400"/>
        <w:spacing w:after="0" w:line="279" w:lineRule="auto"/>
        <w:rPr>
          <w:sz w:val="20"/>
          <w:szCs w:val="20"/>
          <w:color w:val="auto"/>
        </w:rPr>
      </w:pPr>
      <w:r>
        <w:rPr>
          <w:rFonts w:ascii="Arial" w:cs="Arial" w:eastAsia="Arial" w:hAnsi="Arial"/>
          <w:sz w:val="16"/>
          <w:szCs w:val="16"/>
          <w:color w:val="auto"/>
        </w:rPr>
        <w:t>During 2025, we generated the highest annual operating revenue in United’s history.</w:t>
      </w:r>
    </w:p>
    <w:p>
      <w:pPr>
        <w:spacing w:after="0" w:line="20" w:lineRule="exact"/>
        <w:rPr>
          <w:sz w:val="20"/>
          <w:szCs w:val="20"/>
          <w:color w:val="auto"/>
        </w:rPr>
      </w:pPr>
      <w:r>
        <w:rPr>
          <w:sz w:val="20"/>
          <w:szCs w:val="20"/>
          <w:color w:val="auto"/>
        </w:rPr>
        <w:br w:type="column"/>
      </w:r>
    </w:p>
    <w:p>
      <w:pPr>
        <w:ind w:right="1140"/>
        <w:spacing w:after="0" w:line="284" w:lineRule="auto"/>
        <w:rPr>
          <w:sz w:val="20"/>
          <w:szCs w:val="20"/>
          <w:color w:val="auto"/>
        </w:rPr>
      </w:pPr>
      <w:r>
        <w:rPr>
          <w:rFonts w:ascii="Arial" w:cs="Arial" w:eastAsia="Arial" w:hAnsi="Arial"/>
          <w:sz w:val="16"/>
          <w:szCs w:val="16"/>
          <w:color w:val="auto"/>
        </w:rPr>
        <w:t>We delivered strong Free Cash Flow</w:t>
      </w:r>
      <w:r>
        <w:rPr>
          <w:rFonts w:ascii="Arial" w:cs="Arial" w:eastAsia="Arial" w:hAnsi="Arial"/>
          <w:sz w:val="24"/>
          <w:szCs w:val="24"/>
          <w:color w:val="auto"/>
          <w:vertAlign w:val="superscript"/>
        </w:rPr>
        <w:t>(1)</w:t>
      </w:r>
      <w:r>
        <w:rPr>
          <w:rFonts w:ascii="Arial" w:cs="Arial" w:eastAsia="Arial" w:hAnsi="Arial"/>
          <w:sz w:val="16"/>
          <w:szCs w:val="16"/>
          <w:color w:val="auto"/>
        </w:rPr>
        <w:t xml:space="preserve"> for 2025 of $2.7B, which demonstrated our resiliency and that Free Cash Flow remains a priority for management.</w:t>
      </w:r>
    </w:p>
    <w:p>
      <w:pPr>
        <w:spacing w:after="0" w:line="169" w:lineRule="exact"/>
        <w:rPr>
          <w:sz w:val="20"/>
          <w:szCs w:val="20"/>
          <w:color w:val="auto"/>
        </w:rPr>
      </w:pPr>
    </w:p>
    <w:p>
      <w:pPr>
        <w:sectPr>
          <w:pgSz w:w="11900" w:h="16838" w:orient="portrait"/>
          <w:cols w:equalWidth="0" w:num="2">
            <w:col w:w="4480" w:space="720"/>
            <w:col w:w="4520"/>
          </w:cols>
          <w:pgMar w:left="1080" w:top="695" w:right="1099" w:bottom="1440" w:gutter="0" w:footer="0" w:header="0"/>
          <w:type w:val="continuous"/>
        </w:sectPr>
      </w:pPr>
    </w:p>
    <w:p>
      <w:pPr>
        <w:ind w:left="680" w:right="400" w:hanging="325"/>
        <w:spacing w:after="0" w:line="289" w:lineRule="auto"/>
        <w:tabs>
          <w:tab w:leader="none" w:pos="680" w:val="left"/>
        </w:tabs>
        <w:numPr>
          <w:ilvl w:val="0"/>
          <w:numId w:val="16"/>
        </w:numPr>
        <w:rPr>
          <w:rFonts w:ascii="Arial" w:cs="Arial" w:eastAsia="Arial" w:hAnsi="Arial"/>
          <w:sz w:val="11"/>
          <w:szCs w:val="11"/>
          <w:color w:val="auto"/>
        </w:rPr>
      </w:pPr>
      <w:r>
        <w:rPr>
          <w:rFonts w:ascii="Arial" w:cs="Arial" w:eastAsia="Arial" w:hAnsi="Arial"/>
          <w:sz w:val="11"/>
          <w:szCs w:val="11"/>
          <w:color w:val="auto"/>
        </w:rPr>
        <w:t>Adjusted Pre-Tax Margin, Adjusted Diluted EPS and Free Cash Flow are non-GAAP fnancial measures. Please refer to Appendix A for important information regarding these measures, including a reconciliation of each measure to the most directly comparable GAAP fnancial measure.</w:t>
      </w:r>
    </w:p>
    <w:p>
      <w:pPr>
        <w:spacing w:after="0" w:line="127" w:lineRule="exact"/>
        <w:rPr>
          <w:rFonts w:ascii="Arial" w:cs="Arial" w:eastAsia="Arial" w:hAnsi="Arial"/>
          <w:sz w:val="11"/>
          <w:szCs w:val="11"/>
          <w:color w:val="auto"/>
        </w:rPr>
      </w:pPr>
    </w:p>
    <w:p>
      <w:pPr>
        <w:ind w:left="680" w:hanging="325"/>
        <w:spacing w:after="0" w:line="298" w:lineRule="auto"/>
        <w:tabs>
          <w:tab w:leader="none" w:pos="680" w:val="left"/>
        </w:tabs>
        <w:numPr>
          <w:ilvl w:val="0"/>
          <w:numId w:val="16"/>
        </w:numPr>
        <w:rPr>
          <w:rFonts w:ascii="Arial" w:cs="Arial" w:eastAsia="Arial" w:hAnsi="Arial"/>
          <w:sz w:val="11"/>
          <w:szCs w:val="11"/>
          <w:color w:val="auto"/>
        </w:rPr>
      </w:pPr>
      <w:r>
        <w:rPr>
          <w:rFonts w:ascii="Arial" w:cs="Arial" w:eastAsia="Arial" w:hAnsi="Arial"/>
          <w:sz w:val="11"/>
          <w:szCs w:val="11"/>
          <w:color w:val="auto"/>
        </w:rPr>
        <w:t>For purposes of this comparison, our U.S. competitors are Delta, American, Southwest, JetBlue, Alaska, Spirit and Frontier. Comparisons to Adjusted Diluted EPS year-over-year of our U.S. competitors are based on this measure as reported by such companies. Because this non-GAAP fnancial measure is not calculated in accordance with GAAP, there may be diferences in method and in the items being adjusted as reported by our U.S. competitors.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2026  Proxy  Statement</w:t>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1414D2"/>
        </w:rPr>
        <w:t>3</w:t>
      </w:r>
    </w:p>
    <w:p>
      <w:pPr>
        <w:sectPr>
          <w:pgSz w:w="11900" w:h="16838" w:orient="portrait"/>
          <w:cols w:equalWidth="0" w:num="1">
            <w:col w:w="9720"/>
          </w:cols>
          <w:pgMar w:left="1080" w:top="695" w:right="109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6D6F71"/>
        </w:rPr>
        <w:t>Proxy  Statement  Summary  and  Voting  Map</w:t>
      </w:r>
    </w:p>
    <w:p>
      <w:pPr>
        <w:spacing w:after="0" w:line="223" w:lineRule="exact"/>
        <w:rPr>
          <w:sz w:val="20"/>
          <w:szCs w:val="20"/>
          <w:color w:val="auto"/>
        </w:rPr>
      </w:pPr>
    </w:p>
    <w:p>
      <w:pPr>
        <w:spacing w:after="0"/>
        <w:rPr>
          <w:sz w:val="20"/>
          <w:szCs w:val="20"/>
          <w:color w:val="auto"/>
        </w:rPr>
      </w:pPr>
      <w:r>
        <w:rPr>
          <w:rFonts w:ascii="Arial" w:cs="Arial" w:eastAsia="Arial" w:hAnsi="Arial"/>
          <w:sz w:val="25"/>
          <w:szCs w:val="25"/>
          <w:b w:val="1"/>
          <w:bCs w:val="1"/>
          <w:color w:val="1414D2"/>
        </w:rPr>
        <w:t>Corporate Governance Highlights</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auto"/>
        </w:rPr>
        <w:t>We  are  committed  to  strong  corporate  governance  policies  that  promote  the  interests  of  our  stockholders  and  strengthen</w:t>
      </w:r>
    </w:p>
    <w:p>
      <w:pPr>
        <w:spacing w:after="0" w:line="19" w:lineRule="exact"/>
        <w:rPr>
          <w:sz w:val="20"/>
          <w:szCs w:val="20"/>
          <w:color w:val="auto"/>
        </w:rPr>
      </w:pPr>
    </w:p>
    <w:p>
      <w:pPr>
        <w:ind w:right="60"/>
        <w:spacing w:after="0" w:line="279" w:lineRule="auto"/>
        <w:rPr>
          <w:sz w:val="20"/>
          <w:szCs w:val="20"/>
          <w:color w:val="auto"/>
        </w:rPr>
      </w:pPr>
      <w:r>
        <w:rPr>
          <w:rFonts w:ascii="Arial" w:cs="Arial" w:eastAsia="Arial" w:hAnsi="Arial"/>
          <w:sz w:val="16"/>
          <w:szCs w:val="16"/>
          <w:color w:val="auto"/>
        </w:rPr>
        <w:t>Board and management accountability. The “Board and Corporate Governance Matters” section beginning on page 34 describes our governance framework and our “Compensation Discussion and Analysis” section beginning on page 76 describes our executive compensation program. Those sections include the following highlights: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920" w:type="dxa"/>
            <w:vAlign w:val="bottom"/>
            <w:shd w:val="clear" w:color="auto" w:fill="1414D2"/>
          </w:tcPr>
          <w:p>
            <w:pPr>
              <w:ind w:left="140"/>
              <w:spacing w:after="0"/>
              <w:rPr>
                <w:sz w:val="20"/>
                <w:szCs w:val="20"/>
                <w:color w:val="auto"/>
              </w:rPr>
            </w:pPr>
            <w:r>
              <w:rPr>
                <w:rFonts w:ascii="Arial" w:cs="Arial" w:eastAsia="Arial" w:hAnsi="Arial"/>
                <w:sz w:val="16"/>
                <w:szCs w:val="16"/>
                <w:b w:val="1"/>
                <w:bCs w:val="1"/>
                <w:color w:val="FFFFFF"/>
              </w:rPr>
              <w:t>Separate Chairman</w:t>
            </w:r>
          </w:p>
        </w:tc>
        <w:tc>
          <w:tcPr>
            <w:tcW w:w="1940" w:type="dxa"/>
            <w:vAlign w:val="bottom"/>
            <w:shd w:val="clear" w:color="auto" w:fill="1414D2"/>
          </w:tcPr>
          <w:p>
            <w:pPr>
              <w:spacing w:after="0"/>
              <w:rPr>
                <w:sz w:val="22"/>
                <w:szCs w:val="22"/>
                <w:color w:val="auto"/>
              </w:rPr>
            </w:pPr>
          </w:p>
        </w:tc>
        <w:tc>
          <w:tcPr>
            <w:tcW w:w="1900" w:type="dxa"/>
            <w:vAlign w:val="bottom"/>
            <w:shd w:val="clear" w:color="auto" w:fill="1414D2"/>
          </w:tcPr>
          <w:p>
            <w:pPr>
              <w:ind w:left="140"/>
              <w:spacing w:after="0"/>
              <w:rPr>
                <w:sz w:val="20"/>
                <w:szCs w:val="20"/>
                <w:color w:val="auto"/>
              </w:rPr>
            </w:pPr>
            <w:r>
              <w:rPr>
                <w:rFonts w:ascii="Arial" w:cs="Arial" w:eastAsia="Arial" w:hAnsi="Arial"/>
                <w:sz w:val="16"/>
                <w:szCs w:val="16"/>
                <w:b w:val="1"/>
                <w:bCs w:val="1"/>
                <w:color w:val="FFFFFF"/>
              </w:rPr>
              <w:t>10 out of 13 Board</w:t>
            </w:r>
          </w:p>
        </w:tc>
        <w:tc>
          <w:tcPr>
            <w:tcW w:w="1920" w:type="dxa"/>
            <w:vAlign w:val="bottom"/>
            <w:shd w:val="clear" w:color="auto" w:fill="1414D2"/>
          </w:tcPr>
          <w:p>
            <w:pPr>
              <w:spacing w:after="0"/>
              <w:rPr>
                <w:sz w:val="22"/>
                <w:szCs w:val="22"/>
                <w:color w:val="auto"/>
              </w:rPr>
            </w:pPr>
          </w:p>
        </w:tc>
        <w:tc>
          <w:tcPr>
            <w:tcW w:w="2040" w:type="dxa"/>
            <w:vAlign w:val="bottom"/>
            <w:shd w:val="clear" w:color="auto" w:fill="1414D2"/>
          </w:tcPr>
          <w:p>
            <w:pPr>
              <w:ind w:left="140"/>
              <w:spacing w:after="0"/>
              <w:rPr>
                <w:sz w:val="20"/>
                <w:szCs w:val="20"/>
                <w:color w:val="auto"/>
              </w:rPr>
            </w:pPr>
            <w:r>
              <w:rPr>
                <w:rFonts w:ascii="Arial" w:cs="Arial" w:eastAsia="Arial" w:hAnsi="Arial"/>
                <w:sz w:val="16"/>
                <w:szCs w:val="16"/>
                <w:b w:val="1"/>
                <w:bCs w:val="1"/>
                <w:color w:val="FFFFFF"/>
              </w:rPr>
              <w:t>Risk oversight by the</w:t>
            </w:r>
          </w:p>
        </w:tc>
      </w:tr>
      <w:tr>
        <w:trPr>
          <w:trHeight w:val="189"/>
        </w:trPr>
        <w:tc>
          <w:tcPr>
            <w:tcW w:w="1920" w:type="dxa"/>
            <w:vAlign w:val="bottom"/>
            <w:shd w:val="clear" w:color="auto" w:fill="1414D2"/>
          </w:tcPr>
          <w:p>
            <w:pPr>
              <w:ind w:left="140"/>
              <w:spacing w:after="0"/>
              <w:rPr>
                <w:sz w:val="20"/>
                <w:szCs w:val="20"/>
                <w:color w:val="auto"/>
              </w:rPr>
            </w:pPr>
            <w:r>
              <w:rPr>
                <w:rFonts w:ascii="Arial" w:cs="Arial" w:eastAsia="Arial" w:hAnsi="Arial"/>
                <w:sz w:val="16"/>
                <w:szCs w:val="16"/>
                <w:b w:val="1"/>
                <w:bCs w:val="1"/>
                <w:color w:val="FFFFFF"/>
              </w:rPr>
              <w:t>and CEO roles</w:t>
            </w:r>
          </w:p>
        </w:tc>
        <w:tc>
          <w:tcPr>
            <w:tcW w:w="1940" w:type="dxa"/>
            <w:vAlign w:val="bottom"/>
            <w:shd w:val="clear" w:color="auto" w:fill="1414D2"/>
          </w:tcPr>
          <w:p>
            <w:pPr>
              <w:spacing w:after="0"/>
              <w:rPr>
                <w:sz w:val="16"/>
                <w:szCs w:val="16"/>
                <w:color w:val="auto"/>
              </w:rPr>
            </w:pPr>
          </w:p>
        </w:tc>
        <w:tc>
          <w:tcPr>
            <w:tcW w:w="1900" w:type="dxa"/>
            <w:vAlign w:val="bottom"/>
            <w:shd w:val="clear" w:color="auto" w:fill="1414D2"/>
          </w:tcPr>
          <w:p>
            <w:pPr>
              <w:ind w:left="140"/>
              <w:spacing w:after="0"/>
              <w:rPr>
                <w:sz w:val="20"/>
                <w:szCs w:val="20"/>
                <w:color w:val="auto"/>
              </w:rPr>
            </w:pPr>
            <w:r>
              <w:rPr>
                <w:rFonts w:ascii="Arial" w:cs="Arial" w:eastAsia="Arial" w:hAnsi="Arial"/>
                <w:sz w:val="16"/>
                <w:szCs w:val="16"/>
                <w:b w:val="1"/>
                <w:bCs w:val="1"/>
                <w:color w:val="FFFFFF"/>
              </w:rPr>
              <w:t>nominees are</w:t>
            </w:r>
          </w:p>
        </w:tc>
        <w:tc>
          <w:tcPr>
            <w:tcW w:w="1920" w:type="dxa"/>
            <w:vAlign w:val="bottom"/>
            <w:shd w:val="clear" w:color="auto" w:fill="1414D2"/>
          </w:tcPr>
          <w:p>
            <w:pPr>
              <w:spacing w:after="0"/>
              <w:rPr>
                <w:sz w:val="16"/>
                <w:szCs w:val="16"/>
                <w:color w:val="auto"/>
              </w:rPr>
            </w:pPr>
          </w:p>
        </w:tc>
        <w:tc>
          <w:tcPr>
            <w:tcW w:w="2040" w:type="dxa"/>
            <w:vAlign w:val="bottom"/>
            <w:shd w:val="clear" w:color="auto" w:fill="1414D2"/>
          </w:tcPr>
          <w:p>
            <w:pPr>
              <w:ind w:left="140"/>
              <w:spacing w:after="0"/>
              <w:rPr>
                <w:sz w:val="20"/>
                <w:szCs w:val="20"/>
                <w:color w:val="auto"/>
              </w:rPr>
            </w:pPr>
            <w:r>
              <w:rPr>
                <w:rFonts w:ascii="Arial" w:cs="Arial" w:eastAsia="Arial" w:hAnsi="Arial"/>
                <w:sz w:val="16"/>
                <w:szCs w:val="16"/>
                <w:b w:val="1"/>
                <w:bCs w:val="1"/>
                <w:color w:val="FFFFFF"/>
              </w:rPr>
              <w:t>full Board and its</w:t>
            </w:r>
          </w:p>
        </w:tc>
      </w:tr>
      <w:tr>
        <w:trPr>
          <w:trHeight w:val="217"/>
        </w:trPr>
        <w:tc>
          <w:tcPr>
            <w:tcW w:w="1920" w:type="dxa"/>
            <w:vAlign w:val="bottom"/>
            <w:shd w:val="clear" w:color="auto" w:fill="1414D2"/>
          </w:tcPr>
          <w:p>
            <w:pPr>
              <w:ind w:left="140"/>
              <w:spacing w:after="0"/>
              <w:rPr>
                <w:sz w:val="20"/>
                <w:szCs w:val="20"/>
                <w:color w:val="auto"/>
              </w:rPr>
            </w:pPr>
            <w:r>
              <w:rPr>
                <w:rFonts w:ascii="Arial" w:cs="Arial" w:eastAsia="Arial" w:hAnsi="Arial"/>
                <w:sz w:val="16"/>
                <w:szCs w:val="16"/>
                <w:color w:val="FFFFFF"/>
              </w:rPr>
              <w:t>(see page 50)</w:t>
            </w:r>
          </w:p>
        </w:tc>
        <w:tc>
          <w:tcPr>
            <w:tcW w:w="1940" w:type="dxa"/>
            <w:vAlign w:val="bottom"/>
            <w:shd w:val="clear" w:color="auto" w:fill="1414D2"/>
          </w:tcPr>
          <w:p>
            <w:pPr>
              <w:spacing w:after="0"/>
              <w:rPr>
                <w:sz w:val="18"/>
                <w:szCs w:val="18"/>
                <w:color w:val="auto"/>
              </w:rPr>
            </w:pPr>
          </w:p>
        </w:tc>
        <w:tc>
          <w:tcPr>
            <w:tcW w:w="1900" w:type="dxa"/>
            <w:vAlign w:val="bottom"/>
            <w:shd w:val="clear" w:color="auto" w:fill="1414D2"/>
          </w:tcPr>
          <w:p>
            <w:pPr>
              <w:ind w:left="140"/>
              <w:spacing w:after="0"/>
              <w:rPr>
                <w:sz w:val="20"/>
                <w:szCs w:val="20"/>
                <w:color w:val="auto"/>
              </w:rPr>
            </w:pPr>
            <w:r>
              <w:rPr>
                <w:rFonts w:ascii="Arial" w:cs="Arial" w:eastAsia="Arial" w:hAnsi="Arial"/>
                <w:sz w:val="16"/>
                <w:szCs w:val="16"/>
                <w:b w:val="1"/>
                <w:bCs w:val="1"/>
                <w:color w:val="FFFFFF"/>
              </w:rPr>
              <w:t>independent (10 out</w:t>
            </w:r>
          </w:p>
        </w:tc>
        <w:tc>
          <w:tcPr>
            <w:tcW w:w="1920" w:type="dxa"/>
            <w:vAlign w:val="bottom"/>
            <w:shd w:val="clear" w:color="auto" w:fill="1414D2"/>
          </w:tcPr>
          <w:p>
            <w:pPr>
              <w:spacing w:after="0"/>
              <w:rPr>
                <w:sz w:val="18"/>
                <w:szCs w:val="18"/>
                <w:color w:val="auto"/>
              </w:rPr>
            </w:pPr>
          </w:p>
        </w:tc>
        <w:tc>
          <w:tcPr>
            <w:tcW w:w="2040" w:type="dxa"/>
            <w:vAlign w:val="bottom"/>
            <w:shd w:val="clear" w:color="auto" w:fill="1414D2"/>
          </w:tcPr>
          <w:p>
            <w:pPr>
              <w:ind w:left="140"/>
              <w:spacing w:after="0"/>
              <w:rPr>
                <w:sz w:val="20"/>
                <w:szCs w:val="20"/>
                <w:color w:val="auto"/>
              </w:rPr>
            </w:pPr>
            <w:r>
              <w:rPr>
                <w:rFonts w:ascii="Arial" w:cs="Arial" w:eastAsia="Arial" w:hAnsi="Arial"/>
                <w:sz w:val="16"/>
                <w:szCs w:val="16"/>
                <w:b w:val="1"/>
                <w:bCs w:val="1"/>
                <w:color w:val="FFFFFF"/>
              </w:rPr>
              <w:t>committees</w:t>
            </w:r>
          </w:p>
        </w:tc>
      </w:tr>
      <w:tr>
        <w:trPr>
          <w:trHeight w:val="189"/>
        </w:trPr>
        <w:tc>
          <w:tcPr>
            <w:tcW w:w="1920" w:type="dxa"/>
            <w:vAlign w:val="bottom"/>
            <w:shd w:val="clear" w:color="auto" w:fill="1414D2"/>
          </w:tcPr>
          <w:p>
            <w:pPr>
              <w:spacing w:after="0"/>
              <w:rPr>
                <w:sz w:val="16"/>
                <w:szCs w:val="16"/>
                <w:color w:val="auto"/>
              </w:rPr>
            </w:pPr>
          </w:p>
        </w:tc>
        <w:tc>
          <w:tcPr>
            <w:tcW w:w="1940" w:type="dxa"/>
            <w:vAlign w:val="bottom"/>
            <w:shd w:val="clear" w:color="auto" w:fill="1414D2"/>
          </w:tcPr>
          <w:p>
            <w:pPr>
              <w:spacing w:after="0"/>
              <w:rPr>
                <w:sz w:val="16"/>
                <w:szCs w:val="16"/>
                <w:color w:val="auto"/>
              </w:rPr>
            </w:pPr>
          </w:p>
        </w:tc>
        <w:tc>
          <w:tcPr>
            <w:tcW w:w="1900" w:type="dxa"/>
            <w:vAlign w:val="bottom"/>
            <w:shd w:val="clear" w:color="auto" w:fill="1414D2"/>
          </w:tcPr>
          <w:p>
            <w:pPr>
              <w:ind w:left="140"/>
              <w:spacing w:after="0"/>
              <w:rPr>
                <w:sz w:val="20"/>
                <w:szCs w:val="20"/>
                <w:color w:val="auto"/>
              </w:rPr>
            </w:pPr>
            <w:r>
              <w:rPr>
                <w:rFonts w:ascii="Arial" w:cs="Arial" w:eastAsia="Arial" w:hAnsi="Arial"/>
                <w:sz w:val="16"/>
                <w:szCs w:val="16"/>
                <w:b w:val="1"/>
                <w:bCs w:val="1"/>
                <w:color w:val="FFFFFF"/>
              </w:rPr>
              <w:t>of 11 nominees</w:t>
            </w:r>
          </w:p>
        </w:tc>
        <w:tc>
          <w:tcPr>
            <w:tcW w:w="1920" w:type="dxa"/>
            <w:vAlign w:val="bottom"/>
            <w:shd w:val="clear" w:color="auto" w:fill="1414D2"/>
          </w:tcPr>
          <w:p>
            <w:pPr>
              <w:spacing w:after="0"/>
              <w:rPr>
                <w:sz w:val="16"/>
                <w:szCs w:val="16"/>
                <w:color w:val="auto"/>
              </w:rPr>
            </w:pPr>
          </w:p>
        </w:tc>
        <w:tc>
          <w:tcPr>
            <w:tcW w:w="2040" w:type="dxa"/>
            <w:vAlign w:val="bottom"/>
            <w:shd w:val="clear" w:color="auto" w:fill="1414D2"/>
          </w:tcPr>
          <w:p>
            <w:pPr>
              <w:ind w:left="140"/>
              <w:spacing w:after="0"/>
              <w:rPr>
                <w:sz w:val="20"/>
                <w:szCs w:val="20"/>
                <w:color w:val="auto"/>
              </w:rPr>
            </w:pPr>
            <w:r>
              <w:rPr>
                <w:rFonts w:ascii="Arial" w:cs="Arial" w:eastAsia="Arial" w:hAnsi="Arial"/>
                <w:sz w:val="16"/>
                <w:szCs w:val="16"/>
                <w:color w:val="FFFFFF"/>
              </w:rPr>
              <w:t>(see page 41)</w:t>
            </w:r>
          </w:p>
        </w:tc>
      </w:tr>
      <w:tr>
        <w:trPr>
          <w:trHeight w:val="175"/>
        </w:trPr>
        <w:tc>
          <w:tcPr>
            <w:tcW w:w="1920" w:type="dxa"/>
            <w:vAlign w:val="bottom"/>
            <w:shd w:val="clear" w:color="auto" w:fill="1414D2"/>
          </w:tcPr>
          <w:p>
            <w:pPr>
              <w:spacing w:after="0"/>
              <w:rPr>
                <w:sz w:val="15"/>
                <w:szCs w:val="15"/>
                <w:color w:val="auto"/>
              </w:rPr>
            </w:pPr>
          </w:p>
        </w:tc>
        <w:tc>
          <w:tcPr>
            <w:tcW w:w="1940" w:type="dxa"/>
            <w:vAlign w:val="bottom"/>
            <w:shd w:val="clear" w:color="auto" w:fill="1414D2"/>
          </w:tcPr>
          <w:p>
            <w:pPr>
              <w:spacing w:after="0"/>
              <w:rPr>
                <w:sz w:val="15"/>
                <w:szCs w:val="15"/>
                <w:color w:val="auto"/>
              </w:rPr>
            </w:pPr>
          </w:p>
        </w:tc>
        <w:tc>
          <w:tcPr>
            <w:tcW w:w="1900" w:type="dxa"/>
            <w:vAlign w:val="bottom"/>
            <w:shd w:val="clear" w:color="auto" w:fill="1414D2"/>
          </w:tcPr>
          <w:p>
            <w:pPr>
              <w:ind w:left="140"/>
              <w:spacing w:after="0" w:line="175" w:lineRule="exact"/>
              <w:rPr>
                <w:sz w:val="20"/>
                <w:szCs w:val="20"/>
                <w:color w:val="auto"/>
              </w:rPr>
            </w:pPr>
            <w:r>
              <w:rPr>
                <w:rFonts w:ascii="Arial" w:cs="Arial" w:eastAsia="Arial" w:hAnsi="Arial"/>
                <w:sz w:val="16"/>
                <w:szCs w:val="16"/>
                <w:b w:val="1"/>
                <w:bCs w:val="1"/>
                <w:color w:val="FFFFFF"/>
              </w:rPr>
              <w:t>elected by the</w:t>
            </w:r>
          </w:p>
        </w:tc>
        <w:tc>
          <w:tcPr>
            <w:tcW w:w="1920" w:type="dxa"/>
            <w:vAlign w:val="bottom"/>
            <w:shd w:val="clear" w:color="auto" w:fill="1414D2"/>
          </w:tcPr>
          <w:p>
            <w:pPr>
              <w:spacing w:after="0"/>
              <w:rPr>
                <w:sz w:val="15"/>
                <w:szCs w:val="15"/>
                <w:color w:val="auto"/>
              </w:rPr>
            </w:pPr>
          </w:p>
        </w:tc>
        <w:tc>
          <w:tcPr>
            <w:tcW w:w="2040" w:type="dxa"/>
            <w:vAlign w:val="bottom"/>
            <w:shd w:val="clear" w:color="auto" w:fill="1414D2"/>
          </w:tcPr>
          <w:p>
            <w:pPr>
              <w:spacing w:after="0"/>
              <w:rPr>
                <w:sz w:val="15"/>
                <w:szCs w:val="15"/>
                <w:color w:val="auto"/>
              </w:rPr>
            </w:pPr>
          </w:p>
        </w:tc>
      </w:tr>
      <w:tr>
        <w:trPr>
          <w:trHeight w:val="189"/>
        </w:trPr>
        <w:tc>
          <w:tcPr>
            <w:tcW w:w="1920" w:type="dxa"/>
            <w:vAlign w:val="bottom"/>
            <w:shd w:val="clear" w:color="auto" w:fill="1414D2"/>
          </w:tcPr>
          <w:p>
            <w:pPr>
              <w:spacing w:after="0"/>
              <w:rPr>
                <w:sz w:val="16"/>
                <w:szCs w:val="16"/>
                <w:color w:val="auto"/>
              </w:rPr>
            </w:pPr>
          </w:p>
        </w:tc>
        <w:tc>
          <w:tcPr>
            <w:tcW w:w="1940" w:type="dxa"/>
            <w:vAlign w:val="bottom"/>
            <w:shd w:val="clear" w:color="auto" w:fill="1414D2"/>
          </w:tcPr>
          <w:p>
            <w:pPr>
              <w:spacing w:after="0"/>
              <w:rPr>
                <w:sz w:val="16"/>
                <w:szCs w:val="16"/>
                <w:color w:val="auto"/>
              </w:rPr>
            </w:pPr>
          </w:p>
        </w:tc>
        <w:tc>
          <w:tcPr>
            <w:tcW w:w="1900" w:type="dxa"/>
            <w:vAlign w:val="bottom"/>
            <w:shd w:val="clear" w:color="auto" w:fill="1414D2"/>
          </w:tcPr>
          <w:p>
            <w:pPr>
              <w:ind w:left="140"/>
              <w:spacing w:after="0"/>
              <w:rPr>
                <w:sz w:val="20"/>
                <w:szCs w:val="20"/>
                <w:color w:val="auto"/>
              </w:rPr>
            </w:pPr>
            <w:r>
              <w:rPr>
                <w:rFonts w:ascii="Arial" w:cs="Arial" w:eastAsia="Arial" w:hAnsi="Arial"/>
                <w:sz w:val="16"/>
                <w:szCs w:val="16"/>
                <w:b w:val="1"/>
                <w:bCs w:val="1"/>
                <w:color w:val="FFFFFF"/>
              </w:rPr>
              <w:t>holders of Common</w:t>
            </w:r>
          </w:p>
        </w:tc>
        <w:tc>
          <w:tcPr>
            <w:tcW w:w="1920" w:type="dxa"/>
            <w:vAlign w:val="bottom"/>
            <w:shd w:val="clear" w:color="auto" w:fill="1414D2"/>
          </w:tcPr>
          <w:p>
            <w:pPr>
              <w:spacing w:after="0"/>
              <w:rPr>
                <w:sz w:val="16"/>
                <w:szCs w:val="16"/>
                <w:color w:val="auto"/>
              </w:rPr>
            </w:pPr>
          </w:p>
        </w:tc>
        <w:tc>
          <w:tcPr>
            <w:tcW w:w="2040" w:type="dxa"/>
            <w:vAlign w:val="bottom"/>
            <w:shd w:val="clear" w:color="auto" w:fill="1414D2"/>
          </w:tcPr>
          <w:p>
            <w:pPr>
              <w:spacing w:after="0"/>
              <w:rPr>
                <w:sz w:val="16"/>
                <w:szCs w:val="16"/>
                <w:color w:val="auto"/>
              </w:rPr>
            </w:pPr>
          </w:p>
        </w:tc>
      </w:tr>
      <w:tr>
        <w:trPr>
          <w:trHeight w:val="189"/>
        </w:trPr>
        <w:tc>
          <w:tcPr>
            <w:tcW w:w="1920" w:type="dxa"/>
            <w:vAlign w:val="bottom"/>
            <w:shd w:val="clear" w:color="auto" w:fill="1414D2"/>
          </w:tcPr>
          <w:p>
            <w:pPr>
              <w:spacing w:after="0"/>
              <w:rPr>
                <w:sz w:val="16"/>
                <w:szCs w:val="16"/>
                <w:color w:val="auto"/>
              </w:rPr>
            </w:pPr>
          </w:p>
        </w:tc>
        <w:tc>
          <w:tcPr>
            <w:tcW w:w="1940" w:type="dxa"/>
            <w:vAlign w:val="bottom"/>
            <w:shd w:val="clear" w:color="auto" w:fill="1414D2"/>
          </w:tcPr>
          <w:p>
            <w:pPr>
              <w:spacing w:after="0"/>
              <w:rPr>
                <w:sz w:val="16"/>
                <w:szCs w:val="16"/>
                <w:color w:val="auto"/>
              </w:rPr>
            </w:pPr>
          </w:p>
        </w:tc>
        <w:tc>
          <w:tcPr>
            <w:tcW w:w="1900" w:type="dxa"/>
            <w:vAlign w:val="bottom"/>
            <w:shd w:val="clear" w:color="auto" w:fill="1414D2"/>
          </w:tcPr>
          <w:p>
            <w:pPr>
              <w:ind w:left="140"/>
              <w:spacing w:after="0"/>
              <w:rPr>
                <w:sz w:val="20"/>
                <w:szCs w:val="20"/>
                <w:color w:val="auto"/>
              </w:rPr>
            </w:pPr>
            <w:r>
              <w:rPr>
                <w:rFonts w:ascii="Arial" w:cs="Arial" w:eastAsia="Arial" w:hAnsi="Arial"/>
                <w:sz w:val="16"/>
                <w:szCs w:val="16"/>
                <w:b w:val="1"/>
                <w:bCs w:val="1"/>
                <w:color w:val="FFFFFF"/>
              </w:rPr>
              <w:t>Stock are</w:t>
            </w:r>
          </w:p>
        </w:tc>
        <w:tc>
          <w:tcPr>
            <w:tcW w:w="1920" w:type="dxa"/>
            <w:vAlign w:val="bottom"/>
            <w:shd w:val="clear" w:color="auto" w:fill="1414D2"/>
          </w:tcPr>
          <w:p>
            <w:pPr>
              <w:spacing w:after="0"/>
              <w:rPr>
                <w:sz w:val="16"/>
                <w:szCs w:val="16"/>
                <w:color w:val="auto"/>
              </w:rPr>
            </w:pPr>
          </w:p>
        </w:tc>
        <w:tc>
          <w:tcPr>
            <w:tcW w:w="2040" w:type="dxa"/>
            <w:vAlign w:val="bottom"/>
            <w:shd w:val="clear" w:color="auto" w:fill="1414D2"/>
          </w:tcPr>
          <w:p>
            <w:pPr>
              <w:spacing w:after="0"/>
              <w:rPr>
                <w:sz w:val="16"/>
                <w:szCs w:val="16"/>
                <w:color w:val="auto"/>
              </w:rPr>
            </w:pPr>
          </w:p>
        </w:tc>
      </w:tr>
      <w:tr>
        <w:trPr>
          <w:trHeight w:val="223"/>
        </w:trPr>
        <w:tc>
          <w:tcPr>
            <w:tcW w:w="1920" w:type="dxa"/>
            <w:vAlign w:val="bottom"/>
            <w:shd w:val="clear" w:color="auto" w:fill="1414D2"/>
          </w:tcPr>
          <w:p>
            <w:pPr>
              <w:spacing w:after="0"/>
              <w:rPr>
                <w:sz w:val="19"/>
                <w:szCs w:val="19"/>
                <w:color w:val="auto"/>
              </w:rPr>
            </w:pPr>
          </w:p>
        </w:tc>
        <w:tc>
          <w:tcPr>
            <w:tcW w:w="1940" w:type="dxa"/>
            <w:vAlign w:val="bottom"/>
            <w:shd w:val="clear" w:color="auto" w:fill="1414D2"/>
          </w:tcPr>
          <w:p>
            <w:pPr>
              <w:spacing w:after="0"/>
              <w:rPr>
                <w:sz w:val="19"/>
                <w:szCs w:val="19"/>
                <w:color w:val="auto"/>
              </w:rPr>
            </w:pPr>
          </w:p>
        </w:tc>
        <w:tc>
          <w:tcPr>
            <w:tcW w:w="1900" w:type="dxa"/>
            <w:vAlign w:val="bottom"/>
            <w:shd w:val="clear" w:color="auto" w:fill="1414D2"/>
          </w:tcPr>
          <w:p>
            <w:pPr>
              <w:ind w:left="140"/>
              <w:spacing w:after="0"/>
              <w:rPr>
                <w:sz w:val="20"/>
                <w:szCs w:val="20"/>
                <w:color w:val="auto"/>
              </w:rPr>
            </w:pPr>
            <w:r>
              <w:rPr>
                <w:rFonts w:ascii="Arial" w:cs="Arial" w:eastAsia="Arial" w:hAnsi="Arial"/>
                <w:sz w:val="16"/>
                <w:szCs w:val="16"/>
                <w:b w:val="1"/>
                <w:bCs w:val="1"/>
                <w:color w:val="FFFFFF"/>
              </w:rPr>
              <w:t>independent)</w:t>
            </w:r>
          </w:p>
        </w:tc>
        <w:tc>
          <w:tcPr>
            <w:tcW w:w="1920" w:type="dxa"/>
            <w:vAlign w:val="bottom"/>
            <w:shd w:val="clear" w:color="auto" w:fill="1414D2"/>
          </w:tcPr>
          <w:p>
            <w:pPr>
              <w:spacing w:after="0"/>
              <w:rPr>
                <w:sz w:val="19"/>
                <w:szCs w:val="19"/>
                <w:color w:val="auto"/>
              </w:rPr>
            </w:pPr>
          </w:p>
        </w:tc>
        <w:tc>
          <w:tcPr>
            <w:tcW w:w="2040" w:type="dxa"/>
            <w:vAlign w:val="bottom"/>
            <w:shd w:val="clear" w:color="auto" w:fill="1414D2"/>
          </w:tcPr>
          <w:p>
            <w:pPr>
              <w:spacing w:after="0"/>
              <w:rPr>
                <w:sz w:val="19"/>
                <w:szCs w:val="19"/>
                <w:color w:val="auto"/>
              </w:rPr>
            </w:pPr>
          </w:p>
        </w:tc>
      </w:tr>
      <w:tr>
        <w:trPr>
          <w:trHeight w:val="235"/>
        </w:trPr>
        <w:tc>
          <w:tcPr>
            <w:tcW w:w="1920" w:type="dxa"/>
            <w:vAlign w:val="bottom"/>
            <w:shd w:val="clear" w:color="auto" w:fill="1414D2"/>
          </w:tcPr>
          <w:p>
            <w:pPr>
              <w:spacing w:after="0"/>
              <w:rPr>
                <w:sz w:val="20"/>
                <w:szCs w:val="20"/>
                <w:color w:val="auto"/>
              </w:rPr>
            </w:pPr>
          </w:p>
        </w:tc>
        <w:tc>
          <w:tcPr>
            <w:tcW w:w="1940" w:type="dxa"/>
            <w:vAlign w:val="bottom"/>
            <w:shd w:val="clear" w:color="auto" w:fill="1414D2"/>
          </w:tcPr>
          <w:p>
            <w:pPr>
              <w:spacing w:after="0"/>
              <w:rPr>
                <w:sz w:val="20"/>
                <w:szCs w:val="20"/>
                <w:color w:val="auto"/>
              </w:rPr>
            </w:pPr>
          </w:p>
        </w:tc>
        <w:tc>
          <w:tcPr>
            <w:tcW w:w="1900" w:type="dxa"/>
            <w:vAlign w:val="bottom"/>
            <w:shd w:val="clear" w:color="auto" w:fill="1414D2"/>
          </w:tcPr>
          <w:p>
            <w:pPr>
              <w:ind w:left="140"/>
              <w:spacing w:after="0"/>
              <w:rPr>
                <w:sz w:val="20"/>
                <w:szCs w:val="20"/>
                <w:color w:val="auto"/>
              </w:rPr>
            </w:pPr>
            <w:r>
              <w:rPr>
                <w:rFonts w:ascii="Arial" w:cs="Arial" w:eastAsia="Arial" w:hAnsi="Arial"/>
                <w:sz w:val="16"/>
                <w:szCs w:val="16"/>
                <w:color w:val="FFFFFF"/>
              </w:rPr>
              <w:t>(see page 38)</w:t>
            </w:r>
          </w:p>
        </w:tc>
        <w:tc>
          <w:tcPr>
            <w:tcW w:w="1920" w:type="dxa"/>
            <w:vAlign w:val="bottom"/>
            <w:shd w:val="clear" w:color="auto" w:fill="1414D2"/>
          </w:tcPr>
          <w:p>
            <w:pPr>
              <w:spacing w:after="0"/>
              <w:rPr>
                <w:sz w:val="20"/>
                <w:szCs w:val="20"/>
                <w:color w:val="auto"/>
              </w:rPr>
            </w:pPr>
          </w:p>
        </w:tc>
        <w:tc>
          <w:tcPr>
            <w:tcW w:w="2040" w:type="dxa"/>
            <w:vAlign w:val="bottom"/>
            <w:shd w:val="clear" w:color="auto" w:fill="1414D2"/>
          </w:tcPr>
          <w:p>
            <w:pPr>
              <w:spacing w:after="0"/>
              <w:rPr>
                <w:sz w:val="20"/>
                <w:szCs w:val="20"/>
                <w:color w:val="auto"/>
              </w:rPr>
            </w:pPr>
          </w:p>
        </w:tc>
      </w:tr>
      <w:tr>
        <w:trPr>
          <w:trHeight w:val="298"/>
        </w:trPr>
        <w:tc>
          <w:tcPr>
            <w:tcW w:w="1920" w:type="dxa"/>
            <w:vAlign w:val="bottom"/>
            <w:shd w:val="clear" w:color="auto" w:fill="1414D2"/>
          </w:tcPr>
          <w:p>
            <w:pPr>
              <w:spacing w:after="0"/>
              <w:rPr>
                <w:sz w:val="24"/>
                <w:szCs w:val="24"/>
                <w:color w:val="auto"/>
              </w:rPr>
            </w:pPr>
          </w:p>
        </w:tc>
        <w:tc>
          <w:tcPr>
            <w:tcW w:w="1940" w:type="dxa"/>
            <w:vAlign w:val="bottom"/>
            <w:shd w:val="clear" w:color="auto" w:fill="1414D2"/>
          </w:tcPr>
          <w:p>
            <w:pPr>
              <w:ind w:left="140"/>
              <w:spacing w:after="0"/>
              <w:rPr>
                <w:sz w:val="20"/>
                <w:szCs w:val="20"/>
                <w:color w:val="auto"/>
              </w:rPr>
            </w:pPr>
            <w:r>
              <w:rPr>
                <w:rFonts w:ascii="Arial" w:cs="Arial" w:eastAsia="Arial" w:hAnsi="Arial"/>
                <w:sz w:val="16"/>
                <w:szCs w:val="16"/>
                <w:b w:val="1"/>
                <w:bCs w:val="1"/>
                <w:color w:val="FFFFFF"/>
              </w:rPr>
              <w:t>All Committee chairs</w:t>
            </w:r>
          </w:p>
        </w:tc>
        <w:tc>
          <w:tcPr>
            <w:tcW w:w="1900" w:type="dxa"/>
            <w:vAlign w:val="bottom"/>
            <w:shd w:val="clear" w:color="auto" w:fill="1414D2"/>
          </w:tcPr>
          <w:p>
            <w:pPr>
              <w:spacing w:after="0"/>
              <w:rPr>
                <w:sz w:val="24"/>
                <w:szCs w:val="24"/>
                <w:color w:val="auto"/>
              </w:rPr>
            </w:pPr>
          </w:p>
        </w:tc>
        <w:tc>
          <w:tcPr>
            <w:tcW w:w="3960" w:type="dxa"/>
            <w:vAlign w:val="bottom"/>
            <w:gridSpan w:val="2"/>
            <w:shd w:val="clear" w:color="auto" w:fill="1414D2"/>
          </w:tcPr>
          <w:p>
            <w:pPr>
              <w:ind w:left="160"/>
              <w:spacing w:after="0"/>
              <w:rPr>
                <w:sz w:val="20"/>
                <w:szCs w:val="20"/>
                <w:color w:val="auto"/>
              </w:rPr>
            </w:pPr>
            <w:r>
              <w:rPr>
                <w:rFonts w:ascii="Arial" w:cs="Arial" w:eastAsia="Arial" w:hAnsi="Arial"/>
                <w:sz w:val="16"/>
                <w:szCs w:val="16"/>
                <w:b w:val="1"/>
                <w:bCs w:val="1"/>
                <w:color w:val="FFFFFF"/>
              </w:rPr>
              <w:t>Executive sessions</w:t>
            </w:r>
          </w:p>
        </w:tc>
      </w:tr>
      <w:tr>
        <w:trPr>
          <w:trHeight w:val="189"/>
        </w:trPr>
        <w:tc>
          <w:tcPr>
            <w:tcW w:w="1920" w:type="dxa"/>
            <w:vAlign w:val="bottom"/>
            <w:shd w:val="clear" w:color="auto" w:fill="1414D2"/>
          </w:tcPr>
          <w:p>
            <w:pPr>
              <w:spacing w:after="0"/>
              <w:rPr>
                <w:sz w:val="16"/>
                <w:szCs w:val="16"/>
                <w:color w:val="auto"/>
              </w:rPr>
            </w:pPr>
          </w:p>
        </w:tc>
        <w:tc>
          <w:tcPr>
            <w:tcW w:w="1940" w:type="dxa"/>
            <w:vAlign w:val="bottom"/>
            <w:shd w:val="clear" w:color="auto" w:fill="1414D2"/>
          </w:tcPr>
          <w:p>
            <w:pPr>
              <w:ind w:left="140"/>
              <w:spacing w:after="0"/>
              <w:rPr>
                <w:sz w:val="20"/>
                <w:szCs w:val="20"/>
                <w:color w:val="auto"/>
              </w:rPr>
            </w:pPr>
            <w:r>
              <w:rPr>
                <w:rFonts w:ascii="Arial" w:cs="Arial" w:eastAsia="Arial" w:hAnsi="Arial"/>
                <w:sz w:val="16"/>
                <w:szCs w:val="16"/>
                <w:b w:val="1"/>
                <w:bCs w:val="1"/>
                <w:color w:val="FFFFFF"/>
              </w:rPr>
              <w:t>are independent</w:t>
            </w:r>
          </w:p>
        </w:tc>
        <w:tc>
          <w:tcPr>
            <w:tcW w:w="1900" w:type="dxa"/>
            <w:vAlign w:val="bottom"/>
            <w:shd w:val="clear" w:color="auto" w:fill="1414D2"/>
          </w:tcPr>
          <w:p>
            <w:pPr>
              <w:spacing w:after="0"/>
              <w:rPr>
                <w:sz w:val="16"/>
                <w:szCs w:val="16"/>
                <w:color w:val="auto"/>
              </w:rPr>
            </w:pPr>
          </w:p>
        </w:tc>
        <w:tc>
          <w:tcPr>
            <w:tcW w:w="3960" w:type="dxa"/>
            <w:vAlign w:val="bottom"/>
            <w:gridSpan w:val="2"/>
            <w:shd w:val="clear" w:color="auto" w:fill="1414D2"/>
          </w:tcPr>
          <w:p>
            <w:pPr>
              <w:ind w:left="160"/>
              <w:spacing w:after="0"/>
              <w:rPr>
                <w:sz w:val="20"/>
                <w:szCs w:val="20"/>
                <w:color w:val="auto"/>
              </w:rPr>
            </w:pPr>
            <w:r>
              <w:rPr>
                <w:rFonts w:ascii="Arial" w:cs="Arial" w:eastAsia="Arial" w:hAnsi="Arial"/>
                <w:sz w:val="16"/>
                <w:szCs w:val="16"/>
                <w:b w:val="1"/>
                <w:bCs w:val="1"/>
                <w:color w:val="FFFFFF"/>
              </w:rPr>
              <w:t>provided for all</w:t>
            </w:r>
          </w:p>
        </w:tc>
      </w:tr>
      <w:tr>
        <w:trPr>
          <w:trHeight w:val="217"/>
        </w:trPr>
        <w:tc>
          <w:tcPr>
            <w:tcW w:w="1920" w:type="dxa"/>
            <w:vAlign w:val="bottom"/>
            <w:shd w:val="clear" w:color="auto" w:fill="1414D2"/>
          </w:tcPr>
          <w:p>
            <w:pPr>
              <w:spacing w:after="0"/>
              <w:rPr>
                <w:sz w:val="18"/>
                <w:szCs w:val="18"/>
                <w:color w:val="auto"/>
              </w:rPr>
            </w:pPr>
          </w:p>
        </w:tc>
        <w:tc>
          <w:tcPr>
            <w:tcW w:w="1940" w:type="dxa"/>
            <w:vAlign w:val="bottom"/>
            <w:shd w:val="clear" w:color="auto" w:fill="1414D2"/>
          </w:tcPr>
          <w:p>
            <w:pPr>
              <w:ind w:left="140"/>
              <w:spacing w:after="0"/>
              <w:rPr>
                <w:sz w:val="20"/>
                <w:szCs w:val="20"/>
                <w:color w:val="auto"/>
              </w:rPr>
            </w:pPr>
            <w:r>
              <w:rPr>
                <w:rFonts w:ascii="Arial" w:cs="Arial" w:eastAsia="Arial" w:hAnsi="Arial"/>
                <w:sz w:val="16"/>
                <w:szCs w:val="16"/>
                <w:color w:val="FFFFFF"/>
              </w:rPr>
              <w:t>(see pages 51-55)</w:t>
            </w:r>
          </w:p>
        </w:tc>
        <w:tc>
          <w:tcPr>
            <w:tcW w:w="1900" w:type="dxa"/>
            <w:vAlign w:val="bottom"/>
            <w:shd w:val="clear" w:color="auto" w:fill="1414D2"/>
          </w:tcPr>
          <w:p>
            <w:pPr>
              <w:spacing w:after="0"/>
              <w:rPr>
                <w:sz w:val="18"/>
                <w:szCs w:val="18"/>
                <w:color w:val="auto"/>
              </w:rPr>
            </w:pPr>
          </w:p>
        </w:tc>
        <w:tc>
          <w:tcPr>
            <w:tcW w:w="3960" w:type="dxa"/>
            <w:vAlign w:val="bottom"/>
            <w:gridSpan w:val="2"/>
            <w:shd w:val="clear" w:color="auto" w:fill="1414D2"/>
          </w:tcPr>
          <w:p>
            <w:pPr>
              <w:ind w:left="160"/>
              <w:spacing w:after="0"/>
              <w:rPr>
                <w:sz w:val="20"/>
                <w:szCs w:val="20"/>
                <w:color w:val="auto"/>
              </w:rPr>
            </w:pPr>
            <w:r>
              <w:rPr>
                <w:rFonts w:ascii="Arial" w:cs="Arial" w:eastAsia="Arial" w:hAnsi="Arial"/>
                <w:sz w:val="16"/>
                <w:szCs w:val="16"/>
                <w:b w:val="1"/>
                <w:bCs w:val="1"/>
                <w:color w:val="FFFFFF"/>
              </w:rPr>
              <w:t>Board and</w:t>
            </w:r>
          </w:p>
        </w:tc>
      </w:tr>
      <w:tr>
        <w:trPr>
          <w:trHeight w:val="215"/>
        </w:trPr>
        <w:tc>
          <w:tcPr>
            <w:tcW w:w="1920" w:type="dxa"/>
            <w:vAlign w:val="bottom"/>
            <w:shd w:val="clear" w:color="auto" w:fill="1414D2"/>
          </w:tcPr>
          <w:p>
            <w:pPr>
              <w:spacing w:after="0"/>
              <w:rPr>
                <w:sz w:val="18"/>
                <w:szCs w:val="18"/>
                <w:color w:val="auto"/>
              </w:rPr>
            </w:pPr>
          </w:p>
        </w:tc>
        <w:tc>
          <w:tcPr>
            <w:tcW w:w="1940" w:type="dxa"/>
            <w:vAlign w:val="bottom"/>
            <w:shd w:val="clear" w:color="auto" w:fill="1414D2"/>
          </w:tcPr>
          <w:p>
            <w:pPr>
              <w:spacing w:after="0"/>
              <w:rPr>
                <w:sz w:val="18"/>
                <w:szCs w:val="18"/>
                <w:color w:val="auto"/>
              </w:rPr>
            </w:pPr>
          </w:p>
        </w:tc>
        <w:tc>
          <w:tcPr>
            <w:tcW w:w="1900" w:type="dxa"/>
            <w:vAlign w:val="bottom"/>
            <w:shd w:val="clear" w:color="auto" w:fill="1414D2"/>
          </w:tcPr>
          <w:p>
            <w:pPr>
              <w:spacing w:after="0"/>
              <w:rPr>
                <w:sz w:val="18"/>
                <w:szCs w:val="18"/>
                <w:color w:val="auto"/>
              </w:rPr>
            </w:pPr>
          </w:p>
        </w:tc>
        <w:tc>
          <w:tcPr>
            <w:tcW w:w="3960" w:type="dxa"/>
            <w:vAlign w:val="bottom"/>
            <w:gridSpan w:val="2"/>
            <w:shd w:val="clear" w:color="auto" w:fill="1414D2"/>
          </w:tcPr>
          <w:p>
            <w:pPr>
              <w:ind w:left="160"/>
              <w:spacing w:after="0"/>
              <w:rPr>
                <w:sz w:val="20"/>
                <w:szCs w:val="20"/>
                <w:color w:val="auto"/>
              </w:rPr>
            </w:pPr>
            <w:r>
              <w:rPr>
                <w:rFonts w:ascii="Arial" w:cs="Arial" w:eastAsia="Arial" w:hAnsi="Arial"/>
                <w:sz w:val="16"/>
                <w:szCs w:val="16"/>
                <w:b w:val="1"/>
                <w:bCs w:val="1"/>
                <w:color w:val="FFFFFF"/>
              </w:rPr>
              <w:t>Committee meetings</w:t>
            </w:r>
          </w:p>
        </w:tc>
      </w:tr>
      <w:tr>
        <w:trPr>
          <w:trHeight w:val="215"/>
        </w:trPr>
        <w:tc>
          <w:tcPr>
            <w:tcW w:w="1920" w:type="dxa"/>
            <w:vAlign w:val="bottom"/>
            <w:shd w:val="clear" w:color="auto" w:fill="1414D2"/>
          </w:tcPr>
          <w:p>
            <w:pPr>
              <w:spacing w:after="0"/>
              <w:rPr>
                <w:sz w:val="18"/>
                <w:szCs w:val="18"/>
                <w:color w:val="auto"/>
              </w:rPr>
            </w:pPr>
          </w:p>
        </w:tc>
        <w:tc>
          <w:tcPr>
            <w:tcW w:w="1940" w:type="dxa"/>
            <w:vAlign w:val="bottom"/>
            <w:shd w:val="clear" w:color="auto" w:fill="1414D2"/>
          </w:tcPr>
          <w:p>
            <w:pPr>
              <w:spacing w:after="0"/>
              <w:rPr>
                <w:sz w:val="18"/>
                <w:szCs w:val="18"/>
                <w:color w:val="auto"/>
              </w:rPr>
            </w:pPr>
          </w:p>
        </w:tc>
        <w:tc>
          <w:tcPr>
            <w:tcW w:w="1900" w:type="dxa"/>
            <w:vAlign w:val="bottom"/>
            <w:shd w:val="clear" w:color="auto" w:fill="1414D2"/>
          </w:tcPr>
          <w:p>
            <w:pPr>
              <w:spacing w:after="0"/>
              <w:rPr>
                <w:sz w:val="18"/>
                <w:szCs w:val="18"/>
                <w:color w:val="auto"/>
              </w:rPr>
            </w:pPr>
          </w:p>
        </w:tc>
        <w:tc>
          <w:tcPr>
            <w:tcW w:w="3960" w:type="dxa"/>
            <w:vAlign w:val="bottom"/>
            <w:gridSpan w:val="2"/>
            <w:shd w:val="clear" w:color="auto" w:fill="1414D2"/>
          </w:tcPr>
          <w:p>
            <w:pPr>
              <w:ind w:left="160"/>
              <w:spacing w:after="0"/>
              <w:rPr>
                <w:sz w:val="20"/>
                <w:szCs w:val="20"/>
                <w:color w:val="auto"/>
              </w:rPr>
            </w:pPr>
            <w:r>
              <w:rPr>
                <w:rFonts w:ascii="Arial" w:cs="Arial" w:eastAsia="Arial" w:hAnsi="Arial"/>
                <w:sz w:val="16"/>
                <w:szCs w:val="16"/>
                <w:color w:val="FFFFFF"/>
              </w:rPr>
              <w:t>(see page 47)</w:t>
            </w:r>
          </w:p>
        </w:tc>
      </w:tr>
      <w:tr>
        <w:trPr>
          <w:trHeight w:val="298"/>
        </w:trPr>
        <w:tc>
          <w:tcPr>
            <w:tcW w:w="1920" w:type="dxa"/>
            <w:vAlign w:val="bottom"/>
            <w:shd w:val="clear" w:color="auto" w:fill="1414D2"/>
          </w:tcPr>
          <w:p>
            <w:pPr>
              <w:ind w:left="140"/>
              <w:spacing w:after="0"/>
              <w:rPr>
                <w:sz w:val="20"/>
                <w:szCs w:val="20"/>
                <w:color w:val="auto"/>
              </w:rPr>
            </w:pPr>
            <w:r>
              <w:rPr>
                <w:rFonts w:ascii="Arial" w:cs="Arial" w:eastAsia="Arial" w:hAnsi="Arial"/>
                <w:sz w:val="16"/>
                <w:szCs w:val="16"/>
                <w:b w:val="1"/>
                <w:bCs w:val="1"/>
                <w:color w:val="FFFFFF"/>
              </w:rPr>
              <w:t>Majority voting</w:t>
            </w:r>
          </w:p>
        </w:tc>
        <w:tc>
          <w:tcPr>
            <w:tcW w:w="1940" w:type="dxa"/>
            <w:vAlign w:val="bottom"/>
            <w:shd w:val="clear" w:color="auto" w:fill="1414D2"/>
          </w:tcPr>
          <w:p>
            <w:pPr>
              <w:spacing w:after="0"/>
              <w:rPr>
                <w:sz w:val="24"/>
                <w:szCs w:val="24"/>
                <w:color w:val="auto"/>
              </w:rPr>
            </w:pPr>
          </w:p>
        </w:tc>
        <w:tc>
          <w:tcPr>
            <w:tcW w:w="1900" w:type="dxa"/>
            <w:vAlign w:val="bottom"/>
            <w:shd w:val="clear" w:color="auto" w:fill="1414D2"/>
          </w:tcPr>
          <w:p>
            <w:pPr>
              <w:ind w:left="140"/>
              <w:spacing w:after="0"/>
              <w:rPr>
                <w:sz w:val="20"/>
                <w:szCs w:val="20"/>
                <w:color w:val="auto"/>
              </w:rPr>
            </w:pPr>
            <w:r>
              <w:rPr>
                <w:rFonts w:ascii="Arial" w:cs="Arial" w:eastAsia="Arial" w:hAnsi="Arial"/>
                <w:sz w:val="16"/>
                <w:szCs w:val="16"/>
                <w:b w:val="1"/>
                <w:bCs w:val="1"/>
                <w:color w:val="FFFFFF"/>
              </w:rPr>
              <w:t>Annual Board and</w:t>
            </w:r>
          </w:p>
        </w:tc>
        <w:tc>
          <w:tcPr>
            <w:tcW w:w="1920" w:type="dxa"/>
            <w:vAlign w:val="bottom"/>
            <w:shd w:val="clear" w:color="auto" w:fill="1414D2"/>
          </w:tcPr>
          <w:p>
            <w:pPr>
              <w:spacing w:after="0"/>
              <w:rPr>
                <w:sz w:val="24"/>
                <w:szCs w:val="24"/>
                <w:color w:val="auto"/>
              </w:rPr>
            </w:pPr>
          </w:p>
        </w:tc>
        <w:tc>
          <w:tcPr>
            <w:tcW w:w="2040" w:type="dxa"/>
            <w:vAlign w:val="bottom"/>
            <w:shd w:val="clear" w:color="auto" w:fill="1414D2"/>
          </w:tcPr>
          <w:p>
            <w:pPr>
              <w:ind w:left="140"/>
              <w:spacing w:after="0"/>
              <w:rPr>
                <w:sz w:val="20"/>
                <w:szCs w:val="20"/>
                <w:color w:val="auto"/>
              </w:rPr>
            </w:pPr>
            <w:r>
              <w:rPr>
                <w:rFonts w:ascii="Arial" w:cs="Arial" w:eastAsia="Arial" w:hAnsi="Arial"/>
                <w:sz w:val="16"/>
                <w:szCs w:val="16"/>
                <w:b w:val="1"/>
                <w:bCs w:val="1"/>
                <w:color w:val="FFFFFF"/>
              </w:rPr>
              <w:t>Annual election of all</w:t>
            </w:r>
          </w:p>
        </w:tc>
      </w:tr>
      <w:tr>
        <w:trPr>
          <w:trHeight w:val="189"/>
        </w:trPr>
        <w:tc>
          <w:tcPr>
            <w:tcW w:w="1920" w:type="dxa"/>
            <w:vAlign w:val="bottom"/>
            <w:shd w:val="clear" w:color="auto" w:fill="1414D2"/>
          </w:tcPr>
          <w:p>
            <w:pPr>
              <w:ind w:left="140"/>
              <w:spacing w:after="0"/>
              <w:rPr>
                <w:sz w:val="20"/>
                <w:szCs w:val="20"/>
                <w:color w:val="auto"/>
              </w:rPr>
            </w:pPr>
            <w:r>
              <w:rPr>
                <w:rFonts w:ascii="Arial" w:cs="Arial" w:eastAsia="Arial" w:hAnsi="Arial"/>
                <w:sz w:val="16"/>
                <w:szCs w:val="16"/>
                <w:b w:val="1"/>
                <w:bCs w:val="1"/>
                <w:color w:val="FFFFFF"/>
              </w:rPr>
              <w:t>standard in</w:t>
            </w:r>
          </w:p>
        </w:tc>
        <w:tc>
          <w:tcPr>
            <w:tcW w:w="1940" w:type="dxa"/>
            <w:vAlign w:val="bottom"/>
            <w:shd w:val="clear" w:color="auto" w:fill="1414D2"/>
          </w:tcPr>
          <w:p>
            <w:pPr>
              <w:spacing w:after="0"/>
              <w:rPr>
                <w:sz w:val="16"/>
                <w:szCs w:val="16"/>
                <w:color w:val="auto"/>
              </w:rPr>
            </w:pPr>
          </w:p>
        </w:tc>
        <w:tc>
          <w:tcPr>
            <w:tcW w:w="1900" w:type="dxa"/>
            <w:vAlign w:val="bottom"/>
            <w:shd w:val="clear" w:color="auto" w:fill="1414D2"/>
          </w:tcPr>
          <w:p>
            <w:pPr>
              <w:ind w:left="140"/>
              <w:spacing w:after="0"/>
              <w:rPr>
                <w:sz w:val="20"/>
                <w:szCs w:val="20"/>
                <w:color w:val="auto"/>
              </w:rPr>
            </w:pPr>
            <w:r>
              <w:rPr>
                <w:rFonts w:ascii="Arial" w:cs="Arial" w:eastAsia="Arial" w:hAnsi="Arial"/>
                <w:sz w:val="16"/>
                <w:szCs w:val="16"/>
                <w:b w:val="1"/>
                <w:bCs w:val="1"/>
                <w:color w:val="FFFFFF"/>
              </w:rPr>
              <w:t>committee</w:t>
            </w:r>
          </w:p>
        </w:tc>
        <w:tc>
          <w:tcPr>
            <w:tcW w:w="1920" w:type="dxa"/>
            <w:vAlign w:val="bottom"/>
            <w:shd w:val="clear" w:color="auto" w:fill="1414D2"/>
          </w:tcPr>
          <w:p>
            <w:pPr>
              <w:spacing w:after="0"/>
              <w:rPr>
                <w:sz w:val="16"/>
                <w:szCs w:val="16"/>
                <w:color w:val="auto"/>
              </w:rPr>
            </w:pPr>
          </w:p>
        </w:tc>
        <w:tc>
          <w:tcPr>
            <w:tcW w:w="2040" w:type="dxa"/>
            <w:vAlign w:val="bottom"/>
            <w:shd w:val="clear" w:color="auto" w:fill="1414D2"/>
          </w:tcPr>
          <w:p>
            <w:pPr>
              <w:ind w:left="140"/>
              <w:spacing w:after="0"/>
              <w:rPr>
                <w:sz w:val="20"/>
                <w:szCs w:val="20"/>
                <w:color w:val="auto"/>
              </w:rPr>
            </w:pPr>
            <w:r>
              <w:rPr>
                <w:rFonts w:ascii="Arial" w:cs="Arial" w:eastAsia="Arial" w:hAnsi="Arial"/>
                <w:sz w:val="16"/>
                <w:szCs w:val="16"/>
                <w:b w:val="1"/>
                <w:bCs w:val="1"/>
                <w:color w:val="FFFFFF"/>
              </w:rPr>
              <w:t>directors</w:t>
            </w:r>
          </w:p>
        </w:tc>
      </w:tr>
      <w:tr>
        <w:trPr>
          <w:trHeight w:val="217"/>
        </w:trPr>
        <w:tc>
          <w:tcPr>
            <w:tcW w:w="1920" w:type="dxa"/>
            <w:vAlign w:val="bottom"/>
            <w:shd w:val="clear" w:color="auto" w:fill="1414D2"/>
          </w:tcPr>
          <w:p>
            <w:pPr>
              <w:ind w:left="140"/>
              <w:spacing w:after="0"/>
              <w:rPr>
                <w:sz w:val="20"/>
                <w:szCs w:val="20"/>
                <w:color w:val="auto"/>
              </w:rPr>
            </w:pPr>
            <w:r>
              <w:rPr>
                <w:rFonts w:ascii="Arial" w:cs="Arial" w:eastAsia="Arial" w:hAnsi="Arial"/>
                <w:sz w:val="16"/>
                <w:szCs w:val="16"/>
                <w:b w:val="1"/>
                <w:bCs w:val="1"/>
                <w:color w:val="FFFFFF"/>
              </w:rPr>
              <w:t>uncontested</w:t>
            </w:r>
          </w:p>
        </w:tc>
        <w:tc>
          <w:tcPr>
            <w:tcW w:w="1940" w:type="dxa"/>
            <w:vAlign w:val="bottom"/>
            <w:shd w:val="clear" w:color="auto" w:fill="1414D2"/>
          </w:tcPr>
          <w:p>
            <w:pPr>
              <w:spacing w:after="0"/>
              <w:rPr>
                <w:sz w:val="18"/>
                <w:szCs w:val="18"/>
                <w:color w:val="auto"/>
              </w:rPr>
            </w:pPr>
          </w:p>
        </w:tc>
        <w:tc>
          <w:tcPr>
            <w:tcW w:w="1900" w:type="dxa"/>
            <w:vAlign w:val="bottom"/>
            <w:shd w:val="clear" w:color="auto" w:fill="1414D2"/>
          </w:tcPr>
          <w:p>
            <w:pPr>
              <w:ind w:left="140"/>
              <w:spacing w:after="0"/>
              <w:rPr>
                <w:sz w:val="20"/>
                <w:szCs w:val="20"/>
                <w:color w:val="auto"/>
              </w:rPr>
            </w:pPr>
            <w:r>
              <w:rPr>
                <w:rFonts w:ascii="Arial" w:cs="Arial" w:eastAsia="Arial" w:hAnsi="Arial"/>
                <w:sz w:val="16"/>
                <w:szCs w:val="16"/>
                <w:b w:val="1"/>
                <w:bCs w:val="1"/>
                <w:color w:val="FFFFFF"/>
              </w:rPr>
              <w:t>evaluations</w:t>
            </w:r>
          </w:p>
        </w:tc>
        <w:tc>
          <w:tcPr>
            <w:tcW w:w="1920" w:type="dxa"/>
            <w:vAlign w:val="bottom"/>
            <w:shd w:val="clear" w:color="auto" w:fill="1414D2"/>
          </w:tcPr>
          <w:p>
            <w:pPr>
              <w:spacing w:after="0"/>
              <w:rPr>
                <w:sz w:val="18"/>
                <w:szCs w:val="18"/>
                <w:color w:val="auto"/>
              </w:rPr>
            </w:pPr>
          </w:p>
        </w:tc>
        <w:tc>
          <w:tcPr>
            <w:tcW w:w="2040" w:type="dxa"/>
            <w:vAlign w:val="bottom"/>
            <w:shd w:val="clear" w:color="auto" w:fill="1414D2"/>
          </w:tcPr>
          <w:p>
            <w:pPr>
              <w:ind w:left="140"/>
              <w:spacing w:after="0"/>
              <w:rPr>
                <w:sz w:val="20"/>
                <w:szCs w:val="20"/>
                <w:color w:val="auto"/>
              </w:rPr>
            </w:pPr>
            <w:r>
              <w:rPr>
                <w:rFonts w:ascii="Arial" w:cs="Arial" w:eastAsia="Arial" w:hAnsi="Arial"/>
                <w:sz w:val="16"/>
                <w:szCs w:val="16"/>
                <w:color w:val="FFFFFF"/>
              </w:rPr>
              <w:t>(see page 34)</w:t>
            </w:r>
          </w:p>
        </w:tc>
      </w:tr>
      <w:tr>
        <w:trPr>
          <w:trHeight w:val="215"/>
        </w:trPr>
        <w:tc>
          <w:tcPr>
            <w:tcW w:w="1920" w:type="dxa"/>
            <w:vAlign w:val="bottom"/>
            <w:shd w:val="clear" w:color="auto" w:fill="1414D2"/>
          </w:tcPr>
          <w:p>
            <w:pPr>
              <w:ind w:left="140"/>
              <w:spacing w:after="0"/>
              <w:rPr>
                <w:sz w:val="20"/>
                <w:szCs w:val="20"/>
                <w:color w:val="auto"/>
              </w:rPr>
            </w:pPr>
            <w:r>
              <w:rPr>
                <w:rFonts w:ascii="Arial" w:cs="Arial" w:eastAsia="Arial" w:hAnsi="Arial"/>
                <w:sz w:val="16"/>
                <w:szCs w:val="16"/>
                <w:b w:val="1"/>
                <w:bCs w:val="1"/>
                <w:color w:val="FFFFFF"/>
              </w:rPr>
              <w:t>elections of directors</w:t>
            </w:r>
          </w:p>
        </w:tc>
        <w:tc>
          <w:tcPr>
            <w:tcW w:w="1940" w:type="dxa"/>
            <w:vAlign w:val="bottom"/>
            <w:shd w:val="clear" w:color="auto" w:fill="1414D2"/>
          </w:tcPr>
          <w:p>
            <w:pPr>
              <w:spacing w:after="0"/>
              <w:rPr>
                <w:sz w:val="18"/>
                <w:szCs w:val="18"/>
                <w:color w:val="auto"/>
              </w:rPr>
            </w:pPr>
          </w:p>
        </w:tc>
        <w:tc>
          <w:tcPr>
            <w:tcW w:w="1900" w:type="dxa"/>
            <w:vAlign w:val="bottom"/>
            <w:shd w:val="clear" w:color="auto" w:fill="1414D2"/>
          </w:tcPr>
          <w:p>
            <w:pPr>
              <w:ind w:left="140"/>
              <w:spacing w:after="0"/>
              <w:rPr>
                <w:sz w:val="20"/>
                <w:szCs w:val="20"/>
                <w:color w:val="auto"/>
              </w:rPr>
            </w:pPr>
            <w:r>
              <w:rPr>
                <w:rFonts w:ascii="Arial" w:cs="Arial" w:eastAsia="Arial" w:hAnsi="Arial"/>
                <w:sz w:val="16"/>
                <w:szCs w:val="16"/>
                <w:color w:val="FFFFFF"/>
              </w:rPr>
              <w:t>(see page 39)</w:t>
            </w:r>
          </w:p>
        </w:tc>
        <w:tc>
          <w:tcPr>
            <w:tcW w:w="1920" w:type="dxa"/>
            <w:vAlign w:val="bottom"/>
            <w:shd w:val="clear" w:color="auto" w:fill="1414D2"/>
          </w:tcPr>
          <w:p>
            <w:pPr>
              <w:spacing w:after="0"/>
              <w:rPr>
                <w:sz w:val="18"/>
                <w:szCs w:val="18"/>
                <w:color w:val="auto"/>
              </w:rPr>
            </w:pPr>
          </w:p>
        </w:tc>
        <w:tc>
          <w:tcPr>
            <w:tcW w:w="2040" w:type="dxa"/>
            <w:vAlign w:val="bottom"/>
            <w:shd w:val="clear" w:color="auto" w:fill="1414D2"/>
          </w:tcPr>
          <w:p>
            <w:pPr>
              <w:spacing w:after="0"/>
              <w:rPr>
                <w:sz w:val="18"/>
                <w:szCs w:val="18"/>
                <w:color w:val="auto"/>
              </w:rPr>
            </w:pPr>
          </w:p>
        </w:tc>
      </w:tr>
      <w:tr>
        <w:trPr>
          <w:trHeight w:val="215"/>
        </w:trPr>
        <w:tc>
          <w:tcPr>
            <w:tcW w:w="1920" w:type="dxa"/>
            <w:vAlign w:val="bottom"/>
            <w:shd w:val="clear" w:color="auto" w:fill="1414D2"/>
          </w:tcPr>
          <w:p>
            <w:pPr>
              <w:ind w:left="140"/>
              <w:spacing w:after="0"/>
              <w:rPr>
                <w:sz w:val="20"/>
                <w:szCs w:val="20"/>
                <w:color w:val="auto"/>
              </w:rPr>
            </w:pPr>
            <w:r>
              <w:rPr>
                <w:rFonts w:ascii="Arial" w:cs="Arial" w:eastAsia="Arial" w:hAnsi="Arial"/>
                <w:sz w:val="16"/>
                <w:szCs w:val="16"/>
                <w:color w:val="FFFFFF"/>
              </w:rPr>
              <w:t>(see page 34)</w:t>
            </w:r>
          </w:p>
        </w:tc>
        <w:tc>
          <w:tcPr>
            <w:tcW w:w="1940" w:type="dxa"/>
            <w:vAlign w:val="bottom"/>
            <w:shd w:val="clear" w:color="auto" w:fill="1414D2"/>
          </w:tcPr>
          <w:p>
            <w:pPr>
              <w:spacing w:after="0"/>
              <w:rPr>
                <w:sz w:val="18"/>
                <w:szCs w:val="18"/>
                <w:color w:val="auto"/>
              </w:rPr>
            </w:pPr>
          </w:p>
        </w:tc>
        <w:tc>
          <w:tcPr>
            <w:tcW w:w="1900" w:type="dxa"/>
            <w:vAlign w:val="bottom"/>
            <w:shd w:val="clear" w:color="auto" w:fill="1414D2"/>
          </w:tcPr>
          <w:p>
            <w:pPr>
              <w:spacing w:after="0"/>
              <w:rPr>
                <w:sz w:val="18"/>
                <w:szCs w:val="18"/>
                <w:color w:val="auto"/>
              </w:rPr>
            </w:pPr>
          </w:p>
        </w:tc>
        <w:tc>
          <w:tcPr>
            <w:tcW w:w="1920" w:type="dxa"/>
            <w:vAlign w:val="bottom"/>
            <w:shd w:val="clear" w:color="auto" w:fill="1414D2"/>
          </w:tcPr>
          <w:p>
            <w:pPr>
              <w:spacing w:after="0"/>
              <w:rPr>
                <w:sz w:val="18"/>
                <w:szCs w:val="18"/>
                <w:color w:val="auto"/>
              </w:rPr>
            </w:pPr>
          </w:p>
        </w:tc>
        <w:tc>
          <w:tcPr>
            <w:tcW w:w="2040" w:type="dxa"/>
            <w:vAlign w:val="bottom"/>
            <w:shd w:val="clear" w:color="auto" w:fill="1414D2"/>
          </w:tcPr>
          <w:p>
            <w:pPr>
              <w:spacing w:after="0"/>
              <w:rPr>
                <w:sz w:val="18"/>
                <w:szCs w:val="18"/>
                <w:color w:val="auto"/>
              </w:rPr>
            </w:pPr>
          </w:p>
        </w:tc>
      </w:tr>
      <w:tr>
        <w:trPr>
          <w:trHeight w:val="298"/>
        </w:trPr>
        <w:tc>
          <w:tcPr>
            <w:tcW w:w="1920" w:type="dxa"/>
            <w:vAlign w:val="bottom"/>
            <w:shd w:val="clear" w:color="auto" w:fill="1414D2"/>
          </w:tcPr>
          <w:p>
            <w:pPr>
              <w:spacing w:after="0"/>
              <w:rPr>
                <w:sz w:val="24"/>
                <w:szCs w:val="24"/>
                <w:color w:val="auto"/>
              </w:rPr>
            </w:pPr>
          </w:p>
        </w:tc>
        <w:tc>
          <w:tcPr>
            <w:tcW w:w="1940" w:type="dxa"/>
            <w:vAlign w:val="bottom"/>
            <w:shd w:val="clear" w:color="auto" w:fill="1414D2"/>
          </w:tcPr>
          <w:p>
            <w:pPr>
              <w:ind w:left="140"/>
              <w:spacing w:after="0"/>
              <w:rPr>
                <w:sz w:val="20"/>
                <w:szCs w:val="20"/>
                <w:color w:val="auto"/>
              </w:rPr>
            </w:pPr>
            <w:r>
              <w:rPr>
                <w:rFonts w:ascii="Arial" w:cs="Arial" w:eastAsia="Arial" w:hAnsi="Arial"/>
                <w:sz w:val="16"/>
                <w:szCs w:val="16"/>
                <w:b w:val="1"/>
                <w:bCs w:val="1"/>
                <w:color w:val="FFFFFF"/>
              </w:rPr>
              <w:t>Regular review of</w:t>
            </w:r>
          </w:p>
        </w:tc>
        <w:tc>
          <w:tcPr>
            <w:tcW w:w="1900" w:type="dxa"/>
            <w:vAlign w:val="bottom"/>
            <w:shd w:val="clear" w:color="auto" w:fill="1414D2"/>
          </w:tcPr>
          <w:p>
            <w:pPr>
              <w:spacing w:after="0"/>
              <w:rPr>
                <w:sz w:val="24"/>
                <w:szCs w:val="24"/>
                <w:color w:val="auto"/>
              </w:rPr>
            </w:pPr>
          </w:p>
        </w:tc>
        <w:tc>
          <w:tcPr>
            <w:tcW w:w="1920" w:type="dxa"/>
            <w:vAlign w:val="bottom"/>
            <w:shd w:val="clear" w:color="auto" w:fill="1414D2"/>
          </w:tcPr>
          <w:p>
            <w:pPr>
              <w:ind w:left="160"/>
              <w:spacing w:after="0"/>
              <w:rPr>
                <w:sz w:val="20"/>
                <w:szCs w:val="20"/>
                <w:color w:val="auto"/>
              </w:rPr>
            </w:pPr>
            <w:r>
              <w:rPr>
                <w:rFonts w:ascii="Arial" w:cs="Arial" w:eastAsia="Arial" w:hAnsi="Arial"/>
                <w:sz w:val="16"/>
                <w:szCs w:val="16"/>
                <w:b w:val="1"/>
                <w:bCs w:val="1"/>
                <w:color w:val="FFFFFF"/>
              </w:rPr>
              <w:t>Stockholders have</w:t>
            </w:r>
          </w:p>
        </w:tc>
        <w:tc>
          <w:tcPr>
            <w:tcW w:w="2040" w:type="dxa"/>
            <w:vAlign w:val="bottom"/>
            <w:shd w:val="clear" w:color="auto" w:fill="1414D2"/>
          </w:tcPr>
          <w:p>
            <w:pPr>
              <w:spacing w:after="0"/>
              <w:rPr>
                <w:sz w:val="24"/>
                <w:szCs w:val="24"/>
                <w:color w:val="auto"/>
              </w:rPr>
            </w:pPr>
          </w:p>
        </w:tc>
      </w:tr>
      <w:tr>
        <w:trPr>
          <w:trHeight w:val="189"/>
        </w:trPr>
        <w:tc>
          <w:tcPr>
            <w:tcW w:w="1920" w:type="dxa"/>
            <w:vAlign w:val="bottom"/>
            <w:shd w:val="clear" w:color="auto" w:fill="1414D2"/>
          </w:tcPr>
          <w:p>
            <w:pPr>
              <w:spacing w:after="0"/>
              <w:rPr>
                <w:sz w:val="16"/>
                <w:szCs w:val="16"/>
                <w:color w:val="auto"/>
              </w:rPr>
            </w:pPr>
          </w:p>
        </w:tc>
        <w:tc>
          <w:tcPr>
            <w:tcW w:w="1940" w:type="dxa"/>
            <w:vAlign w:val="bottom"/>
            <w:shd w:val="clear" w:color="auto" w:fill="1414D2"/>
          </w:tcPr>
          <w:p>
            <w:pPr>
              <w:ind w:left="140"/>
              <w:spacing w:after="0"/>
              <w:rPr>
                <w:sz w:val="20"/>
                <w:szCs w:val="20"/>
                <w:color w:val="auto"/>
              </w:rPr>
            </w:pPr>
            <w:r>
              <w:rPr>
                <w:rFonts w:ascii="Arial" w:cs="Arial" w:eastAsia="Arial" w:hAnsi="Arial"/>
                <w:sz w:val="16"/>
                <w:szCs w:val="16"/>
                <w:b w:val="1"/>
                <w:bCs w:val="1"/>
                <w:color w:val="FFFFFF"/>
              </w:rPr>
              <w:t>Board and executive</w:t>
            </w:r>
          </w:p>
        </w:tc>
        <w:tc>
          <w:tcPr>
            <w:tcW w:w="1900" w:type="dxa"/>
            <w:vAlign w:val="bottom"/>
            <w:shd w:val="clear" w:color="auto" w:fill="1414D2"/>
          </w:tcPr>
          <w:p>
            <w:pPr>
              <w:spacing w:after="0"/>
              <w:rPr>
                <w:sz w:val="16"/>
                <w:szCs w:val="16"/>
                <w:color w:val="auto"/>
              </w:rPr>
            </w:pPr>
          </w:p>
        </w:tc>
        <w:tc>
          <w:tcPr>
            <w:tcW w:w="1920" w:type="dxa"/>
            <w:vAlign w:val="bottom"/>
            <w:shd w:val="clear" w:color="auto" w:fill="1414D2"/>
          </w:tcPr>
          <w:p>
            <w:pPr>
              <w:ind w:left="160"/>
              <w:spacing w:after="0"/>
              <w:rPr>
                <w:sz w:val="20"/>
                <w:szCs w:val="20"/>
                <w:color w:val="auto"/>
              </w:rPr>
            </w:pPr>
            <w:r>
              <w:rPr>
                <w:rFonts w:ascii="Arial" w:cs="Arial" w:eastAsia="Arial" w:hAnsi="Arial"/>
                <w:sz w:val="16"/>
                <w:szCs w:val="16"/>
                <w:b w:val="1"/>
                <w:bCs w:val="1"/>
                <w:color w:val="FFFFFF"/>
              </w:rPr>
              <w:t>the ability to call a</w:t>
            </w:r>
          </w:p>
        </w:tc>
        <w:tc>
          <w:tcPr>
            <w:tcW w:w="2040" w:type="dxa"/>
            <w:vAlign w:val="bottom"/>
            <w:shd w:val="clear" w:color="auto" w:fill="1414D2"/>
          </w:tcPr>
          <w:p>
            <w:pPr>
              <w:spacing w:after="0"/>
              <w:rPr>
                <w:sz w:val="16"/>
                <w:szCs w:val="16"/>
                <w:color w:val="auto"/>
              </w:rPr>
            </w:pPr>
          </w:p>
        </w:tc>
      </w:tr>
      <w:tr>
        <w:trPr>
          <w:trHeight w:val="223"/>
        </w:trPr>
        <w:tc>
          <w:tcPr>
            <w:tcW w:w="1920" w:type="dxa"/>
            <w:vAlign w:val="bottom"/>
            <w:shd w:val="clear" w:color="auto" w:fill="1414D2"/>
          </w:tcPr>
          <w:p>
            <w:pPr>
              <w:spacing w:after="0"/>
              <w:rPr>
                <w:sz w:val="19"/>
                <w:szCs w:val="19"/>
                <w:color w:val="auto"/>
              </w:rPr>
            </w:pPr>
          </w:p>
        </w:tc>
        <w:tc>
          <w:tcPr>
            <w:tcW w:w="1940" w:type="dxa"/>
            <w:vAlign w:val="bottom"/>
            <w:shd w:val="clear" w:color="auto" w:fill="1414D2"/>
          </w:tcPr>
          <w:p>
            <w:pPr>
              <w:ind w:left="140"/>
              <w:spacing w:after="0"/>
              <w:rPr>
                <w:sz w:val="20"/>
                <w:szCs w:val="20"/>
                <w:color w:val="auto"/>
              </w:rPr>
            </w:pPr>
            <w:r>
              <w:rPr>
                <w:rFonts w:ascii="Arial" w:cs="Arial" w:eastAsia="Arial" w:hAnsi="Arial"/>
                <w:sz w:val="16"/>
                <w:szCs w:val="16"/>
                <w:b w:val="1"/>
                <w:bCs w:val="1"/>
                <w:color w:val="FFFFFF"/>
              </w:rPr>
              <w:t>succession planning</w:t>
            </w:r>
          </w:p>
        </w:tc>
        <w:tc>
          <w:tcPr>
            <w:tcW w:w="1900" w:type="dxa"/>
            <w:vAlign w:val="bottom"/>
            <w:shd w:val="clear" w:color="auto" w:fill="1414D2"/>
          </w:tcPr>
          <w:p>
            <w:pPr>
              <w:spacing w:after="0"/>
              <w:rPr>
                <w:sz w:val="19"/>
                <w:szCs w:val="19"/>
                <w:color w:val="auto"/>
              </w:rPr>
            </w:pPr>
          </w:p>
        </w:tc>
        <w:tc>
          <w:tcPr>
            <w:tcW w:w="1920" w:type="dxa"/>
            <w:vAlign w:val="bottom"/>
            <w:shd w:val="clear" w:color="auto" w:fill="1414D2"/>
          </w:tcPr>
          <w:p>
            <w:pPr>
              <w:ind w:left="160"/>
              <w:spacing w:after="0"/>
              <w:rPr>
                <w:sz w:val="20"/>
                <w:szCs w:val="20"/>
                <w:color w:val="auto"/>
              </w:rPr>
            </w:pPr>
            <w:r>
              <w:rPr>
                <w:rFonts w:ascii="Arial" w:cs="Arial" w:eastAsia="Arial" w:hAnsi="Arial"/>
                <w:sz w:val="16"/>
                <w:szCs w:val="16"/>
                <w:b w:val="1"/>
                <w:bCs w:val="1"/>
                <w:color w:val="FFFFFF"/>
              </w:rPr>
              <w:t>special meeting</w:t>
            </w:r>
          </w:p>
        </w:tc>
        <w:tc>
          <w:tcPr>
            <w:tcW w:w="2040" w:type="dxa"/>
            <w:vAlign w:val="bottom"/>
            <w:shd w:val="clear" w:color="auto" w:fill="1414D2"/>
          </w:tcPr>
          <w:p>
            <w:pPr>
              <w:spacing w:after="0"/>
              <w:rPr>
                <w:sz w:val="19"/>
                <w:szCs w:val="19"/>
                <w:color w:val="auto"/>
              </w:rPr>
            </w:pPr>
          </w:p>
        </w:tc>
      </w:tr>
      <w:tr>
        <w:trPr>
          <w:trHeight w:val="235"/>
        </w:trPr>
        <w:tc>
          <w:tcPr>
            <w:tcW w:w="1920" w:type="dxa"/>
            <w:vAlign w:val="bottom"/>
            <w:shd w:val="clear" w:color="auto" w:fill="1414D2"/>
          </w:tcPr>
          <w:p>
            <w:pPr>
              <w:spacing w:after="0"/>
              <w:rPr>
                <w:sz w:val="20"/>
                <w:szCs w:val="20"/>
                <w:color w:val="auto"/>
              </w:rPr>
            </w:pPr>
          </w:p>
        </w:tc>
        <w:tc>
          <w:tcPr>
            <w:tcW w:w="1940" w:type="dxa"/>
            <w:vAlign w:val="bottom"/>
            <w:shd w:val="clear" w:color="auto" w:fill="1414D2"/>
          </w:tcPr>
          <w:p>
            <w:pPr>
              <w:ind w:left="140"/>
              <w:spacing w:after="0"/>
              <w:rPr>
                <w:sz w:val="20"/>
                <w:szCs w:val="20"/>
                <w:color w:val="auto"/>
              </w:rPr>
            </w:pPr>
            <w:r>
              <w:rPr>
                <w:rFonts w:ascii="Arial" w:cs="Arial" w:eastAsia="Arial" w:hAnsi="Arial"/>
                <w:sz w:val="16"/>
                <w:szCs w:val="16"/>
                <w:color w:val="FFFFFF"/>
              </w:rPr>
              <w:t>(see pages 35 and 45)</w:t>
            </w:r>
          </w:p>
        </w:tc>
        <w:tc>
          <w:tcPr>
            <w:tcW w:w="1900" w:type="dxa"/>
            <w:vAlign w:val="bottom"/>
            <w:shd w:val="clear" w:color="auto" w:fill="1414D2"/>
          </w:tcPr>
          <w:p>
            <w:pPr>
              <w:spacing w:after="0"/>
              <w:rPr>
                <w:sz w:val="20"/>
                <w:szCs w:val="20"/>
                <w:color w:val="auto"/>
              </w:rPr>
            </w:pPr>
          </w:p>
        </w:tc>
        <w:tc>
          <w:tcPr>
            <w:tcW w:w="1920" w:type="dxa"/>
            <w:vAlign w:val="bottom"/>
            <w:shd w:val="clear" w:color="auto" w:fill="1414D2"/>
          </w:tcPr>
          <w:p>
            <w:pPr>
              <w:ind w:left="160"/>
              <w:spacing w:after="0"/>
              <w:rPr>
                <w:sz w:val="20"/>
                <w:szCs w:val="20"/>
                <w:color w:val="auto"/>
              </w:rPr>
            </w:pPr>
            <w:r>
              <w:rPr>
                <w:rFonts w:ascii="Arial" w:cs="Arial" w:eastAsia="Arial" w:hAnsi="Arial"/>
                <w:sz w:val="16"/>
                <w:szCs w:val="16"/>
                <w:color w:val="FFFFFF"/>
              </w:rPr>
              <w:t>(see page 36)</w:t>
            </w:r>
          </w:p>
        </w:tc>
        <w:tc>
          <w:tcPr>
            <w:tcW w:w="2040" w:type="dxa"/>
            <w:vAlign w:val="bottom"/>
            <w:shd w:val="clear" w:color="auto" w:fill="1414D2"/>
          </w:tcPr>
          <w:p>
            <w:pPr>
              <w:spacing w:after="0"/>
              <w:rPr>
                <w:sz w:val="20"/>
                <w:szCs w:val="20"/>
                <w:color w:val="auto"/>
              </w:rPr>
            </w:pPr>
          </w:p>
        </w:tc>
      </w:tr>
      <w:tr>
        <w:trPr>
          <w:trHeight w:val="339"/>
        </w:trPr>
        <w:tc>
          <w:tcPr>
            <w:tcW w:w="1920" w:type="dxa"/>
            <w:vAlign w:val="bottom"/>
            <w:shd w:val="clear" w:color="auto" w:fill="1414D2"/>
          </w:tcPr>
          <w:p>
            <w:pPr>
              <w:ind w:left="140"/>
              <w:spacing w:after="0"/>
              <w:rPr>
                <w:sz w:val="20"/>
                <w:szCs w:val="20"/>
                <w:color w:val="auto"/>
              </w:rPr>
            </w:pPr>
            <w:r>
              <w:rPr>
                <w:rFonts w:ascii="Arial" w:cs="Arial" w:eastAsia="Arial" w:hAnsi="Arial"/>
                <w:sz w:val="16"/>
                <w:szCs w:val="16"/>
                <w:b w:val="1"/>
                <w:bCs w:val="1"/>
                <w:color w:val="FFFFFF"/>
              </w:rPr>
              <w:t>Regular engagement</w:t>
            </w:r>
          </w:p>
        </w:tc>
        <w:tc>
          <w:tcPr>
            <w:tcW w:w="1940" w:type="dxa"/>
            <w:vAlign w:val="bottom"/>
            <w:shd w:val="clear" w:color="auto" w:fill="1414D2"/>
          </w:tcPr>
          <w:p>
            <w:pPr>
              <w:spacing w:after="0"/>
              <w:rPr>
                <w:sz w:val="24"/>
                <w:szCs w:val="24"/>
                <w:color w:val="auto"/>
              </w:rPr>
            </w:pPr>
          </w:p>
        </w:tc>
        <w:tc>
          <w:tcPr>
            <w:tcW w:w="1900" w:type="dxa"/>
            <w:vAlign w:val="bottom"/>
            <w:shd w:val="clear" w:color="auto" w:fill="1414D2"/>
          </w:tcPr>
          <w:p>
            <w:pPr>
              <w:ind w:left="140"/>
              <w:spacing w:after="0"/>
              <w:rPr>
                <w:sz w:val="20"/>
                <w:szCs w:val="20"/>
                <w:color w:val="auto"/>
              </w:rPr>
            </w:pPr>
            <w:r>
              <w:rPr>
                <w:rFonts w:ascii="Arial" w:cs="Arial" w:eastAsia="Arial" w:hAnsi="Arial"/>
                <w:sz w:val="16"/>
                <w:szCs w:val="16"/>
                <w:b w:val="1"/>
                <w:bCs w:val="1"/>
                <w:color w:val="FFFFFF"/>
              </w:rPr>
              <w:t>Executive</w:t>
            </w:r>
          </w:p>
        </w:tc>
        <w:tc>
          <w:tcPr>
            <w:tcW w:w="1920" w:type="dxa"/>
            <w:vAlign w:val="bottom"/>
            <w:shd w:val="clear" w:color="auto" w:fill="1414D2"/>
          </w:tcPr>
          <w:p>
            <w:pPr>
              <w:spacing w:after="0"/>
              <w:rPr>
                <w:sz w:val="24"/>
                <w:szCs w:val="24"/>
                <w:color w:val="auto"/>
              </w:rPr>
            </w:pPr>
          </w:p>
        </w:tc>
        <w:tc>
          <w:tcPr>
            <w:tcW w:w="2040" w:type="dxa"/>
            <w:vAlign w:val="bottom"/>
            <w:shd w:val="clear" w:color="auto" w:fill="1414D2"/>
          </w:tcPr>
          <w:p>
            <w:pPr>
              <w:ind w:left="140"/>
              <w:spacing w:after="0"/>
              <w:rPr>
                <w:sz w:val="20"/>
                <w:szCs w:val="20"/>
                <w:color w:val="auto"/>
              </w:rPr>
            </w:pPr>
            <w:r>
              <w:rPr>
                <w:rFonts w:ascii="Arial" w:cs="Arial" w:eastAsia="Arial" w:hAnsi="Arial"/>
                <w:sz w:val="16"/>
                <w:szCs w:val="16"/>
                <w:b w:val="1"/>
                <w:bCs w:val="1"/>
                <w:color w:val="FFFFFF"/>
              </w:rPr>
              <w:t>Robust stock</w:t>
            </w:r>
          </w:p>
        </w:tc>
      </w:tr>
      <w:tr>
        <w:trPr>
          <w:trHeight w:val="189"/>
        </w:trPr>
        <w:tc>
          <w:tcPr>
            <w:tcW w:w="1920" w:type="dxa"/>
            <w:vAlign w:val="bottom"/>
            <w:shd w:val="clear" w:color="auto" w:fill="1414D2"/>
          </w:tcPr>
          <w:p>
            <w:pPr>
              <w:ind w:left="140"/>
              <w:spacing w:after="0"/>
              <w:rPr>
                <w:sz w:val="20"/>
                <w:szCs w:val="20"/>
                <w:color w:val="auto"/>
              </w:rPr>
            </w:pPr>
            <w:r>
              <w:rPr>
                <w:rFonts w:ascii="Arial" w:cs="Arial" w:eastAsia="Arial" w:hAnsi="Arial"/>
                <w:sz w:val="16"/>
                <w:szCs w:val="16"/>
                <w:b w:val="1"/>
                <w:bCs w:val="1"/>
                <w:color w:val="FFFFFF"/>
              </w:rPr>
              <w:t>with stakeholders</w:t>
            </w:r>
          </w:p>
        </w:tc>
        <w:tc>
          <w:tcPr>
            <w:tcW w:w="1940" w:type="dxa"/>
            <w:vAlign w:val="bottom"/>
            <w:shd w:val="clear" w:color="auto" w:fill="1414D2"/>
          </w:tcPr>
          <w:p>
            <w:pPr>
              <w:spacing w:after="0"/>
              <w:rPr>
                <w:sz w:val="16"/>
                <w:szCs w:val="16"/>
                <w:color w:val="auto"/>
              </w:rPr>
            </w:pPr>
          </w:p>
        </w:tc>
        <w:tc>
          <w:tcPr>
            <w:tcW w:w="1900" w:type="dxa"/>
            <w:vAlign w:val="bottom"/>
            <w:shd w:val="clear" w:color="auto" w:fill="1414D2"/>
          </w:tcPr>
          <w:p>
            <w:pPr>
              <w:ind w:left="140"/>
              <w:spacing w:after="0"/>
              <w:rPr>
                <w:sz w:val="20"/>
                <w:szCs w:val="20"/>
                <w:color w:val="auto"/>
              </w:rPr>
            </w:pPr>
            <w:r>
              <w:rPr>
                <w:rFonts w:ascii="Arial" w:cs="Arial" w:eastAsia="Arial" w:hAnsi="Arial"/>
                <w:sz w:val="16"/>
                <w:szCs w:val="16"/>
                <w:b w:val="1"/>
                <w:bCs w:val="1"/>
                <w:color w:val="FFFFFF"/>
              </w:rPr>
              <w:t>compensation</w:t>
            </w:r>
          </w:p>
        </w:tc>
        <w:tc>
          <w:tcPr>
            <w:tcW w:w="1920" w:type="dxa"/>
            <w:vAlign w:val="bottom"/>
            <w:shd w:val="clear" w:color="auto" w:fill="1414D2"/>
          </w:tcPr>
          <w:p>
            <w:pPr>
              <w:spacing w:after="0"/>
              <w:rPr>
                <w:sz w:val="16"/>
                <w:szCs w:val="16"/>
                <w:color w:val="auto"/>
              </w:rPr>
            </w:pPr>
          </w:p>
        </w:tc>
        <w:tc>
          <w:tcPr>
            <w:tcW w:w="2040" w:type="dxa"/>
            <w:vAlign w:val="bottom"/>
            <w:shd w:val="clear" w:color="auto" w:fill="1414D2"/>
          </w:tcPr>
          <w:p>
            <w:pPr>
              <w:ind w:left="140"/>
              <w:spacing w:after="0"/>
              <w:rPr>
                <w:sz w:val="20"/>
                <w:szCs w:val="20"/>
                <w:color w:val="auto"/>
              </w:rPr>
            </w:pPr>
            <w:r>
              <w:rPr>
                <w:rFonts w:ascii="Arial" w:cs="Arial" w:eastAsia="Arial" w:hAnsi="Arial"/>
                <w:sz w:val="16"/>
                <w:szCs w:val="16"/>
                <w:b w:val="1"/>
                <w:bCs w:val="1"/>
                <w:color w:val="FFFFFF"/>
              </w:rPr>
              <w:t>ownership guidelines</w:t>
            </w:r>
          </w:p>
        </w:tc>
      </w:tr>
      <w:tr>
        <w:trPr>
          <w:trHeight w:val="205"/>
        </w:trPr>
        <w:tc>
          <w:tcPr>
            <w:tcW w:w="1920" w:type="dxa"/>
            <w:vAlign w:val="bottom"/>
            <w:shd w:val="clear" w:color="auto" w:fill="1414D2"/>
          </w:tcPr>
          <w:p>
            <w:pPr>
              <w:ind w:left="140"/>
              <w:spacing w:after="0"/>
              <w:rPr>
                <w:sz w:val="20"/>
                <w:szCs w:val="20"/>
                <w:color w:val="auto"/>
              </w:rPr>
            </w:pPr>
            <w:r>
              <w:rPr>
                <w:rFonts w:ascii="Arial" w:cs="Arial" w:eastAsia="Arial" w:hAnsi="Arial"/>
                <w:sz w:val="16"/>
                <w:szCs w:val="16"/>
                <w:color w:val="FFFFFF"/>
              </w:rPr>
              <w:t>(see page 57)</w:t>
            </w:r>
          </w:p>
        </w:tc>
        <w:tc>
          <w:tcPr>
            <w:tcW w:w="1940" w:type="dxa"/>
            <w:vAlign w:val="bottom"/>
            <w:shd w:val="clear" w:color="auto" w:fill="1414D2"/>
          </w:tcPr>
          <w:p>
            <w:pPr>
              <w:spacing w:after="0"/>
              <w:rPr>
                <w:sz w:val="17"/>
                <w:szCs w:val="17"/>
                <w:color w:val="auto"/>
              </w:rPr>
            </w:pPr>
          </w:p>
        </w:tc>
        <w:tc>
          <w:tcPr>
            <w:tcW w:w="1900" w:type="dxa"/>
            <w:vAlign w:val="bottom"/>
            <w:shd w:val="clear" w:color="auto" w:fill="1414D2"/>
          </w:tcPr>
          <w:p>
            <w:pPr>
              <w:ind w:left="140"/>
              <w:spacing w:after="0"/>
              <w:rPr>
                <w:sz w:val="20"/>
                <w:szCs w:val="20"/>
                <w:color w:val="auto"/>
              </w:rPr>
            </w:pPr>
            <w:r>
              <w:rPr>
                <w:rFonts w:ascii="Arial" w:cs="Arial" w:eastAsia="Arial" w:hAnsi="Arial"/>
                <w:sz w:val="16"/>
                <w:szCs w:val="16"/>
                <w:b w:val="1"/>
                <w:bCs w:val="1"/>
                <w:color w:val="FFFFFF"/>
              </w:rPr>
              <w:t>programs that link</w:t>
            </w:r>
          </w:p>
        </w:tc>
        <w:tc>
          <w:tcPr>
            <w:tcW w:w="1920" w:type="dxa"/>
            <w:vAlign w:val="bottom"/>
            <w:shd w:val="clear" w:color="auto" w:fill="1414D2"/>
          </w:tcPr>
          <w:p>
            <w:pPr>
              <w:spacing w:after="0"/>
              <w:rPr>
                <w:sz w:val="17"/>
                <w:szCs w:val="17"/>
                <w:color w:val="auto"/>
              </w:rPr>
            </w:pPr>
          </w:p>
        </w:tc>
        <w:tc>
          <w:tcPr>
            <w:tcW w:w="2040" w:type="dxa"/>
            <w:vAlign w:val="bottom"/>
            <w:shd w:val="clear" w:color="auto" w:fill="1414D2"/>
          </w:tcPr>
          <w:p>
            <w:pPr>
              <w:ind w:left="140"/>
              <w:spacing w:after="0"/>
              <w:rPr>
                <w:sz w:val="20"/>
                <w:szCs w:val="20"/>
                <w:color w:val="auto"/>
              </w:rPr>
            </w:pPr>
            <w:r>
              <w:rPr>
                <w:rFonts w:ascii="Arial" w:cs="Arial" w:eastAsia="Arial" w:hAnsi="Arial"/>
                <w:sz w:val="16"/>
                <w:szCs w:val="16"/>
                <w:b w:val="1"/>
                <w:bCs w:val="1"/>
                <w:color w:val="FFFFFF"/>
              </w:rPr>
              <w:t>for directors and</w:t>
            </w:r>
          </w:p>
        </w:tc>
      </w:tr>
      <w:tr>
        <w:trPr>
          <w:trHeight w:val="173"/>
        </w:trPr>
        <w:tc>
          <w:tcPr>
            <w:tcW w:w="1920" w:type="dxa"/>
            <w:vAlign w:val="bottom"/>
            <w:shd w:val="clear" w:color="auto" w:fill="1414D2"/>
          </w:tcPr>
          <w:p>
            <w:pPr>
              <w:spacing w:after="0"/>
              <w:rPr>
                <w:sz w:val="15"/>
                <w:szCs w:val="15"/>
                <w:color w:val="auto"/>
              </w:rPr>
            </w:pPr>
          </w:p>
        </w:tc>
        <w:tc>
          <w:tcPr>
            <w:tcW w:w="1940" w:type="dxa"/>
            <w:vAlign w:val="bottom"/>
            <w:shd w:val="clear" w:color="auto" w:fill="1414D2"/>
          </w:tcPr>
          <w:p>
            <w:pPr>
              <w:spacing w:after="0"/>
              <w:rPr>
                <w:sz w:val="15"/>
                <w:szCs w:val="15"/>
                <w:color w:val="auto"/>
              </w:rPr>
            </w:pPr>
          </w:p>
        </w:tc>
        <w:tc>
          <w:tcPr>
            <w:tcW w:w="1900" w:type="dxa"/>
            <w:vAlign w:val="bottom"/>
            <w:shd w:val="clear" w:color="auto" w:fill="1414D2"/>
          </w:tcPr>
          <w:p>
            <w:pPr>
              <w:ind w:left="140"/>
              <w:spacing w:after="0" w:line="173" w:lineRule="exact"/>
              <w:rPr>
                <w:sz w:val="20"/>
                <w:szCs w:val="20"/>
                <w:color w:val="auto"/>
              </w:rPr>
            </w:pPr>
            <w:r>
              <w:rPr>
                <w:rFonts w:ascii="Arial" w:cs="Arial" w:eastAsia="Arial" w:hAnsi="Arial"/>
                <w:sz w:val="16"/>
                <w:szCs w:val="16"/>
                <w:b w:val="1"/>
                <w:bCs w:val="1"/>
                <w:color w:val="FFFFFF"/>
              </w:rPr>
              <w:t>executive pay to</w:t>
            </w:r>
          </w:p>
        </w:tc>
        <w:tc>
          <w:tcPr>
            <w:tcW w:w="1920" w:type="dxa"/>
            <w:vAlign w:val="bottom"/>
            <w:shd w:val="clear" w:color="auto" w:fill="1414D2"/>
          </w:tcPr>
          <w:p>
            <w:pPr>
              <w:spacing w:after="0"/>
              <w:rPr>
                <w:sz w:val="15"/>
                <w:szCs w:val="15"/>
                <w:color w:val="auto"/>
              </w:rPr>
            </w:pPr>
          </w:p>
        </w:tc>
        <w:tc>
          <w:tcPr>
            <w:tcW w:w="2040" w:type="dxa"/>
            <w:vAlign w:val="bottom"/>
            <w:shd w:val="clear" w:color="auto" w:fill="1414D2"/>
          </w:tcPr>
          <w:p>
            <w:pPr>
              <w:ind w:left="140"/>
              <w:spacing w:after="0" w:line="173" w:lineRule="exact"/>
              <w:rPr>
                <w:sz w:val="20"/>
                <w:szCs w:val="20"/>
                <w:color w:val="auto"/>
              </w:rPr>
            </w:pPr>
            <w:r>
              <w:rPr>
                <w:rFonts w:ascii="Arial" w:cs="Arial" w:eastAsia="Arial" w:hAnsi="Arial"/>
                <w:sz w:val="16"/>
                <w:szCs w:val="16"/>
                <w:b w:val="1"/>
                <w:bCs w:val="1"/>
                <w:color w:val="FFFFFF"/>
              </w:rPr>
              <w:t>executive officers</w:t>
            </w:r>
          </w:p>
        </w:tc>
      </w:tr>
      <w:tr>
        <w:trPr>
          <w:trHeight w:val="257"/>
        </w:trPr>
        <w:tc>
          <w:tcPr>
            <w:tcW w:w="1920" w:type="dxa"/>
            <w:vAlign w:val="bottom"/>
            <w:shd w:val="clear" w:color="auto" w:fill="1414D2"/>
          </w:tcPr>
          <w:p>
            <w:pPr>
              <w:spacing w:after="0"/>
              <w:rPr>
                <w:sz w:val="22"/>
                <w:szCs w:val="22"/>
                <w:color w:val="auto"/>
              </w:rPr>
            </w:pPr>
          </w:p>
        </w:tc>
        <w:tc>
          <w:tcPr>
            <w:tcW w:w="1940" w:type="dxa"/>
            <w:vAlign w:val="bottom"/>
            <w:shd w:val="clear" w:color="auto" w:fill="1414D2"/>
          </w:tcPr>
          <w:p>
            <w:pPr>
              <w:spacing w:after="0"/>
              <w:rPr>
                <w:sz w:val="22"/>
                <w:szCs w:val="22"/>
                <w:color w:val="auto"/>
              </w:rPr>
            </w:pPr>
          </w:p>
        </w:tc>
        <w:tc>
          <w:tcPr>
            <w:tcW w:w="1900" w:type="dxa"/>
            <w:vAlign w:val="bottom"/>
            <w:shd w:val="clear" w:color="auto" w:fill="1414D2"/>
          </w:tcPr>
          <w:p>
            <w:pPr>
              <w:ind w:left="140"/>
              <w:spacing w:after="0"/>
              <w:rPr>
                <w:sz w:val="20"/>
                <w:szCs w:val="20"/>
                <w:color w:val="auto"/>
              </w:rPr>
            </w:pPr>
            <w:r>
              <w:rPr>
                <w:rFonts w:ascii="Arial" w:cs="Arial" w:eastAsia="Arial" w:hAnsi="Arial"/>
                <w:sz w:val="16"/>
                <w:szCs w:val="16"/>
                <w:b w:val="1"/>
                <w:bCs w:val="1"/>
                <w:color w:val="FFFFFF"/>
              </w:rPr>
              <w:t>performance</w:t>
            </w:r>
          </w:p>
        </w:tc>
        <w:tc>
          <w:tcPr>
            <w:tcW w:w="1920" w:type="dxa"/>
            <w:vAlign w:val="bottom"/>
            <w:shd w:val="clear" w:color="auto" w:fill="1414D2"/>
          </w:tcPr>
          <w:p>
            <w:pPr>
              <w:spacing w:after="0"/>
              <w:rPr>
                <w:sz w:val="22"/>
                <w:szCs w:val="22"/>
                <w:color w:val="auto"/>
              </w:rPr>
            </w:pPr>
          </w:p>
        </w:tc>
        <w:tc>
          <w:tcPr>
            <w:tcW w:w="2040" w:type="dxa"/>
            <w:vAlign w:val="bottom"/>
            <w:shd w:val="clear" w:color="auto" w:fill="1414D2"/>
          </w:tcPr>
          <w:p>
            <w:pPr>
              <w:ind w:left="140"/>
              <w:spacing w:after="0"/>
              <w:rPr>
                <w:sz w:val="20"/>
                <w:szCs w:val="20"/>
                <w:color w:val="auto"/>
              </w:rPr>
            </w:pPr>
            <w:r>
              <w:rPr>
                <w:rFonts w:ascii="Arial" w:cs="Arial" w:eastAsia="Arial" w:hAnsi="Arial"/>
                <w:sz w:val="16"/>
                <w:szCs w:val="16"/>
                <w:color w:val="FFFFFF"/>
              </w:rPr>
              <w:t>(see pages 63 and 108)</w:t>
            </w:r>
          </w:p>
        </w:tc>
      </w:tr>
      <w:tr>
        <w:trPr>
          <w:trHeight w:val="215"/>
        </w:trPr>
        <w:tc>
          <w:tcPr>
            <w:tcW w:w="1920" w:type="dxa"/>
            <w:vAlign w:val="bottom"/>
            <w:shd w:val="clear" w:color="auto" w:fill="1414D2"/>
          </w:tcPr>
          <w:p>
            <w:pPr>
              <w:spacing w:after="0"/>
              <w:rPr>
                <w:sz w:val="18"/>
                <w:szCs w:val="18"/>
                <w:color w:val="auto"/>
              </w:rPr>
            </w:pPr>
          </w:p>
        </w:tc>
        <w:tc>
          <w:tcPr>
            <w:tcW w:w="1940" w:type="dxa"/>
            <w:vAlign w:val="bottom"/>
            <w:shd w:val="clear" w:color="auto" w:fill="1414D2"/>
          </w:tcPr>
          <w:p>
            <w:pPr>
              <w:spacing w:after="0"/>
              <w:rPr>
                <w:sz w:val="18"/>
                <w:szCs w:val="18"/>
                <w:color w:val="auto"/>
              </w:rPr>
            </w:pPr>
          </w:p>
        </w:tc>
        <w:tc>
          <w:tcPr>
            <w:tcW w:w="1900" w:type="dxa"/>
            <w:vAlign w:val="bottom"/>
            <w:shd w:val="clear" w:color="auto" w:fill="1414D2"/>
          </w:tcPr>
          <w:p>
            <w:pPr>
              <w:ind w:left="140"/>
              <w:spacing w:after="0"/>
              <w:rPr>
                <w:sz w:val="20"/>
                <w:szCs w:val="20"/>
                <w:color w:val="auto"/>
              </w:rPr>
            </w:pPr>
            <w:r>
              <w:rPr>
                <w:rFonts w:ascii="Arial" w:cs="Arial" w:eastAsia="Arial" w:hAnsi="Arial"/>
                <w:sz w:val="16"/>
                <w:szCs w:val="16"/>
                <w:color w:val="FFFFFF"/>
              </w:rPr>
              <w:t>(see page 83)</w:t>
            </w:r>
          </w:p>
        </w:tc>
        <w:tc>
          <w:tcPr>
            <w:tcW w:w="1920" w:type="dxa"/>
            <w:vAlign w:val="bottom"/>
            <w:shd w:val="clear" w:color="auto" w:fill="1414D2"/>
          </w:tcPr>
          <w:p>
            <w:pPr>
              <w:spacing w:after="0"/>
              <w:rPr>
                <w:sz w:val="18"/>
                <w:szCs w:val="18"/>
                <w:color w:val="auto"/>
              </w:rPr>
            </w:pPr>
          </w:p>
        </w:tc>
        <w:tc>
          <w:tcPr>
            <w:tcW w:w="2040" w:type="dxa"/>
            <w:vAlign w:val="bottom"/>
            <w:shd w:val="clear" w:color="auto" w:fill="1414D2"/>
          </w:tcPr>
          <w:p>
            <w:pPr>
              <w:spacing w:after="0"/>
              <w:rPr>
                <w:sz w:val="18"/>
                <w:szCs w:val="18"/>
                <w:color w:val="auto"/>
              </w:rPr>
            </w:pPr>
          </w:p>
        </w:tc>
      </w:tr>
      <w:tr>
        <w:trPr>
          <w:trHeight w:val="42"/>
        </w:trPr>
        <w:tc>
          <w:tcPr>
            <w:tcW w:w="1920" w:type="dxa"/>
            <w:vAlign w:val="bottom"/>
            <w:shd w:val="clear" w:color="auto" w:fill="1414D2"/>
          </w:tcPr>
          <w:p>
            <w:pPr>
              <w:spacing w:after="0"/>
              <w:rPr>
                <w:sz w:val="3"/>
                <w:szCs w:val="3"/>
                <w:color w:val="auto"/>
              </w:rPr>
            </w:pPr>
          </w:p>
        </w:tc>
        <w:tc>
          <w:tcPr>
            <w:tcW w:w="1940" w:type="dxa"/>
            <w:vAlign w:val="bottom"/>
            <w:shd w:val="clear" w:color="auto" w:fill="1414D2"/>
          </w:tcPr>
          <w:p>
            <w:pPr>
              <w:spacing w:after="0"/>
              <w:rPr>
                <w:sz w:val="3"/>
                <w:szCs w:val="3"/>
                <w:color w:val="auto"/>
              </w:rPr>
            </w:pPr>
          </w:p>
        </w:tc>
        <w:tc>
          <w:tcPr>
            <w:tcW w:w="1900" w:type="dxa"/>
            <w:vAlign w:val="bottom"/>
            <w:shd w:val="clear" w:color="auto" w:fill="1414D2"/>
          </w:tcPr>
          <w:p>
            <w:pPr>
              <w:spacing w:after="0"/>
              <w:rPr>
                <w:sz w:val="3"/>
                <w:szCs w:val="3"/>
                <w:color w:val="auto"/>
              </w:rPr>
            </w:pPr>
          </w:p>
        </w:tc>
        <w:tc>
          <w:tcPr>
            <w:tcW w:w="1920" w:type="dxa"/>
            <w:vAlign w:val="bottom"/>
            <w:shd w:val="clear" w:color="auto" w:fill="1414D2"/>
          </w:tcPr>
          <w:p>
            <w:pPr>
              <w:spacing w:after="0"/>
              <w:rPr>
                <w:sz w:val="3"/>
                <w:szCs w:val="3"/>
                <w:color w:val="auto"/>
              </w:rPr>
            </w:pPr>
          </w:p>
        </w:tc>
        <w:tc>
          <w:tcPr>
            <w:tcW w:w="2040" w:type="dxa"/>
            <w:vAlign w:val="bottom"/>
            <w:shd w:val="clear" w:color="auto" w:fill="1414D2"/>
          </w:tcPr>
          <w:p>
            <w:pPr>
              <w:spacing w:after="0"/>
              <w:rPr>
                <w:sz w:val="3"/>
                <w:szCs w:val="3"/>
                <w:color w:val="auto"/>
              </w:rPr>
            </w:pPr>
          </w:p>
        </w:tc>
      </w:tr>
    </w:tbl>
    <w:p>
      <w:pPr>
        <w:spacing w:after="0" w:line="200" w:lineRule="exact"/>
        <w:rPr>
          <w:sz w:val="20"/>
          <w:szCs w:val="20"/>
          <w:color w:val="auto"/>
        </w:rPr>
      </w:pPr>
    </w:p>
    <w:p>
      <w:pPr>
        <w:sectPr>
          <w:pgSz w:w="11900" w:h="16838" w:orient="portrait"/>
          <w:cols w:equalWidth="0" w:num="1">
            <w:col w:w="9720"/>
          </w:cols>
          <w:pgMar w:left="1080" w:top="695"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​​2026​  Proxy</w:t>
      </w:r>
    </w:p>
    <w:p>
      <w:pPr>
        <w:spacing w:after="0" w:line="5"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b w:val="1"/>
          <w:bCs w:val="1"/>
          <w:color w:val="1414D2"/>
        </w:rPr>
        <w:t>4</w:t>
      </w:r>
      <w:r>
        <w:rPr>
          <w:sz w:val="20"/>
          <w:szCs w:val="20"/>
          <w:color w:val="auto"/>
        </w:rPr>
        <w:tab/>
      </w:r>
      <w:r>
        <w:rPr>
          <w:rFonts w:ascii="Arial" w:cs="Arial" w:eastAsia="Arial" w:hAnsi="Arial"/>
          <w:sz w:val="16"/>
          <w:szCs w:val="16"/>
          <w:color w:val="auto"/>
        </w:rPr>
        <w:t>Statement</w:t>
      </w:r>
    </w:p>
    <w:p>
      <w:pPr>
        <w:sectPr>
          <w:pgSz w:w="11900" w:h="16838" w:orient="portrait"/>
          <w:cols w:equalWidth="0" w:num="1">
            <w:col w:w="9720"/>
          </w:cols>
          <w:pgMar w:left="1080" w:top="695" w:right="109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27" w:lineRule="exact"/>
        <w:rPr>
          <w:sz w:val="20"/>
          <w:szCs w:val="20"/>
          <w:color w:val="auto"/>
        </w:rPr>
      </w:pPr>
    </w:p>
    <w:p>
      <w:pPr>
        <w:jc w:val="right"/>
        <w:spacing w:after="0"/>
        <w:rPr>
          <w:sz w:val="20"/>
          <w:szCs w:val="20"/>
          <w:color w:val="auto"/>
        </w:rPr>
      </w:pPr>
      <w:r>
        <w:rPr>
          <w:rFonts w:ascii="Arial" w:cs="Arial" w:eastAsia="Arial" w:hAnsi="Arial"/>
          <w:sz w:val="14"/>
          <w:szCs w:val="14"/>
          <w:color w:val="6D6F71"/>
        </w:rPr>
        <w:t>Proxy  Statement  Summary  and  Voting  Map</w:t>
      </w:r>
    </w:p>
    <w:p>
      <w:pPr>
        <w:spacing w:after="0" w:line="223" w:lineRule="exact"/>
        <w:rPr>
          <w:sz w:val="20"/>
          <w:szCs w:val="20"/>
          <w:color w:val="auto"/>
        </w:rPr>
      </w:pPr>
    </w:p>
    <w:p>
      <w:pPr>
        <w:spacing w:after="0"/>
        <w:rPr>
          <w:sz w:val="20"/>
          <w:szCs w:val="20"/>
          <w:color w:val="auto"/>
        </w:rPr>
      </w:pPr>
      <w:r>
        <w:rPr>
          <w:rFonts w:ascii="Arial" w:cs="Arial" w:eastAsia="Arial" w:hAnsi="Arial"/>
          <w:sz w:val="25"/>
          <w:szCs w:val="25"/>
          <w:b w:val="1"/>
          <w:bCs w:val="1"/>
          <w:color w:val="1414D2"/>
        </w:rPr>
        <w:t>Item 1 | Election of Directors</w:t>
      </w:r>
    </w:p>
    <w:p>
      <w:pPr>
        <w:spacing w:after="0" w:line="1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w:t>
      </w:r>
      <w:r>
        <w:rPr>
          <w:rFonts w:ascii="Times New Roman" w:cs="Times New Roman" w:eastAsia="Times New Roman" w:hAnsi="Times New Roman"/>
          <w:sz w:val="25"/>
          <w:szCs w:val="25"/>
          <w:b w:val="1"/>
          <w:bCs w:val="1"/>
          <w:color w:val="auto"/>
        </w:rPr>
        <w:t>►</w:t>
      </w:r>
      <w:r>
        <w:rPr>
          <w:rFonts w:ascii="Arial" w:cs="Arial" w:eastAsia="Arial" w:hAnsi="Arial"/>
          <w:sz w:val="25"/>
          <w:szCs w:val="25"/>
          <w:b w:val="1"/>
          <w:bCs w:val="1"/>
          <w:color w:val="auto"/>
        </w:rPr>
        <w:t xml:space="preserve"> see page 16 for more information)</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The  Board  has  nominated  the  following  11  director  nominees  for  election  by  the  holders  of  shares  of  Common  Stock:  Ms.</w:t>
      </w:r>
    </w:p>
    <w:p>
      <w:pPr>
        <w:spacing w:after="0" w:line="19" w:lineRule="exact"/>
        <w:rPr>
          <w:sz w:val="20"/>
          <w:szCs w:val="20"/>
          <w:color w:val="auto"/>
        </w:rPr>
      </w:pPr>
    </w:p>
    <w:p>
      <w:pPr>
        <w:ind w:right="180"/>
        <w:spacing w:after="0" w:line="252" w:lineRule="auto"/>
        <w:rPr>
          <w:sz w:val="20"/>
          <w:szCs w:val="20"/>
          <w:color w:val="auto"/>
        </w:rPr>
      </w:pPr>
      <w:r>
        <w:rPr>
          <w:rFonts w:ascii="Arial" w:cs="Arial" w:eastAsia="Arial" w:hAnsi="Arial"/>
          <w:sz w:val="16"/>
          <w:szCs w:val="16"/>
          <w:color w:val="auto"/>
        </w:rPr>
        <w:t>Rosalind Brewer, Ms. Michelle Freyre, Mr. Matthew Friend, Mr. Barney Harford, Ms. Michele J. Hooper, Mr. Walter Isaacson, Mr. Scott Kirby, Mr. Edward M. Philip, Mr. Edward L. Shapiro, Ms. Laysha Ward and Mr. James M. Whitehurst. The United Airlines Pilots Master Executive Council of the Air Line Pilots Association, International (the “ALPA”) has nominated and intends to elect</w:t>
      </w:r>
    </w:p>
    <w:p>
      <w:pPr>
        <w:spacing w:after="0" w:line="1" w:lineRule="exact"/>
        <w:rPr>
          <w:sz w:val="20"/>
          <w:szCs w:val="20"/>
          <w:color w:val="auto"/>
        </w:rPr>
      </w:pPr>
    </w:p>
    <w:p>
      <w:pPr>
        <w:ind w:right="60"/>
        <w:spacing w:after="0" w:line="268" w:lineRule="auto"/>
        <w:rPr>
          <w:sz w:val="20"/>
          <w:szCs w:val="20"/>
          <w:color w:val="auto"/>
        </w:rPr>
      </w:pPr>
      <w:r>
        <w:rPr>
          <w:rFonts w:ascii="Arial" w:cs="Arial" w:eastAsia="Arial" w:hAnsi="Arial"/>
          <w:sz w:val="16"/>
          <w:szCs w:val="16"/>
          <w:color w:val="auto"/>
        </w:rPr>
        <w:t>Captain Brian Noyes at the Annual Meeting. The International Association of Machinists and Aerospace Workers (the “IAM”) has nominated and intends to reelect Mr. Richard Johnsen at the Annual Meeting. A more detailed discussion on how directors are selected and elected, how Board governance operates, how the Board is organized, how you can communicate with directors and how directors are paid can be found beginning on page 34.</w:t>
      </w:r>
    </w:p>
    <w:p>
      <w:pPr>
        <w:sectPr>
          <w:pgSz w:w="11900" w:h="16838" w:orient="portrait"/>
          <w:cols w:equalWidth="0" w:num="1">
            <w:col w:w="9720"/>
          </w:cols>
          <w:pgMar w:left="1080" w:top="695"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240" w:right="100"/>
        <w:spacing w:after="0" w:line="279" w:lineRule="auto"/>
        <w:rPr>
          <w:sz w:val="20"/>
          <w:szCs w:val="20"/>
          <w:color w:val="auto"/>
        </w:rPr>
      </w:pPr>
      <w:r>
        <w:rPr>
          <w:rFonts w:ascii="Arial" w:cs="Arial" w:eastAsia="Arial" w:hAnsi="Arial"/>
          <w:sz w:val="16"/>
          <w:szCs w:val="16"/>
          <w:b w:val="1"/>
          <w:bCs w:val="1"/>
          <w:color w:val="auto"/>
        </w:rPr>
        <w:t xml:space="preserve">The Board Recommends you vote </w:t>
      </w:r>
      <w:r>
        <w:rPr>
          <w:rFonts w:ascii="Arial" w:cs="Arial" w:eastAsia="Arial" w:hAnsi="Arial"/>
          <w:sz w:val="16"/>
          <w:szCs w:val="16"/>
          <w:b w:val="1"/>
          <w:bCs w:val="1"/>
          <w:color w:val="1414D2"/>
        </w:rPr>
        <w:t>FOR</w:t>
      </w:r>
      <w:r>
        <w:rPr>
          <w:rFonts w:ascii="Arial" w:cs="Arial" w:eastAsia="Arial" w:hAnsi="Arial"/>
          <w:sz w:val="16"/>
          <w:szCs w:val="16"/>
          <w:b w:val="1"/>
          <w:bCs w:val="1"/>
          <w:color w:val="auto"/>
        </w:rPr>
        <w:t xml:space="preserve"> each of the nominees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DIRECTOR NOMINEE DETAILS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VOTE REQUIRED</w:t>
      </w:r>
    </w:p>
    <w:p>
      <w:pPr>
        <w:spacing w:after="0" w:line="113" w:lineRule="exact"/>
        <w:rPr>
          <w:sz w:val="20"/>
          <w:szCs w:val="20"/>
          <w:color w:val="auto"/>
        </w:rPr>
      </w:pPr>
    </w:p>
    <w:p>
      <w:pPr>
        <w:ind w:right="160"/>
        <w:spacing w:after="0" w:line="279" w:lineRule="auto"/>
        <w:rPr>
          <w:sz w:val="20"/>
          <w:szCs w:val="20"/>
          <w:color w:val="auto"/>
        </w:rPr>
      </w:pPr>
      <w:r>
        <w:rPr>
          <w:rFonts w:ascii="Arial" w:cs="Arial" w:eastAsia="Arial" w:hAnsi="Arial"/>
          <w:sz w:val="16"/>
          <w:szCs w:val="16"/>
          <w:color w:val="auto"/>
        </w:rPr>
        <w:t>We have majority voting in uncontested elections of directors. Accordingly, our bylaws provide that each director will be elected by vote of a majority of the votes cast with respect to that director’s election.</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color w:val="auto"/>
        </w:rPr>
        <w:t>Abstentions  and  broker  non-votes  will  have  no  efect  on  the  election  of  directors.</w:t>
      </w:r>
    </w:p>
    <w:p>
      <w:pPr>
        <w:spacing w:after="0" w:line="693" w:lineRule="exact"/>
        <w:rPr>
          <w:sz w:val="20"/>
          <w:szCs w:val="20"/>
          <w:color w:val="auto"/>
        </w:rPr>
      </w:pPr>
    </w:p>
    <w:p>
      <w:pPr>
        <w:sectPr>
          <w:pgSz w:w="11900" w:h="16838" w:orient="portrait"/>
          <w:cols w:equalWidth="0" w:num="2">
            <w:col w:w="2340" w:space="280"/>
            <w:col w:w="7100"/>
          </w:cols>
          <w:pgMar w:left="1080" w:top="695" w:right="1099" w:bottom="1440" w:gutter="0" w:footer="0" w:header="0"/>
          <w:type w:val="continuous"/>
        </w:sectPr>
      </w:pPr>
    </w:p>
    <w:p>
      <w:pPr>
        <w:spacing w:after="0"/>
        <w:rPr>
          <w:sz w:val="20"/>
          <w:szCs w:val="20"/>
          <w:color w:val="auto"/>
        </w:rPr>
      </w:pPr>
      <w:r>
        <w:rPr>
          <w:rFonts w:ascii="Arial" w:cs="Arial" w:eastAsia="Arial" w:hAnsi="Arial"/>
          <w:sz w:val="16"/>
          <w:szCs w:val="16"/>
          <w:color w:val="auto"/>
        </w:rPr>
        <w:t>The  following  tables  provide  summary  information  of  our  Board  if  our  director  nominees  are  elected.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1414D2"/>
        </w:rPr>
        <w:t>Independent  Chair</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1414D2"/>
        </w:rPr>
        <w:t>of  Board  since  2021</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1414D2"/>
        </w:rPr>
        <w:t>6  of  13  Directors</w:t>
      </w:r>
    </w:p>
    <w:p>
      <w:pPr>
        <w:spacing w:after="0" w:line="1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joined  our  Board  within  the  last  fve</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years</w:t>
      </w:r>
    </w:p>
    <w:p>
      <w:pPr>
        <w:spacing w:after="0" w:line="107" w:lineRule="exact"/>
        <w:rPr>
          <w:sz w:val="20"/>
          <w:szCs w:val="20"/>
          <w:color w:val="auto"/>
        </w:rPr>
      </w:pPr>
    </w:p>
    <w:p>
      <w:pPr>
        <w:jc w:val="center"/>
        <w:ind w:right="40"/>
        <w:spacing w:after="0" w:line="252" w:lineRule="auto"/>
        <w:rPr>
          <w:sz w:val="20"/>
          <w:szCs w:val="20"/>
          <w:color w:val="auto"/>
        </w:rPr>
      </w:pPr>
      <w:r>
        <w:rPr>
          <w:rFonts w:ascii="Arial" w:cs="Arial" w:eastAsia="Arial" w:hAnsi="Arial"/>
          <w:sz w:val="18"/>
          <w:szCs w:val="18"/>
          <w:color w:val="1414D2"/>
        </w:rPr>
        <w:t>10  of  13  Directors (10  of  11  nominees  elected  by  the holders  of  Common  Stock)</w:t>
      </w:r>
    </w:p>
    <w:p>
      <w:pPr>
        <w:spacing w:after="0" w:line="2"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are  independent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2026  Proxy  Statement</w:t>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1414D2"/>
        </w:rPr>
        <w:t>5</w:t>
      </w:r>
    </w:p>
    <w:p>
      <w:pPr>
        <w:sectPr>
          <w:pgSz w:w="11900" w:h="16838" w:orient="portrait"/>
          <w:cols w:equalWidth="0" w:num="1">
            <w:col w:w="9720"/>
          </w:cols>
          <w:pgMar w:left="1080" w:top="695" w:right="109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6D6F71"/>
        </w:rPr>
        <w:t>Proxy  Statement  Summary  and  Voting  Map</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300" w:type="dxa"/>
            <w:vAlign w:val="bottom"/>
            <w:tcBorders>
              <w:top w:val="single" w:sz="8" w:color="1414D2"/>
              <w:bottom w:val="single" w:sz="8" w:color="F2F2F2"/>
            </w:tcBorders>
            <w:shd w:val="clear" w:color="auto" w:fill="F2F2F2"/>
          </w:tcPr>
          <w:p>
            <w:pPr>
              <w:spacing w:after="0"/>
              <w:rPr>
                <w:sz w:val="24"/>
                <w:szCs w:val="24"/>
                <w:color w:val="auto"/>
              </w:rPr>
            </w:pPr>
          </w:p>
        </w:tc>
        <w:tc>
          <w:tcPr>
            <w:tcW w:w="1440" w:type="dxa"/>
            <w:vAlign w:val="bottom"/>
            <w:tcBorders>
              <w:top w:val="single" w:sz="8" w:color="1414D2"/>
              <w:bottom w:val="single" w:sz="8" w:color="F2F2F2"/>
            </w:tcBorders>
            <w:shd w:val="clear" w:color="auto" w:fill="F2F2F2"/>
          </w:tcPr>
          <w:p>
            <w:pPr>
              <w:spacing w:after="0"/>
              <w:rPr>
                <w:sz w:val="24"/>
                <w:szCs w:val="24"/>
                <w:color w:val="auto"/>
              </w:rPr>
            </w:pPr>
          </w:p>
        </w:tc>
        <w:tc>
          <w:tcPr>
            <w:tcW w:w="840" w:type="dxa"/>
            <w:vAlign w:val="bottom"/>
            <w:tcBorders>
              <w:top w:val="single" w:sz="8" w:color="1414D2"/>
              <w:bottom w:val="single" w:sz="8" w:color="F2F2F2"/>
            </w:tcBorders>
            <w:shd w:val="clear" w:color="auto" w:fill="F2F2F2"/>
          </w:tcPr>
          <w:p>
            <w:pPr>
              <w:spacing w:after="0"/>
              <w:rPr>
                <w:sz w:val="24"/>
                <w:szCs w:val="24"/>
                <w:color w:val="auto"/>
              </w:rPr>
            </w:pPr>
          </w:p>
        </w:tc>
        <w:tc>
          <w:tcPr>
            <w:tcW w:w="560" w:type="dxa"/>
            <w:vAlign w:val="bottom"/>
            <w:tcBorders>
              <w:top w:val="single" w:sz="8" w:color="1414D2"/>
              <w:bottom w:val="single" w:sz="8" w:color="F2F2F2"/>
            </w:tcBorders>
            <w:shd w:val="clear" w:color="auto" w:fill="F2F2F2"/>
          </w:tcPr>
          <w:p>
            <w:pPr>
              <w:jc w:val="center"/>
              <w:spacing w:after="0"/>
              <w:rPr>
                <w:sz w:val="20"/>
                <w:szCs w:val="20"/>
                <w:color w:val="auto"/>
              </w:rPr>
            </w:pPr>
            <w:r>
              <w:rPr>
                <w:rFonts w:ascii="Arial" w:cs="Arial" w:eastAsia="Arial" w:hAnsi="Arial"/>
                <w:sz w:val="11"/>
                <w:szCs w:val="11"/>
                <w:b w:val="1"/>
                <w:bCs w:val="1"/>
                <w:color w:val="auto"/>
              </w:rPr>
              <w:t>Other</w:t>
            </w:r>
          </w:p>
        </w:tc>
        <w:tc>
          <w:tcPr>
            <w:tcW w:w="620" w:type="dxa"/>
            <w:vAlign w:val="bottom"/>
            <w:tcBorders>
              <w:top w:val="single" w:sz="8" w:color="1414D2"/>
              <w:bottom w:val="single" w:sz="8" w:color="F2F2F2"/>
            </w:tcBorders>
            <w:shd w:val="clear" w:color="auto" w:fill="F2F2F2"/>
          </w:tcPr>
          <w:p>
            <w:pPr>
              <w:spacing w:after="0"/>
              <w:rPr>
                <w:sz w:val="24"/>
                <w:szCs w:val="24"/>
                <w:color w:val="auto"/>
              </w:rPr>
            </w:pPr>
          </w:p>
        </w:tc>
        <w:tc>
          <w:tcPr>
            <w:tcW w:w="3140" w:type="dxa"/>
            <w:vAlign w:val="bottom"/>
            <w:tcBorders>
              <w:top w:val="single" w:sz="8" w:color="1414D2"/>
              <w:bottom w:val="single" w:sz="8" w:color="F2F2F2"/>
            </w:tcBorders>
            <w:gridSpan w:val="3"/>
            <w:shd w:val="clear" w:color="auto" w:fill="F2F2F2"/>
          </w:tcPr>
          <w:p>
            <w:pPr>
              <w:ind w:left="760"/>
              <w:spacing w:after="0"/>
              <w:rPr>
                <w:sz w:val="20"/>
                <w:szCs w:val="20"/>
                <w:color w:val="auto"/>
              </w:rPr>
            </w:pPr>
            <w:r>
              <w:rPr>
                <w:rFonts w:ascii="Arial" w:cs="Arial" w:eastAsia="Arial" w:hAnsi="Arial"/>
                <w:sz w:val="11"/>
                <w:szCs w:val="11"/>
                <w:b w:val="1"/>
                <w:bCs w:val="1"/>
                <w:color w:val="auto"/>
              </w:rPr>
              <w:t>Current Committee Memberships</w:t>
            </w:r>
          </w:p>
        </w:tc>
        <w:tc>
          <w:tcPr>
            <w:tcW w:w="820" w:type="dxa"/>
            <w:vAlign w:val="bottom"/>
            <w:tcBorders>
              <w:top w:val="single" w:sz="8" w:color="1414D2"/>
              <w:bottom w:val="single" w:sz="8" w:color="F2F2F2"/>
            </w:tcBorders>
            <w:shd w:val="clear" w:color="auto" w:fill="F2F2F2"/>
          </w:tcPr>
          <w:p>
            <w:pPr>
              <w:spacing w:after="0"/>
              <w:rPr>
                <w:sz w:val="24"/>
                <w:szCs w:val="24"/>
                <w:color w:val="auto"/>
              </w:rPr>
            </w:pPr>
          </w:p>
        </w:tc>
        <w:tc>
          <w:tcPr>
            <w:tcW w:w="0" w:type="dxa"/>
            <w:vAlign w:val="bottom"/>
          </w:tcPr>
          <w:p>
            <w:pPr>
              <w:spacing w:after="0"/>
              <w:rPr>
                <w:sz w:val="1"/>
                <w:szCs w:val="1"/>
                <w:color w:val="auto"/>
              </w:rPr>
            </w:pPr>
          </w:p>
        </w:tc>
      </w:tr>
      <w:tr>
        <w:trPr>
          <w:trHeight w:val="60"/>
        </w:trPr>
        <w:tc>
          <w:tcPr>
            <w:tcW w:w="2300" w:type="dxa"/>
            <w:vAlign w:val="bottom"/>
            <w:tcBorders>
              <w:top w:val="single" w:sz="8" w:color="F2F2F2"/>
            </w:tcBorders>
            <w:shd w:val="clear" w:color="auto" w:fill="F2F2F2"/>
          </w:tcPr>
          <w:p>
            <w:pPr>
              <w:spacing w:after="0"/>
              <w:rPr>
                <w:sz w:val="5"/>
                <w:szCs w:val="5"/>
                <w:color w:val="auto"/>
              </w:rPr>
            </w:pPr>
          </w:p>
        </w:tc>
        <w:tc>
          <w:tcPr>
            <w:tcW w:w="1440" w:type="dxa"/>
            <w:vAlign w:val="bottom"/>
            <w:tcBorders>
              <w:top w:val="single" w:sz="8" w:color="F2F2F2"/>
            </w:tcBorders>
            <w:vMerge w:val="restart"/>
            <w:shd w:val="clear" w:color="auto" w:fill="F2F2F2"/>
          </w:tcPr>
          <w:p>
            <w:pPr>
              <w:ind w:left="920"/>
              <w:spacing w:after="0"/>
              <w:rPr>
                <w:sz w:val="20"/>
                <w:szCs w:val="20"/>
                <w:color w:val="auto"/>
              </w:rPr>
            </w:pPr>
            <w:r>
              <w:rPr>
                <w:rFonts w:ascii="Arial" w:cs="Arial" w:eastAsia="Arial" w:hAnsi="Arial"/>
                <w:sz w:val="11"/>
                <w:szCs w:val="11"/>
                <w:b w:val="1"/>
                <w:bCs w:val="1"/>
                <w:color w:val="auto"/>
              </w:rPr>
              <w:t>Director</w:t>
            </w:r>
          </w:p>
        </w:tc>
        <w:tc>
          <w:tcPr>
            <w:tcW w:w="840" w:type="dxa"/>
            <w:vAlign w:val="bottom"/>
            <w:tcBorders>
              <w:top w:val="single" w:sz="8" w:color="F2F2F2"/>
            </w:tcBorders>
            <w:vMerge w:val="restart"/>
            <w:shd w:val="clear" w:color="auto" w:fill="F2F2F2"/>
          </w:tcPr>
          <w:p>
            <w:pPr>
              <w:jc w:val="center"/>
              <w:spacing w:after="0"/>
              <w:rPr>
                <w:sz w:val="20"/>
                <w:szCs w:val="20"/>
                <w:color w:val="auto"/>
              </w:rPr>
            </w:pPr>
            <w:r>
              <w:rPr>
                <w:rFonts w:ascii="Arial" w:cs="Arial" w:eastAsia="Arial" w:hAnsi="Arial"/>
                <w:sz w:val="11"/>
                <w:szCs w:val="11"/>
                <w:b w:val="1"/>
                <w:bCs w:val="1"/>
                <w:color w:val="auto"/>
              </w:rPr>
              <w:t>Independent</w:t>
            </w:r>
          </w:p>
        </w:tc>
        <w:tc>
          <w:tcPr>
            <w:tcW w:w="560" w:type="dxa"/>
            <w:vAlign w:val="bottom"/>
            <w:tcBorders>
              <w:top w:val="single" w:sz="8" w:color="F2F2F2"/>
            </w:tcBorders>
            <w:shd w:val="clear" w:color="auto" w:fill="F2F2F2"/>
          </w:tcPr>
          <w:p>
            <w:pPr>
              <w:jc w:val="center"/>
              <w:spacing w:after="0" w:line="60" w:lineRule="exact"/>
              <w:rPr>
                <w:sz w:val="20"/>
                <w:szCs w:val="20"/>
                <w:color w:val="auto"/>
              </w:rPr>
            </w:pPr>
            <w:r>
              <w:rPr>
                <w:rFonts w:ascii="Arial" w:cs="Arial" w:eastAsia="Arial" w:hAnsi="Arial"/>
                <w:sz w:val="6"/>
                <w:szCs w:val="6"/>
                <w:b w:val="1"/>
                <w:bCs w:val="1"/>
                <w:color w:val="auto"/>
              </w:rPr>
              <w:t>Current</w:t>
            </w:r>
          </w:p>
        </w:tc>
        <w:tc>
          <w:tcPr>
            <w:tcW w:w="620" w:type="dxa"/>
            <w:vAlign w:val="bottom"/>
            <w:tcBorders>
              <w:top w:val="single" w:sz="8" w:color="1414D2"/>
            </w:tcBorders>
            <w:shd w:val="clear" w:color="auto" w:fill="F2F2F2"/>
          </w:tcPr>
          <w:p>
            <w:pPr>
              <w:spacing w:after="0"/>
              <w:rPr>
                <w:sz w:val="5"/>
                <w:szCs w:val="5"/>
                <w:color w:val="auto"/>
              </w:rPr>
            </w:pPr>
          </w:p>
        </w:tc>
        <w:tc>
          <w:tcPr>
            <w:tcW w:w="1620" w:type="dxa"/>
            <w:vAlign w:val="bottom"/>
            <w:tcBorders>
              <w:top w:val="single" w:sz="8" w:color="1414D2"/>
            </w:tcBorders>
            <w:shd w:val="clear" w:color="auto" w:fill="F2F2F2"/>
          </w:tcPr>
          <w:p>
            <w:pPr>
              <w:spacing w:after="0"/>
              <w:rPr>
                <w:sz w:val="5"/>
                <w:szCs w:val="5"/>
                <w:color w:val="auto"/>
              </w:rPr>
            </w:pPr>
          </w:p>
        </w:tc>
        <w:tc>
          <w:tcPr>
            <w:tcW w:w="660" w:type="dxa"/>
            <w:vAlign w:val="bottom"/>
            <w:tcBorders>
              <w:top w:val="single" w:sz="8" w:color="1414D2"/>
            </w:tcBorders>
            <w:shd w:val="clear" w:color="auto" w:fill="F2F2F2"/>
          </w:tcPr>
          <w:p>
            <w:pPr>
              <w:spacing w:after="0"/>
              <w:rPr>
                <w:sz w:val="5"/>
                <w:szCs w:val="5"/>
                <w:color w:val="auto"/>
              </w:rPr>
            </w:pPr>
          </w:p>
        </w:tc>
        <w:tc>
          <w:tcPr>
            <w:tcW w:w="860" w:type="dxa"/>
            <w:vAlign w:val="bottom"/>
            <w:tcBorders>
              <w:top w:val="single" w:sz="8" w:color="1414D2"/>
            </w:tcBorders>
            <w:vMerge w:val="restart"/>
            <w:shd w:val="clear" w:color="auto" w:fill="F2F2F2"/>
          </w:tcPr>
          <w:p>
            <w:pPr>
              <w:jc w:val="center"/>
              <w:ind w:left="26"/>
              <w:spacing w:after="0"/>
              <w:rPr>
                <w:sz w:val="20"/>
                <w:szCs w:val="20"/>
                <w:color w:val="auto"/>
              </w:rPr>
            </w:pPr>
            <w:r>
              <w:rPr>
                <w:rFonts w:ascii="Arial" w:cs="Arial" w:eastAsia="Arial" w:hAnsi="Arial"/>
                <w:sz w:val="11"/>
                <w:szCs w:val="11"/>
                <w:b w:val="1"/>
                <w:bCs w:val="1"/>
                <w:color w:val="auto"/>
              </w:rPr>
              <w:t>Nominating/</w:t>
            </w:r>
          </w:p>
        </w:tc>
        <w:tc>
          <w:tcPr>
            <w:tcW w:w="820" w:type="dxa"/>
            <w:vAlign w:val="bottom"/>
            <w:tcBorders>
              <w:top w:val="single" w:sz="8" w:color="1414D2"/>
            </w:tcBorders>
            <w:vMerge w:val="restart"/>
            <w:shd w:val="clear" w:color="auto" w:fill="F2F2F2"/>
          </w:tcPr>
          <w:p>
            <w:pPr>
              <w:jc w:val="center"/>
              <w:spacing w:after="0"/>
              <w:rPr>
                <w:sz w:val="20"/>
                <w:szCs w:val="20"/>
                <w:color w:val="auto"/>
              </w:rPr>
            </w:pPr>
            <w:r>
              <w:rPr>
                <w:rFonts w:ascii="Arial" w:cs="Arial" w:eastAsia="Arial" w:hAnsi="Arial"/>
                <w:sz w:val="11"/>
                <w:szCs w:val="11"/>
                <w:b w:val="1"/>
                <w:bCs w:val="1"/>
                <w:color w:val="auto"/>
                <w:w w:val="96"/>
              </w:rPr>
              <w:t>Public</w:t>
            </w:r>
          </w:p>
        </w:tc>
        <w:tc>
          <w:tcPr>
            <w:tcW w:w="0" w:type="dxa"/>
            <w:vAlign w:val="bottom"/>
          </w:tcPr>
          <w:p>
            <w:pPr>
              <w:spacing w:after="0"/>
              <w:rPr>
                <w:sz w:val="1"/>
                <w:szCs w:val="1"/>
                <w:color w:val="auto"/>
              </w:rPr>
            </w:pPr>
          </w:p>
        </w:tc>
      </w:tr>
      <w:tr>
        <w:trPr>
          <w:trHeight w:val="122"/>
        </w:trPr>
        <w:tc>
          <w:tcPr>
            <w:tcW w:w="2300" w:type="dxa"/>
            <w:vAlign w:val="bottom"/>
            <w:shd w:val="clear" w:color="auto" w:fill="F2F2F2"/>
          </w:tcPr>
          <w:p>
            <w:pPr>
              <w:spacing w:after="0"/>
              <w:rPr>
                <w:sz w:val="10"/>
                <w:szCs w:val="10"/>
                <w:color w:val="auto"/>
              </w:rPr>
            </w:pPr>
          </w:p>
        </w:tc>
        <w:tc>
          <w:tcPr>
            <w:tcW w:w="1440" w:type="dxa"/>
            <w:vAlign w:val="bottom"/>
            <w:vMerge w:val="continue"/>
            <w:shd w:val="clear" w:color="auto" w:fill="F2F2F2"/>
          </w:tcPr>
          <w:p>
            <w:pPr>
              <w:spacing w:after="0"/>
              <w:rPr>
                <w:sz w:val="10"/>
                <w:szCs w:val="10"/>
                <w:color w:val="auto"/>
              </w:rPr>
            </w:pPr>
          </w:p>
        </w:tc>
        <w:tc>
          <w:tcPr>
            <w:tcW w:w="840" w:type="dxa"/>
            <w:vAlign w:val="bottom"/>
            <w:vMerge w:val="continue"/>
            <w:shd w:val="clear" w:color="auto" w:fill="F2F2F2"/>
          </w:tcPr>
          <w:p>
            <w:pPr>
              <w:spacing w:after="0"/>
              <w:rPr>
                <w:sz w:val="10"/>
                <w:szCs w:val="10"/>
                <w:color w:val="auto"/>
              </w:rPr>
            </w:pPr>
          </w:p>
        </w:tc>
        <w:tc>
          <w:tcPr>
            <w:tcW w:w="560" w:type="dxa"/>
            <w:vAlign w:val="bottom"/>
            <w:shd w:val="clear" w:color="auto" w:fill="F2F2F2"/>
          </w:tcPr>
          <w:p>
            <w:pPr>
              <w:jc w:val="center"/>
              <w:spacing w:after="0" w:line="122" w:lineRule="exact"/>
              <w:rPr>
                <w:sz w:val="20"/>
                <w:szCs w:val="20"/>
                <w:color w:val="auto"/>
              </w:rPr>
            </w:pPr>
            <w:r>
              <w:rPr>
                <w:rFonts w:ascii="Arial" w:cs="Arial" w:eastAsia="Arial" w:hAnsi="Arial"/>
                <w:sz w:val="11"/>
                <w:szCs w:val="11"/>
                <w:b w:val="1"/>
                <w:bCs w:val="1"/>
                <w:color w:val="auto"/>
                <w:w w:val="96"/>
              </w:rPr>
              <w:t>Public</w:t>
            </w:r>
          </w:p>
        </w:tc>
        <w:tc>
          <w:tcPr>
            <w:tcW w:w="620" w:type="dxa"/>
            <w:vAlign w:val="bottom"/>
            <w:shd w:val="clear" w:color="auto" w:fill="F2F2F2"/>
          </w:tcPr>
          <w:p>
            <w:pPr>
              <w:spacing w:after="0"/>
              <w:rPr>
                <w:sz w:val="10"/>
                <w:szCs w:val="10"/>
                <w:color w:val="auto"/>
              </w:rPr>
            </w:pPr>
          </w:p>
        </w:tc>
        <w:tc>
          <w:tcPr>
            <w:tcW w:w="1620" w:type="dxa"/>
            <w:vAlign w:val="bottom"/>
            <w:shd w:val="clear" w:color="auto" w:fill="F2F2F2"/>
          </w:tcPr>
          <w:p>
            <w:pPr>
              <w:spacing w:after="0"/>
              <w:rPr>
                <w:sz w:val="10"/>
                <w:szCs w:val="10"/>
                <w:color w:val="auto"/>
              </w:rPr>
            </w:pPr>
          </w:p>
        </w:tc>
        <w:tc>
          <w:tcPr>
            <w:tcW w:w="660" w:type="dxa"/>
            <w:vAlign w:val="bottom"/>
            <w:shd w:val="clear" w:color="auto" w:fill="F2F2F2"/>
          </w:tcPr>
          <w:p>
            <w:pPr>
              <w:spacing w:after="0"/>
              <w:rPr>
                <w:sz w:val="10"/>
                <w:szCs w:val="10"/>
                <w:color w:val="auto"/>
              </w:rPr>
            </w:pPr>
          </w:p>
        </w:tc>
        <w:tc>
          <w:tcPr>
            <w:tcW w:w="860" w:type="dxa"/>
            <w:vAlign w:val="bottom"/>
            <w:vMerge w:val="continue"/>
            <w:shd w:val="clear" w:color="auto" w:fill="F2F2F2"/>
          </w:tcPr>
          <w:p>
            <w:pPr>
              <w:spacing w:after="0"/>
              <w:rPr>
                <w:sz w:val="10"/>
                <w:szCs w:val="10"/>
                <w:color w:val="auto"/>
              </w:rPr>
            </w:pPr>
          </w:p>
        </w:tc>
        <w:tc>
          <w:tcPr>
            <w:tcW w:w="820" w:type="dxa"/>
            <w:vAlign w:val="bottom"/>
            <w:vMerge w:val="continue"/>
            <w:shd w:val="clear" w:color="auto" w:fill="F2F2F2"/>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30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11"/>
                <w:szCs w:val="11"/>
                <w:b w:val="1"/>
                <w:bCs w:val="1"/>
                <w:color w:val="auto"/>
              </w:rPr>
              <w:t>Name and Principal Occupation</w:t>
            </w:r>
          </w:p>
        </w:tc>
        <w:tc>
          <w:tcPr>
            <w:tcW w:w="1440" w:type="dxa"/>
            <w:vAlign w:val="bottom"/>
            <w:tcBorders>
              <w:bottom w:val="single" w:sz="8" w:color="F2F2F2"/>
            </w:tcBorders>
            <w:shd w:val="clear" w:color="auto" w:fill="F2F2F2"/>
          </w:tcPr>
          <w:p>
            <w:pPr>
              <w:ind w:left="600"/>
              <w:spacing w:after="0"/>
              <w:rPr>
                <w:sz w:val="20"/>
                <w:szCs w:val="20"/>
                <w:color w:val="auto"/>
              </w:rPr>
            </w:pPr>
            <w:r>
              <w:rPr>
                <w:rFonts w:ascii="Arial" w:cs="Arial" w:eastAsia="Arial" w:hAnsi="Arial"/>
                <w:sz w:val="11"/>
                <w:szCs w:val="11"/>
                <w:b w:val="1"/>
                <w:bCs w:val="1"/>
                <w:color w:val="auto"/>
              </w:rPr>
              <w:t>Age   Since</w:t>
            </w:r>
          </w:p>
        </w:tc>
        <w:tc>
          <w:tcPr>
            <w:tcW w:w="84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1"/>
                <w:szCs w:val="11"/>
                <w:b w:val="1"/>
                <w:bCs w:val="1"/>
                <w:color w:val="auto"/>
              </w:rPr>
              <w:t>Director</w:t>
            </w:r>
          </w:p>
        </w:tc>
        <w:tc>
          <w:tcPr>
            <w:tcW w:w="5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1"/>
                <w:szCs w:val="11"/>
                <w:b w:val="1"/>
                <w:bCs w:val="1"/>
                <w:color w:val="auto"/>
                <w:w w:val="94"/>
              </w:rPr>
              <w:t>Boards</w:t>
            </w:r>
          </w:p>
        </w:tc>
        <w:tc>
          <w:tcPr>
            <w:tcW w:w="62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11"/>
                <w:szCs w:val="11"/>
                <w:b w:val="1"/>
                <w:bCs w:val="1"/>
                <w:color w:val="auto"/>
              </w:rPr>
              <w:t>Audit</w:t>
            </w:r>
          </w:p>
        </w:tc>
        <w:tc>
          <w:tcPr>
            <w:tcW w:w="1620" w:type="dxa"/>
            <w:vAlign w:val="bottom"/>
            <w:tcBorders>
              <w:bottom w:val="single" w:sz="8" w:color="F2F2F2"/>
            </w:tcBorders>
            <w:shd w:val="clear" w:color="auto" w:fill="F2F2F2"/>
          </w:tcPr>
          <w:p>
            <w:pPr>
              <w:ind w:left="100"/>
              <w:spacing w:after="0"/>
              <w:rPr>
                <w:sz w:val="20"/>
                <w:szCs w:val="20"/>
                <w:color w:val="auto"/>
              </w:rPr>
            </w:pPr>
            <w:r>
              <w:rPr>
                <w:rFonts w:ascii="Arial" w:cs="Arial" w:eastAsia="Arial" w:hAnsi="Arial"/>
                <w:sz w:val="11"/>
                <w:szCs w:val="11"/>
                <w:b w:val="1"/>
                <w:bCs w:val="1"/>
                <w:color w:val="auto"/>
              </w:rPr>
              <w:t>Compensation  Executive</w:t>
            </w:r>
          </w:p>
        </w:tc>
        <w:tc>
          <w:tcPr>
            <w:tcW w:w="660" w:type="dxa"/>
            <w:vAlign w:val="bottom"/>
            <w:tcBorders>
              <w:bottom w:val="single" w:sz="8" w:color="F2F2F2"/>
            </w:tcBorders>
            <w:shd w:val="clear" w:color="auto" w:fill="F2F2F2"/>
          </w:tcPr>
          <w:p>
            <w:pPr>
              <w:ind w:left="140"/>
              <w:spacing w:after="0"/>
              <w:rPr>
                <w:sz w:val="20"/>
                <w:szCs w:val="20"/>
                <w:color w:val="auto"/>
              </w:rPr>
            </w:pPr>
            <w:r>
              <w:rPr>
                <w:rFonts w:ascii="Arial" w:cs="Arial" w:eastAsia="Arial" w:hAnsi="Arial"/>
                <w:sz w:val="11"/>
                <w:szCs w:val="11"/>
                <w:b w:val="1"/>
                <w:bCs w:val="1"/>
                <w:color w:val="auto"/>
              </w:rPr>
              <w:t>Finance</w:t>
            </w:r>
          </w:p>
        </w:tc>
        <w:tc>
          <w:tcPr>
            <w:tcW w:w="860" w:type="dxa"/>
            <w:vAlign w:val="bottom"/>
            <w:tcBorders>
              <w:bottom w:val="single" w:sz="8" w:color="F2F2F2"/>
            </w:tcBorders>
            <w:shd w:val="clear" w:color="auto" w:fill="F2F2F2"/>
          </w:tcPr>
          <w:p>
            <w:pPr>
              <w:jc w:val="center"/>
              <w:ind w:left="46"/>
              <w:spacing w:after="0"/>
              <w:rPr>
                <w:sz w:val="20"/>
                <w:szCs w:val="20"/>
                <w:color w:val="auto"/>
              </w:rPr>
            </w:pPr>
            <w:r>
              <w:rPr>
                <w:rFonts w:ascii="Arial" w:cs="Arial" w:eastAsia="Arial" w:hAnsi="Arial"/>
                <w:sz w:val="11"/>
                <w:szCs w:val="11"/>
                <w:b w:val="1"/>
                <w:bCs w:val="1"/>
                <w:color w:val="auto"/>
              </w:rPr>
              <w:t>Governance</w:t>
            </w:r>
          </w:p>
        </w:tc>
        <w:tc>
          <w:tcPr>
            <w:tcW w:w="82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1"/>
                <w:szCs w:val="11"/>
                <w:b w:val="1"/>
                <w:bCs w:val="1"/>
                <w:color w:val="auto"/>
              </w:rPr>
              <w:t>Responsibility</w:t>
            </w:r>
          </w:p>
        </w:tc>
        <w:tc>
          <w:tcPr>
            <w:tcW w:w="0" w:type="dxa"/>
            <w:vAlign w:val="bottom"/>
          </w:tcPr>
          <w:p>
            <w:pPr>
              <w:spacing w:after="0"/>
              <w:rPr>
                <w:sz w:val="1"/>
                <w:szCs w:val="1"/>
                <w:color w:val="auto"/>
              </w:rPr>
            </w:pPr>
          </w:p>
        </w:tc>
      </w:tr>
      <w:tr>
        <w:trPr>
          <w:trHeight w:val="214"/>
        </w:trPr>
        <w:tc>
          <w:tcPr>
            <w:tcW w:w="3740" w:type="dxa"/>
            <w:vAlign w:val="bottom"/>
            <w:gridSpan w:val="2"/>
          </w:tcPr>
          <w:p>
            <w:pPr>
              <w:spacing w:after="0"/>
              <w:rPr>
                <w:sz w:val="20"/>
                <w:szCs w:val="20"/>
                <w:color w:val="auto"/>
              </w:rPr>
            </w:pPr>
            <w:r>
              <w:rPr>
                <w:rFonts w:ascii="Arial" w:cs="Arial" w:eastAsia="Arial" w:hAnsi="Arial"/>
                <w:sz w:val="13"/>
                <w:szCs w:val="13"/>
                <w:b w:val="1"/>
                <w:bCs w:val="1"/>
                <w:i w:val="1"/>
                <w:iCs w:val="1"/>
                <w:color w:val="1414D2"/>
              </w:rPr>
              <w:t>Directors to be Elected by the Holders of Common Stock</w:t>
            </w: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1414D2"/>
        </w:rPr>
        <w:t>Rosalind Brewer</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860" w:type="dxa"/>
            <w:vAlign w:val="bottom"/>
            <w:gridSpan w:val="2"/>
          </w:tcPr>
          <w:p>
            <w:pPr>
              <w:ind w:left="640"/>
              <w:spacing w:after="0"/>
              <w:rPr>
                <w:sz w:val="20"/>
                <w:szCs w:val="20"/>
                <w:color w:val="auto"/>
              </w:rPr>
            </w:pPr>
            <w:r>
              <w:rPr>
                <w:rFonts w:ascii="Arial" w:cs="Arial" w:eastAsia="Arial" w:hAnsi="Arial"/>
                <w:sz w:val="13"/>
                <w:szCs w:val="13"/>
                <w:color w:val="auto"/>
                <w:w w:val="94"/>
              </w:rPr>
              <w:t>Former CEO, Walgreens Boots Alliance,</w:t>
            </w:r>
          </w:p>
        </w:tc>
        <w:tc>
          <w:tcPr>
            <w:tcW w:w="320" w:type="dxa"/>
            <w:vAlign w:val="bottom"/>
          </w:tcPr>
          <w:p>
            <w:pPr>
              <w:jc w:val="right"/>
              <w:ind w:right="8"/>
              <w:spacing w:after="0"/>
              <w:rPr>
                <w:sz w:val="20"/>
                <w:szCs w:val="20"/>
                <w:color w:val="auto"/>
              </w:rPr>
            </w:pPr>
            <w:r>
              <w:rPr>
                <w:rFonts w:ascii="Arial" w:cs="Arial" w:eastAsia="Arial" w:hAnsi="Arial"/>
                <w:sz w:val="14"/>
                <w:szCs w:val="14"/>
                <w:color w:val="auto"/>
              </w:rPr>
              <w:t>63</w:t>
            </w:r>
          </w:p>
        </w:tc>
        <w:tc>
          <w:tcPr>
            <w:tcW w:w="840" w:type="dxa"/>
            <w:vAlign w:val="bottom"/>
          </w:tcPr>
          <w:p>
            <w:pPr>
              <w:jc w:val="right"/>
              <w:ind w:right="348"/>
              <w:spacing w:after="0"/>
              <w:rPr>
                <w:sz w:val="20"/>
                <w:szCs w:val="20"/>
                <w:color w:val="auto"/>
              </w:rPr>
            </w:pPr>
            <w:r>
              <w:rPr>
                <w:rFonts w:ascii="Arial" w:cs="Arial" w:eastAsia="Arial" w:hAnsi="Arial"/>
                <w:sz w:val="14"/>
                <w:szCs w:val="14"/>
                <w:color w:val="auto"/>
              </w:rPr>
              <w:t>2024</w:t>
            </w:r>
          </w:p>
        </w:tc>
        <w:tc>
          <w:tcPr>
            <w:tcW w:w="540" w:type="dxa"/>
            <w:vAlign w:val="bottom"/>
          </w:tcPr>
          <w:p>
            <w:pPr>
              <w:spacing w:after="0"/>
              <w:rPr>
                <w:sz w:val="15"/>
                <w:szCs w:val="15"/>
                <w:color w:val="auto"/>
              </w:rPr>
            </w:pPr>
          </w:p>
        </w:tc>
        <w:tc>
          <w:tcPr>
            <w:tcW w:w="580" w:type="dxa"/>
            <w:vAlign w:val="bottom"/>
          </w:tcPr>
          <w:p>
            <w:pPr>
              <w:ind w:left="26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Wingdings" w:cs="Wingdings" w:eastAsia="Wingdings" w:hAnsi="Wingdings"/>
                <w:sz w:val="16"/>
                <w:szCs w:val="16"/>
                <w:b w:val="1"/>
                <w:bCs w:val="1"/>
                <w:color w:val="1414D2"/>
                <w:w w:val="97"/>
              </w:rPr>
              <w:t>¢</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gridSpan w:val="2"/>
          </w:tcPr>
          <w:p>
            <w:pPr>
              <w:jc w:val="center"/>
              <w:ind w:left="99"/>
              <w:spacing w:after="0"/>
              <w:rPr>
                <w:sz w:val="20"/>
                <w:szCs w:val="20"/>
                <w:color w:val="auto"/>
              </w:rPr>
            </w:pPr>
            <w:r>
              <w:rPr>
                <w:rFonts w:ascii="Wingdings" w:cs="Wingdings" w:eastAsia="Wingdings" w:hAnsi="Wingdings"/>
                <w:sz w:val="16"/>
                <w:szCs w:val="16"/>
                <w:b w:val="1"/>
                <w:bCs w:val="1"/>
                <w:color w:val="1414D2"/>
              </w:rPr>
              <w:t>¢</w:t>
            </w: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60" w:type="dxa"/>
            <w:vAlign w:val="bottom"/>
            <w:gridSpan w:val="2"/>
          </w:tcPr>
          <w:p>
            <w:pPr>
              <w:ind w:left="640"/>
              <w:spacing w:after="0"/>
              <w:rPr>
                <w:sz w:val="20"/>
                <w:szCs w:val="20"/>
                <w:color w:val="auto"/>
              </w:rPr>
            </w:pPr>
            <w:r>
              <w:rPr>
                <w:rFonts w:ascii="Arial" w:cs="Arial" w:eastAsia="Arial" w:hAnsi="Arial"/>
                <w:sz w:val="13"/>
                <w:szCs w:val="13"/>
                <w:color w:val="auto"/>
                <w:w w:val="94"/>
              </w:rPr>
              <w:t>Inc.; Interim President, Spelman College</w:t>
            </w: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2400" w:type="dxa"/>
            <w:vAlign w:val="bottom"/>
            <w:tcBorders>
              <w:bottom w:val="single" w:sz="8" w:color="808080"/>
            </w:tcBorders>
          </w:tcPr>
          <w:p>
            <w:pPr>
              <w:spacing w:after="0"/>
              <w:rPr>
                <w:sz w:val="6"/>
                <w:szCs w:val="6"/>
                <w:color w:val="auto"/>
              </w:rPr>
            </w:pPr>
          </w:p>
        </w:tc>
        <w:tc>
          <w:tcPr>
            <w:tcW w:w="460" w:type="dxa"/>
            <w:vAlign w:val="bottom"/>
            <w:tcBorders>
              <w:bottom w:val="single" w:sz="8" w:color="808080"/>
            </w:tcBorders>
          </w:tcPr>
          <w:p>
            <w:pPr>
              <w:spacing w:after="0"/>
              <w:rPr>
                <w:sz w:val="6"/>
                <w:szCs w:val="6"/>
                <w:color w:val="auto"/>
              </w:rPr>
            </w:pPr>
          </w:p>
        </w:tc>
        <w:tc>
          <w:tcPr>
            <w:tcW w:w="320" w:type="dxa"/>
            <w:vAlign w:val="bottom"/>
            <w:tcBorders>
              <w:bottom w:val="single" w:sz="8" w:color="808080"/>
            </w:tcBorders>
          </w:tcPr>
          <w:p>
            <w:pPr>
              <w:spacing w:after="0"/>
              <w:rPr>
                <w:sz w:val="6"/>
                <w:szCs w:val="6"/>
                <w:color w:val="auto"/>
              </w:rPr>
            </w:pPr>
          </w:p>
        </w:tc>
        <w:tc>
          <w:tcPr>
            <w:tcW w:w="840" w:type="dxa"/>
            <w:vAlign w:val="bottom"/>
            <w:tcBorders>
              <w:bottom w:val="single" w:sz="8" w:color="808080"/>
            </w:tcBorders>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580" w:type="dxa"/>
            <w:vAlign w:val="bottom"/>
            <w:tcBorders>
              <w:bottom w:val="single" w:sz="8" w:color="808080"/>
            </w:tcBorders>
          </w:tcPr>
          <w:p>
            <w:pPr>
              <w:spacing w:after="0"/>
              <w:rPr>
                <w:sz w:val="6"/>
                <w:szCs w:val="6"/>
                <w:color w:val="auto"/>
              </w:rPr>
            </w:pPr>
          </w:p>
        </w:tc>
        <w:tc>
          <w:tcPr>
            <w:tcW w:w="720" w:type="dxa"/>
            <w:vAlign w:val="bottom"/>
            <w:tcBorders>
              <w:bottom w:val="single" w:sz="8" w:color="808080"/>
            </w:tcBorders>
          </w:tcPr>
          <w:p>
            <w:pPr>
              <w:spacing w:after="0"/>
              <w:rPr>
                <w:sz w:val="6"/>
                <w:szCs w:val="6"/>
                <w:color w:val="auto"/>
              </w:rPr>
            </w:pPr>
          </w:p>
        </w:tc>
        <w:tc>
          <w:tcPr>
            <w:tcW w:w="78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360" w:type="dxa"/>
            <w:vAlign w:val="bottom"/>
            <w:tcBorders>
              <w:bottom w:val="single" w:sz="8" w:color="808080"/>
            </w:tcBorders>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800" w:type="dxa"/>
            <w:vAlign w:val="bottom"/>
            <w:tcBorders>
              <w:bottom w:val="single" w:sz="8" w:color="808080"/>
            </w:tcBorders>
          </w:tcPr>
          <w:p>
            <w:pPr>
              <w:spacing w:after="0"/>
              <w:rPr>
                <w:sz w:val="6"/>
                <w:szCs w:val="6"/>
                <w:color w:val="auto"/>
              </w:rPr>
            </w:pPr>
          </w:p>
        </w:tc>
        <w:tc>
          <w:tcPr>
            <w:tcW w:w="800" w:type="dxa"/>
            <w:vAlign w:val="bottom"/>
            <w:tcBorders>
              <w:bottom w:val="single" w:sz="8" w:color="808080"/>
            </w:tcBorders>
          </w:tcPr>
          <w:p>
            <w:pPr>
              <w:spacing w:after="0"/>
              <w:rPr>
                <w:sz w:val="6"/>
                <w:szCs w:val="6"/>
                <w:color w:val="auto"/>
              </w:rPr>
            </w:pPr>
          </w:p>
        </w:tc>
        <w:tc>
          <w:tcPr>
            <w:tcW w:w="80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2400" w:type="dxa"/>
            <w:vAlign w:val="bottom"/>
          </w:tcPr>
          <w:p>
            <w:pPr>
              <w:ind w:left="640"/>
              <w:spacing w:after="0"/>
              <w:rPr>
                <w:sz w:val="20"/>
                <w:szCs w:val="20"/>
                <w:color w:val="auto"/>
              </w:rPr>
            </w:pPr>
            <w:r>
              <w:rPr>
                <w:rFonts w:ascii="Arial" w:cs="Arial" w:eastAsia="Arial" w:hAnsi="Arial"/>
                <w:sz w:val="14"/>
                <w:szCs w:val="14"/>
                <w:b w:val="1"/>
                <w:bCs w:val="1"/>
                <w:color w:val="1414D2"/>
              </w:rPr>
              <w:t>Michelle Freyre</w:t>
            </w: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400" w:type="dxa"/>
            <w:vAlign w:val="bottom"/>
          </w:tcPr>
          <w:p>
            <w:pPr>
              <w:ind w:left="640"/>
              <w:spacing w:after="0"/>
              <w:rPr>
                <w:sz w:val="20"/>
                <w:szCs w:val="20"/>
                <w:color w:val="auto"/>
              </w:rPr>
            </w:pPr>
            <w:r>
              <w:rPr>
                <w:rFonts w:ascii="Arial" w:cs="Arial" w:eastAsia="Arial" w:hAnsi="Arial"/>
                <w:sz w:val="13"/>
                <w:szCs w:val="13"/>
                <w:color w:val="auto"/>
                <w:highlight w:val="white"/>
              </w:rPr>
              <w:t>Global Brand President,</w:t>
            </w:r>
          </w:p>
        </w:tc>
        <w:tc>
          <w:tcPr>
            <w:tcW w:w="460" w:type="dxa"/>
            <w:vAlign w:val="bottom"/>
          </w:tcPr>
          <w:p>
            <w:pPr>
              <w:spacing w:after="0"/>
              <w:rPr>
                <w:sz w:val="12"/>
                <w:szCs w:val="12"/>
                <w:color w:val="auto"/>
              </w:rPr>
            </w:pPr>
          </w:p>
        </w:tc>
        <w:tc>
          <w:tcPr>
            <w:tcW w:w="320" w:type="dxa"/>
            <w:vAlign w:val="bottom"/>
          </w:tcPr>
          <w:p>
            <w:pPr>
              <w:jc w:val="right"/>
              <w:ind w:right="8"/>
              <w:spacing w:after="0" w:line="149" w:lineRule="exact"/>
              <w:rPr>
                <w:sz w:val="20"/>
                <w:szCs w:val="20"/>
                <w:color w:val="auto"/>
              </w:rPr>
            </w:pPr>
            <w:r>
              <w:rPr>
                <w:rFonts w:ascii="Arial" w:cs="Arial" w:eastAsia="Arial" w:hAnsi="Arial"/>
                <w:sz w:val="14"/>
                <w:szCs w:val="14"/>
                <w:color w:val="auto"/>
              </w:rPr>
              <w:t>55</w:t>
            </w:r>
          </w:p>
        </w:tc>
        <w:tc>
          <w:tcPr>
            <w:tcW w:w="840" w:type="dxa"/>
            <w:vAlign w:val="bottom"/>
          </w:tcPr>
          <w:p>
            <w:pPr>
              <w:jc w:val="right"/>
              <w:ind w:right="348"/>
              <w:spacing w:after="0" w:line="149" w:lineRule="exact"/>
              <w:rPr>
                <w:sz w:val="20"/>
                <w:szCs w:val="20"/>
                <w:color w:val="auto"/>
              </w:rPr>
            </w:pPr>
            <w:r>
              <w:rPr>
                <w:rFonts w:ascii="Arial" w:cs="Arial" w:eastAsia="Arial" w:hAnsi="Arial"/>
                <w:sz w:val="14"/>
                <w:szCs w:val="14"/>
                <w:color w:val="auto"/>
              </w:rPr>
              <w:t>2024</w:t>
            </w:r>
          </w:p>
        </w:tc>
        <w:tc>
          <w:tcPr>
            <w:tcW w:w="540" w:type="dxa"/>
            <w:vAlign w:val="bottom"/>
          </w:tcPr>
          <w:p>
            <w:pPr>
              <w:spacing w:after="0"/>
              <w:rPr>
                <w:sz w:val="12"/>
                <w:szCs w:val="12"/>
                <w:color w:val="auto"/>
              </w:rPr>
            </w:pPr>
          </w:p>
        </w:tc>
        <w:tc>
          <w:tcPr>
            <w:tcW w:w="58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gridSpan w:val="2"/>
          </w:tcPr>
          <w:p>
            <w:pPr>
              <w:jc w:val="center"/>
              <w:ind w:left="99"/>
              <w:spacing w:after="0" w:line="149" w:lineRule="exact"/>
              <w:rPr>
                <w:sz w:val="20"/>
                <w:szCs w:val="20"/>
                <w:color w:val="auto"/>
              </w:rPr>
            </w:pPr>
            <w:r>
              <w:rPr>
                <w:rFonts w:ascii="Wingdings" w:cs="Wingdings" w:eastAsia="Wingdings" w:hAnsi="Wingdings"/>
                <w:sz w:val="16"/>
                <w:szCs w:val="16"/>
                <w:b w:val="1"/>
                <w:bCs w:val="1"/>
                <w:color w:val="1414D2"/>
              </w:rPr>
              <w:t>¢</w:t>
            </w:r>
          </w:p>
        </w:tc>
        <w:tc>
          <w:tcPr>
            <w:tcW w:w="8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Wingdings" w:cs="Wingdings" w:eastAsia="Wingdings" w:hAnsi="Wingdings"/>
                <w:sz w:val="16"/>
                <w:szCs w:val="16"/>
                <w:b w:val="1"/>
                <w:bCs w:val="1"/>
                <w:color w:val="1414D2"/>
              </w:rPr>
              <w:t>¢</w:t>
            </w:r>
          </w:p>
        </w:tc>
        <w:tc>
          <w:tcPr>
            <w:tcW w:w="0" w:type="dxa"/>
            <w:vAlign w:val="bottom"/>
          </w:tcPr>
          <w:p>
            <w:pPr>
              <w:spacing w:after="0"/>
              <w:rPr>
                <w:sz w:val="1"/>
                <w:szCs w:val="1"/>
                <w:color w:val="auto"/>
              </w:rPr>
            </w:pPr>
          </w:p>
        </w:tc>
      </w:tr>
      <w:tr>
        <w:trPr>
          <w:trHeight w:val="149"/>
        </w:trPr>
        <w:tc>
          <w:tcPr>
            <w:tcW w:w="2860" w:type="dxa"/>
            <w:vAlign w:val="bottom"/>
            <w:gridSpan w:val="2"/>
          </w:tcPr>
          <w:p>
            <w:pPr>
              <w:ind w:left="640"/>
              <w:spacing w:after="0"/>
              <w:rPr>
                <w:sz w:val="20"/>
                <w:szCs w:val="20"/>
                <w:color w:val="auto"/>
              </w:rPr>
            </w:pPr>
            <w:r>
              <w:rPr>
                <w:rFonts w:ascii="Arial" w:cs="Arial" w:eastAsia="Arial" w:hAnsi="Arial"/>
                <w:sz w:val="13"/>
                <w:szCs w:val="13"/>
                <w:color w:val="auto"/>
              </w:rPr>
              <w:t>Clinique and Dermatological Brands,</w:t>
            </w: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860" w:type="dxa"/>
            <w:vAlign w:val="bottom"/>
            <w:gridSpan w:val="2"/>
          </w:tcPr>
          <w:p>
            <w:pPr>
              <w:ind w:left="640"/>
              <w:spacing w:after="0"/>
              <w:rPr>
                <w:sz w:val="20"/>
                <w:szCs w:val="20"/>
                <w:color w:val="auto"/>
              </w:rPr>
            </w:pPr>
            <w:r>
              <w:rPr>
                <w:rFonts w:ascii="Arial" w:cs="Arial" w:eastAsia="Arial" w:hAnsi="Arial"/>
                <w:sz w:val="13"/>
                <w:szCs w:val="13"/>
                <w:color w:val="auto"/>
                <w:highlight w:val="white"/>
              </w:rPr>
              <w:t>The Estée Lauder Companies, Inc.</w:t>
            </w: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2400" w:type="dxa"/>
            <w:vAlign w:val="bottom"/>
            <w:tcBorders>
              <w:bottom w:val="single" w:sz="8" w:color="808080"/>
            </w:tcBorders>
          </w:tcPr>
          <w:p>
            <w:pPr>
              <w:spacing w:after="0"/>
              <w:rPr>
                <w:sz w:val="2"/>
                <w:szCs w:val="2"/>
                <w:color w:val="auto"/>
              </w:rPr>
            </w:pPr>
          </w:p>
        </w:tc>
        <w:tc>
          <w:tcPr>
            <w:tcW w:w="460" w:type="dxa"/>
            <w:vAlign w:val="bottom"/>
            <w:tcBorders>
              <w:bottom w:val="single" w:sz="8" w:color="808080"/>
            </w:tcBorders>
          </w:tcPr>
          <w:p>
            <w:pPr>
              <w:spacing w:after="0"/>
              <w:rPr>
                <w:sz w:val="2"/>
                <w:szCs w:val="2"/>
                <w:color w:val="auto"/>
              </w:rPr>
            </w:pPr>
          </w:p>
        </w:tc>
        <w:tc>
          <w:tcPr>
            <w:tcW w:w="320" w:type="dxa"/>
            <w:vAlign w:val="bottom"/>
            <w:tcBorders>
              <w:bottom w:val="single" w:sz="8" w:color="808080"/>
            </w:tcBorders>
          </w:tcPr>
          <w:p>
            <w:pPr>
              <w:spacing w:after="0"/>
              <w:rPr>
                <w:sz w:val="2"/>
                <w:szCs w:val="2"/>
                <w:color w:val="auto"/>
              </w:rPr>
            </w:pPr>
          </w:p>
        </w:tc>
        <w:tc>
          <w:tcPr>
            <w:tcW w:w="840" w:type="dxa"/>
            <w:vAlign w:val="bottom"/>
            <w:tcBorders>
              <w:bottom w:val="single" w:sz="8" w:color="808080"/>
            </w:tcBorders>
          </w:tcPr>
          <w:p>
            <w:pPr>
              <w:spacing w:after="0"/>
              <w:rPr>
                <w:sz w:val="2"/>
                <w:szCs w:val="2"/>
                <w:color w:val="auto"/>
              </w:rPr>
            </w:pPr>
          </w:p>
        </w:tc>
        <w:tc>
          <w:tcPr>
            <w:tcW w:w="540" w:type="dxa"/>
            <w:vAlign w:val="bottom"/>
            <w:tcBorders>
              <w:bottom w:val="single" w:sz="8" w:color="808080"/>
            </w:tcBorders>
          </w:tcPr>
          <w:p>
            <w:pPr>
              <w:spacing w:after="0"/>
              <w:rPr>
                <w:sz w:val="2"/>
                <w:szCs w:val="2"/>
                <w:color w:val="auto"/>
              </w:rPr>
            </w:pPr>
          </w:p>
        </w:tc>
        <w:tc>
          <w:tcPr>
            <w:tcW w:w="580" w:type="dxa"/>
            <w:vAlign w:val="bottom"/>
            <w:tcBorders>
              <w:bottom w:val="single" w:sz="8" w:color="808080"/>
            </w:tcBorders>
          </w:tcPr>
          <w:p>
            <w:pPr>
              <w:spacing w:after="0"/>
              <w:rPr>
                <w:sz w:val="2"/>
                <w:szCs w:val="2"/>
                <w:color w:val="auto"/>
              </w:rPr>
            </w:pPr>
          </w:p>
        </w:tc>
        <w:tc>
          <w:tcPr>
            <w:tcW w:w="720" w:type="dxa"/>
            <w:vAlign w:val="bottom"/>
            <w:tcBorders>
              <w:bottom w:val="single" w:sz="8" w:color="808080"/>
            </w:tcBorders>
          </w:tcPr>
          <w:p>
            <w:pPr>
              <w:spacing w:after="0"/>
              <w:rPr>
                <w:sz w:val="2"/>
                <w:szCs w:val="2"/>
                <w:color w:val="auto"/>
              </w:rPr>
            </w:pPr>
          </w:p>
        </w:tc>
        <w:tc>
          <w:tcPr>
            <w:tcW w:w="780" w:type="dxa"/>
            <w:vAlign w:val="bottom"/>
            <w:tcBorders>
              <w:bottom w:val="single" w:sz="8" w:color="808080"/>
            </w:tcBorders>
          </w:tcPr>
          <w:p>
            <w:pPr>
              <w:spacing w:after="0"/>
              <w:rPr>
                <w:sz w:val="2"/>
                <w:szCs w:val="2"/>
                <w:color w:val="auto"/>
              </w:rPr>
            </w:pPr>
          </w:p>
        </w:tc>
        <w:tc>
          <w:tcPr>
            <w:tcW w:w="140" w:type="dxa"/>
            <w:vAlign w:val="bottom"/>
            <w:tcBorders>
              <w:bottom w:val="single" w:sz="8" w:color="808080"/>
            </w:tcBorders>
          </w:tcPr>
          <w:p>
            <w:pPr>
              <w:spacing w:after="0"/>
              <w:rPr>
                <w:sz w:val="2"/>
                <w:szCs w:val="2"/>
                <w:color w:val="auto"/>
              </w:rPr>
            </w:pPr>
          </w:p>
        </w:tc>
        <w:tc>
          <w:tcPr>
            <w:tcW w:w="360" w:type="dxa"/>
            <w:vAlign w:val="bottom"/>
            <w:tcBorders>
              <w:bottom w:val="single" w:sz="8" w:color="808080"/>
            </w:tcBorders>
          </w:tcPr>
          <w:p>
            <w:pPr>
              <w:spacing w:after="0"/>
              <w:rPr>
                <w:sz w:val="2"/>
                <w:szCs w:val="2"/>
                <w:color w:val="auto"/>
              </w:rPr>
            </w:pPr>
          </w:p>
        </w:tc>
        <w:tc>
          <w:tcPr>
            <w:tcW w:w="180" w:type="dxa"/>
            <w:vAlign w:val="bottom"/>
            <w:tcBorders>
              <w:bottom w:val="single" w:sz="8" w:color="808080"/>
            </w:tcBorders>
          </w:tcPr>
          <w:p>
            <w:pPr>
              <w:spacing w:after="0"/>
              <w:rPr>
                <w:sz w:val="2"/>
                <w:szCs w:val="2"/>
                <w:color w:val="auto"/>
              </w:rPr>
            </w:pPr>
          </w:p>
        </w:tc>
        <w:tc>
          <w:tcPr>
            <w:tcW w:w="800" w:type="dxa"/>
            <w:vAlign w:val="bottom"/>
            <w:tcBorders>
              <w:bottom w:val="single" w:sz="8" w:color="808080"/>
            </w:tcBorders>
          </w:tcPr>
          <w:p>
            <w:pPr>
              <w:spacing w:after="0"/>
              <w:rPr>
                <w:sz w:val="2"/>
                <w:szCs w:val="2"/>
                <w:color w:val="auto"/>
              </w:rPr>
            </w:pPr>
          </w:p>
        </w:tc>
        <w:tc>
          <w:tcPr>
            <w:tcW w:w="800" w:type="dxa"/>
            <w:vAlign w:val="bottom"/>
            <w:tcBorders>
              <w:bottom w:val="single" w:sz="8" w:color="808080"/>
            </w:tcBorders>
          </w:tcPr>
          <w:p>
            <w:pPr>
              <w:spacing w:after="0"/>
              <w:rPr>
                <w:sz w:val="2"/>
                <w:szCs w:val="2"/>
                <w:color w:val="auto"/>
              </w:rPr>
            </w:pPr>
          </w:p>
        </w:tc>
        <w:tc>
          <w:tcPr>
            <w:tcW w:w="80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400" w:type="dxa"/>
            <w:vAlign w:val="bottom"/>
          </w:tcPr>
          <w:p>
            <w:pPr>
              <w:ind w:left="640"/>
              <w:spacing w:after="0"/>
              <w:rPr>
                <w:sz w:val="20"/>
                <w:szCs w:val="20"/>
                <w:color w:val="auto"/>
              </w:rPr>
            </w:pPr>
            <w:r>
              <w:rPr>
                <w:rFonts w:ascii="Arial" w:cs="Arial" w:eastAsia="Arial" w:hAnsi="Arial"/>
                <w:sz w:val="14"/>
                <w:szCs w:val="14"/>
                <w:b w:val="1"/>
                <w:bCs w:val="1"/>
                <w:color w:val="1414D2"/>
              </w:rPr>
              <w:t>Matthew Friend</w:t>
            </w:r>
          </w:p>
        </w:tc>
        <w:tc>
          <w:tcPr>
            <w:tcW w:w="460" w:type="dxa"/>
            <w:vAlign w:val="bottom"/>
          </w:tcPr>
          <w:p>
            <w:pPr>
              <w:spacing w:after="0"/>
              <w:rPr>
                <w:sz w:val="19"/>
                <w:szCs w:val="19"/>
                <w:color w:val="auto"/>
              </w:rPr>
            </w:pPr>
          </w:p>
        </w:tc>
        <w:tc>
          <w:tcPr>
            <w:tcW w:w="320" w:type="dxa"/>
            <w:vAlign w:val="bottom"/>
            <w:vMerge w:val="restart"/>
          </w:tcPr>
          <w:p>
            <w:pPr>
              <w:jc w:val="right"/>
              <w:ind w:right="8"/>
              <w:spacing w:after="0"/>
              <w:rPr>
                <w:sz w:val="20"/>
                <w:szCs w:val="20"/>
                <w:color w:val="auto"/>
              </w:rPr>
            </w:pPr>
            <w:r>
              <w:rPr>
                <w:rFonts w:ascii="Arial" w:cs="Arial" w:eastAsia="Arial" w:hAnsi="Arial"/>
                <w:sz w:val="14"/>
                <w:szCs w:val="14"/>
                <w:color w:val="auto"/>
              </w:rPr>
              <w:t>48</w:t>
            </w:r>
          </w:p>
        </w:tc>
        <w:tc>
          <w:tcPr>
            <w:tcW w:w="840" w:type="dxa"/>
            <w:vAlign w:val="bottom"/>
            <w:vMerge w:val="restart"/>
          </w:tcPr>
          <w:p>
            <w:pPr>
              <w:jc w:val="right"/>
              <w:ind w:right="348"/>
              <w:spacing w:after="0"/>
              <w:rPr>
                <w:sz w:val="20"/>
                <w:szCs w:val="20"/>
                <w:color w:val="auto"/>
              </w:rPr>
            </w:pPr>
            <w:r>
              <w:rPr>
                <w:rFonts w:ascii="Arial" w:cs="Arial" w:eastAsia="Arial" w:hAnsi="Arial"/>
                <w:sz w:val="14"/>
                <w:szCs w:val="14"/>
                <w:color w:val="auto"/>
              </w:rPr>
              <w:t>2021</w:t>
            </w:r>
          </w:p>
        </w:tc>
        <w:tc>
          <w:tcPr>
            <w:tcW w:w="540" w:type="dxa"/>
            <w:vAlign w:val="bottom"/>
          </w:tcPr>
          <w:p>
            <w:pPr>
              <w:spacing w:after="0"/>
              <w:rPr>
                <w:sz w:val="19"/>
                <w:szCs w:val="19"/>
                <w:color w:val="auto"/>
              </w:rPr>
            </w:pPr>
          </w:p>
        </w:tc>
        <w:tc>
          <w:tcPr>
            <w:tcW w:w="580" w:type="dxa"/>
            <w:vAlign w:val="bottom"/>
            <w:vMerge w:val="restart"/>
          </w:tcPr>
          <w:p>
            <w:pPr>
              <w:ind w:left="260"/>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center"/>
              <w:spacing w:after="0"/>
              <w:rPr>
                <w:sz w:val="20"/>
                <w:szCs w:val="20"/>
                <w:color w:val="auto"/>
              </w:rPr>
            </w:pPr>
            <w:r>
              <w:rPr>
                <w:rFonts w:ascii="Wingdings" w:cs="Wingdings" w:eastAsia="Wingdings" w:hAnsi="Wingdings"/>
                <w:sz w:val="16"/>
                <w:szCs w:val="16"/>
                <w:b w:val="1"/>
                <w:bCs w:val="1"/>
                <w:color w:val="1414D2"/>
                <w:w w:val="86"/>
              </w:rPr>
              <w:t xml:space="preserve">¢ </w:t>
            </w:r>
            <w:r>
              <w:rPr>
                <w:rFonts w:ascii="Times New Roman" w:cs="Times New Roman" w:eastAsia="Times New Roman" w:hAnsi="Times New Roman"/>
                <w:sz w:val="16"/>
                <w:szCs w:val="16"/>
                <w:color w:val="1414D2"/>
                <w:w w:val="86"/>
              </w:rPr>
              <w:t>▲</w:t>
            </w:r>
            <w:r>
              <w:rPr>
                <w:rFonts w:ascii="Arial" w:cs="Arial" w:eastAsia="Arial" w:hAnsi="Arial"/>
                <w:sz w:val="16"/>
                <w:szCs w:val="16"/>
                <w:color w:val="1414D2"/>
                <w:w w:val="86"/>
              </w:rPr>
              <w:t>​</w:t>
            </w:r>
          </w:p>
        </w:tc>
        <w:tc>
          <w:tcPr>
            <w:tcW w:w="780" w:type="dxa"/>
            <w:vAlign w:val="bottom"/>
            <w:vMerge w:val="restart"/>
          </w:tcPr>
          <w:p>
            <w:pPr>
              <w:jc w:val="center"/>
              <w:spacing w:after="0"/>
              <w:rPr>
                <w:sz w:val="20"/>
                <w:szCs w:val="20"/>
                <w:color w:val="auto"/>
              </w:rPr>
            </w:pPr>
            <w:r>
              <w:rPr>
                <w:rFonts w:ascii="Wingdings" w:cs="Wingdings" w:eastAsia="Wingdings" w:hAnsi="Wingdings"/>
                <w:sz w:val="16"/>
                <w:szCs w:val="16"/>
                <w:b w:val="1"/>
                <w:bCs w:val="1"/>
                <w:color w:val="1414D2"/>
                <w:w w:val="97"/>
              </w:rPr>
              <w:t>¢</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gridSpan w:val="2"/>
            <w:vMerge w:val="restart"/>
          </w:tcPr>
          <w:p>
            <w:pPr>
              <w:jc w:val="center"/>
              <w:ind w:left="99"/>
              <w:spacing w:after="0"/>
              <w:rPr>
                <w:sz w:val="20"/>
                <w:szCs w:val="20"/>
                <w:color w:val="auto"/>
              </w:rPr>
            </w:pPr>
            <w:r>
              <w:rPr>
                <w:rFonts w:ascii="Wingdings" w:cs="Wingdings" w:eastAsia="Wingdings" w:hAnsi="Wingdings"/>
                <w:sz w:val="16"/>
                <w:szCs w:val="16"/>
                <w:b w:val="1"/>
                <w:bCs w:val="1"/>
                <w:color w:val="1414D2"/>
              </w:rPr>
              <w:t>¢</w:t>
            </w: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2400" w:type="dxa"/>
            <w:vAlign w:val="bottom"/>
          </w:tcPr>
          <w:p>
            <w:pPr>
              <w:ind w:left="640"/>
              <w:spacing w:after="0"/>
              <w:rPr>
                <w:sz w:val="20"/>
                <w:szCs w:val="20"/>
                <w:color w:val="auto"/>
              </w:rPr>
            </w:pPr>
            <w:r>
              <w:rPr>
                <w:rFonts w:ascii="Arial" w:cs="Arial" w:eastAsia="Arial" w:hAnsi="Arial"/>
                <w:sz w:val="13"/>
                <w:szCs w:val="13"/>
                <w:color w:val="auto"/>
                <w:highlight w:val="white"/>
              </w:rPr>
              <w:t>EVP and CFO, NIKE, Inc.</w:t>
            </w:r>
          </w:p>
        </w:tc>
        <w:tc>
          <w:tcPr>
            <w:tcW w:w="460" w:type="dxa"/>
            <w:vAlign w:val="bottom"/>
          </w:tcPr>
          <w:p>
            <w:pPr>
              <w:spacing w:after="0"/>
              <w:rPr>
                <w:sz w:val="17"/>
                <w:szCs w:val="17"/>
                <w:color w:val="auto"/>
              </w:rPr>
            </w:pPr>
          </w:p>
        </w:tc>
        <w:tc>
          <w:tcPr>
            <w:tcW w:w="32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400" w:type="dxa"/>
            <w:vAlign w:val="bottom"/>
            <w:tcBorders>
              <w:bottom w:val="single" w:sz="8" w:color="808080"/>
            </w:tcBorders>
          </w:tcPr>
          <w:p>
            <w:pPr>
              <w:spacing w:after="0"/>
              <w:rPr>
                <w:sz w:val="18"/>
                <w:szCs w:val="18"/>
                <w:color w:val="auto"/>
              </w:rPr>
            </w:pPr>
          </w:p>
        </w:tc>
        <w:tc>
          <w:tcPr>
            <w:tcW w:w="46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c>
          <w:tcPr>
            <w:tcW w:w="840" w:type="dxa"/>
            <w:vAlign w:val="bottom"/>
            <w:tcBorders>
              <w:bottom w:val="single" w:sz="8" w:color="808080"/>
            </w:tcBorders>
          </w:tcPr>
          <w:p>
            <w:pPr>
              <w:spacing w:after="0"/>
              <w:rPr>
                <w:sz w:val="18"/>
                <w:szCs w:val="18"/>
                <w:color w:val="auto"/>
              </w:rPr>
            </w:pPr>
          </w:p>
        </w:tc>
        <w:tc>
          <w:tcPr>
            <w:tcW w:w="540" w:type="dxa"/>
            <w:vAlign w:val="bottom"/>
            <w:tcBorders>
              <w:bottom w:val="single" w:sz="8" w:color="808080"/>
            </w:tcBorders>
          </w:tcPr>
          <w:p>
            <w:pPr>
              <w:spacing w:after="0"/>
              <w:rPr>
                <w:sz w:val="18"/>
                <w:szCs w:val="18"/>
                <w:color w:val="auto"/>
              </w:rPr>
            </w:pPr>
          </w:p>
        </w:tc>
        <w:tc>
          <w:tcPr>
            <w:tcW w:w="580" w:type="dxa"/>
            <w:vAlign w:val="bottom"/>
            <w:tcBorders>
              <w:bottom w:val="single" w:sz="8" w:color="808080"/>
            </w:tcBorders>
          </w:tcPr>
          <w:p>
            <w:pPr>
              <w:spacing w:after="0"/>
              <w:rPr>
                <w:sz w:val="18"/>
                <w:szCs w:val="18"/>
                <w:color w:val="auto"/>
              </w:rPr>
            </w:pPr>
          </w:p>
        </w:tc>
        <w:tc>
          <w:tcPr>
            <w:tcW w:w="720" w:type="dxa"/>
            <w:vAlign w:val="bottom"/>
            <w:tcBorders>
              <w:bottom w:val="single" w:sz="8" w:color="808080"/>
            </w:tcBorders>
          </w:tcPr>
          <w:p>
            <w:pPr>
              <w:spacing w:after="0"/>
              <w:rPr>
                <w:sz w:val="18"/>
                <w:szCs w:val="18"/>
                <w:color w:val="auto"/>
              </w:rPr>
            </w:pPr>
          </w:p>
        </w:tc>
        <w:tc>
          <w:tcPr>
            <w:tcW w:w="78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36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400" w:type="dxa"/>
            <w:vAlign w:val="bottom"/>
          </w:tcPr>
          <w:p>
            <w:pPr>
              <w:ind w:left="640"/>
              <w:spacing w:after="0"/>
              <w:rPr>
                <w:sz w:val="20"/>
                <w:szCs w:val="20"/>
                <w:color w:val="auto"/>
              </w:rPr>
            </w:pPr>
            <w:r>
              <w:rPr>
                <w:rFonts w:ascii="Arial" w:cs="Arial" w:eastAsia="Arial" w:hAnsi="Arial"/>
                <w:sz w:val="14"/>
                <w:szCs w:val="14"/>
                <w:b w:val="1"/>
                <w:bCs w:val="1"/>
                <w:color w:val="1414D2"/>
              </w:rPr>
              <w:t>Barney Harford</w:t>
            </w:r>
          </w:p>
        </w:tc>
        <w:tc>
          <w:tcPr>
            <w:tcW w:w="460" w:type="dxa"/>
            <w:vAlign w:val="bottom"/>
          </w:tcPr>
          <w:p>
            <w:pPr>
              <w:spacing w:after="0"/>
              <w:rPr>
                <w:sz w:val="19"/>
                <w:szCs w:val="19"/>
                <w:color w:val="auto"/>
              </w:rPr>
            </w:pPr>
          </w:p>
        </w:tc>
        <w:tc>
          <w:tcPr>
            <w:tcW w:w="320" w:type="dxa"/>
            <w:vAlign w:val="bottom"/>
            <w:vMerge w:val="restart"/>
          </w:tcPr>
          <w:p>
            <w:pPr>
              <w:jc w:val="right"/>
              <w:ind w:right="8"/>
              <w:spacing w:after="0"/>
              <w:rPr>
                <w:sz w:val="20"/>
                <w:szCs w:val="20"/>
                <w:color w:val="auto"/>
              </w:rPr>
            </w:pPr>
            <w:r>
              <w:rPr>
                <w:rFonts w:ascii="Arial" w:cs="Arial" w:eastAsia="Arial" w:hAnsi="Arial"/>
                <w:sz w:val="14"/>
                <w:szCs w:val="14"/>
                <w:color w:val="auto"/>
              </w:rPr>
              <w:t>54</w:t>
            </w:r>
          </w:p>
        </w:tc>
        <w:tc>
          <w:tcPr>
            <w:tcW w:w="840" w:type="dxa"/>
            <w:vAlign w:val="bottom"/>
            <w:vMerge w:val="restart"/>
          </w:tcPr>
          <w:p>
            <w:pPr>
              <w:jc w:val="right"/>
              <w:ind w:right="348"/>
              <w:spacing w:after="0"/>
              <w:rPr>
                <w:sz w:val="20"/>
                <w:szCs w:val="20"/>
                <w:color w:val="auto"/>
              </w:rPr>
            </w:pPr>
            <w:r>
              <w:rPr>
                <w:rFonts w:ascii="Arial" w:cs="Arial" w:eastAsia="Arial" w:hAnsi="Arial"/>
                <w:sz w:val="14"/>
                <w:szCs w:val="14"/>
                <w:color w:val="auto"/>
              </w:rPr>
              <w:t>2016</w:t>
            </w:r>
          </w:p>
        </w:tc>
        <w:tc>
          <w:tcPr>
            <w:tcW w:w="540" w:type="dxa"/>
            <w:vAlign w:val="bottom"/>
          </w:tcPr>
          <w:p>
            <w:pPr>
              <w:spacing w:after="0"/>
              <w:rPr>
                <w:sz w:val="19"/>
                <w:szCs w:val="19"/>
                <w:color w:val="auto"/>
              </w:rPr>
            </w:pPr>
          </w:p>
        </w:tc>
        <w:tc>
          <w:tcPr>
            <w:tcW w:w="580" w:type="dxa"/>
            <w:vAlign w:val="bottom"/>
            <w:vMerge w:val="restart"/>
          </w:tcPr>
          <w:p>
            <w:pPr>
              <w:ind w:left="260"/>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center"/>
              <w:spacing w:after="0"/>
              <w:rPr>
                <w:sz w:val="20"/>
                <w:szCs w:val="20"/>
                <w:color w:val="auto"/>
              </w:rPr>
            </w:pPr>
            <w:r>
              <w:rPr>
                <w:rFonts w:ascii="Wingdings" w:cs="Wingdings" w:eastAsia="Wingdings" w:hAnsi="Wingdings"/>
                <w:sz w:val="16"/>
                <w:szCs w:val="16"/>
                <w:b w:val="1"/>
                <w:bCs w:val="1"/>
                <w:color w:val="1414D2"/>
              </w:rPr>
              <w:t>¢</w:t>
            </w: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gridSpan w:val="2"/>
            <w:vMerge w:val="restart"/>
          </w:tcPr>
          <w:p>
            <w:pPr>
              <w:jc w:val="center"/>
              <w:ind w:left="99"/>
              <w:spacing w:after="0"/>
              <w:rPr>
                <w:sz w:val="20"/>
                <w:szCs w:val="20"/>
                <w:color w:val="auto"/>
              </w:rPr>
            </w:pPr>
            <w:r>
              <w:rPr>
                <w:rFonts w:ascii="Wingdings" w:cs="Wingdings" w:eastAsia="Wingdings" w:hAnsi="Wingdings"/>
                <w:sz w:val="16"/>
                <w:szCs w:val="16"/>
                <w:b w:val="1"/>
                <w:bCs w:val="1"/>
                <w:color w:val="1414D2"/>
              </w:rPr>
              <w:t>¢</w:t>
            </w:r>
          </w:p>
        </w:tc>
        <w:tc>
          <w:tcPr>
            <w:tcW w:w="800" w:type="dxa"/>
            <w:vAlign w:val="bottom"/>
          </w:tcPr>
          <w:p>
            <w:pPr>
              <w:spacing w:after="0"/>
              <w:rPr>
                <w:sz w:val="19"/>
                <w:szCs w:val="19"/>
                <w:color w:val="auto"/>
              </w:rPr>
            </w:pPr>
          </w:p>
        </w:tc>
        <w:tc>
          <w:tcPr>
            <w:tcW w:w="800" w:type="dxa"/>
            <w:vAlign w:val="bottom"/>
            <w:vMerge w:val="restart"/>
          </w:tcPr>
          <w:p>
            <w:pPr>
              <w:jc w:val="center"/>
              <w:spacing w:after="0"/>
              <w:rPr>
                <w:sz w:val="20"/>
                <w:szCs w:val="20"/>
                <w:color w:val="auto"/>
              </w:rPr>
            </w:pPr>
            <w:r>
              <w:rPr>
                <w:rFonts w:ascii="Wingdings" w:cs="Wingdings" w:eastAsia="Wingdings" w:hAnsi="Wingdings"/>
                <w:sz w:val="16"/>
                <w:szCs w:val="16"/>
                <w:b w:val="1"/>
                <w:bCs w:val="1"/>
                <w:color w:val="1414D2"/>
              </w:rPr>
              <w:t>¢</w:t>
            </w:r>
          </w:p>
        </w:tc>
        <w:tc>
          <w:tcPr>
            <w:tcW w:w="0" w:type="dxa"/>
            <w:vAlign w:val="bottom"/>
          </w:tcPr>
          <w:p>
            <w:pPr>
              <w:spacing w:after="0"/>
              <w:rPr>
                <w:sz w:val="1"/>
                <w:szCs w:val="1"/>
                <w:color w:val="auto"/>
              </w:rPr>
            </w:pPr>
          </w:p>
        </w:tc>
      </w:tr>
      <w:tr>
        <w:trPr>
          <w:trHeight w:val="149"/>
        </w:trPr>
        <w:tc>
          <w:tcPr>
            <w:tcW w:w="2860" w:type="dxa"/>
            <w:vAlign w:val="bottom"/>
            <w:gridSpan w:val="2"/>
          </w:tcPr>
          <w:p>
            <w:pPr>
              <w:ind w:left="640"/>
              <w:spacing w:after="0"/>
              <w:rPr>
                <w:sz w:val="20"/>
                <w:szCs w:val="20"/>
                <w:color w:val="auto"/>
              </w:rPr>
            </w:pPr>
            <w:r>
              <w:rPr>
                <w:rFonts w:ascii="Arial" w:cs="Arial" w:eastAsia="Arial" w:hAnsi="Arial"/>
                <w:sz w:val="13"/>
                <w:szCs w:val="13"/>
                <w:color w:val="auto"/>
                <w:w w:val="98"/>
              </w:rPr>
              <w:t>Former COO, Uber Technologies, Inc.;</w:t>
            </w:r>
          </w:p>
        </w:tc>
        <w:tc>
          <w:tcPr>
            <w:tcW w:w="32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860" w:type="dxa"/>
            <w:vAlign w:val="bottom"/>
            <w:gridSpan w:val="2"/>
          </w:tcPr>
          <w:p>
            <w:pPr>
              <w:ind w:left="640"/>
              <w:spacing w:after="0"/>
              <w:rPr>
                <w:sz w:val="20"/>
                <w:szCs w:val="20"/>
                <w:color w:val="auto"/>
              </w:rPr>
            </w:pPr>
            <w:r>
              <w:rPr>
                <w:rFonts w:ascii="Arial" w:cs="Arial" w:eastAsia="Arial" w:hAnsi="Arial"/>
                <w:sz w:val="13"/>
                <w:szCs w:val="13"/>
                <w:color w:val="auto"/>
              </w:rPr>
              <w:t>Former CEO, Orbitz Worldwide, Inc.</w:t>
            </w: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2400" w:type="dxa"/>
            <w:vAlign w:val="bottom"/>
            <w:tcBorders>
              <w:bottom w:val="single" w:sz="8" w:color="808080"/>
            </w:tcBorders>
          </w:tcPr>
          <w:p>
            <w:pPr>
              <w:spacing w:after="0"/>
              <w:rPr>
                <w:sz w:val="6"/>
                <w:szCs w:val="6"/>
                <w:color w:val="auto"/>
              </w:rPr>
            </w:pPr>
          </w:p>
        </w:tc>
        <w:tc>
          <w:tcPr>
            <w:tcW w:w="460" w:type="dxa"/>
            <w:vAlign w:val="bottom"/>
            <w:tcBorders>
              <w:bottom w:val="single" w:sz="8" w:color="808080"/>
            </w:tcBorders>
          </w:tcPr>
          <w:p>
            <w:pPr>
              <w:spacing w:after="0"/>
              <w:rPr>
                <w:sz w:val="6"/>
                <w:szCs w:val="6"/>
                <w:color w:val="auto"/>
              </w:rPr>
            </w:pPr>
          </w:p>
        </w:tc>
        <w:tc>
          <w:tcPr>
            <w:tcW w:w="320" w:type="dxa"/>
            <w:vAlign w:val="bottom"/>
            <w:tcBorders>
              <w:bottom w:val="single" w:sz="8" w:color="808080"/>
            </w:tcBorders>
          </w:tcPr>
          <w:p>
            <w:pPr>
              <w:spacing w:after="0"/>
              <w:rPr>
                <w:sz w:val="6"/>
                <w:szCs w:val="6"/>
                <w:color w:val="auto"/>
              </w:rPr>
            </w:pPr>
          </w:p>
        </w:tc>
        <w:tc>
          <w:tcPr>
            <w:tcW w:w="840" w:type="dxa"/>
            <w:vAlign w:val="bottom"/>
            <w:tcBorders>
              <w:bottom w:val="single" w:sz="8" w:color="808080"/>
            </w:tcBorders>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580" w:type="dxa"/>
            <w:vAlign w:val="bottom"/>
            <w:tcBorders>
              <w:bottom w:val="single" w:sz="8" w:color="808080"/>
            </w:tcBorders>
          </w:tcPr>
          <w:p>
            <w:pPr>
              <w:spacing w:after="0"/>
              <w:rPr>
                <w:sz w:val="6"/>
                <w:szCs w:val="6"/>
                <w:color w:val="auto"/>
              </w:rPr>
            </w:pPr>
          </w:p>
        </w:tc>
        <w:tc>
          <w:tcPr>
            <w:tcW w:w="720" w:type="dxa"/>
            <w:vAlign w:val="bottom"/>
            <w:tcBorders>
              <w:bottom w:val="single" w:sz="8" w:color="808080"/>
            </w:tcBorders>
          </w:tcPr>
          <w:p>
            <w:pPr>
              <w:spacing w:after="0"/>
              <w:rPr>
                <w:sz w:val="6"/>
                <w:szCs w:val="6"/>
                <w:color w:val="auto"/>
              </w:rPr>
            </w:pPr>
          </w:p>
        </w:tc>
        <w:tc>
          <w:tcPr>
            <w:tcW w:w="78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360" w:type="dxa"/>
            <w:vAlign w:val="bottom"/>
            <w:tcBorders>
              <w:bottom w:val="single" w:sz="8" w:color="808080"/>
            </w:tcBorders>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800" w:type="dxa"/>
            <w:vAlign w:val="bottom"/>
            <w:tcBorders>
              <w:bottom w:val="single" w:sz="8" w:color="808080"/>
            </w:tcBorders>
          </w:tcPr>
          <w:p>
            <w:pPr>
              <w:spacing w:after="0"/>
              <w:rPr>
                <w:sz w:val="6"/>
                <w:szCs w:val="6"/>
                <w:color w:val="auto"/>
              </w:rPr>
            </w:pPr>
          </w:p>
        </w:tc>
        <w:tc>
          <w:tcPr>
            <w:tcW w:w="800" w:type="dxa"/>
            <w:vAlign w:val="bottom"/>
            <w:tcBorders>
              <w:bottom w:val="single" w:sz="8" w:color="808080"/>
            </w:tcBorders>
          </w:tcPr>
          <w:p>
            <w:pPr>
              <w:spacing w:after="0"/>
              <w:rPr>
                <w:sz w:val="6"/>
                <w:szCs w:val="6"/>
                <w:color w:val="auto"/>
              </w:rPr>
            </w:pPr>
          </w:p>
        </w:tc>
        <w:tc>
          <w:tcPr>
            <w:tcW w:w="80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2400" w:type="dxa"/>
            <w:vAlign w:val="bottom"/>
          </w:tcPr>
          <w:p>
            <w:pPr>
              <w:ind w:left="640"/>
              <w:spacing w:after="0"/>
              <w:rPr>
                <w:sz w:val="20"/>
                <w:szCs w:val="20"/>
                <w:color w:val="auto"/>
              </w:rPr>
            </w:pPr>
            <w:r>
              <w:rPr>
                <w:rFonts w:ascii="Arial" w:cs="Arial" w:eastAsia="Arial" w:hAnsi="Arial"/>
                <w:sz w:val="14"/>
                <w:szCs w:val="14"/>
                <w:b w:val="1"/>
                <w:bCs w:val="1"/>
                <w:color w:val="1414D2"/>
              </w:rPr>
              <w:t>Michele J. Hooper</w:t>
            </w:r>
          </w:p>
        </w:tc>
        <w:tc>
          <w:tcPr>
            <w:tcW w:w="460" w:type="dxa"/>
            <w:vAlign w:val="bottom"/>
          </w:tcPr>
          <w:p>
            <w:pPr>
              <w:spacing w:after="0"/>
              <w:rPr>
                <w:sz w:val="19"/>
                <w:szCs w:val="19"/>
                <w:color w:val="auto"/>
              </w:rPr>
            </w:pPr>
          </w:p>
        </w:tc>
        <w:tc>
          <w:tcPr>
            <w:tcW w:w="320" w:type="dxa"/>
            <w:vAlign w:val="bottom"/>
            <w:vMerge w:val="restart"/>
          </w:tcPr>
          <w:p>
            <w:pPr>
              <w:jc w:val="right"/>
              <w:ind w:right="8"/>
              <w:spacing w:after="0"/>
              <w:rPr>
                <w:sz w:val="20"/>
                <w:szCs w:val="20"/>
                <w:color w:val="auto"/>
              </w:rPr>
            </w:pPr>
            <w:r>
              <w:rPr>
                <w:rFonts w:ascii="Arial" w:cs="Arial" w:eastAsia="Arial" w:hAnsi="Arial"/>
                <w:sz w:val="14"/>
                <w:szCs w:val="14"/>
                <w:color w:val="auto"/>
              </w:rPr>
              <w:t>74</w:t>
            </w:r>
          </w:p>
        </w:tc>
        <w:tc>
          <w:tcPr>
            <w:tcW w:w="840" w:type="dxa"/>
            <w:vAlign w:val="bottom"/>
            <w:vMerge w:val="restart"/>
          </w:tcPr>
          <w:p>
            <w:pPr>
              <w:jc w:val="right"/>
              <w:ind w:right="348"/>
              <w:spacing w:after="0"/>
              <w:rPr>
                <w:sz w:val="20"/>
                <w:szCs w:val="20"/>
                <w:color w:val="auto"/>
              </w:rPr>
            </w:pPr>
            <w:r>
              <w:rPr>
                <w:rFonts w:ascii="Arial" w:cs="Arial" w:eastAsia="Arial" w:hAnsi="Arial"/>
                <w:sz w:val="14"/>
                <w:szCs w:val="14"/>
                <w:color w:val="auto"/>
              </w:rPr>
              <w:t>2018</w:t>
            </w:r>
          </w:p>
        </w:tc>
        <w:tc>
          <w:tcPr>
            <w:tcW w:w="540" w:type="dxa"/>
            <w:vAlign w:val="bottom"/>
          </w:tcPr>
          <w:p>
            <w:pPr>
              <w:spacing w:after="0"/>
              <w:rPr>
                <w:sz w:val="19"/>
                <w:szCs w:val="19"/>
                <w:color w:val="auto"/>
              </w:rPr>
            </w:pPr>
          </w:p>
        </w:tc>
        <w:tc>
          <w:tcPr>
            <w:tcW w:w="580" w:type="dxa"/>
            <w:vAlign w:val="bottom"/>
            <w:vMerge w:val="restart"/>
          </w:tcPr>
          <w:p>
            <w:pPr>
              <w:ind w:left="260"/>
              <w:spacing w:after="0"/>
              <w:rPr>
                <w:sz w:val="20"/>
                <w:szCs w:val="20"/>
                <w:color w:val="auto"/>
              </w:rPr>
            </w:pPr>
            <w:r>
              <w:rPr>
                <w:rFonts w:ascii="Arial" w:cs="Arial" w:eastAsia="Arial" w:hAnsi="Arial"/>
                <w:sz w:val="14"/>
                <w:szCs w:val="14"/>
                <w:color w:val="auto"/>
              </w:rPr>
              <w:t>1</w:t>
            </w:r>
          </w:p>
        </w:tc>
        <w:tc>
          <w:tcPr>
            <w:tcW w:w="720" w:type="dxa"/>
            <w:vAlign w:val="bottom"/>
            <w:vMerge w:val="restart"/>
          </w:tcPr>
          <w:p>
            <w:pPr>
              <w:ind w:left="220"/>
              <w:spacing w:after="0"/>
              <w:rPr>
                <w:sz w:val="20"/>
                <w:szCs w:val="20"/>
                <w:color w:val="auto"/>
              </w:rPr>
            </w:pPr>
            <w:r>
              <w:rPr>
                <w:rFonts w:ascii="Times New Roman" w:cs="Times New Roman" w:eastAsia="Times New Roman" w:hAnsi="Times New Roman"/>
                <w:sz w:val="16"/>
                <w:szCs w:val="16"/>
                <w:color w:val="1414D2"/>
              </w:rPr>
              <w:t>▲</w:t>
            </w: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vMerge w:val="restart"/>
          </w:tcPr>
          <w:p>
            <w:pPr>
              <w:jc w:val="center"/>
              <w:spacing w:after="0"/>
              <w:rPr>
                <w:sz w:val="20"/>
                <w:szCs w:val="20"/>
                <w:color w:val="auto"/>
              </w:rPr>
            </w:pPr>
            <w:r>
              <w:rPr>
                <w:rFonts w:ascii="Wingdings" w:cs="Wingdings" w:eastAsia="Wingdings" w:hAnsi="Wingdings"/>
                <w:sz w:val="16"/>
                <w:szCs w:val="16"/>
                <w:b w:val="1"/>
                <w:bCs w:val="1"/>
                <w:color w:val="1414D2"/>
                <w:w w:val="97"/>
              </w:rPr>
              <w:t>¢</w:t>
            </w: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vMerge w:val="restart"/>
          </w:tcPr>
          <w:p>
            <w:pPr>
              <w:jc w:val="center"/>
              <w:spacing w:after="0"/>
              <w:rPr>
                <w:sz w:val="20"/>
                <w:szCs w:val="20"/>
                <w:color w:val="auto"/>
              </w:rPr>
            </w:pPr>
            <w:r>
              <w:rPr>
                <w:rFonts w:ascii="Wingdings" w:cs="Wingdings" w:eastAsia="Wingdings" w:hAnsi="Wingdings"/>
                <w:sz w:val="16"/>
                <w:szCs w:val="16"/>
                <w:b w:val="1"/>
                <w:bCs w:val="1"/>
                <w:color w:val="1414D2"/>
                <w:w w:val="97"/>
              </w:rPr>
              <w:t>¢</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400" w:type="dxa"/>
            <w:vAlign w:val="bottom"/>
          </w:tcPr>
          <w:p>
            <w:pPr>
              <w:ind w:left="640"/>
              <w:spacing w:after="0"/>
              <w:rPr>
                <w:sz w:val="20"/>
                <w:szCs w:val="20"/>
                <w:color w:val="auto"/>
              </w:rPr>
            </w:pPr>
            <w:r>
              <w:rPr>
                <w:rFonts w:ascii="Arial" w:cs="Arial" w:eastAsia="Arial" w:hAnsi="Arial"/>
                <w:sz w:val="13"/>
                <w:szCs w:val="13"/>
                <w:color w:val="auto"/>
              </w:rPr>
              <w:t>President and CEO,</w:t>
            </w:r>
          </w:p>
        </w:tc>
        <w:tc>
          <w:tcPr>
            <w:tcW w:w="460" w:type="dxa"/>
            <w:vAlign w:val="bottom"/>
          </w:tcPr>
          <w:p>
            <w:pPr>
              <w:spacing w:after="0"/>
              <w:rPr>
                <w:sz w:val="12"/>
                <w:szCs w:val="12"/>
                <w:color w:val="auto"/>
              </w:rPr>
            </w:pPr>
          </w:p>
        </w:tc>
        <w:tc>
          <w:tcPr>
            <w:tcW w:w="32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400" w:type="dxa"/>
            <w:vAlign w:val="bottom"/>
          </w:tcPr>
          <w:p>
            <w:pPr>
              <w:ind w:left="640"/>
              <w:spacing w:after="0"/>
              <w:rPr>
                <w:sz w:val="20"/>
                <w:szCs w:val="20"/>
                <w:color w:val="auto"/>
              </w:rPr>
            </w:pPr>
            <w:r>
              <w:rPr>
                <w:rFonts w:ascii="Arial" w:cs="Arial" w:eastAsia="Arial" w:hAnsi="Arial"/>
                <w:sz w:val="13"/>
                <w:szCs w:val="13"/>
                <w:color w:val="auto"/>
              </w:rPr>
              <w:t>The Directors’ Council</w:t>
            </w: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2400" w:type="dxa"/>
            <w:vAlign w:val="bottom"/>
            <w:tcBorders>
              <w:bottom w:val="single" w:sz="8" w:color="808080"/>
            </w:tcBorders>
          </w:tcPr>
          <w:p>
            <w:pPr>
              <w:spacing w:after="0"/>
              <w:rPr>
                <w:sz w:val="6"/>
                <w:szCs w:val="6"/>
                <w:color w:val="auto"/>
              </w:rPr>
            </w:pPr>
          </w:p>
        </w:tc>
        <w:tc>
          <w:tcPr>
            <w:tcW w:w="460" w:type="dxa"/>
            <w:vAlign w:val="bottom"/>
            <w:tcBorders>
              <w:bottom w:val="single" w:sz="8" w:color="808080"/>
            </w:tcBorders>
          </w:tcPr>
          <w:p>
            <w:pPr>
              <w:spacing w:after="0"/>
              <w:rPr>
                <w:sz w:val="6"/>
                <w:szCs w:val="6"/>
                <w:color w:val="auto"/>
              </w:rPr>
            </w:pPr>
          </w:p>
        </w:tc>
        <w:tc>
          <w:tcPr>
            <w:tcW w:w="320" w:type="dxa"/>
            <w:vAlign w:val="bottom"/>
            <w:tcBorders>
              <w:bottom w:val="single" w:sz="8" w:color="808080"/>
            </w:tcBorders>
          </w:tcPr>
          <w:p>
            <w:pPr>
              <w:spacing w:after="0"/>
              <w:rPr>
                <w:sz w:val="6"/>
                <w:szCs w:val="6"/>
                <w:color w:val="auto"/>
              </w:rPr>
            </w:pPr>
          </w:p>
        </w:tc>
        <w:tc>
          <w:tcPr>
            <w:tcW w:w="840" w:type="dxa"/>
            <w:vAlign w:val="bottom"/>
            <w:tcBorders>
              <w:bottom w:val="single" w:sz="8" w:color="808080"/>
            </w:tcBorders>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580" w:type="dxa"/>
            <w:vAlign w:val="bottom"/>
            <w:tcBorders>
              <w:bottom w:val="single" w:sz="8" w:color="808080"/>
            </w:tcBorders>
          </w:tcPr>
          <w:p>
            <w:pPr>
              <w:spacing w:after="0"/>
              <w:rPr>
                <w:sz w:val="6"/>
                <w:szCs w:val="6"/>
                <w:color w:val="auto"/>
              </w:rPr>
            </w:pPr>
          </w:p>
        </w:tc>
        <w:tc>
          <w:tcPr>
            <w:tcW w:w="720" w:type="dxa"/>
            <w:vAlign w:val="bottom"/>
            <w:tcBorders>
              <w:bottom w:val="single" w:sz="8" w:color="808080"/>
            </w:tcBorders>
          </w:tcPr>
          <w:p>
            <w:pPr>
              <w:spacing w:after="0"/>
              <w:rPr>
                <w:sz w:val="6"/>
                <w:szCs w:val="6"/>
                <w:color w:val="auto"/>
              </w:rPr>
            </w:pPr>
          </w:p>
        </w:tc>
        <w:tc>
          <w:tcPr>
            <w:tcW w:w="78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360" w:type="dxa"/>
            <w:vAlign w:val="bottom"/>
            <w:tcBorders>
              <w:bottom w:val="single" w:sz="8" w:color="808080"/>
            </w:tcBorders>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800" w:type="dxa"/>
            <w:vAlign w:val="bottom"/>
            <w:tcBorders>
              <w:bottom w:val="single" w:sz="8" w:color="808080"/>
            </w:tcBorders>
          </w:tcPr>
          <w:p>
            <w:pPr>
              <w:spacing w:after="0"/>
              <w:rPr>
                <w:sz w:val="6"/>
                <w:szCs w:val="6"/>
                <w:color w:val="auto"/>
              </w:rPr>
            </w:pPr>
          </w:p>
        </w:tc>
        <w:tc>
          <w:tcPr>
            <w:tcW w:w="800" w:type="dxa"/>
            <w:vAlign w:val="bottom"/>
            <w:tcBorders>
              <w:bottom w:val="single" w:sz="8" w:color="808080"/>
            </w:tcBorders>
          </w:tcPr>
          <w:p>
            <w:pPr>
              <w:spacing w:after="0"/>
              <w:rPr>
                <w:sz w:val="6"/>
                <w:szCs w:val="6"/>
                <w:color w:val="auto"/>
              </w:rPr>
            </w:pPr>
          </w:p>
        </w:tc>
        <w:tc>
          <w:tcPr>
            <w:tcW w:w="80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2400" w:type="dxa"/>
            <w:vAlign w:val="bottom"/>
          </w:tcPr>
          <w:p>
            <w:pPr>
              <w:ind w:left="640"/>
              <w:spacing w:after="0"/>
              <w:rPr>
                <w:sz w:val="20"/>
                <w:szCs w:val="20"/>
                <w:color w:val="auto"/>
              </w:rPr>
            </w:pPr>
            <w:r>
              <w:rPr>
                <w:rFonts w:ascii="Arial" w:cs="Arial" w:eastAsia="Arial" w:hAnsi="Arial"/>
                <w:sz w:val="14"/>
                <w:szCs w:val="14"/>
                <w:b w:val="1"/>
                <w:bCs w:val="1"/>
                <w:color w:val="1414D2"/>
              </w:rPr>
              <w:t>Walter Isaacson</w:t>
            </w: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860" w:type="dxa"/>
            <w:vAlign w:val="bottom"/>
            <w:gridSpan w:val="2"/>
          </w:tcPr>
          <w:p>
            <w:pPr>
              <w:ind w:left="640"/>
              <w:spacing w:after="0"/>
              <w:rPr>
                <w:sz w:val="20"/>
                <w:szCs w:val="20"/>
                <w:color w:val="auto"/>
              </w:rPr>
            </w:pPr>
            <w:r>
              <w:rPr>
                <w:rFonts w:ascii="Arial" w:cs="Arial" w:eastAsia="Arial" w:hAnsi="Arial"/>
                <w:sz w:val="13"/>
                <w:szCs w:val="13"/>
                <w:color w:val="auto"/>
                <w:w w:val="97"/>
              </w:rPr>
              <w:t>Professor of History, Tulane University;</w:t>
            </w:r>
          </w:p>
        </w:tc>
        <w:tc>
          <w:tcPr>
            <w:tcW w:w="320" w:type="dxa"/>
            <w:vAlign w:val="bottom"/>
            <w:vMerge w:val="restart"/>
          </w:tcPr>
          <w:p>
            <w:pPr>
              <w:jc w:val="right"/>
              <w:ind w:right="8"/>
              <w:spacing w:after="0"/>
              <w:rPr>
                <w:sz w:val="20"/>
                <w:szCs w:val="20"/>
                <w:color w:val="auto"/>
              </w:rPr>
            </w:pPr>
            <w:r>
              <w:rPr>
                <w:rFonts w:ascii="Arial" w:cs="Arial" w:eastAsia="Arial" w:hAnsi="Arial"/>
                <w:sz w:val="14"/>
                <w:szCs w:val="14"/>
                <w:color w:val="auto"/>
              </w:rPr>
              <w:t>73</w:t>
            </w:r>
          </w:p>
        </w:tc>
        <w:tc>
          <w:tcPr>
            <w:tcW w:w="840" w:type="dxa"/>
            <w:vAlign w:val="bottom"/>
            <w:vMerge w:val="restart"/>
          </w:tcPr>
          <w:p>
            <w:pPr>
              <w:jc w:val="right"/>
              <w:ind w:right="328"/>
              <w:spacing w:after="0"/>
              <w:rPr>
                <w:sz w:val="20"/>
                <w:szCs w:val="20"/>
                <w:color w:val="auto"/>
              </w:rPr>
            </w:pPr>
            <w:r>
              <w:rPr>
                <w:rFonts w:ascii="Arial" w:cs="Arial" w:eastAsia="Arial" w:hAnsi="Arial"/>
                <w:sz w:val="14"/>
                <w:szCs w:val="14"/>
                <w:color w:val="auto"/>
              </w:rPr>
              <w:t>2006</w:t>
            </w:r>
          </w:p>
        </w:tc>
        <w:tc>
          <w:tcPr>
            <w:tcW w:w="540" w:type="dxa"/>
            <w:vAlign w:val="bottom"/>
          </w:tcPr>
          <w:p>
            <w:pPr>
              <w:spacing w:after="0"/>
              <w:rPr>
                <w:sz w:val="12"/>
                <w:szCs w:val="12"/>
                <w:color w:val="auto"/>
              </w:rPr>
            </w:pPr>
          </w:p>
        </w:tc>
        <w:tc>
          <w:tcPr>
            <w:tcW w:w="580" w:type="dxa"/>
            <w:vAlign w:val="bottom"/>
            <w:vMerge w:val="restart"/>
          </w:tcPr>
          <w:p>
            <w:pPr>
              <w:ind w:left="26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vMerge w:val="restart"/>
          </w:tcPr>
          <w:p>
            <w:pPr>
              <w:jc w:val="center"/>
              <w:spacing w:after="0"/>
              <w:rPr>
                <w:sz w:val="20"/>
                <w:szCs w:val="20"/>
                <w:color w:val="auto"/>
              </w:rPr>
            </w:pPr>
            <w:r>
              <w:rPr>
                <w:rFonts w:ascii="Wingdings" w:cs="Wingdings" w:eastAsia="Wingdings" w:hAnsi="Wingdings"/>
                <w:sz w:val="16"/>
                <w:szCs w:val="16"/>
                <w:b w:val="1"/>
                <w:bCs w:val="1"/>
                <w:color w:val="1414D2"/>
                <w:w w:val="97"/>
              </w:rPr>
              <w:t>¢</w:t>
            </w: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Wingdings" w:cs="Wingdings" w:eastAsia="Wingdings" w:hAnsi="Wingdings"/>
                <w:sz w:val="16"/>
                <w:szCs w:val="16"/>
                <w:b w:val="1"/>
                <w:bCs w:val="1"/>
                <w:color w:val="1414D2"/>
                <w:w w:val="97"/>
              </w:rPr>
              <w:t>¢</w:t>
            </w:r>
          </w:p>
        </w:tc>
        <w:tc>
          <w:tcPr>
            <w:tcW w:w="8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0" w:type="dxa"/>
            <w:vAlign w:val="bottom"/>
          </w:tcPr>
          <w:p>
            <w:pPr>
              <w:ind w:left="640"/>
              <w:spacing w:after="0"/>
              <w:rPr>
                <w:sz w:val="20"/>
                <w:szCs w:val="20"/>
                <w:color w:val="auto"/>
              </w:rPr>
            </w:pPr>
            <w:r>
              <w:rPr>
                <w:rFonts w:ascii="Arial" w:cs="Arial" w:eastAsia="Arial" w:hAnsi="Arial"/>
                <w:sz w:val="13"/>
                <w:szCs w:val="13"/>
                <w:color w:val="auto"/>
              </w:rPr>
              <w:t>Advisory Partner,</w:t>
            </w:r>
          </w:p>
        </w:tc>
        <w:tc>
          <w:tcPr>
            <w:tcW w:w="460" w:type="dxa"/>
            <w:vAlign w:val="bottom"/>
          </w:tcPr>
          <w:p>
            <w:pPr>
              <w:spacing w:after="0"/>
              <w:rPr>
                <w:sz w:val="12"/>
                <w:szCs w:val="12"/>
                <w:color w:val="auto"/>
              </w:rPr>
            </w:pPr>
          </w:p>
        </w:tc>
        <w:tc>
          <w:tcPr>
            <w:tcW w:w="32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400" w:type="dxa"/>
            <w:vAlign w:val="bottom"/>
          </w:tcPr>
          <w:p>
            <w:pPr>
              <w:ind w:left="640"/>
              <w:spacing w:after="0"/>
              <w:rPr>
                <w:sz w:val="20"/>
                <w:szCs w:val="20"/>
                <w:color w:val="auto"/>
              </w:rPr>
            </w:pPr>
            <w:r>
              <w:rPr>
                <w:rFonts w:ascii="Arial" w:cs="Arial" w:eastAsia="Arial" w:hAnsi="Arial"/>
                <w:sz w:val="13"/>
                <w:szCs w:val="13"/>
                <w:color w:val="auto"/>
              </w:rPr>
              <w:t>Perella Weinberg Partners LP</w:t>
            </w: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2400" w:type="dxa"/>
            <w:vAlign w:val="bottom"/>
            <w:tcBorders>
              <w:bottom w:val="single" w:sz="8" w:color="808080"/>
            </w:tcBorders>
          </w:tcPr>
          <w:p>
            <w:pPr>
              <w:spacing w:after="0"/>
              <w:rPr>
                <w:sz w:val="2"/>
                <w:szCs w:val="2"/>
                <w:color w:val="auto"/>
              </w:rPr>
            </w:pPr>
          </w:p>
        </w:tc>
        <w:tc>
          <w:tcPr>
            <w:tcW w:w="460" w:type="dxa"/>
            <w:vAlign w:val="bottom"/>
            <w:tcBorders>
              <w:bottom w:val="single" w:sz="8" w:color="808080"/>
            </w:tcBorders>
          </w:tcPr>
          <w:p>
            <w:pPr>
              <w:spacing w:after="0"/>
              <w:rPr>
                <w:sz w:val="2"/>
                <w:szCs w:val="2"/>
                <w:color w:val="auto"/>
              </w:rPr>
            </w:pPr>
          </w:p>
        </w:tc>
        <w:tc>
          <w:tcPr>
            <w:tcW w:w="320" w:type="dxa"/>
            <w:vAlign w:val="bottom"/>
            <w:tcBorders>
              <w:bottom w:val="single" w:sz="8" w:color="808080"/>
            </w:tcBorders>
          </w:tcPr>
          <w:p>
            <w:pPr>
              <w:spacing w:after="0"/>
              <w:rPr>
                <w:sz w:val="2"/>
                <w:szCs w:val="2"/>
                <w:color w:val="auto"/>
              </w:rPr>
            </w:pPr>
          </w:p>
        </w:tc>
        <w:tc>
          <w:tcPr>
            <w:tcW w:w="840" w:type="dxa"/>
            <w:vAlign w:val="bottom"/>
            <w:tcBorders>
              <w:bottom w:val="single" w:sz="8" w:color="808080"/>
            </w:tcBorders>
          </w:tcPr>
          <w:p>
            <w:pPr>
              <w:spacing w:after="0"/>
              <w:rPr>
                <w:sz w:val="2"/>
                <w:szCs w:val="2"/>
                <w:color w:val="auto"/>
              </w:rPr>
            </w:pPr>
          </w:p>
        </w:tc>
        <w:tc>
          <w:tcPr>
            <w:tcW w:w="540" w:type="dxa"/>
            <w:vAlign w:val="bottom"/>
            <w:tcBorders>
              <w:bottom w:val="single" w:sz="8" w:color="808080"/>
            </w:tcBorders>
          </w:tcPr>
          <w:p>
            <w:pPr>
              <w:spacing w:after="0"/>
              <w:rPr>
                <w:sz w:val="2"/>
                <w:szCs w:val="2"/>
                <w:color w:val="auto"/>
              </w:rPr>
            </w:pPr>
          </w:p>
        </w:tc>
        <w:tc>
          <w:tcPr>
            <w:tcW w:w="580" w:type="dxa"/>
            <w:vAlign w:val="bottom"/>
            <w:tcBorders>
              <w:bottom w:val="single" w:sz="8" w:color="808080"/>
            </w:tcBorders>
          </w:tcPr>
          <w:p>
            <w:pPr>
              <w:spacing w:after="0"/>
              <w:rPr>
                <w:sz w:val="2"/>
                <w:szCs w:val="2"/>
                <w:color w:val="auto"/>
              </w:rPr>
            </w:pPr>
          </w:p>
        </w:tc>
        <w:tc>
          <w:tcPr>
            <w:tcW w:w="720" w:type="dxa"/>
            <w:vAlign w:val="bottom"/>
            <w:tcBorders>
              <w:bottom w:val="single" w:sz="8" w:color="808080"/>
            </w:tcBorders>
          </w:tcPr>
          <w:p>
            <w:pPr>
              <w:spacing w:after="0"/>
              <w:rPr>
                <w:sz w:val="2"/>
                <w:szCs w:val="2"/>
                <w:color w:val="auto"/>
              </w:rPr>
            </w:pPr>
          </w:p>
        </w:tc>
        <w:tc>
          <w:tcPr>
            <w:tcW w:w="780" w:type="dxa"/>
            <w:vAlign w:val="bottom"/>
            <w:tcBorders>
              <w:bottom w:val="single" w:sz="8" w:color="808080"/>
            </w:tcBorders>
          </w:tcPr>
          <w:p>
            <w:pPr>
              <w:spacing w:after="0"/>
              <w:rPr>
                <w:sz w:val="2"/>
                <w:szCs w:val="2"/>
                <w:color w:val="auto"/>
              </w:rPr>
            </w:pPr>
          </w:p>
        </w:tc>
        <w:tc>
          <w:tcPr>
            <w:tcW w:w="140" w:type="dxa"/>
            <w:vAlign w:val="bottom"/>
            <w:tcBorders>
              <w:bottom w:val="single" w:sz="8" w:color="808080"/>
            </w:tcBorders>
          </w:tcPr>
          <w:p>
            <w:pPr>
              <w:spacing w:after="0"/>
              <w:rPr>
                <w:sz w:val="2"/>
                <w:szCs w:val="2"/>
                <w:color w:val="auto"/>
              </w:rPr>
            </w:pPr>
          </w:p>
        </w:tc>
        <w:tc>
          <w:tcPr>
            <w:tcW w:w="360" w:type="dxa"/>
            <w:vAlign w:val="bottom"/>
            <w:tcBorders>
              <w:bottom w:val="single" w:sz="8" w:color="808080"/>
            </w:tcBorders>
          </w:tcPr>
          <w:p>
            <w:pPr>
              <w:spacing w:after="0"/>
              <w:rPr>
                <w:sz w:val="2"/>
                <w:szCs w:val="2"/>
                <w:color w:val="auto"/>
              </w:rPr>
            </w:pPr>
          </w:p>
        </w:tc>
        <w:tc>
          <w:tcPr>
            <w:tcW w:w="180" w:type="dxa"/>
            <w:vAlign w:val="bottom"/>
            <w:tcBorders>
              <w:bottom w:val="single" w:sz="8" w:color="808080"/>
            </w:tcBorders>
          </w:tcPr>
          <w:p>
            <w:pPr>
              <w:spacing w:after="0"/>
              <w:rPr>
                <w:sz w:val="2"/>
                <w:szCs w:val="2"/>
                <w:color w:val="auto"/>
              </w:rPr>
            </w:pPr>
          </w:p>
        </w:tc>
        <w:tc>
          <w:tcPr>
            <w:tcW w:w="800" w:type="dxa"/>
            <w:vAlign w:val="bottom"/>
            <w:tcBorders>
              <w:bottom w:val="single" w:sz="8" w:color="808080"/>
            </w:tcBorders>
          </w:tcPr>
          <w:p>
            <w:pPr>
              <w:spacing w:after="0"/>
              <w:rPr>
                <w:sz w:val="2"/>
                <w:szCs w:val="2"/>
                <w:color w:val="auto"/>
              </w:rPr>
            </w:pPr>
          </w:p>
        </w:tc>
        <w:tc>
          <w:tcPr>
            <w:tcW w:w="800" w:type="dxa"/>
            <w:vAlign w:val="bottom"/>
            <w:tcBorders>
              <w:bottom w:val="single" w:sz="8" w:color="808080"/>
            </w:tcBorders>
          </w:tcPr>
          <w:p>
            <w:pPr>
              <w:spacing w:after="0"/>
              <w:rPr>
                <w:sz w:val="2"/>
                <w:szCs w:val="2"/>
                <w:color w:val="auto"/>
              </w:rPr>
            </w:pPr>
          </w:p>
        </w:tc>
        <w:tc>
          <w:tcPr>
            <w:tcW w:w="80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400" w:type="dxa"/>
            <w:vAlign w:val="bottom"/>
          </w:tcPr>
          <w:p>
            <w:pPr>
              <w:ind w:left="640"/>
              <w:spacing w:after="0"/>
              <w:rPr>
                <w:sz w:val="20"/>
                <w:szCs w:val="20"/>
                <w:color w:val="auto"/>
              </w:rPr>
            </w:pPr>
            <w:r>
              <w:rPr>
                <w:rFonts w:ascii="Arial" w:cs="Arial" w:eastAsia="Arial" w:hAnsi="Arial"/>
                <w:sz w:val="14"/>
                <w:szCs w:val="14"/>
                <w:b w:val="1"/>
                <w:bCs w:val="1"/>
                <w:color w:val="1414D2"/>
              </w:rPr>
              <w:t>J. Scott Kirby</w:t>
            </w:r>
          </w:p>
        </w:tc>
        <w:tc>
          <w:tcPr>
            <w:tcW w:w="460" w:type="dxa"/>
            <w:vAlign w:val="bottom"/>
          </w:tcPr>
          <w:p>
            <w:pPr>
              <w:spacing w:after="0"/>
              <w:rPr>
                <w:sz w:val="19"/>
                <w:szCs w:val="19"/>
                <w:color w:val="auto"/>
              </w:rPr>
            </w:pPr>
          </w:p>
        </w:tc>
        <w:tc>
          <w:tcPr>
            <w:tcW w:w="320" w:type="dxa"/>
            <w:vAlign w:val="bottom"/>
            <w:vMerge w:val="restart"/>
          </w:tcPr>
          <w:p>
            <w:pPr>
              <w:jc w:val="right"/>
              <w:ind w:right="8"/>
              <w:spacing w:after="0"/>
              <w:rPr>
                <w:sz w:val="20"/>
                <w:szCs w:val="20"/>
                <w:color w:val="auto"/>
              </w:rPr>
            </w:pPr>
            <w:r>
              <w:rPr>
                <w:rFonts w:ascii="Arial" w:cs="Arial" w:eastAsia="Arial" w:hAnsi="Arial"/>
                <w:sz w:val="14"/>
                <w:szCs w:val="14"/>
                <w:color w:val="auto"/>
              </w:rPr>
              <w:t>58</w:t>
            </w:r>
          </w:p>
        </w:tc>
        <w:tc>
          <w:tcPr>
            <w:tcW w:w="840" w:type="dxa"/>
            <w:vAlign w:val="bottom"/>
            <w:vMerge w:val="restart"/>
          </w:tcPr>
          <w:p>
            <w:pPr>
              <w:jc w:val="right"/>
              <w:ind w:right="348"/>
              <w:spacing w:after="0"/>
              <w:rPr>
                <w:sz w:val="20"/>
                <w:szCs w:val="20"/>
                <w:color w:val="auto"/>
              </w:rPr>
            </w:pPr>
            <w:r>
              <w:rPr>
                <w:rFonts w:ascii="Arial" w:cs="Arial" w:eastAsia="Arial" w:hAnsi="Arial"/>
                <w:sz w:val="14"/>
                <w:szCs w:val="14"/>
                <w:color w:val="auto"/>
              </w:rPr>
              <w:t>2020</w:t>
            </w:r>
          </w:p>
        </w:tc>
        <w:tc>
          <w:tcPr>
            <w:tcW w:w="540" w:type="dxa"/>
            <w:vAlign w:val="bottom"/>
            <w:vMerge w:val="restart"/>
          </w:tcPr>
          <w:p>
            <w:pPr>
              <w:spacing w:after="0"/>
              <w:rPr>
                <w:sz w:val="20"/>
                <w:szCs w:val="20"/>
                <w:color w:val="auto"/>
              </w:rPr>
            </w:pPr>
            <w:r>
              <w:rPr>
                <w:rFonts w:ascii="Arial" w:cs="Arial" w:eastAsia="Arial" w:hAnsi="Arial"/>
                <w:sz w:val="14"/>
                <w:szCs w:val="14"/>
                <w:b w:val="1"/>
                <w:bCs w:val="1"/>
                <w:color w:val="auto"/>
              </w:rPr>
              <w:t>CEO</w:t>
            </w:r>
          </w:p>
        </w:tc>
        <w:tc>
          <w:tcPr>
            <w:tcW w:w="580" w:type="dxa"/>
            <w:vAlign w:val="bottom"/>
            <w:vMerge w:val="restart"/>
          </w:tcPr>
          <w:p>
            <w:pPr>
              <w:ind w:left="260"/>
              <w:spacing w:after="0"/>
              <w:rPr>
                <w:sz w:val="20"/>
                <w:szCs w:val="20"/>
                <w:color w:val="auto"/>
              </w:rPr>
            </w:pPr>
            <w:r>
              <w:rPr>
                <w:rFonts w:ascii="Arial" w:cs="Arial" w:eastAsia="Arial" w:hAnsi="Arial"/>
                <w:sz w:val="14"/>
                <w:szCs w:val="14"/>
                <w:color w:val="auto"/>
              </w:rPr>
              <w:t>1</w:t>
            </w: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vMerge w:val="restart"/>
          </w:tcPr>
          <w:p>
            <w:pPr>
              <w:jc w:val="center"/>
              <w:spacing w:after="0"/>
              <w:rPr>
                <w:sz w:val="20"/>
                <w:szCs w:val="20"/>
                <w:color w:val="auto"/>
              </w:rPr>
            </w:pPr>
            <w:r>
              <w:rPr>
                <w:rFonts w:ascii="Wingdings" w:cs="Wingdings" w:eastAsia="Wingdings" w:hAnsi="Wingdings"/>
                <w:sz w:val="16"/>
                <w:szCs w:val="16"/>
                <w:b w:val="1"/>
                <w:bCs w:val="1"/>
                <w:color w:val="1414D2"/>
                <w:w w:val="97"/>
              </w:rPr>
              <w:t>¢</w:t>
            </w:r>
          </w:p>
        </w:tc>
        <w:tc>
          <w:tcPr>
            <w:tcW w:w="980" w:type="dxa"/>
            <w:vAlign w:val="bottom"/>
            <w:gridSpan w:val="2"/>
            <w:vMerge w:val="restart"/>
          </w:tcPr>
          <w:p>
            <w:pPr>
              <w:jc w:val="center"/>
              <w:ind w:left="99"/>
              <w:spacing w:after="0"/>
              <w:rPr>
                <w:sz w:val="20"/>
                <w:szCs w:val="20"/>
                <w:color w:val="auto"/>
              </w:rPr>
            </w:pPr>
            <w:r>
              <w:rPr>
                <w:rFonts w:ascii="Wingdings" w:cs="Wingdings" w:eastAsia="Wingdings" w:hAnsi="Wingdings"/>
                <w:sz w:val="16"/>
                <w:szCs w:val="16"/>
                <w:b w:val="1"/>
                <w:bCs w:val="1"/>
                <w:color w:val="1414D2"/>
              </w:rPr>
              <w:t>¢</w:t>
            </w: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860" w:type="dxa"/>
            <w:vAlign w:val="bottom"/>
            <w:gridSpan w:val="2"/>
          </w:tcPr>
          <w:p>
            <w:pPr>
              <w:ind w:left="640"/>
              <w:spacing w:after="0"/>
              <w:rPr>
                <w:sz w:val="20"/>
                <w:szCs w:val="20"/>
                <w:color w:val="auto"/>
              </w:rPr>
            </w:pPr>
            <w:r>
              <w:rPr>
                <w:rFonts w:ascii="Arial" w:cs="Arial" w:eastAsia="Arial" w:hAnsi="Arial"/>
                <w:sz w:val="13"/>
                <w:szCs w:val="13"/>
                <w:color w:val="auto"/>
              </w:rPr>
              <w:t>CEO, United Airlines Holdings, Inc.</w:t>
            </w:r>
          </w:p>
        </w:tc>
        <w:tc>
          <w:tcPr>
            <w:tcW w:w="32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400" w:type="dxa"/>
            <w:vAlign w:val="bottom"/>
            <w:tcBorders>
              <w:bottom w:val="single" w:sz="8" w:color="808080"/>
            </w:tcBorders>
          </w:tcPr>
          <w:p>
            <w:pPr>
              <w:spacing w:after="0"/>
              <w:rPr>
                <w:sz w:val="18"/>
                <w:szCs w:val="18"/>
                <w:color w:val="auto"/>
              </w:rPr>
            </w:pPr>
          </w:p>
        </w:tc>
        <w:tc>
          <w:tcPr>
            <w:tcW w:w="46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c>
          <w:tcPr>
            <w:tcW w:w="840" w:type="dxa"/>
            <w:vAlign w:val="bottom"/>
            <w:tcBorders>
              <w:bottom w:val="single" w:sz="8" w:color="808080"/>
            </w:tcBorders>
          </w:tcPr>
          <w:p>
            <w:pPr>
              <w:spacing w:after="0"/>
              <w:rPr>
                <w:sz w:val="18"/>
                <w:szCs w:val="18"/>
                <w:color w:val="auto"/>
              </w:rPr>
            </w:pPr>
          </w:p>
        </w:tc>
        <w:tc>
          <w:tcPr>
            <w:tcW w:w="540" w:type="dxa"/>
            <w:vAlign w:val="bottom"/>
            <w:tcBorders>
              <w:bottom w:val="single" w:sz="8" w:color="808080"/>
            </w:tcBorders>
          </w:tcPr>
          <w:p>
            <w:pPr>
              <w:spacing w:after="0"/>
              <w:rPr>
                <w:sz w:val="18"/>
                <w:szCs w:val="18"/>
                <w:color w:val="auto"/>
              </w:rPr>
            </w:pPr>
          </w:p>
        </w:tc>
        <w:tc>
          <w:tcPr>
            <w:tcW w:w="580" w:type="dxa"/>
            <w:vAlign w:val="bottom"/>
            <w:tcBorders>
              <w:bottom w:val="single" w:sz="8" w:color="808080"/>
            </w:tcBorders>
          </w:tcPr>
          <w:p>
            <w:pPr>
              <w:spacing w:after="0"/>
              <w:rPr>
                <w:sz w:val="18"/>
                <w:szCs w:val="18"/>
                <w:color w:val="auto"/>
              </w:rPr>
            </w:pPr>
          </w:p>
        </w:tc>
        <w:tc>
          <w:tcPr>
            <w:tcW w:w="720" w:type="dxa"/>
            <w:vAlign w:val="bottom"/>
            <w:tcBorders>
              <w:bottom w:val="single" w:sz="8" w:color="808080"/>
            </w:tcBorders>
          </w:tcPr>
          <w:p>
            <w:pPr>
              <w:spacing w:after="0"/>
              <w:rPr>
                <w:sz w:val="18"/>
                <w:szCs w:val="18"/>
                <w:color w:val="auto"/>
              </w:rPr>
            </w:pPr>
          </w:p>
        </w:tc>
        <w:tc>
          <w:tcPr>
            <w:tcW w:w="78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36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400" w:type="dxa"/>
            <w:vAlign w:val="bottom"/>
          </w:tcPr>
          <w:p>
            <w:pPr>
              <w:ind w:left="640"/>
              <w:spacing w:after="0"/>
              <w:rPr>
                <w:sz w:val="20"/>
                <w:szCs w:val="20"/>
                <w:color w:val="auto"/>
              </w:rPr>
            </w:pPr>
            <w:r>
              <w:rPr>
                <w:rFonts w:ascii="Arial" w:cs="Arial" w:eastAsia="Arial" w:hAnsi="Arial"/>
                <w:sz w:val="14"/>
                <w:szCs w:val="14"/>
                <w:b w:val="1"/>
                <w:bCs w:val="1"/>
                <w:color w:val="1414D2"/>
              </w:rPr>
              <w:t xml:space="preserve">Edward M. Philip </w:t>
            </w:r>
            <w:r>
              <w:rPr>
                <w:rFonts w:ascii="Wingdings" w:cs="Wingdings" w:eastAsia="Wingdings" w:hAnsi="Wingdings"/>
                <w:sz w:val="17"/>
                <w:szCs w:val="17"/>
                <w:b w:val="1"/>
                <w:bCs w:val="1"/>
                <w:color w:val="1414D2"/>
              </w:rPr>
              <w:t>«</w:t>
            </w:r>
          </w:p>
        </w:tc>
        <w:tc>
          <w:tcPr>
            <w:tcW w:w="460" w:type="dxa"/>
            <w:vAlign w:val="bottom"/>
          </w:tcPr>
          <w:p>
            <w:pPr>
              <w:spacing w:after="0"/>
              <w:rPr>
                <w:sz w:val="21"/>
                <w:szCs w:val="21"/>
                <w:color w:val="auto"/>
              </w:rPr>
            </w:pPr>
          </w:p>
        </w:tc>
        <w:tc>
          <w:tcPr>
            <w:tcW w:w="320" w:type="dxa"/>
            <w:vAlign w:val="bottom"/>
            <w:vMerge w:val="restart"/>
          </w:tcPr>
          <w:p>
            <w:pPr>
              <w:jc w:val="right"/>
              <w:ind w:right="8"/>
              <w:spacing w:after="0"/>
              <w:rPr>
                <w:sz w:val="20"/>
                <w:szCs w:val="20"/>
                <w:color w:val="auto"/>
              </w:rPr>
            </w:pPr>
            <w:r>
              <w:rPr>
                <w:rFonts w:ascii="Arial" w:cs="Arial" w:eastAsia="Arial" w:hAnsi="Arial"/>
                <w:sz w:val="14"/>
                <w:szCs w:val="14"/>
                <w:color w:val="auto"/>
              </w:rPr>
              <w:t>61</w:t>
            </w:r>
          </w:p>
        </w:tc>
        <w:tc>
          <w:tcPr>
            <w:tcW w:w="840" w:type="dxa"/>
            <w:vAlign w:val="bottom"/>
            <w:vMerge w:val="restart"/>
          </w:tcPr>
          <w:p>
            <w:pPr>
              <w:jc w:val="right"/>
              <w:ind w:right="348"/>
              <w:spacing w:after="0"/>
              <w:rPr>
                <w:sz w:val="20"/>
                <w:szCs w:val="20"/>
                <w:color w:val="auto"/>
              </w:rPr>
            </w:pPr>
            <w:r>
              <w:rPr>
                <w:rFonts w:ascii="Arial" w:cs="Arial" w:eastAsia="Arial" w:hAnsi="Arial"/>
                <w:sz w:val="14"/>
                <w:szCs w:val="14"/>
                <w:color w:val="auto"/>
              </w:rPr>
              <w:t>2016</w:t>
            </w:r>
          </w:p>
        </w:tc>
        <w:tc>
          <w:tcPr>
            <w:tcW w:w="540" w:type="dxa"/>
            <w:vAlign w:val="bottom"/>
          </w:tcPr>
          <w:p>
            <w:pPr>
              <w:spacing w:after="0"/>
              <w:rPr>
                <w:sz w:val="21"/>
                <w:szCs w:val="21"/>
                <w:color w:val="auto"/>
              </w:rPr>
            </w:pPr>
          </w:p>
        </w:tc>
        <w:tc>
          <w:tcPr>
            <w:tcW w:w="580" w:type="dxa"/>
            <w:vAlign w:val="bottom"/>
            <w:vMerge w:val="restart"/>
          </w:tcPr>
          <w:p>
            <w:pPr>
              <w:ind w:left="260"/>
              <w:spacing w:after="0"/>
              <w:rPr>
                <w:sz w:val="20"/>
                <w:szCs w:val="20"/>
                <w:color w:val="auto"/>
              </w:rPr>
            </w:pPr>
            <w:r>
              <w:rPr>
                <w:rFonts w:ascii="Arial" w:cs="Arial" w:eastAsia="Arial" w:hAnsi="Arial"/>
                <w:sz w:val="14"/>
                <w:szCs w:val="14"/>
                <w:color w:val="auto"/>
              </w:rPr>
              <w:t>2</w:t>
            </w:r>
          </w:p>
        </w:tc>
        <w:tc>
          <w:tcPr>
            <w:tcW w:w="720" w:type="dxa"/>
            <w:vAlign w:val="bottom"/>
            <w:vMerge w:val="restart"/>
          </w:tcPr>
          <w:p>
            <w:pPr>
              <w:jc w:val="center"/>
              <w:spacing w:after="0"/>
              <w:rPr>
                <w:sz w:val="20"/>
                <w:szCs w:val="20"/>
                <w:color w:val="auto"/>
              </w:rPr>
            </w:pPr>
            <w:r>
              <w:rPr>
                <w:rFonts w:ascii="Wingdings" w:cs="Wingdings" w:eastAsia="Wingdings" w:hAnsi="Wingdings"/>
                <w:sz w:val="16"/>
                <w:szCs w:val="16"/>
                <w:b w:val="1"/>
                <w:bCs w:val="1"/>
                <w:color w:val="1414D2"/>
                <w:w w:val="86"/>
              </w:rPr>
              <w:t xml:space="preserve">¢ </w:t>
            </w:r>
            <w:r>
              <w:rPr>
                <w:rFonts w:ascii="Times New Roman" w:cs="Times New Roman" w:eastAsia="Times New Roman" w:hAnsi="Times New Roman"/>
                <w:sz w:val="16"/>
                <w:szCs w:val="16"/>
                <w:color w:val="1414D2"/>
                <w:w w:val="86"/>
              </w:rPr>
              <w:t>▲</w:t>
            </w:r>
            <w:r>
              <w:rPr>
                <w:rFonts w:ascii="Arial" w:cs="Arial" w:eastAsia="Arial" w:hAnsi="Arial"/>
                <w:sz w:val="16"/>
                <w:szCs w:val="16"/>
                <w:color w:val="1414D2"/>
                <w:w w:val="86"/>
              </w:rPr>
              <w:t>​</w:t>
            </w: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vMerge w:val="restart"/>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vMerge w:val="restart"/>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2400" w:type="dxa"/>
            <w:vAlign w:val="bottom"/>
          </w:tcPr>
          <w:p>
            <w:pPr>
              <w:ind w:left="640"/>
              <w:spacing w:after="0"/>
              <w:rPr>
                <w:sz w:val="20"/>
                <w:szCs w:val="20"/>
                <w:color w:val="auto"/>
              </w:rPr>
            </w:pPr>
            <w:r>
              <w:rPr>
                <w:rFonts w:ascii="Arial" w:cs="Arial" w:eastAsia="Arial" w:hAnsi="Arial"/>
                <w:sz w:val="13"/>
                <w:szCs w:val="13"/>
                <w:color w:val="auto"/>
                <w:w w:val="93"/>
              </w:rPr>
              <w:t>Former COO, Partners in Health</w:t>
            </w:r>
          </w:p>
        </w:tc>
        <w:tc>
          <w:tcPr>
            <w:tcW w:w="460" w:type="dxa"/>
            <w:vAlign w:val="bottom"/>
          </w:tcPr>
          <w:p>
            <w:pPr>
              <w:spacing w:after="0"/>
              <w:rPr>
                <w:sz w:val="20"/>
                <w:szCs w:val="20"/>
                <w:color w:val="auto"/>
              </w:rPr>
            </w:pPr>
          </w:p>
        </w:tc>
        <w:tc>
          <w:tcPr>
            <w:tcW w:w="32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540" w:type="dxa"/>
            <w:vAlign w:val="bottom"/>
          </w:tcPr>
          <w:p>
            <w:pPr>
              <w:spacing w:after="0"/>
              <w:rPr>
                <w:sz w:val="20"/>
                <w:szCs w:val="20"/>
                <w:color w:val="auto"/>
              </w:rPr>
            </w:pPr>
          </w:p>
        </w:tc>
        <w:tc>
          <w:tcPr>
            <w:tcW w:w="580" w:type="dxa"/>
            <w:vAlign w:val="bottom"/>
            <w:vMerge w:val="continue"/>
          </w:tcPr>
          <w:p>
            <w:pPr>
              <w:spacing w:after="0"/>
              <w:rPr>
                <w:sz w:val="20"/>
                <w:szCs w:val="20"/>
                <w:color w:val="auto"/>
              </w:rPr>
            </w:pPr>
          </w:p>
        </w:tc>
        <w:tc>
          <w:tcPr>
            <w:tcW w:w="720" w:type="dxa"/>
            <w:vAlign w:val="bottom"/>
            <w:vMerge w:val="continue"/>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vMerge w:val="continue"/>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5"/>
        </w:trPr>
        <w:tc>
          <w:tcPr>
            <w:tcW w:w="2400" w:type="dxa"/>
            <w:vAlign w:val="bottom"/>
            <w:tcBorders>
              <w:bottom w:val="single" w:sz="8" w:color="808080"/>
            </w:tcBorders>
          </w:tcPr>
          <w:p>
            <w:pPr>
              <w:spacing w:after="0"/>
              <w:rPr>
                <w:sz w:val="12"/>
                <w:szCs w:val="12"/>
                <w:color w:val="auto"/>
              </w:rPr>
            </w:pPr>
          </w:p>
        </w:tc>
        <w:tc>
          <w:tcPr>
            <w:tcW w:w="460" w:type="dxa"/>
            <w:vAlign w:val="bottom"/>
            <w:tcBorders>
              <w:bottom w:val="single" w:sz="8" w:color="808080"/>
            </w:tcBorders>
          </w:tcPr>
          <w:p>
            <w:pPr>
              <w:spacing w:after="0"/>
              <w:rPr>
                <w:sz w:val="12"/>
                <w:szCs w:val="12"/>
                <w:color w:val="auto"/>
              </w:rPr>
            </w:pPr>
          </w:p>
        </w:tc>
        <w:tc>
          <w:tcPr>
            <w:tcW w:w="320" w:type="dxa"/>
            <w:vAlign w:val="bottom"/>
            <w:tcBorders>
              <w:bottom w:val="single" w:sz="8" w:color="808080"/>
            </w:tcBorders>
          </w:tcPr>
          <w:p>
            <w:pPr>
              <w:spacing w:after="0"/>
              <w:rPr>
                <w:sz w:val="12"/>
                <w:szCs w:val="12"/>
                <w:color w:val="auto"/>
              </w:rPr>
            </w:pPr>
          </w:p>
        </w:tc>
        <w:tc>
          <w:tcPr>
            <w:tcW w:w="840" w:type="dxa"/>
            <w:vAlign w:val="bottom"/>
            <w:tcBorders>
              <w:bottom w:val="single" w:sz="8" w:color="808080"/>
            </w:tcBorders>
          </w:tcPr>
          <w:p>
            <w:pPr>
              <w:spacing w:after="0"/>
              <w:rPr>
                <w:sz w:val="12"/>
                <w:szCs w:val="12"/>
                <w:color w:val="auto"/>
              </w:rPr>
            </w:pPr>
          </w:p>
        </w:tc>
        <w:tc>
          <w:tcPr>
            <w:tcW w:w="540" w:type="dxa"/>
            <w:vAlign w:val="bottom"/>
            <w:tcBorders>
              <w:bottom w:val="single" w:sz="8" w:color="808080"/>
            </w:tcBorders>
          </w:tcPr>
          <w:p>
            <w:pPr>
              <w:spacing w:after="0"/>
              <w:rPr>
                <w:sz w:val="12"/>
                <w:szCs w:val="12"/>
                <w:color w:val="auto"/>
              </w:rPr>
            </w:pPr>
          </w:p>
        </w:tc>
        <w:tc>
          <w:tcPr>
            <w:tcW w:w="580" w:type="dxa"/>
            <w:vAlign w:val="bottom"/>
            <w:tcBorders>
              <w:bottom w:val="single" w:sz="8" w:color="808080"/>
            </w:tcBorders>
          </w:tcPr>
          <w:p>
            <w:pPr>
              <w:spacing w:after="0"/>
              <w:rPr>
                <w:sz w:val="12"/>
                <w:szCs w:val="12"/>
                <w:color w:val="auto"/>
              </w:rPr>
            </w:pPr>
          </w:p>
        </w:tc>
        <w:tc>
          <w:tcPr>
            <w:tcW w:w="720" w:type="dxa"/>
            <w:vAlign w:val="bottom"/>
            <w:tcBorders>
              <w:bottom w:val="single" w:sz="8" w:color="808080"/>
            </w:tcBorders>
          </w:tcPr>
          <w:p>
            <w:pPr>
              <w:spacing w:after="0"/>
              <w:rPr>
                <w:sz w:val="12"/>
                <w:szCs w:val="12"/>
                <w:color w:val="auto"/>
              </w:rPr>
            </w:pPr>
          </w:p>
        </w:tc>
        <w:tc>
          <w:tcPr>
            <w:tcW w:w="780" w:type="dxa"/>
            <w:vAlign w:val="bottom"/>
            <w:tcBorders>
              <w:bottom w:val="single" w:sz="8" w:color="808080"/>
            </w:tcBorders>
          </w:tcPr>
          <w:p>
            <w:pPr>
              <w:spacing w:after="0"/>
              <w:rPr>
                <w:sz w:val="12"/>
                <w:szCs w:val="12"/>
                <w:color w:val="auto"/>
              </w:rPr>
            </w:pPr>
          </w:p>
        </w:tc>
        <w:tc>
          <w:tcPr>
            <w:tcW w:w="140" w:type="dxa"/>
            <w:vAlign w:val="bottom"/>
            <w:tcBorders>
              <w:bottom w:val="single" w:sz="8" w:color="808080"/>
            </w:tcBorders>
          </w:tcPr>
          <w:p>
            <w:pPr>
              <w:spacing w:after="0"/>
              <w:rPr>
                <w:sz w:val="12"/>
                <w:szCs w:val="12"/>
                <w:color w:val="auto"/>
              </w:rPr>
            </w:pPr>
          </w:p>
        </w:tc>
        <w:tc>
          <w:tcPr>
            <w:tcW w:w="360" w:type="dxa"/>
            <w:vAlign w:val="bottom"/>
            <w:tcBorders>
              <w:bottom w:val="single" w:sz="8" w:color="808080"/>
            </w:tcBorders>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800" w:type="dxa"/>
            <w:vAlign w:val="bottom"/>
            <w:tcBorders>
              <w:bottom w:val="single" w:sz="8" w:color="808080"/>
            </w:tcBorders>
          </w:tcPr>
          <w:p>
            <w:pPr>
              <w:spacing w:after="0"/>
              <w:rPr>
                <w:sz w:val="12"/>
                <w:szCs w:val="12"/>
                <w:color w:val="auto"/>
              </w:rPr>
            </w:pPr>
          </w:p>
        </w:tc>
        <w:tc>
          <w:tcPr>
            <w:tcW w:w="800" w:type="dxa"/>
            <w:vAlign w:val="bottom"/>
            <w:tcBorders>
              <w:bottom w:val="single" w:sz="8" w:color="808080"/>
            </w:tcBorders>
          </w:tcPr>
          <w:p>
            <w:pPr>
              <w:spacing w:after="0"/>
              <w:rPr>
                <w:sz w:val="12"/>
                <w:szCs w:val="12"/>
                <w:color w:val="auto"/>
              </w:rPr>
            </w:pPr>
          </w:p>
        </w:tc>
        <w:tc>
          <w:tcPr>
            <w:tcW w:w="80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2400" w:type="dxa"/>
            <w:vAlign w:val="bottom"/>
          </w:tcPr>
          <w:p>
            <w:pPr>
              <w:ind w:left="640"/>
              <w:spacing w:after="0"/>
              <w:rPr>
                <w:sz w:val="20"/>
                <w:szCs w:val="20"/>
                <w:color w:val="auto"/>
              </w:rPr>
            </w:pPr>
            <w:r>
              <w:rPr>
                <w:rFonts w:ascii="Arial" w:cs="Arial" w:eastAsia="Arial" w:hAnsi="Arial"/>
                <w:sz w:val="14"/>
                <w:szCs w:val="14"/>
                <w:b w:val="1"/>
                <w:bCs w:val="1"/>
                <w:color w:val="1414D2"/>
              </w:rPr>
              <w:t>Edward L. Shapiro</w:t>
            </w: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400" w:type="dxa"/>
            <w:vAlign w:val="bottom"/>
          </w:tcPr>
          <w:p>
            <w:pPr>
              <w:ind w:left="640"/>
              <w:spacing w:after="0"/>
              <w:rPr>
                <w:sz w:val="20"/>
                <w:szCs w:val="20"/>
                <w:color w:val="auto"/>
              </w:rPr>
            </w:pPr>
            <w:r>
              <w:rPr>
                <w:rFonts w:ascii="Arial" w:cs="Arial" w:eastAsia="Arial" w:hAnsi="Arial"/>
                <w:sz w:val="13"/>
                <w:szCs w:val="13"/>
                <w:color w:val="auto"/>
              </w:rPr>
              <w:t>Former Managing Partner,</w:t>
            </w:r>
          </w:p>
        </w:tc>
        <w:tc>
          <w:tcPr>
            <w:tcW w:w="460" w:type="dxa"/>
            <w:vAlign w:val="bottom"/>
          </w:tcPr>
          <w:p>
            <w:pPr>
              <w:spacing w:after="0"/>
              <w:rPr>
                <w:sz w:val="12"/>
                <w:szCs w:val="12"/>
                <w:color w:val="auto"/>
              </w:rPr>
            </w:pPr>
          </w:p>
        </w:tc>
        <w:tc>
          <w:tcPr>
            <w:tcW w:w="320" w:type="dxa"/>
            <w:vAlign w:val="bottom"/>
            <w:vMerge w:val="restart"/>
          </w:tcPr>
          <w:p>
            <w:pPr>
              <w:jc w:val="right"/>
              <w:ind w:right="8"/>
              <w:spacing w:after="0"/>
              <w:rPr>
                <w:sz w:val="20"/>
                <w:szCs w:val="20"/>
                <w:color w:val="auto"/>
              </w:rPr>
            </w:pPr>
            <w:r>
              <w:rPr>
                <w:rFonts w:ascii="Arial" w:cs="Arial" w:eastAsia="Arial" w:hAnsi="Arial"/>
                <w:sz w:val="14"/>
                <w:szCs w:val="14"/>
                <w:color w:val="auto"/>
              </w:rPr>
              <w:t>61</w:t>
            </w:r>
          </w:p>
        </w:tc>
        <w:tc>
          <w:tcPr>
            <w:tcW w:w="840" w:type="dxa"/>
            <w:vAlign w:val="bottom"/>
            <w:vMerge w:val="restart"/>
          </w:tcPr>
          <w:p>
            <w:pPr>
              <w:jc w:val="right"/>
              <w:ind w:right="348"/>
              <w:spacing w:after="0"/>
              <w:rPr>
                <w:sz w:val="20"/>
                <w:szCs w:val="20"/>
                <w:color w:val="auto"/>
              </w:rPr>
            </w:pPr>
            <w:r>
              <w:rPr>
                <w:rFonts w:ascii="Arial" w:cs="Arial" w:eastAsia="Arial" w:hAnsi="Arial"/>
                <w:sz w:val="14"/>
                <w:szCs w:val="14"/>
                <w:color w:val="auto"/>
              </w:rPr>
              <w:t>2016</w:t>
            </w:r>
          </w:p>
        </w:tc>
        <w:tc>
          <w:tcPr>
            <w:tcW w:w="540" w:type="dxa"/>
            <w:vAlign w:val="bottom"/>
          </w:tcPr>
          <w:p>
            <w:pPr>
              <w:spacing w:after="0"/>
              <w:rPr>
                <w:sz w:val="12"/>
                <w:szCs w:val="12"/>
                <w:color w:val="auto"/>
              </w:rPr>
            </w:pPr>
          </w:p>
        </w:tc>
        <w:tc>
          <w:tcPr>
            <w:tcW w:w="580" w:type="dxa"/>
            <w:vAlign w:val="bottom"/>
            <w:vMerge w:val="restart"/>
          </w:tcPr>
          <w:p>
            <w:pPr>
              <w:ind w:left="26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Wingdings" w:cs="Wingdings" w:eastAsia="Wingdings" w:hAnsi="Wingdings"/>
                <w:sz w:val="16"/>
                <w:szCs w:val="16"/>
                <w:b w:val="1"/>
                <w:bCs w:val="1"/>
                <w:color w:val="1414D2"/>
                <w:w w:val="97"/>
              </w:rPr>
              <w:t>¢</w:t>
            </w:r>
          </w:p>
        </w:tc>
        <w:tc>
          <w:tcPr>
            <w:tcW w:w="140" w:type="dxa"/>
            <w:vAlign w:val="bottom"/>
          </w:tcPr>
          <w:p>
            <w:pPr>
              <w:spacing w:after="0"/>
              <w:rPr>
                <w:sz w:val="12"/>
                <w:szCs w:val="12"/>
                <w:color w:val="auto"/>
              </w:rPr>
            </w:pPr>
          </w:p>
        </w:tc>
        <w:tc>
          <w:tcPr>
            <w:tcW w:w="360" w:type="dxa"/>
            <w:vAlign w:val="bottom"/>
            <w:vMerge w:val="restart"/>
          </w:tcPr>
          <w:p>
            <w:pPr>
              <w:jc w:val="center"/>
              <w:spacing w:after="0"/>
              <w:rPr>
                <w:sz w:val="20"/>
                <w:szCs w:val="20"/>
                <w:color w:val="auto"/>
              </w:rPr>
            </w:pPr>
            <w:r>
              <w:rPr>
                <w:rFonts w:ascii="Wingdings" w:cs="Wingdings" w:eastAsia="Wingdings" w:hAnsi="Wingdings"/>
                <w:sz w:val="16"/>
                <w:szCs w:val="16"/>
                <w:b w:val="1"/>
                <w:bCs w:val="1"/>
                <w:color w:val="1414D2"/>
                <w:w w:val="97"/>
              </w:rPr>
              <w:t>¢</w:t>
            </w:r>
          </w:p>
        </w:tc>
        <w:tc>
          <w:tcPr>
            <w:tcW w:w="180" w:type="dxa"/>
            <w:vAlign w:val="bottom"/>
          </w:tcPr>
          <w:p>
            <w:pPr>
              <w:spacing w:after="0"/>
              <w:rPr>
                <w:sz w:val="12"/>
                <w:szCs w:val="12"/>
                <w:color w:val="auto"/>
              </w:rPr>
            </w:pPr>
          </w:p>
        </w:tc>
        <w:tc>
          <w:tcPr>
            <w:tcW w:w="800" w:type="dxa"/>
            <w:vAlign w:val="bottom"/>
            <w:vMerge w:val="restart"/>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0" w:type="dxa"/>
            <w:vAlign w:val="bottom"/>
          </w:tcPr>
          <w:p>
            <w:pPr>
              <w:ind w:left="640"/>
              <w:spacing w:after="0"/>
              <w:rPr>
                <w:sz w:val="20"/>
                <w:szCs w:val="20"/>
                <w:color w:val="auto"/>
              </w:rPr>
            </w:pPr>
            <w:r>
              <w:rPr>
                <w:rFonts w:ascii="Arial" w:cs="Arial" w:eastAsia="Arial" w:hAnsi="Arial"/>
                <w:sz w:val="13"/>
                <w:szCs w:val="13"/>
                <w:color w:val="auto"/>
                <w:w w:val="95"/>
              </w:rPr>
              <w:t>PAR Capital Management, Inc.;</w:t>
            </w:r>
          </w:p>
        </w:tc>
        <w:tc>
          <w:tcPr>
            <w:tcW w:w="460" w:type="dxa"/>
            <w:vAlign w:val="bottom"/>
          </w:tcPr>
          <w:p>
            <w:pPr>
              <w:spacing w:after="0"/>
              <w:rPr>
                <w:sz w:val="12"/>
                <w:szCs w:val="12"/>
                <w:color w:val="auto"/>
              </w:rPr>
            </w:pPr>
          </w:p>
        </w:tc>
        <w:tc>
          <w:tcPr>
            <w:tcW w:w="32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0" w:type="dxa"/>
            <w:vAlign w:val="bottom"/>
          </w:tcPr>
          <w:p>
            <w:pPr>
              <w:ind w:left="640"/>
              <w:spacing w:after="0"/>
              <w:rPr>
                <w:sz w:val="20"/>
                <w:szCs w:val="20"/>
                <w:color w:val="auto"/>
              </w:rPr>
            </w:pPr>
            <w:r>
              <w:rPr>
                <w:rFonts w:ascii="Arial" w:cs="Arial" w:eastAsia="Arial" w:hAnsi="Arial"/>
                <w:sz w:val="13"/>
                <w:szCs w:val="13"/>
                <w:color w:val="auto"/>
              </w:rPr>
              <w:t>Managing Trustee,</w:t>
            </w: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400" w:type="dxa"/>
            <w:vAlign w:val="bottom"/>
          </w:tcPr>
          <w:p>
            <w:pPr>
              <w:ind w:left="640"/>
              <w:spacing w:after="0"/>
              <w:rPr>
                <w:sz w:val="20"/>
                <w:szCs w:val="20"/>
                <w:color w:val="auto"/>
              </w:rPr>
            </w:pPr>
            <w:r>
              <w:rPr>
                <w:rFonts w:ascii="Arial" w:cs="Arial" w:eastAsia="Arial" w:hAnsi="Arial"/>
                <w:sz w:val="13"/>
                <w:szCs w:val="13"/>
                <w:color w:val="auto"/>
              </w:rPr>
              <w:t>The Shapiro Foundation</w:t>
            </w: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
        </w:trPr>
        <w:tc>
          <w:tcPr>
            <w:tcW w:w="2400" w:type="dxa"/>
            <w:vAlign w:val="bottom"/>
            <w:tcBorders>
              <w:bottom w:val="single" w:sz="8" w:color="808080"/>
            </w:tcBorders>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840" w:type="dxa"/>
            <w:vAlign w:val="bottom"/>
            <w:tcBorders>
              <w:bottom w:val="single" w:sz="8" w:color="808080"/>
            </w:tcBorders>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800" w:type="dxa"/>
            <w:vAlign w:val="bottom"/>
            <w:tcBorders>
              <w:bottom w:val="single" w:sz="8" w:color="808080"/>
            </w:tcBorders>
          </w:tcPr>
          <w:p>
            <w:pPr>
              <w:spacing w:after="0"/>
              <w:rPr>
                <w:sz w:val="4"/>
                <w:szCs w:val="4"/>
                <w:color w:val="auto"/>
              </w:rPr>
            </w:pPr>
          </w:p>
        </w:tc>
        <w:tc>
          <w:tcPr>
            <w:tcW w:w="800" w:type="dxa"/>
            <w:vAlign w:val="bottom"/>
            <w:tcBorders>
              <w:bottom w:val="single" w:sz="8" w:color="808080"/>
            </w:tcBorders>
          </w:tcPr>
          <w:p>
            <w:pPr>
              <w:spacing w:after="0"/>
              <w:rPr>
                <w:sz w:val="4"/>
                <w:szCs w:val="4"/>
                <w:color w:val="auto"/>
              </w:rPr>
            </w:pPr>
          </w:p>
        </w:tc>
        <w:tc>
          <w:tcPr>
            <w:tcW w:w="8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400" w:type="dxa"/>
            <w:vAlign w:val="bottom"/>
          </w:tcPr>
          <w:p>
            <w:pPr>
              <w:ind w:left="640"/>
              <w:spacing w:after="0"/>
              <w:rPr>
                <w:sz w:val="20"/>
                <w:szCs w:val="20"/>
                <w:color w:val="auto"/>
              </w:rPr>
            </w:pPr>
            <w:r>
              <w:rPr>
                <w:rFonts w:ascii="Arial" w:cs="Arial" w:eastAsia="Arial" w:hAnsi="Arial"/>
                <w:sz w:val="14"/>
                <w:szCs w:val="14"/>
                <w:b w:val="1"/>
                <w:bCs w:val="1"/>
                <w:color w:val="1414D2"/>
              </w:rPr>
              <w:t>Laysha Ward</w:t>
            </w: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400" w:type="dxa"/>
            <w:vAlign w:val="bottom"/>
          </w:tcPr>
          <w:p>
            <w:pPr>
              <w:ind w:left="640"/>
              <w:spacing w:after="0"/>
              <w:rPr>
                <w:sz w:val="20"/>
                <w:szCs w:val="20"/>
                <w:color w:val="auto"/>
              </w:rPr>
            </w:pPr>
            <w:r>
              <w:rPr>
                <w:rFonts w:ascii="Arial" w:cs="Arial" w:eastAsia="Arial" w:hAnsi="Arial"/>
                <w:sz w:val="13"/>
                <w:szCs w:val="13"/>
                <w:color w:val="auto"/>
              </w:rPr>
              <w:t>Former EVP and</w:t>
            </w:r>
          </w:p>
        </w:tc>
        <w:tc>
          <w:tcPr>
            <w:tcW w:w="460" w:type="dxa"/>
            <w:vAlign w:val="bottom"/>
          </w:tcPr>
          <w:p>
            <w:pPr>
              <w:spacing w:after="0"/>
              <w:rPr>
                <w:sz w:val="16"/>
                <w:szCs w:val="16"/>
                <w:color w:val="auto"/>
              </w:rPr>
            </w:pPr>
          </w:p>
        </w:tc>
        <w:tc>
          <w:tcPr>
            <w:tcW w:w="320" w:type="dxa"/>
            <w:vAlign w:val="bottom"/>
          </w:tcPr>
          <w:p>
            <w:pPr>
              <w:jc w:val="right"/>
              <w:ind w:right="8"/>
              <w:spacing w:after="0"/>
              <w:rPr>
                <w:sz w:val="20"/>
                <w:szCs w:val="20"/>
                <w:color w:val="auto"/>
              </w:rPr>
            </w:pPr>
            <w:r>
              <w:rPr>
                <w:rFonts w:ascii="Arial" w:cs="Arial" w:eastAsia="Arial" w:hAnsi="Arial"/>
                <w:sz w:val="14"/>
                <w:szCs w:val="14"/>
                <w:color w:val="auto"/>
              </w:rPr>
              <w:t>58</w:t>
            </w:r>
          </w:p>
        </w:tc>
        <w:tc>
          <w:tcPr>
            <w:tcW w:w="840" w:type="dxa"/>
            <w:vAlign w:val="bottom"/>
          </w:tcPr>
          <w:p>
            <w:pPr>
              <w:jc w:val="right"/>
              <w:ind w:right="348"/>
              <w:spacing w:after="0"/>
              <w:rPr>
                <w:sz w:val="20"/>
                <w:szCs w:val="20"/>
                <w:color w:val="auto"/>
              </w:rPr>
            </w:pPr>
            <w:r>
              <w:rPr>
                <w:rFonts w:ascii="Arial" w:cs="Arial" w:eastAsia="Arial" w:hAnsi="Arial"/>
                <w:sz w:val="14"/>
                <w:szCs w:val="14"/>
                <w:color w:val="auto"/>
              </w:rPr>
              <w:t>2021</w:t>
            </w:r>
          </w:p>
        </w:tc>
        <w:tc>
          <w:tcPr>
            <w:tcW w:w="540" w:type="dxa"/>
            <w:vAlign w:val="bottom"/>
          </w:tcPr>
          <w:p>
            <w:pPr>
              <w:spacing w:after="0"/>
              <w:rPr>
                <w:sz w:val="16"/>
                <w:szCs w:val="16"/>
                <w:color w:val="auto"/>
              </w:rPr>
            </w:pPr>
          </w:p>
        </w:tc>
        <w:tc>
          <w:tcPr>
            <w:tcW w:w="580" w:type="dxa"/>
            <w:vAlign w:val="bottom"/>
          </w:tcPr>
          <w:p>
            <w:pPr>
              <w:ind w:left="260"/>
              <w:spacing w:after="0"/>
              <w:rPr>
                <w:sz w:val="20"/>
                <w:szCs w:val="20"/>
                <w:color w:val="auto"/>
              </w:rPr>
            </w:pPr>
            <w:r>
              <w:rPr>
                <w:rFonts w:ascii="Arial" w:cs="Arial" w:eastAsia="Arial" w:hAnsi="Arial"/>
                <w:sz w:val="14"/>
                <w:szCs w:val="14"/>
                <w:color w:val="auto"/>
              </w:rPr>
              <w:t>–</w:t>
            </w:r>
          </w:p>
        </w:tc>
        <w:tc>
          <w:tcPr>
            <w:tcW w:w="720" w:type="dxa"/>
            <w:vAlign w:val="bottom"/>
          </w:tcPr>
          <w:p>
            <w:pPr>
              <w:jc w:val="center"/>
              <w:spacing w:after="0"/>
              <w:rPr>
                <w:sz w:val="20"/>
                <w:szCs w:val="20"/>
                <w:color w:val="auto"/>
              </w:rPr>
            </w:pPr>
            <w:r>
              <w:rPr>
                <w:rFonts w:ascii="Wingdings" w:cs="Wingdings" w:eastAsia="Wingdings" w:hAnsi="Wingdings"/>
                <w:sz w:val="16"/>
                <w:szCs w:val="16"/>
                <w:b w:val="1"/>
                <w:bCs w:val="1"/>
                <w:color w:val="1414D2"/>
              </w:rPr>
              <w:t>¢</w:t>
            </w: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Wingdings" w:cs="Wingdings" w:eastAsia="Wingdings" w:hAnsi="Wingdings"/>
                <w:sz w:val="16"/>
                <w:szCs w:val="16"/>
                <w:b w:val="1"/>
                <w:bCs w:val="1"/>
                <w:color w:val="1414D2"/>
                <w:w w:val="97"/>
              </w:rPr>
              <w:t>¢</w:t>
            </w:r>
          </w:p>
        </w:tc>
        <w:tc>
          <w:tcPr>
            <w:tcW w:w="800" w:type="dxa"/>
            <w:vAlign w:val="bottom"/>
          </w:tcPr>
          <w:p>
            <w:pPr>
              <w:jc w:val="center"/>
              <w:spacing w:after="0"/>
              <w:rPr>
                <w:sz w:val="20"/>
                <w:szCs w:val="20"/>
                <w:color w:val="auto"/>
              </w:rPr>
            </w:pPr>
            <w:r>
              <w:rPr>
                <w:rFonts w:ascii="Wingdings" w:cs="Wingdings" w:eastAsia="Wingdings" w:hAnsi="Wingdings"/>
                <w:sz w:val="16"/>
                <w:szCs w:val="16"/>
                <w:b w:val="1"/>
                <w:bCs w:val="1"/>
                <w:color w:val="1414D2"/>
              </w:rPr>
              <w:t>¢</w:t>
            </w:r>
          </w:p>
        </w:tc>
        <w:tc>
          <w:tcPr>
            <w:tcW w:w="0" w:type="dxa"/>
            <w:vAlign w:val="bottom"/>
          </w:tcPr>
          <w:p>
            <w:pPr>
              <w:spacing w:after="0"/>
              <w:rPr>
                <w:sz w:val="1"/>
                <w:szCs w:val="1"/>
                <w:color w:val="auto"/>
              </w:rPr>
            </w:pPr>
          </w:p>
        </w:tc>
      </w:tr>
      <w:tr>
        <w:trPr>
          <w:trHeight w:val="108"/>
        </w:trPr>
        <w:tc>
          <w:tcPr>
            <w:tcW w:w="2860" w:type="dxa"/>
            <w:vAlign w:val="bottom"/>
            <w:gridSpan w:val="2"/>
          </w:tcPr>
          <w:p>
            <w:pPr>
              <w:ind w:left="640"/>
              <w:spacing w:after="0" w:line="109" w:lineRule="exact"/>
              <w:rPr>
                <w:sz w:val="20"/>
                <w:szCs w:val="20"/>
                <w:color w:val="auto"/>
              </w:rPr>
            </w:pPr>
            <w:r>
              <w:rPr>
                <w:rFonts w:ascii="Arial" w:cs="Arial" w:eastAsia="Arial" w:hAnsi="Arial"/>
                <w:sz w:val="12"/>
                <w:szCs w:val="12"/>
                <w:color w:val="auto"/>
              </w:rPr>
              <w:t>Chief External Engagement Officer,</w:t>
            </w:r>
          </w:p>
        </w:tc>
        <w:tc>
          <w:tcPr>
            <w:tcW w:w="320" w:type="dxa"/>
            <w:vAlign w:val="bottom"/>
          </w:tcPr>
          <w:p>
            <w:pPr>
              <w:spacing w:after="0"/>
              <w:rPr>
                <w:sz w:val="9"/>
                <w:szCs w:val="9"/>
                <w:color w:val="auto"/>
              </w:rPr>
            </w:pPr>
          </w:p>
        </w:tc>
        <w:tc>
          <w:tcPr>
            <w:tcW w:w="840" w:type="dxa"/>
            <w:vAlign w:val="bottom"/>
          </w:tcPr>
          <w:p>
            <w:pPr>
              <w:spacing w:after="0"/>
              <w:rPr>
                <w:sz w:val="9"/>
                <w:szCs w:val="9"/>
                <w:color w:val="auto"/>
              </w:rPr>
            </w:pPr>
          </w:p>
        </w:tc>
        <w:tc>
          <w:tcPr>
            <w:tcW w:w="540" w:type="dxa"/>
            <w:vAlign w:val="bottom"/>
          </w:tcPr>
          <w:p>
            <w:pPr>
              <w:spacing w:after="0"/>
              <w:rPr>
                <w:sz w:val="9"/>
                <w:szCs w:val="9"/>
                <w:color w:val="auto"/>
              </w:rPr>
            </w:pPr>
          </w:p>
        </w:tc>
        <w:tc>
          <w:tcPr>
            <w:tcW w:w="5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2400" w:type="dxa"/>
            <w:vAlign w:val="bottom"/>
          </w:tcPr>
          <w:p>
            <w:pPr>
              <w:ind w:left="640"/>
              <w:spacing w:after="0"/>
              <w:rPr>
                <w:sz w:val="20"/>
                <w:szCs w:val="20"/>
                <w:color w:val="auto"/>
              </w:rPr>
            </w:pPr>
            <w:r>
              <w:rPr>
                <w:rFonts w:ascii="Arial" w:cs="Arial" w:eastAsia="Arial" w:hAnsi="Arial"/>
                <w:sz w:val="13"/>
                <w:szCs w:val="13"/>
                <w:color w:val="auto"/>
              </w:rPr>
              <w:t>Target Corporation</w:t>
            </w: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2400" w:type="dxa"/>
            <w:vAlign w:val="bottom"/>
            <w:tcBorders>
              <w:bottom w:val="single" w:sz="8" w:color="808080"/>
            </w:tcBorders>
          </w:tcPr>
          <w:p>
            <w:pPr>
              <w:spacing w:after="0"/>
              <w:rPr>
                <w:sz w:val="2"/>
                <w:szCs w:val="2"/>
                <w:color w:val="auto"/>
              </w:rPr>
            </w:pPr>
          </w:p>
        </w:tc>
        <w:tc>
          <w:tcPr>
            <w:tcW w:w="460" w:type="dxa"/>
            <w:vAlign w:val="bottom"/>
            <w:tcBorders>
              <w:bottom w:val="single" w:sz="8" w:color="808080"/>
            </w:tcBorders>
          </w:tcPr>
          <w:p>
            <w:pPr>
              <w:spacing w:after="0"/>
              <w:rPr>
                <w:sz w:val="2"/>
                <w:szCs w:val="2"/>
                <w:color w:val="auto"/>
              </w:rPr>
            </w:pPr>
          </w:p>
        </w:tc>
        <w:tc>
          <w:tcPr>
            <w:tcW w:w="320" w:type="dxa"/>
            <w:vAlign w:val="bottom"/>
            <w:tcBorders>
              <w:bottom w:val="single" w:sz="8" w:color="808080"/>
            </w:tcBorders>
          </w:tcPr>
          <w:p>
            <w:pPr>
              <w:spacing w:after="0"/>
              <w:rPr>
                <w:sz w:val="2"/>
                <w:szCs w:val="2"/>
                <w:color w:val="auto"/>
              </w:rPr>
            </w:pPr>
          </w:p>
        </w:tc>
        <w:tc>
          <w:tcPr>
            <w:tcW w:w="840" w:type="dxa"/>
            <w:vAlign w:val="bottom"/>
            <w:tcBorders>
              <w:bottom w:val="single" w:sz="8" w:color="808080"/>
            </w:tcBorders>
          </w:tcPr>
          <w:p>
            <w:pPr>
              <w:spacing w:after="0"/>
              <w:rPr>
                <w:sz w:val="2"/>
                <w:szCs w:val="2"/>
                <w:color w:val="auto"/>
              </w:rPr>
            </w:pPr>
          </w:p>
        </w:tc>
        <w:tc>
          <w:tcPr>
            <w:tcW w:w="540" w:type="dxa"/>
            <w:vAlign w:val="bottom"/>
            <w:tcBorders>
              <w:bottom w:val="single" w:sz="8" w:color="808080"/>
            </w:tcBorders>
          </w:tcPr>
          <w:p>
            <w:pPr>
              <w:spacing w:after="0"/>
              <w:rPr>
                <w:sz w:val="2"/>
                <w:szCs w:val="2"/>
                <w:color w:val="auto"/>
              </w:rPr>
            </w:pPr>
          </w:p>
        </w:tc>
        <w:tc>
          <w:tcPr>
            <w:tcW w:w="580" w:type="dxa"/>
            <w:vAlign w:val="bottom"/>
            <w:tcBorders>
              <w:bottom w:val="single" w:sz="8" w:color="808080"/>
            </w:tcBorders>
          </w:tcPr>
          <w:p>
            <w:pPr>
              <w:spacing w:after="0"/>
              <w:rPr>
                <w:sz w:val="2"/>
                <w:szCs w:val="2"/>
                <w:color w:val="auto"/>
              </w:rPr>
            </w:pPr>
          </w:p>
        </w:tc>
        <w:tc>
          <w:tcPr>
            <w:tcW w:w="720" w:type="dxa"/>
            <w:vAlign w:val="bottom"/>
            <w:tcBorders>
              <w:bottom w:val="single" w:sz="8" w:color="808080"/>
            </w:tcBorders>
          </w:tcPr>
          <w:p>
            <w:pPr>
              <w:spacing w:after="0"/>
              <w:rPr>
                <w:sz w:val="2"/>
                <w:szCs w:val="2"/>
                <w:color w:val="auto"/>
              </w:rPr>
            </w:pPr>
          </w:p>
        </w:tc>
        <w:tc>
          <w:tcPr>
            <w:tcW w:w="780" w:type="dxa"/>
            <w:vAlign w:val="bottom"/>
            <w:tcBorders>
              <w:bottom w:val="single" w:sz="8" w:color="808080"/>
            </w:tcBorders>
          </w:tcPr>
          <w:p>
            <w:pPr>
              <w:spacing w:after="0"/>
              <w:rPr>
                <w:sz w:val="2"/>
                <w:szCs w:val="2"/>
                <w:color w:val="auto"/>
              </w:rPr>
            </w:pPr>
          </w:p>
        </w:tc>
        <w:tc>
          <w:tcPr>
            <w:tcW w:w="140" w:type="dxa"/>
            <w:vAlign w:val="bottom"/>
            <w:tcBorders>
              <w:bottom w:val="single" w:sz="8" w:color="808080"/>
            </w:tcBorders>
          </w:tcPr>
          <w:p>
            <w:pPr>
              <w:spacing w:after="0"/>
              <w:rPr>
                <w:sz w:val="2"/>
                <w:szCs w:val="2"/>
                <w:color w:val="auto"/>
              </w:rPr>
            </w:pPr>
          </w:p>
        </w:tc>
        <w:tc>
          <w:tcPr>
            <w:tcW w:w="360" w:type="dxa"/>
            <w:vAlign w:val="bottom"/>
            <w:tcBorders>
              <w:bottom w:val="single" w:sz="8" w:color="808080"/>
            </w:tcBorders>
          </w:tcPr>
          <w:p>
            <w:pPr>
              <w:spacing w:after="0"/>
              <w:rPr>
                <w:sz w:val="2"/>
                <w:szCs w:val="2"/>
                <w:color w:val="auto"/>
              </w:rPr>
            </w:pPr>
          </w:p>
        </w:tc>
        <w:tc>
          <w:tcPr>
            <w:tcW w:w="180" w:type="dxa"/>
            <w:vAlign w:val="bottom"/>
            <w:tcBorders>
              <w:bottom w:val="single" w:sz="8" w:color="808080"/>
            </w:tcBorders>
          </w:tcPr>
          <w:p>
            <w:pPr>
              <w:spacing w:after="0"/>
              <w:rPr>
                <w:sz w:val="2"/>
                <w:szCs w:val="2"/>
                <w:color w:val="auto"/>
              </w:rPr>
            </w:pPr>
          </w:p>
        </w:tc>
        <w:tc>
          <w:tcPr>
            <w:tcW w:w="800" w:type="dxa"/>
            <w:vAlign w:val="bottom"/>
            <w:tcBorders>
              <w:bottom w:val="single" w:sz="8" w:color="808080"/>
            </w:tcBorders>
          </w:tcPr>
          <w:p>
            <w:pPr>
              <w:spacing w:after="0"/>
              <w:rPr>
                <w:sz w:val="2"/>
                <w:szCs w:val="2"/>
                <w:color w:val="auto"/>
              </w:rPr>
            </w:pPr>
          </w:p>
        </w:tc>
        <w:tc>
          <w:tcPr>
            <w:tcW w:w="800" w:type="dxa"/>
            <w:vAlign w:val="bottom"/>
            <w:tcBorders>
              <w:bottom w:val="single" w:sz="8" w:color="808080"/>
            </w:tcBorders>
          </w:tcPr>
          <w:p>
            <w:pPr>
              <w:spacing w:after="0"/>
              <w:rPr>
                <w:sz w:val="2"/>
                <w:szCs w:val="2"/>
                <w:color w:val="auto"/>
              </w:rPr>
            </w:pPr>
          </w:p>
        </w:tc>
        <w:tc>
          <w:tcPr>
            <w:tcW w:w="80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400" w:type="dxa"/>
            <w:vAlign w:val="bottom"/>
          </w:tcPr>
          <w:p>
            <w:pPr>
              <w:ind w:left="640"/>
              <w:spacing w:after="0"/>
              <w:rPr>
                <w:sz w:val="20"/>
                <w:szCs w:val="20"/>
                <w:color w:val="auto"/>
              </w:rPr>
            </w:pPr>
            <w:r>
              <w:rPr>
                <w:rFonts w:ascii="Arial" w:cs="Arial" w:eastAsia="Arial" w:hAnsi="Arial"/>
                <w:sz w:val="14"/>
                <w:szCs w:val="14"/>
                <w:b w:val="1"/>
                <w:bCs w:val="1"/>
                <w:color w:val="1414D2"/>
              </w:rPr>
              <w:t>James M. Whitehurst</w:t>
            </w:r>
          </w:p>
        </w:tc>
        <w:tc>
          <w:tcPr>
            <w:tcW w:w="460" w:type="dxa"/>
            <w:vAlign w:val="bottom"/>
          </w:tcPr>
          <w:p>
            <w:pPr>
              <w:spacing w:after="0"/>
              <w:rPr>
                <w:sz w:val="19"/>
                <w:szCs w:val="19"/>
                <w:color w:val="auto"/>
              </w:rPr>
            </w:pPr>
          </w:p>
        </w:tc>
        <w:tc>
          <w:tcPr>
            <w:tcW w:w="320" w:type="dxa"/>
            <w:vAlign w:val="bottom"/>
            <w:vMerge w:val="restart"/>
          </w:tcPr>
          <w:p>
            <w:pPr>
              <w:jc w:val="right"/>
              <w:ind w:right="8"/>
              <w:spacing w:after="0"/>
              <w:rPr>
                <w:sz w:val="20"/>
                <w:szCs w:val="20"/>
                <w:color w:val="auto"/>
              </w:rPr>
            </w:pPr>
            <w:r>
              <w:rPr>
                <w:rFonts w:ascii="Arial" w:cs="Arial" w:eastAsia="Arial" w:hAnsi="Arial"/>
                <w:sz w:val="14"/>
                <w:szCs w:val="14"/>
                <w:color w:val="auto"/>
              </w:rPr>
              <w:t>58</w:t>
            </w:r>
          </w:p>
        </w:tc>
        <w:tc>
          <w:tcPr>
            <w:tcW w:w="840" w:type="dxa"/>
            <w:vAlign w:val="bottom"/>
            <w:vMerge w:val="restart"/>
          </w:tcPr>
          <w:p>
            <w:pPr>
              <w:jc w:val="right"/>
              <w:ind w:right="348"/>
              <w:spacing w:after="0"/>
              <w:rPr>
                <w:sz w:val="20"/>
                <w:szCs w:val="20"/>
                <w:color w:val="auto"/>
              </w:rPr>
            </w:pPr>
            <w:r>
              <w:rPr>
                <w:rFonts w:ascii="Arial" w:cs="Arial" w:eastAsia="Arial" w:hAnsi="Arial"/>
                <w:sz w:val="14"/>
                <w:szCs w:val="14"/>
                <w:color w:val="auto"/>
              </w:rPr>
              <w:t>2016</w:t>
            </w:r>
          </w:p>
        </w:tc>
        <w:tc>
          <w:tcPr>
            <w:tcW w:w="540" w:type="dxa"/>
            <w:vAlign w:val="bottom"/>
          </w:tcPr>
          <w:p>
            <w:pPr>
              <w:spacing w:after="0"/>
              <w:rPr>
                <w:sz w:val="19"/>
                <w:szCs w:val="19"/>
                <w:color w:val="auto"/>
              </w:rPr>
            </w:pPr>
          </w:p>
        </w:tc>
        <w:tc>
          <w:tcPr>
            <w:tcW w:w="580" w:type="dxa"/>
            <w:vAlign w:val="bottom"/>
            <w:vMerge w:val="restart"/>
          </w:tcPr>
          <w:p>
            <w:pPr>
              <w:ind w:left="260"/>
              <w:spacing w:after="0"/>
              <w:rPr>
                <w:sz w:val="20"/>
                <w:szCs w:val="20"/>
                <w:color w:val="auto"/>
              </w:rPr>
            </w:pPr>
            <w:r>
              <w:rPr>
                <w:rFonts w:ascii="Arial" w:cs="Arial" w:eastAsia="Arial" w:hAnsi="Arial"/>
                <w:sz w:val="14"/>
                <w:szCs w:val="14"/>
                <w:color w:val="auto"/>
              </w:rPr>
              <w:t>2</w:t>
            </w:r>
          </w:p>
        </w:tc>
        <w:tc>
          <w:tcPr>
            <w:tcW w:w="720" w:type="dxa"/>
            <w:vAlign w:val="bottom"/>
          </w:tcPr>
          <w:p>
            <w:pPr>
              <w:spacing w:after="0"/>
              <w:rPr>
                <w:sz w:val="19"/>
                <w:szCs w:val="19"/>
                <w:color w:val="auto"/>
              </w:rPr>
            </w:pPr>
          </w:p>
        </w:tc>
        <w:tc>
          <w:tcPr>
            <w:tcW w:w="920" w:type="dxa"/>
            <w:vAlign w:val="bottom"/>
            <w:gridSpan w:val="2"/>
            <w:vMerge w:val="restart"/>
          </w:tcPr>
          <w:p>
            <w:pPr>
              <w:spacing w:after="0"/>
              <w:rPr>
                <w:sz w:val="19"/>
                <w:szCs w:val="19"/>
                <w:color w:val="auto"/>
              </w:rPr>
            </w:pPr>
          </w:p>
        </w:tc>
        <w:tc>
          <w:tcPr>
            <w:tcW w:w="360" w:type="dxa"/>
            <w:vAlign w:val="bottom"/>
            <w:vMerge w:val="restart"/>
          </w:tcPr>
          <w:p>
            <w:pPr>
              <w:jc w:val="center"/>
              <w:spacing w:after="0"/>
              <w:rPr>
                <w:sz w:val="20"/>
                <w:szCs w:val="20"/>
                <w:color w:val="auto"/>
              </w:rPr>
            </w:pPr>
            <w:r>
              <w:rPr>
                <w:rFonts w:ascii="Wingdings" w:cs="Wingdings" w:eastAsia="Wingdings" w:hAnsi="Wingdings"/>
                <w:sz w:val="16"/>
                <w:szCs w:val="16"/>
                <w:b w:val="1"/>
                <w:bCs w:val="1"/>
                <w:color w:val="1414D2"/>
                <w:w w:val="97"/>
              </w:rPr>
              <w:t>¢</w:t>
            </w: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vMerge w:val="restart"/>
          </w:tcPr>
          <w:p>
            <w:pPr>
              <w:jc w:val="center"/>
              <w:spacing w:after="0"/>
              <w:rPr>
                <w:sz w:val="20"/>
                <w:szCs w:val="20"/>
                <w:color w:val="auto"/>
              </w:rPr>
            </w:pPr>
            <w:r>
              <w:rPr>
                <w:rFonts w:ascii="Wingdings" w:cs="Wingdings" w:eastAsia="Wingdings" w:hAnsi="Wingdings"/>
                <w:sz w:val="16"/>
                <w:szCs w:val="16"/>
                <w:b w:val="1"/>
                <w:bCs w:val="1"/>
                <w:color w:val="1414D2"/>
                <w:w w:val="97"/>
              </w:rPr>
              <w:t>¢</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400" w:type="dxa"/>
            <w:vAlign w:val="bottom"/>
          </w:tcPr>
          <w:p>
            <w:pPr>
              <w:ind w:left="640"/>
              <w:spacing w:after="0"/>
              <w:rPr>
                <w:sz w:val="20"/>
                <w:szCs w:val="20"/>
                <w:color w:val="auto"/>
              </w:rPr>
            </w:pPr>
            <w:r>
              <w:rPr>
                <w:rFonts w:ascii="Arial" w:cs="Arial" w:eastAsia="Arial" w:hAnsi="Arial"/>
                <w:sz w:val="13"/>
                <w:szCs w:val="13"/>
                <w:color w:val="auto"/>
                <w:w w:val="95"/>
              </w:rPr>
              <w:t>Managing Director, Silver Lake;</w:t>
            </w:r>
          </w:p>
        </w:tc>
        <w:tc>
          <w:tcPr>
            <w:tcW w:w="460" w:type="dxa"/>
            <w:vAlign w:val="bottom"/>
          </w:tcPr>
          <w:p>
            <w:pPr>
              <w:spacing w:after="0"/>
              <w:rPr>
                <w:sz w:val="12"/>
                <w:szCs w:val="12"/>
                <w:color w:val="auto"/>
              </w:rPr>
            </w:pPr>
          </w:p>
        </w:tc>
        <w:tc>
          <w:tcPr>
            <w:tcW w:w="32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3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860" w:type="dxa"/>
            <w:vAlign w:val="bottom"/>
            <w:gridSpan w:val="2"/>
          </w:tcPr>
          <w:p>
            <w:pPr>
              <w:ind w:left="640"/>
              <w:spacing w:after="0"/>
              <w:rPr>
                <w:sz w:val="20"/>
                <w:szCs w:val="20"/>
                <w:color w:val="auto"/>
              </w:rPr>
            </w:pPr>
            <w:r>
              <w:rPr>
                <w:rFonts w:ascii="Arial" w:cs="Arial" w:eastAsia="Arial" w:hAnsi="Arial"/>
                <w:sz w:val="13"/>
                <w:szCs w:val="13"/>
                <w:color w:val="auto"/>
              </w:rPr>
              <w:t>Executive Chairman, Qualtrics, LLC</w:t>
            </w: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4020" w:type="dxa"/>
            <w:vAlign w:val="bottom"/>
            <w:tcBorders>
              <w:bottom w:val="single" w:sz="8" w:color="808080"/>
            </w:tcBorders>
            <w:gridSpan w:val="4"/>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580" w:type="dxa"/>
            <w:vAlign w:val="bottom"/>
            <w:tcBorders>
              <w:bottom w:val="single" w:sz="8" w:color="808080"/>
            </w:tcBorders>
          </w:tcPr>
          <w:p>
            <w:pPr>
              <w:spacing w:after="0"/>
              <w:rPr>
                <w:sz w:val="6"/>
                <w:szCs w:val="6"/>
                <w:color w:val="auto"/>
              </w:rPr>
            </w:pPr>
          </w:p>
        </w:tc>
        <w:tc>
          <w:tcPr>
            <w:tcW w:w="720" w:type="dxa"/>
            <w:vAlign w:val="bottom"/>
            <w:tcBorders>
              <w:bottom w:val="single" w:sz="8" w:color="808080"/>
            </w:tcBorders>
          </w:tcPr>
          <w:p>
            <w:pPr>
              <w:spacing w:after="0"/>
              <w:rPr>
                <w:sz w:val="6"/>
                <w:szCs w:val="6"/>
                <w:color w:val="auto"/>
              </w:rPr>
            </w:pPr>
          </w:p>
        </w:tc>
        <w:tc>
          <w:tcPr>
            <w:tcW w:w="78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360" w:type="dxa"/>
            <w:vAlign w:val="bottom"/>
            <w:tcBorders>
              <w:bottom w:val="single" w:sz="8" w:color="808080"/>
            </w:tcBorders>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800" w:type="dxa"/>
            <w:vAlign w:val="bottom"/>
            <w:tcBorders>
              <w:bottom w:val="single" w:sz="8" w:color="808080"/>
            </w:tcBorders>
          </w:tcPr>
          <w:p>
            <w:pPr>
              <w:spacing w:after="0"/>
              <w:rPr>
                <w:sz w:val="6"/>
                <w:szCs w:val="6"/>
                <w:color w:val="auto"/>
              </w:rPr>
            </w:pPr>
          </w:p>
        </w:tc>
        <w:tc>
          <w:tcPr>
            <w:tcW w:w="800" w:type="dxa"/>
            <w:vAlign w:val="bottom"/>
            <w:tcBorders>
              <w:bottom w:val="single" w:sz="8" w:color="808080"/>
            </w:tcBorders>
          </w:tcPr>
          <w:p>
            <w:pPr>
              <w:spacing w:after="0"/>
              <w:rPr>
                <w:sz w:val="6"/>
                <w:szCs w:val="6"/>
                <w:color w:val="auto"/>
              </w:rPr>
            </w:pPr>
          </w:p>
        </w:tc>
        <w:tc>
          <w:tcPr>
            <w:tcW w:w="80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4020" w:type="dxa"/>
            <w:vAlign w:val="bottom"/>
            <w:gridSpan w:val="4"/>
          </w:tcPr>
          <w:p>
            <w:pPr>
              <w:spacing w:after="0"/>
              <w:rPr>
                <w:sz w:val="20"/>
                <w:szCs w:val="20"/>
                <w:color w:val="auto"/>
              </w:rPr>
            </w:pPr>
            <w:r>
              <w:rPr>
                <w:rFonts w:ascii="Arial" w:cs="Arial" w:eastAsia="Arial" w:hAnsi="Arial"/>
                <w:sz w:val="13"/>
                <w:szCs w:val="13"/>
                <w:b w:val="1"/>
                <w:bCs w:val="1"/>
                <w:i w:val="1"/>
                <w:iCs w:val="1"/>
                <w:color w:val="1414D2"/>
              </w:rPr>
              <w:t>Directors to be Elected by the Holders of Other Classes of Stock</w:t>
            </w: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2400" w:type="dxa"/>
            <w:vAlign w:val="bottom"/>
            <w:tcBorders>
              <w:bottom w:val="single" w:sz="8" w:color="808080"/>
            </w:tcBorders>
          </w:tcPr>
          <w:p>
            <w:pPr>
              <w:spacing w:after="0"/>
              <w:rPr>
                <w:sz w:val="2"/>
                <w:szCs w:val="2"/>
                <w:color w:val="auto"/>
              </w:rPr>
            </w:pPr>
          </w:p>
        </w:tc>
        <w:tc>
          <w:tcPr>
            <w:tcW w:w="460" w:type="dxa"/>
            <w:vAlign w:val="bottom"/>
            <w:tcBorders>
              <w:bottom w:val="single" w:sz="8" w:color="808080"/>
            </w:tcBorders>
          </w:tcPr>
          <w:p>
            <w:pPr>
              <w:spacing w:after="0"/>
              <w:rPr>
                <w:sz w:val="2"/>
                <w:szCs w:val="2"/>
                <w:color w:val="auto"/>
              </w:rPr>
            </w:pPr>
          </w:p>
        </w:tc>
        <w:tc>
          <w:tcPr>
            <w:tcW w:w="320" w:type="dxa"/>
            <w:vAlign w:val="bottom"/>
            <w:tcBorders>
              <w:bottom w:val="single" w:sz="8" w:color="808080"/>
            </w:tcBorders>
          </w:tcPr>
          <w:p>
            <w:pPr>
              <w:spacing w:after="0"/>
              <w:rPr>
                <w:sz w:val="2"/>
                <w:szCs w:val="2"/>
                <w:color w:val="auto"/>
              </w:rPr>
            </w:pPr>
          </w:p>
        </w:tc>
        <w:tc>
          <w:tcPr>
            <w:tcW w:w="840" w:type="dxa"/>
            <w:vAlign w:val="bottom"/>
            <w:tcBorders>
              <w:bottom w:val="single" w:sz="8" w:color="808080"/>
            </w:tcBorders>
          </w:tcPr>
          <w:p>
            <w:pPr>
              <w:spacing w:after="0"/>
              <w:rPr>
                <w:sz w:val="2"/>
                <w:szCs w:val="2"/>
                <w:color w:val="auto"/>
              </w:rPr>
            </w:pPr>
          </w:p>
        </w:tc>
        <w:tc>
          <w:tcPr>
            <w:tcW w:w="540" w:type="dxa"/>
            <w:vAlign w:val="bottom"/>
            <w:tcBorders>
              <w:bottom w:val="single" w:sz="8" w:color="808080"/>
            </w:tcBorders>
          </w:tcPr>
          <w:p>
            <w:pPr>
              <w:spacing w:after="0"/>
              <w:rPr>
                <w:sz w:val="2"/>
                <w:szCs w:val="2"/>
                <w:color w:val="auto"/>
              </w:rPr>
            </w:pPr>
          </w:p>
        </w:tc>
        <w:tc>
          <w:tcPr>
            <w:tcW w:w="580" w:type="dxa"/>
            <w:vAlign w:val="bottom"/>
            <w:tcBorders>
              <w:bottom w:val="single" w:sz="8" w:color="808080"/>
            </w:tcBorders>
          </w:tcPr>
          <w:p>
            <w:pPr>
              <w:spacing w:after="0"/>
              <w:rPr>
                <w:sz w:val="2"/>
                <w:szCs w:val="2"/>
                <w:color w:val="auto"/>
              </w:rPr>
            </w:pPr>
          </w:p>
        </w:tc>
        <w:tc>
          <w:tcPr>
            <w:tcW w:w="720" w:type="dxa"/>
            <w:vAlign w:val="bottom"/>
            <w:tcBorders>
              <w:bottom w:val="single" w:sz="8" w:color="808080"/>
            </w:tcBorders>
          </w:tcPr>
          <w:p>
            <w:pPr>
              <w:spacing w:after="0"/>
              <w:rPr>
                <w:sz w:val="2"/>
                <w:szCs w:val="2"/>
                <w:color w:val="auto"/>
              </w:rPr>
            </w:pPr>
          </w:p>
        </w:tc>
        <w:tc>
          <w:tcPr>
            <w:tcW w:w="780" w:type="dxa"/>
            <w:vAlign w:val="bottom"/>
            <w:tcBorders>
              <w:bottom w:val="single" w:sz="8" w:color="808080"/>
            </w:tcBorders>
          </w:tcPr>
          <w:p>
            <w:pPr>
              <w:spacing w:after="0"/>
              <w:rPr>
                <w:sz w:val="2"/>
                <w:szCs w:val="2"/>
                <w:color w:val="auto"/>
              </w:rPr>
            </w:pPr>
          </w:p>
        </w:tc>
        <w:tc>
          <w:tcPr>
            <w:tcW w:w="140" w:type="dxa"/>
            <w:vAlign w:val="bottom"/>
            <w:tcBorders>
              <w:bottom w:val="single" w:sz="8" w:color="808080"/>
            </w:tcBorders>
          </w:tcPr>
          <w:p>
            <w:pPr>
              <w:spacing w:after="0"/>
              <w:rPr>
                <w:sz w:val="2"/>
                <w:szCs w:val="2"/>
                <w:color w:val="auto"/>
              </w:rPr>
            </w:pPr>
          </w:p>
        </w:tc>
        <w:tc>
          <w:tcPr>
            <w:tcW w:w="360" w:type="dxa"/>
            <w:vAlign w:val="bottom"/>
            <w:tcBorders>
              <w:bottom w:val="single" w:sz="8" w:color="808080"/>
            </w:tcBorders>
          </w:tcPr>
          <w:p>
            <w:pPr>
              <w:spacing w:after="0"/>
              <w:rPr>
                <w:sz w:val="2"/>
                <w:szCs w:val="2"/>
                <w:color w:val="auto"/>
              </w:rPr>
            </w:pPr>
          </w:p>
        </w:tc>
        <w:tc>
          <w:tcPr>
            <w:tcW w:w="180" w:type="dxa"/>
            <w:vAlign w:val="bottom"/>
            <w:tcBorders>
              <w:bottom w:val="single" w:sz="8" w:color="808080"/>
            </w:tcBorders>
          </w:tcPr>
          <w:p>
            <w:pPr>
              <w:spacing w:after="0"/>
              <w:rPr>
                <w:sz w:val="2"/>
                <w:szCs w:val="2"/>
                <w:color w:val="auto"/>
              </w:rPr>
            </w:pPr>
          </w:p>
        </w:tc>
        <w:tc>
          <w:tcPr>
            <w:tcW w:w="800" w:type="dxa"/>
            <w:vAlign w:val="bottom"/>
            <w:tcBorders>
              <w:bottom w:val="single" w:sz="8" w:color="808080"/>
            </w:tcBorders>
          </w:tcPr>
          <w:p>
            <w:pPr>
              <w:spacing w:after="0"/>
              <w:rPr>
                <w:sz w:val="2"/>
                <w:szCs w:val="2"/>
                <w:color w:val="auto"/>
              </w:rPr>
            </w:pPr>
          </w:p>
        </w:tc>
        <w:tc>
          <w:tcPr>
            <w:tcW w:w="800" w:type="dxa"/>
            <w:vAlign w:val="bottom"/>
            <w:tcBorders>
              <w:bottom w:val="single" w:sz="8" w:color="808080"/>
            </w:tcBorders>
          </w:tcPr>
          <w:p>
            <w:pPr>
              <w:spacing w:after="0"/>
              <w:rPr>
                <w:sz w:val="2"/>
                <w:szCs w:val="2"/>
                <w:color w:val="auto"/>
              </w:rPr>
            </w:pPr>
          </w:p>
        </w:tc>
        <w:tc>
          <w:tcPr>
            <w:tcW w:w="80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400" w:type="dxa"/>
            <w:vAlign w:val="bottom"/>
          </w:tcPr>
          <w:p>
            <w:pPr>
              <w:ind w:left="640"/>
              <w:spacing w:after="0"/>
              <w:rPr>
                <w:sz w:val="20"/>
                <w:szCs w:val="20"/>
                <w:color w:val="auto"/>
              </w:rPr>
            </w:pPr>
            <w:r>
              <w:rPr>
                <w:rFonts w:ascii="Arial" w:cs="Arial" w:eastAsia="Arial" w:hAnsi="Arial"/>
                <w:sz w:val="14"/>
                <w:szCs w:val="14"/>
                <w:b w:val="1"/>
                <w:bCs w:val="1"/>
                <w:color w:val="1414D2"/>
              </w:rPr>
              <w:t>Captain Brian Noyes</w:t>
            </w:r>
          </w:p>
        </w:tc>
        <w:tc>
          <w:tcPr>
            <w:tcW w:w="460" w:type="dxa"/>
            <w:vAlign w:val="bottom"/>
          </w:tcPr>
          <w:p>
            <w:pPr>
              <w:spacing w:after="0"/>
              <w:rPr>
                <w:sz w:val="19"/>
                <w:szCs w:val="19"/>
                <w:color w:val="auto"/>
              </w:rPr>
            </w:pPr>
          </w:p>
        </w:tc>
        <w:tc>
          <w:tcPr>
            <w:tcW w:w="320" w:type="dxa"/>
            <w:vAlign w:val="bottom"/>
            <w:vMerge w:val="restart"/>
          </w:tcPr>
          <w:p>
            <w:pPr>
              <w:jc w:val="right"/>
              <w:ind w:right="8"/>
              <w:spacing w:after="0"/>
              <w:rPr>
                <w:sz w:val="20"/>
                <w:szCs w:val="20"/>
                <w:color w:val="auto"/>
              </w:rPr>
            </w:pPr>
            <w:r>
              <w:rPr>
                <w:rFonts w:ascii="Arial" w:cs="Arial" w:eastAsia="Arial" w:hAnsi="Arial"/>
                <w:sz w:val="14"/>
                <w:szCs w:val="14"/>
                <w:color w:val="auto"/>
              </w:rPr>
              <w:t>56</w:t>
            </w:r>
          </w:p>
        </w:tc>
        <w:tc>
          <w:tcPr>
            <w:tcW w:w="840" w:type="dxa"/>
            <w:vAlign w:val="bottom"/>
            <w:vMerge w:val="restart"/>
          </w:tcPr>
          <w:p>
            <w:pPr>
              <w:jc w:val="right"/>
              <w:ind w:right="348"/>
              <w:spacing w:after="0"/>
              <w:rPr>
                <w:sz w:val="20"/>
                <w:szCs w:val="20"/>
                <w:color w:val="auto"/>
              </w:rPr>
            </w:pPr>
            <w:r>
              <w:rPr>
                <w:rFonts w:ascii="Arial" w:cs="Arial" w:eastAsia="Arial" w:hAnsi="Arial"/>
                <w:sz w:val="14"/>
                <w:szCs w:val="14"/>
                <w:color w:val="auto"/>
              </w:rPr>
              <w:t>2025</w:t>
            </w:r>
          </w:p>
        </w:tc>
        <w:tc>
          <w:tcPr>
            <w:tcW w:w="540" w:type="dxa"/>
            <w:vAlign w:val="bottom"/>
          </w:tcPr>
          <w:p>
            <w:pPr>
              <w:spacing w:after="0"/>
              <w:rPr>
                <w:sz w:val="19"/>
                <w:szCs w:val="19"/>
                <w:color w:val="auto"/>
              </w:rPr>
            </w:pPr>
          </w:p>
        </w:tc>
        <w:tc>
          <w:tcPr>
            <w:tcW w:w="580" w:type="dxa"/>
            <w:vAlign w:val="bottom"/>
            <w:vMerge w:val="restart"/>
          </w:tcPr>
          <w:p>
            <w:pPr>
              <w:ind w:left="260"/>
              <w:spacing w:after="0"/>
              <w:rPr>
                <w:sz w:val="20"/>
                <w:szCs w:val="20"/>
                <w:color w:val="auto"/>
              </w:rPr>
            </w:pPr>
            <w:r>
              <w:rPr>
                <w:rFonts w:ascii="Arial" w:cs="Arial" w:eastAsia="Arial" w:hAnsi="Arial"/>
                <w:sz w:val="14"/>
                <w:szCs w:val="14"/>
                <w:color w:val="auto"/>
              </w:rPr>
              <w:t>–</w:t>
            </w:r>
          </w:p>
        </w:tc>
        <w:tc>
          <w:tcPr>
            <w:tcW w:w="720" w:type="dxa"/>
            <w:vAlign w:val="bottom"/>
            <w:shd w:val="clear" w:color="auto" w:fill="F2F2F2"/>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shd w:val="clear" w:color="auto" w:fill="F2F2F2"/>
          </w:tcPr>
          <w:p>
            <w:pPr>
              <w:spacing w:after="0"/>
              <w:rPr>
                <w:sz w:val="19"/>
                <w:szCs w:val="19"/>
                <w:color w:val="auto"/>
              </w:rPr>
            </w:pPr>
          </w:p>
        </w:tc>
        <w:tc>
          <w:tcPr>
            <w:tcW w:w="360" w:type="dxa"/>
            <w:vAlign w:val="bottom"/>
            <w:shd w:val="clear" w:color="auto" w:fill="F2F2F2"/>
          </w:tcPr>
          <w:p>
            <w:pPr>
              <w:spacing w:after="0"/>
              <w:rPr>
                <w:sz w:val="19"/>
                <w:szCs w:val="19"/>
                <w:color w:val="auto"/>
              </w:rPr>
            </w:pPr>
          </w:p>
        </w:tc>
        <w:tc>
          <w:tcPr>
            <w:tcW w:w="180" w:type="dxa"/>
            <w:vAlign w:val="bottom"/>
            <w:shd w:val="clear" w:color="auto" w:fill="F2F2F2"/>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shd w:val="clear" w:color="auto" w:fill="F2F2F2"/>
          </w:tcPr>
          <w:p>
            <w:pPr>
              <w:spacing w:after="0"/>
              <w:rPr>
                <w:sz w:val="19"/>
                <w:szCs w:val="19"/>
                <w:color w:val="auto"/>
              </w:rPr>
            </w:pPr>
          </w:p>
        </w:tc>
        <w:tc>
          <w:tcPr>
            <w:tcW w:w="800" w:type="dxa"/>
            <w:vAlign w:val="bottom"/>
            <w:vMerge w:val="restart"/>
          </w:tcPr>
          <w:p>
            <w:pPr>
              <w:jc w:val="center"/>
              <w:spacing w:after="0"/>
              <w:rPr>
                <w:sz w:val="20"/>
                <w:szCs w:val="20"/>
                <w:color w:val="auto"/>
              </w:rPr>
            </w:pPr>
            <w:r>
              <w:rPr>
                <w:rFonts w:ascii="Wingdings" w:cs="Wingdings" w:eastAsia="Wingdings" w:hAnsi="Wingdings"/>
                <w:sz w:val="16"/>
                <w:szCs w:val="16"/>
                <w:b w:val="1"/>
                <w:bCs w:val="1"/>
                <w:color w:val="1414D2"/>
              </w:rPr>
              <w:t>¢</w:t>
            </w:r>
          </w:p>
        </w:tc>
        <w:tc>
          <w:tcPr>
            <w:tcW w:w="0" w:type="dxa"/>
            <w:vAlign w:val="bottom"/>
          </w:tcPr>
          <w:p>
            <w:pPr>
              <w:spacing w:after="0"/>
              <w:rPr>
                <w:sz w:val="1"/>
                <w:szCs w:val="1"/>
                <w:color w:val="auto"/>
              </w:rPr>
            </w:pPr>
          </w:p>
        </w:tc>
      </w:tr>
      <w:tr>
        <w:trPr>
          <w:trHeight w:val="149"/>
        </w:trPr>
        <w:tc>
          <w:tcPr>
            <w:tcW w:w="2400" w:type="dxa"/>
            <w:vAlign w:val="bottom"/>
          </w:tcPr>
          <w:p>
            <w:pPr>
              <w:ind w:left="640"/>
              <w:spacing w:after="0"/>
              <w:rPr>
                <w:sz w:val="20"/>
                <w:szCs w:val="20"/>
                <w:color w:val="auto"/>
              </w:rPr>
            </w:pPr>
            <w:r>
              <w:rPr>
                <w:rFonts w:ascii="Arial" w:cs="Arial" w:eastAsia="Arial" w:hAnsi="Arial"/>
                <w:sz w:val="13"/>
                <w:szCs w:val="13"/>
                <w:color w:val="auto"/>
              </w:rPr>
              <w:t>Chair, United Airlines Master</w:t>
            </w:r>
          </w:p>
        </w:tc>
        <w:tc>
          <w:tcPr>
            <w:tcW w:w="460" w:type="dxa"/>
            <w:vAlign w:val="bottom"/>
          </w:tcPr>
          <w:p>
            <w:pPr>
              <w:spacing w:after="0"/>
              <w:rPr>
                <w:sz w:val="12"/>
                <w:szCs w:val="12"/>
                <w:color w:val="auto"/>
              </w:rPr>
            </w:pPr>
          </w:p>
        </w:tc>
        <w:tc>
          <w:tcPr>
            <w:tcW w:w="32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720" w:type="dxa"/>
            <w:vAlign w:val="bottom"/>
            <w:shd w:val="clear" w:color="auto" w:fill="F2F2F2"/>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shd w:val="clear" w:color="auto" w:fill="F2F2F2"/>
          </w:tcPr>
          <w:p>
            <w:pPr>
              <w:spacing w:after="0"/>
              <w:rPr>
                <w:sz w:val="12"/>
                <w:szCs w:val="12"/>
                <w:color w:val="auto"/>
              </w:rPr>
            </w:pPr>
          </w:p>
        </w:tc>
        <w:tc>
          <w:tcPr>
            <w:tcW w:w="360" w:type="dxa"/>
            <w:vAlign w:val="bottom"/>
            <w:shd w:val="clear" w:color="auto" w:fill="F2F2F2"/>
          </w:tcPr>
          <w:p>
            <w:pPr>
              <w:spacing w:after="0"/>
              <w:rPr>
                <w:sz w:val="12"/>
                <w:szCs w:val="12"/>
                <w:color w:val="auto"/>
              </w:rPr>
            </w:pPr>
          </w:p>
        </w:tc>
        <w:tc>
          <w:tcPr>
            <w:tcW w:w="180" w:type="dxa"/>
            <w:vAlign w:val="bottom"/>
            <w:shd w:val="clear" w:color="auto" w:fill="F2F2F2"/>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shd w:val="clear" w:color="auto" w:fill="F2F2F2"/>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400" w:type="dxa"/>
            <w:vAlign w:val="bottom"/>
          </w:tcPr>
          <w:p>
            <w:pPr>
              <w:ind w:left="640"/>
              <w:spacing w:after="0"/>
              <w:rPr>
                <w:sz w:val="20"/>
                <w:szCs w:val="20"/>
                <w:color w:val="auto"/>
              </w:rPr>
            </w:pPr>
            <w:r>
              <w:rPr>
                <w:rFonts w:ascii="Arial" w:cs="Arial" w:eastAsia="Arial" w:hAnsi="Arial"/>
                <w:sz w:val="13"/>
                <w:szCs w:val="13"/>
                <w:color w:val="auto"/>
              </w:rPr>
              <w:t>Executive Council, ALPA</w:t>
            </w: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shd w:val="clear" w:color="auto" w:fill="F2F2F2"/>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shd w:val="clear" w:color="auto" w:fill="F2F2F2"/>
          </w:tcPr>
          <w:p>
            <w:pPr>
              <w:spacing w:after="0"/>
              <w:rPr>
                <w:sz w:val="15"/>
                <w:szCs w:val="15"/>
                <w:color w:val="auto"/>
              </w:rPr>
            </w:pPr>
          </w:p>
        </w:tc>
        <w:tc>
          <w:tcPr>
            <w:tcW w:w="360" w:type="dxa"/>
            <w:vAlign w:val="bottom"/>
            <w:shd w:val="clear" w:color="auto" w:fill="F2F2F2"/>
          </w:tcPr>
          <w:p>
            <w:pPr>
              <w:spacing w:after="0"/>
              <w:rPr>
                <w:sz w:val="15"/>
                <w:szCs w:val="15"/>
                <w:color w:val="auto"/>
              </w:rPr>
            </w:pPr>
          </w:p>
        </w:tc>
        <w:tc>
          <w:tcPr>
            <w:tcW w:w="180" w:type="dxa"/>
            <w:vAlign w:val="bottom"/>
            <w:shd w:val="clear" w:color="auto" w:fill="F2F2F2"/>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shd w:val="clear" w:color="auto" w:fill="F2F2F2"/>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400" w:type="dxa"/>
            <w:vAlign w:val="bottom"/>
            <w:tcBorders>
              <w:bottom w:val="single" w:sz="8" w:color="808080"/>
            </w:tcBorders>
          </w:tcPr>
          <w:p>
            <w:pPr>
              <w:spacing w:after="0"/>
              <w:rPr>
                <w:sz w:val="6"/>
                <w:szCs w:val="6"/>
                <w:color w:val="auto"/>
              </w:rPr>
            </w:pPr>
          </w:p>
        </w:tc>
        <w:tc>
          <w:tcPr>
            <w:tcW w:w="460" w:type="dxa"/>
            <w:vAlign w:val="bottom"/>
            <w:tcBorders>
              <w:bottom w:val="single" w:sz="8" w:color="808080"/>
            </w:tcBorders>
          </w:tcPr>
          <w:p>
            <w:pPr>
              <w:spacing w:after="0"/>
              <w:rPr>
                <w:sz w:val="6"/>
                <w:szCs w:val="6"/>
                <w:color w:val="auto"/>
              </w:rPr>
            </w:pPr>
          </w:p>
        </w:tc>
        <w:tc>
          <w:tcPr>
            <w:tcW w:w="320" w:type="dxa"/>
            <w:vAlign w:val="bottom"/>
            <w:tcBorders>
              <w:bottom w:val="single" w:sz="8" w:color="808080"/>
            </w:tcBorders>
          </w:tcPr>
          <w:p>
            <w:pPr>
              <w:spacing w:after="0"/>
              <w:rPr>
                <w:sz w:val="6"/>
                <w:szCs w:val="6"/>
                <w:color w:val="auto"/>
              </w:rPr>
            </w:pPr>
          </w:p>
        </w:tc>
        <w:tc>
          <w:tcPr>
            <w:tcW w:w="840" w:type="dxa"/>
            <w:vAlign w:val="bottom"/>
            <w:tcBorders>
              <w:bottom w:val="single" w:sz="8" w:color="808080"/>
            </w:tcBorders>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580" w:type="dxa"/>
            <w:vAlign w:val="bottom"/>
            <w:tcBorders>
              <w:bottom w:val="single" w:sz="8" w:color="808080"/>
            </w:tcBorders>
          </w:tcPr>
          <w:p>
            <w:pPr>
              <w:spacing w:after="0"/>
              <w:rPr>
                <w:sz w:val="6"/>
                <w:szCs w:val="6"/>
                <w:color w:val="auto"/>
              </w:rPr>
            </w:pPr>
          </w:p>
        </w:tc>
        <w:tc>
          <w:tcPr>
            <w:tcW w:w="720" w:type="dxa"/>
            <w:vAlign w:val="bottom"/>
            <w:tcBorders>
              <w:bottom w:val="single" w:sz="8" w:color="808080"/>
            </w:tcBorders>
            <w:shd w:val="clear" w:color="auto" w:fill="F2F2F2"/>
          </w:tcPr>
          <w:p>
            <w:pPr>
              <w:spacing w:after="0"/>
              <w:rPr>
                <w:sz w:val="6"/>
                <w:szCs w:val="6"/>
                <w:color w:val="auto"/>
              </w:rPr>
            </w:pPr>
          </w:p>
        </w:tc>
        <w:tc>
          <w:tcPr>
            <w:tcW w:w="78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shd w:val="clear" w:color="auto" w:fill="F2F2F2"/>
          </w:tcPr>
          <w:p>
            <w:pPr>
              <w:spacing w:after="0"/>
              <w:rPr>
                <w:sz w:val="6"/>
                <w:szCs w:val="6"/>
                <w:color w:val="auto"/>
              </w:rPr>
            </w:pPr>
          </w:p>
        </w:tc>
        <w:tc>
          <w:tcPr>
            <w:tcW w:w="360" w:type="dxa"/>
            <w:vAlign w:val="bottom"/>
            <w:tcBorders>
              <w:bottom w:val="single" w:sz="8" w:color="808080"/>
            </w:tcBorders>
            <w:shd w:val="clear" w:color="auto" w:fill="F2F2F2"/>
          </w:tcPr>
          <w:p>
            <w:pPr>
              <w:spacing w:after="0"/>
              <w:rPr>
                <w:sz w:val="6"/>
                <w:szCs w:val="6"/>
                <w:color w:val="auto"/>
              </w:rPr>
            </w:pPr>
          </w:p>
        </w:tc>
        <w:tc>
          <w:tcPr>
            <w:tcW w:w="180" w:type="dxa"/>
            <w:vAlign w:val="bottom"/>
            <w:tcBorders>
              <w:bottom w:val="single" w:sz="8" w:color="808080"/>
            </w:tcBorders>
            <w:shd w:val="clear" w:color="auto" w:fill="F2F2F2"/>
          </w:tcPr>
          <w:p>
            <w:pPr>
              <w:spacing w:after="0"/>
              <w:rPr>
                <w:sz w:val="6"/>
                <w:szCs w:val="6"/>
                <w:color w:val="auto"/>
              </w:rPr>
            </w:pPr>
          </w:p>
        </w:tc>
        <w:tc>
          <w:tcPr>
            <w:tcW w:w="800" w:type="dxa"/>
            <w:vAlign w:val="bottom"/>
            <w:tcBorders>
              <w:bottom w:val="single" w:sz="8" w:color="808080"/>
            </w:tcBorders>
          </w:tcPr>
          <w:p>
            <w:pPr>
              <w:spacing w:after="0"/>
              <w:rPr>
                <w:sz w:val="6"/>
                <w:szCs w:val="6"/>
                <w:color w:val="auto"/>
              </w:rPr>
            </w:pPr>
          </w:p>
        </w:tc>
        <w:tc>
          <w:tcPr>
            <w:tcW w:w="800" w:type="dxa"/>
            <w:vAlign w:val="bottom"/>
            <w:tcBorders>
              <w:bottom w:val="single" w:sz="8" w:color="808080"/>
            </w:tcBorders>
            <w:shd w:val="clear" w:color="auto" w:fill="F2F2F2"/>
          </w:tcPr>
          <w:p>
            <w:pPr>
              <w:spacing w:after="0"/>
              <w:rPr>
                <w:sz w:val="6"/>
                <w:szCs w:val="6"/>
                <w:color w:val="auto"/>
              </w:rPr>
            </w:pPr>
          </w:p>
        </w:tc>
        <w:tc>
          <w:tcPr>
            <w:tcW w:w="80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2400" w:type="dxa"/>
            <w:vAlign w:val="bottom"/>
          </w:tcPr>
          <w:p>
            <w:pPr>
              <w:ind w:left="640"/>
              <w:spacing w:after="0"/>
              <w:rPr>
                <w:sz w:val="20"/>
                <w:szCs w:val="20"/>
                <w:color w:val="auto"/>
              </w:rPr>
            </w:pPr>
            <w:r>
              <w:rPr>
                <w:rFonts w:ascii="Arial" w:cs="Arial" w:eastAsia="Arial" w:hAnsi="Arial"/>
                <w:sz w:val="14"/>
                <w:szCs w:val="14"/>
                <w:b w:val="1"/>
                <w:bCs w:val="1"/>
                <w:color w:val="1414D2"/>
              </w:rPr>
              <w:t>Richard Johnsen</w:t>
            </w:r>
          </w:p>
        </w:tc>
        <w:tc>
          <w:tcPr>
            <w:tcW w:w="460" w:type="dxa"/>
            <w:vAlign w:val="bottom"/>
          </w:tcPr>
          <w:p>
            <w:pPr>
              <w:spacing w:after="0"/>
              <w:rPr>
                <w:sz w:val="19"/>
                <w:szCs w:val="19"/>
                <w:color w:val="auto"/>
              </w:rPr>
            </w:pPr>
          </w:p>
        </w:tc>
        <w:tc>
          <w:tcPr>
            <w:tcW w:w="320" w:type="dxa"/>
            <w:vAlign w:val="bottom"/>
            <w:vMerge w:val="restart"/>
          </w:tcPr>
          <w:p>
            <w:pPr>
              <w:jc w:val="right"/>
              <w:ind w:right="8"/>
              <w:spacing w:after="0"/>
              <w:rPr>
                <w:sz w:val="20"/>
                <w:szCs w:val="20"/>
                <w:color w:val="auto"/>
              </w:rPr>
            </w:pPr>
            <w:r>
              <w:rPr>
                <w:rFonts w:ascii="Arial" w:cs="Arial" w:eastAsia="Arial" w:hAnsi="Arial"/>
                <w:sz w:val="14"/>
                <w:szCs w:val="14"/>
                <w:color w:val="auto"/>
              </w:rPr>
              <w:t>57</w:t>
            </w:r>
          </w:p>
        </w:tc>
        <w:tc>
          <w:tcPr>
            <w:tcW w:w="840" w:type="dxa"/>
            <w:vAlign w:val="bottom"/>
            <w:vMerge w:val="restart"/>
          </w:tcPr>
          <w:p>
            <w:pPr>
              <w:jc w:val="right"/>
              <w:ind w:right="348"/>
              <w:spacing w:after="0"/>
              <w:rPr>
                <w:sz w:val="20"/>
                <w:szCs w:val="20"/>
                <w:color w:val="auto"/>
              </w:rPr>
            </w:pPr>
            <w:r>
              <w:rPr>
                <w:rFonts w:ascii="Arial" w:cs="Arial" w:eastAsia="Arial" w:hAnsi="Arial"/>
                <w:sz w:val="14"/>
                <w:szCs w:val="14"/>
                <w:color w:val="auto"/>
              </w:rPr>
              <w:t>2021</w:t>
            </w:r>
          </w:p>
        </w:tc>
        <w:tc>
          <w:tcPr>
            <w:tcW w:w="540" w:type="dxa"/>
            <w:vAlign w:val="bottom"/>
          </w:tcPr>
          <w:p>
            <w:pPr>
              <w:spacing w:after="0"/>
              <w:rPr>
                <w:sz w:val="19"/>
                <w:szCs w:val="19"/>
                <w:color w:val="auto"/>
              </w:rPr>
            </w:pPr>
          </w:p>
        </w:tc>
        <w:tc>
          <w:tcPr>
            <w:tcW w:w="580" w:type="dxa"/>
            <w:vAlign w:val="bottom"/>
            <w:vMerge w:val="restart"/>
          </w:tcPr>
          <w:p>
            <w:pPr>
              <w:ind w:left="260"/>
              <w:spacing w:after="0"/>
              <w:rPr>
                <w:sz w:val="20"/>
                <w:szCs w:val="20"/>
                <w:color w:val="auto"/>
              </w:rPr>
            </w:pPr>
            <w:r>
              <w:rPr>
                <w:rFonts w:ascii="Arial" w:cs="Arial" w:eastAsia="Arial" w:hAnsi="Arial"/>
                <w:sz w:val="14"/>
                <w:szCs w:val="14"/>
                <w:color w:val="auto"/>
              </w:rPr>
              <w:t>–</w:t>
            </w:r>
          </w:p>
        </w:tc>
        <w:tc>
          <w:tcPr>
            <w:tcW w:w="720" w:type="dxa"/>
            <w:vAlign w:val="bottom"/>
            <w:shd w:val="clear" w:color="auto" w:fill="F2F2F2"/>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shd w:val="clear" w:color="auto" w:fill="F2F2F2"/>
          </w:tcPr>
          <w:p>
            <w:pPr>
              <w:spacing w:after="0"/>
              <w:rPr>
                <w:sz w:val="19"/>
                <w:szCs w:val="19"/>
                <w:color w:val="auto"/>
              </w:rPr>
            </w:pPr>
          </w:p>
        </w:tc>
        <w:tc>
          <w:tcPr>
            <w:tcW w:w="360" w:type="dxa"/>
            <w:vAlign w:val="bottom"/>
            <w:shd w:val="clear" w:color="auto" w:fill="F2F2F2"/>
          </w:tcPr>
          <w:p>
            <w:pPr>
              <w:spacing w:after="0"/>
              <w:rPr>
                <w:sz w:val="19"/>
                <w:szCs w:val="19"/>
                <w:color w:val="auto"/>
              </w:rPr>
            </w:pPr>
          </w:p>
        </w:tc>
        <w:tc>
          <w:tcPr>
            <w:tcW w:w="180" w:type="dxa"/>
            <w:vAlign w:val="bottom"/>
            <w:shd w:val="clear" w:color="auto" w:fill="F2F2F2"/>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shd w:val="clear" w:color="auto" w:fill="F2F2F2"/>
          </w:tcPr>
          <w:p>
            <w:pPr>
              <w:spacing w:after="0"/>
              <w:rPr>
                <w:sz w:val="19"/>
                <w:szCs w:val="19"/>
                <w:color w:val="auto"/>
              </w:rPr>
            </w:pPr>
          </w:p>
        </w:tc>
        <w:tc>
          <w:tcPr>
            <w:tcW w:w="800" w:type="dxa"/>
            <w:vAlign w:val="bottom"/>
            <w:vMerge w:val="restart"/>
          </w:tcPr>
          <w:p>
            <w:pPr>
              <w:jc w:val="center"/>
              <w:spacing w:after="0"/>
              <w:rPr>
                <w:sz w:val="20"/>
                <w:szCs w:val="20"/>
                <w:color w:val="auto"/>
              </w:rPr>
            </w:pPr>
            <w:r>
              <w:rPr>
                <w:rFonts w:ascii="Wingdings" w:cs="Wingdings" w:eastAsia="Wingdings" w:hAnsi="Wingdings"/>
                <w:sz w:val="16"/>
                <w:szCs w:val="16"/>
                <w:b w:val="1"/>
                <w:bCs w:val="1"/>
                <w:color w:val="1414D2"/>
              </w:rPr>
              <w:t>¢</w:t>
            </w:r>
          </w:p>
        </w:tc>
        <w:tc>
          <w:tcPr>
            <w:tcW w:w="0" w:type="dxa"/>
            <w:vAlign w:val="bottom"/>
          </w:tcPr>
          <w:p>
            <w:pPr>
              <w:spacing w:after="0"/>
              <w:rPr>
                <w:sz w:val="1"/>
                <w:szCs w:val="1"/>
                <w:color w:val="auto"/>
              </w:rPr>
            </w:pPr>
          </w:p>
        </w:tc>
      </w:tr>
      <w:tr>
        <w:trPr>
          <w:trHeight w:val="149"/>
        </w:trPr>
        <w:tc>
          <w:tcPr>
            <w:tcW w:w="2860" w:type="dxa"/>
            <w:vAlign w:val="bottom"/>
            <w:gridSpan w:val="2"/>
          </w:tcPr>
          <w:p>
            <w:pPr>
              <w:ind w:left="640"/>
              <w:spacing w:after="0"/>
              <w:rPr>
                <w:sz w:val="20"/>
                <w:szCs w:val="20"/>
                <w:color w:val="auto"/>
              </w:rPr>
            </w:pPr>
            <w:r>
              <w:rPr>
                <w:rFonts w:ascii="Arial" w:cs="Arial" w:eastAsia="Arial" w:hAnsi="Arial"/>
                <w:sz w:val="13"/>
                <w:szCs w:val="13"/>
                <w:color w:val="auto"/>
              </w:rPr>
              <w:t>Air Transport Territory General Vice</w:t>
            </w:r>
          </w:p>
        </w:tc>
        <w:tc>
          <w:tcPr>
            <w:tcW w:w="32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720" w:type="dxa"/>
            <w:vAlign w:val="bottom"/>
            <w:shd w:val="clear" w:color="auto" w:fill="F2F2F2"/>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shd w:val="clear" w:color="auto" w:fill="F2F2F2"/>
          </w:tcPr>
          <w:p>
            <w:pPr>
              <w:spacing w:after="0"/>
              <w:rPr>
                <w:sz w:val="12"/>
                <w:szCs w:val="12"/>
                <w:color w:val="auto"/>
              </w:rPr>
            </w:pPr>
          </w:p>
        </w:tc>
        <w:tc>
          <w:tcPr>
            <w:tcW w:w="360" w:type="dxa"/>
            <w:vAlign w:val="bottom"/>
            <w:shd w:val="clear" w:color="auto" w:fill="F2F2F2"/>
          </w:tcPr>
          <w:p>
            <w:pPr>
              <w:spacing w:after="0"/>
              <w:rPr>
                <w:sz w:val="12"/>
                <w:szCs w:val="12"/>
                <w:color w:val="auto"/>
              </w:rPr>
            </w:pPr>
          </w:p>
        </w:tc>
        <w:tc>
          <w:tcPr>
            <w:tcW w:w="180" w:type="dxa"/>
            <w:vAlign w:val="bottom"/>
            <w:shd w:val="clear" w:color="auto" w:fill="F2F2F2"/>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shd w:val="clear" w:color="auto" w:fill="F2F2F2"/>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400" w:type="dxa"/>
            <w:vAlign w:val="bottom"/>
          </w:tcPr>
          <w:p>
            <w:pPr>
              <w:ind w:left="640"/>
              <w:spacing w:after="0"/>
              <w:rPr>
                <w:sz w:val="20"/>
                <w:szCs w:val="20"/>
                <w:color w:val="auto"/>
              </w:rPr>
            </w:pPr>
            <w:r>
              <w:rPr>
                <w:rFonts w:ascii="Arial" w:cs="Arial" w:eastAsia="Arial" w:hAnsi="Arial"/>
                <w:sz w:val="13"/>
                <w:szCs w:val="13"/>
                <w:color w:val="auto"/>
              </w:rPr>
              <w:t>President, IAM Union</w:t>
            </w: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shd w:val="clear" w:color="auto" w:fill="F2F2F2"/>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shd w:val="clear" w:color="auto" w:fill="F2F2F2"/>
          </w:tcPr>
          <w:p>
            <w:pPr>
              <w:spacing w:after="0"/>
              <w:rPr>
                <w:sz w:val="15"/>
                <w:szCs w:val="15"/>
                <w:color w:val="auto"/>
              </w:rPr>
            </w:pPr>
          </w:p>
        </w:tc>
        <w:tc>
          <w:tcPr>
            <w:tcW w:w="360" w:type="dxa"/>
            <w:vAlign w:val="bottom"/>
            <w:shd w:val="clear" w:color="auto" w:fill="F2F2F2"/>
          </w:tcPr>
          <w:p>
            <w:pPr>
              <w:spacing w:after="0"/>
              <w:rPr>
                <w:sz w:val="15"/>
                <w:szCs w:val="15"/>
                <w:color w:val="auto"/>
              </w:rPr>
            </w:pPr>
          </w:p>
        </w:tc>
        <w:tc>
          <w:tcPr>
            <w:tcW w:w="180" w:type="dxa"/>
            <w:vAlign w:val="bottom"/>
            <w:shd w:val="clear" w:color="auto" w:fill="F2F2F2"/>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shd w:val="clear" w:color="auto" w:fill="F2F2F2"/>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400" w:type="dxa"/>
            <w:vAlign w:val="bottom"/>
            <w:tcBorders>
              <w:bottom w:val="single" w:sz="8" w:color="808080"/>
            </w:tcBorders>
          </w:tcPr>
          <w:p>
            <w:pPr>
              <w:spacing w:after="0"/>
              <w:rPr>
                <w:sz w:val="6"/>
                <w:szCs w:val="6"/>
                <w:color w:val="auto"/>
              </w:rPr>
            </w:pPr>
          </w:p>
        </w:tc>
        <w:tc>
          <w:tcPr>
            <w:tcW w:w="460" w:type="dxa"/>
            <w:vAlign w:val="bottom"/>
            <w:tcBorders>
              <w:bottom w:val="single" w:sz="8" w:color="808080"/>
            </w:tcBorders>
          </w:tcPr>
          <w:p>
            <w:pPr>
              <w:spacing w:after="0"/>
              <w:rPr>
                <w:sz w:val="6"/>
                <w:szCs w:val="6"/>
                <w:color w:val="auto"/>
              </w:rPr>
            </w:pPr>
          </w:p>
        </w:tc>
        <w:tc>
          <w:tcPr>
            <w:tcW w:w="320" w:type="dxa"/>
            <w:vAlign w:val="bottom"/>
            <w:tcBorders>
              <w:bottom w:val="single" w:sz="8" w:color="808080"/>
            </w:tcBorders>
          </w:tcPr>
          <w:p>
            <w:pPr>
              <w:spacing w:after="0"/>
              <w:rPr>
                <w:sz w:val="6"/>
                <w:szCs w:val="6"/>
                <w:color w:val="auto"/>
              </w:rPr>
            </w:pPr>
          </w:p>
        </w:tc>
        <w:tc>
          <w:tcPr>
            <w:tcW w:w="840" w:type="dxa"/>
            <w:vAlign w:val="bottom"/>
            <w:tcBorders>
              <w:bottom w:val="single" w:sz="8" w:color="808080"/>
            </w:tcBorders>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580" w:type="dxa"/>
            <w:vAlign w:val="bottom"/>
            <w:tcBorders>
              <w:bottom w:val="single" w:sz="8" w:color="808080"/>
            </w:tcBorders>
          </w:tcPr>
          <w:p>
            <w:pPr>
              <w:spacing w:after="0"/>
              <w:rPr>
                <w:sz w:val="6"/>
                <w:szCs w:val="6"/>
                <w:color w:val="auto"/>
              </w:rPr>
            </w:pPr>
          </w:p>
        </w:tc>
        <w:tc>
          <w:tcPr>
            <w:tcW w:w="720" w:type="dxa"/>
            <w:vAlign w:val="bottom"/>
            <w:tcBorders>
              <w:bottom w:val="single" w:sz="8" w:color="808080"/>
            </w:tcBorders>
            <w:shd w:val="clear" w:color="auto" w:fill="F2F2F2"/>
          </w:tcPr>
          <w:p>
            <w:pPr>
              <w:spacing w:after="0"/>
              <w:rPr>
                <w:sz w:val="6"/>
                <w:szCs w:val="6"/>
                <w:color w:val="auto"/>
              </w:rPr>
            </w:pPr>
          </w:p>
        </w:tc>
        <w:tc>
          <w:tcPr>
            <w:tcW w:w="78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shd w:val="clear" w:color="auto" w:fill="F2F2F2"/>
          </w:tcPr>
          <w:p>
            <w:pPr>
              <w:spacing w:after="0"/>
              <w:rPr>
                <w:sz w:val="6"/>
                <w:szCs w:val="6"/>
                <w:color w:val="auto"/>
              </w:rPr>
            </w:pPr>
          </w:p>
        </w:tc>
        <w:tc>
          <w:tcPr>
            <w:tcW w:w="360" w:type="dxa"/>
            <w:vAlign w:val="bottom"/>
            <w:tcBorders>
              <w:bottom w:val="single" w:sz="8" w:color="808080"/>
            </w:tcBorders>
            <w:shd w:val="clear" w:color="auto" w:fill="F2F2F2"/>
          </w:tcPr>
          <w:p>
            <w:pPr>
              <w:spacing w:after="0"/>
              <w:rPr>
                <w:sz w:val="6"/>
                <w:szCs w:val="6"/>
                <w:color w:val="auto"/>
              </w:rPr>
            </w:pPr>
          </w:p>
        </w:tc>
        <w:tc>
          <w:tcPr>
            <w:tcW w:w="180" w:type="dxa"/>
            <w:vAlign w:val="bottom"/>
            <w:tcBorders>
              <w:bottom w:val="single" w:sz="8" w:color="808080"/>
            </w:tcBorders>
            <w:shd w:val="clear" w:color="auto" w:fill="F2F2F2"/>
          </w:tcPr>
          <w:p>
            <w:pPr>
              <w:spacing w:after="0"/>
              <w:rPr>
                <w:sz w:val="6"/>
                <w:szCs w:val="6"/>
                <w:color w:val="auto"/>
              </w:rPr>
            </w:pPr>
          </w:p>
        </w:tc>
        <w:tc>
          <w:tcPr>
            <w:tcW w:w="800" w:type="dxa"/>
            <w:vAlign w:val="bottom"/>
            <w:tcBorders>
              <w:bottom w:val="single" w:sz="8" w:color="808080"/>
            </w:tcBorders>
          </w:tcPr>
          <w:p>
            <w:pPr>
              <w:spacing w:after="0"/>
              <w:rPr>
                <w:sz w:val="6"/>
                <w:szCs w:val="6"/>
                <w:color w:val="auto"/>
              </w:rPr>
            </w:pPr>
          </w:p>
        </w:tc>
        <w:tc>
          <w:tcPr>
            <w:tcW w:w="800" w:type="dxa"/>
            <w:vAlign w:val="bottom"/>
            <w:tcBorders>
              <w:bottom w:val="single" w:sz="8" w:color="808080"/>
            </w:tcBorders>
            <w:shd w:val="clear" w:color="auto" w:fill="F2F2F2"/>
          </w:tcPr>
          <w:p>
            <w:pPr>
              <w:spacing w:after="0"/>
              <w:rPr>
                <w:sz w:val="6"/>
                <w:szCs w:val="6"/>
                <w:color w:val="auto"/>
              </w:rPr>
            </w:pPr>
          </w:p>
        </w:tc>
        <w:tc>
          <w:tcPr>
            <w:tcW w:w="80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2400" w:type="dxa"/>
            <w:vAlign w:val="bottom"/>
            <w:tcBorders>
              <w:bottom w:val="single" w:sz="8" w:color="808080"/>
            </w:tcBorders>
          </w:tcPr>
          <w:p>
            <w:pPr>
              <w:spacing w:after="0"/>
              <w:rPr>
                <w:sz w:val="20"/>
                <w:szCs w:val="20"/>
                <w:color w:val="auto"/>
              </w:rPr>
            </w:pPr>
            <w:r>
              <w:rPr>
                <w:rFonts w:ascii="Arial" w:cs="Arial" w:eastAsia="Arial" w:hAnsi="Arial"/>
                <w:sz w:val="14"/>
                <w:szCs w:val="14"/>
                <w:b w:val="1"/>
                <w:bCs w:val="1"/>
                <w:color w:val="auto"/>
              </w:rPr>
              <w:t>Number of Meetings in 2025</w:t>
            </w:r>
          </w:p>
        </w:tc>
        <w:tc>
          <w:tcPr>
            <w:tcW w:w="460" w:type="dxa"/>
            <w:vAlign w:val="bottom"/>
            <w:tcBorders>
              <w:bottom w:val="single" w:sz="8" w:color="808080"/>
            </w:tcBorders>
          </w:tcPr>
          <w:p>
            <w:pPr>
              <w:spacing w:after="0"/>
              <w:rPr>
                <w:sz w:val="20"/>
                <w:szCs w:val="20"/>
                <w:color w:val="auto"/>
              </w:rPr>
            </w:pPr>
          </w:p>
        </w:tc>
        <w:tc>
          <w:tcPr>
            <w:tcW w:w="320" w:type="dxa"/>
            <w:vAlign w:val="bottom"/>
            <w:tcBorders>
              <w:bottom w:val="single" w:sz="8" w:color="808080"/>
            </w:tcBorders>
          </w:tcPr>
          <w:p>
            <w:pPr>
              <w:spacing w:after="0"/>
              <w:rPr>
                <w:sz w:val="20"/>
                <w:szCs w:val="20"/>
                <w:color w:val="auto"/>
              </w:rPr>
            </w:pPr>
          </w:p>
        </w:tc>
        <w:tc>
          <w:tcPr>
            <w:tcW w:w="840" w:type="dxa"/>
            <w:vAlign w:val="bottom"/>
            <w:tcBorders>
              <w:bottom w:val="single" w:sz="8" w:color="808080"/>
            </w:tcBorders>
          </w:tcPr>
          <w:p>
            <w:pPr>
              <w:jc w:val="right"/>
              <w:spacing w:after="0"/>
              <w:rPr>
                <w:sz w:val="20"/>
                <w:szCs w:val="20"/>
                <w:color w:val="auto"/>
              </w:rPr>
            </w:pPr>
            <w:r>
              <w:rPr>
                <w:rFonts w:ascii="Arial" w:cs="Arial" w:eastAsia="Arial" w:hAnsi="Arial"/>
                <w:sz w:val="14"/>
                <w:szCs w:val="14"/>
                <w:b w:val="1"/>
                <w:bCs w:val="1"/>
                <w:color w:val="auto"/>
              </w:rPr>
              <w:t>Board–9</w:t>
            </w:r>
          </w:p>
        </w:tc>
        <w:tc>
          <w:tcPr>
            <w:tcW w:w="540" w:type="dxa"/>
            <w:vAlign w:val="bottom"/>
            <w:tcBorders>
              <w:bottom w:val="single" w:sz="8" w:color="808080"/>
            </w:tcBorders>
          </w:tcPr>
          <w:p>
            <w:pPr>
              <w:spacing w:after="0"/>
              <w:rPr>
                <w:sz w:val="20"/>
                <w:szCs w:val="20"/>
                <w:color w:val="auto"/>
              </w:rPr>
            </w:pPr>
          </w:p>
        </w:tc>
        <w:tc>
          <w:tcPr>
            <w:tcW w:w="580" w:type="dxa"/>
            <w:vAlign w:val="bottom"/>
            <w:tcBorders>
              <w:bottom w:val="single" w:sz="8" w:color="808080"/>
            </w:tcBorders>
          </w:tcPr>
          <w:p>
            <w:pPr>
              <w:spacing w:after="0"/>
              <w:rPr>
                <w:sz w:val="20"/>
                <w:szCs w:val="20"/>
                <w:color w:val="auto"/>
              </w:rPr>
            </w:pPr>
          </w:p>
        </w:tc>
        <w:tc>
          <w:tcPr>
            <w:tcW w:w="720" w:type="dxa"/>
            <w:vAlign w:val="bottom"/>
            <w:tcBorders>
              <w:bottom w:val="single" w:sz="8" w:color="808080"/>
            </w:tcBorders>
            <w:shd w:val="clear" w:color="auto" w:fill="F2F2F2"/>
          </w:tcPr>
          <w:p>
            <w:pPr>
              <w:jc w:val="center"/>
              <w:spacing w:after="0"/>
              <w:rPr>
                <w:sz w:val="20"/>
                <w:szCs w:val="20"/>
                <w:color w:val="auto"/>
              </w:rPr>
            </w:pPr>
            <w:r>
              <w:rPr>
                <w:rFonts w:ascii="Arial" w:cs="Arial" w:eastAsia="Arial" w:hAnsi="Arial"/>
                <w:sz w:val="14"/>
                <w:szCs w:val="14"/>
                <w:color w:val="auto"/>
              </w:rPr>
              <w:t>9</w:t>
            </w:r>
          </w:p>
        </w:tc>
        <w:tc>
          <w:tcPr>
            <w:tcW w:w="780" w:type="dxa"/>
            <w:vAlign w:val="bottom"/>
            <w:tcBorders>
              <w:bottom w:val="single" w:sz="8" w:color="808080"/>
            </w:tcBorders>
          </w:tcPr>
          <w:p>
            <w:pPr>
              <w:jc w:val="center"/>
              <w:spacing w:after="0"/>
              <w:rPr>
                <w:sz w:val="20"/>
                <w:szCs w:val="20"/>
                <w:color w:val="auto"/>
              </w:rPr>
            </w:pPr>
            <w:r>
              <w:rPr>
                <w:rFonts w:ascii="Arial" w:cs="Arial" w:eastAsia="Arial" w:hAnsi="Arial"/>
                <w:sz w:val="14"/>
                <w:szCs w:val="14"/>
                <w:color w:val="auto"/>
              </w:rPr>
              <w:t>6</w:t>
            </w:r>
          </w:p>
        </w:tc>
        <w:tc>
          <w:tcPr>
            <w:tcW w:w="140" w:type="dxa"/>
            <w:vAlign w:val="bottom"/>
            <w:tcBorders>
              <w:bottom w:val="single" w:sz="8" w:color="808080"/>
            </w:tcBorders>
            <w:shd w:val="clear" w:color="auto" w:fill="F2F2F2"/>
          </w:tcPr>
          <w:p>
            <w:pPr>
              <w:spacing w:after="0"/>
              <w:rPr>
                <w:sz w:val="20"/>
                <w:szCs w:val="20"/>
                <w:color w:val="auto"/>
              </w:rPr>
            </w:pPr>
          </w:p>
        </w:tc>
        <w:tc>
          <w:tcPr>
            <w:tcW w:w="360" w:type="dxa"/>
            <w:vAlign w:val="bottom"/>
            <w:tcBorders>
              <w:bottom w:val="single" w:sz="8" w:color="808080"/>
            </w:tcBorders>
            <w:shd w:val="clear" w:color="auto" w:fill="F2F2F2"/>
          </w:tcPr>
          <w:p>
            <w:pPr>
              <w:jc w:val="center"/>
              <w:spacing w:after="0"/>
              <w:rPr>
                <w:sz w:val="20"/>
                <w:szCs w:val="20"/>
                <w:color w:val="auto"/>
              </w:rPr>
            </w:pPr>
            <w:r>
              <w:rPr>
                <w:rFonts w:ascii="Arial" w:cs="Arial" w:eastAsia="Arial" w:hAnsi="Arial"/>
                <w:sz w:val="14"/>
                <w:szCs w:val="14"/>
                <w:color w:val="auto"/>
              </w:rPr>
              <w:t>5</w:t>
            </w:r>
          </w:p>
        </w:tc>
        <w:tc>
          <w:tcPr>
            <w:tcW w:w="180" w:type="dxa"/>
            <w:vAlign w:val="bottom"/>
            <w:tcBorders>
              <w:bottom w:val="single" w:sz="8" w:color="808080"/>
            </w:tcBorders>
            <w:shd w:val="clear" w:color="auto" w:fill="F2F2F2"/>
          </w:tcPr>
          <w:p>
            <w:pPr>
              <w:spacing w:after="0"/>
              <w:rPr>
                <w:sz w:val="20"/>
                <w:szCs w:val="20"/>
                <w:color w:val="auto"/>
              </w:rPr>
            </w:pPr>
          </w:p>
        </w:tc>
        <w:tc>
          <w:tcPr>
            <w:tcW w:w="800" w:type="dxa"/>
            <w:vAlign w:val="bottom"/>
            <w:tcBorders>
              <w:bottom w:val="single" w:sz="8" w:color="808080"/>
            </w:tcBorders>
          </w:tcPr>
          <w:p>
            <w:pPr>
              <w:jc w:val="center"/>
              <w:spacing w:after="0"/>
              <w:rPr>
                <w:sz w:val="20"/>
                <w:szCs w:val="20"/>
                <w:color w:val="auto"/>
              </w:rPr>
            </w:pPr>
            <w:r>
              <w:rPr>
                <w:rFonts w:ascii="Arial" w:cs="Arial" w:eastAsia="Arial" w:hAnsi="Arial"/>
                <w:sz w:val="14"/>
                <w:szCs w:val="14"/>
                <w:color w:val="auto"/>
              </w:rPr>
              <w:t>9</w:t>
            </w:r>
          </w:p>
        </w:tc>
        <w:tc>
          <w:tcPr>
            <w:tcW w:w="800" w:type="dxa"/>
            <w:vAlign w:val="bottom"/>
            <w:tcBorders>
              <w:bottom w:val="single" w:sz="8" w:color="808080"/>
            </w:tcBorders>
            <w:shd w:val="clear" w:color="auto" w:fill="F2F2F2"/>
          </w:tcPr>
          <w:p>
            <w:pPr>
              <w:jc w:val="center"/>
              <w:spacing w:after="0"/>
              <w:rPr>
                <w:sz w:val="20"/>
                <w:szCs w:val="20"/>
                <w:color w:val="auto"/>
              </w:rPr>
            </w:pPr>
            <w:r>
              <w:rPr>
                <w:rFonts w:ascii="Arial" w:cs="Arial" w:eastAsia="Arial" w:hAnsi="Arial"/>
                <w:sz w:val="14"/>
                <w:szCs w:val="14"/>
                <w:color w:val="auto"/>
              </w:rPr>
              <w:t>4</w:t>
            </w:r>
          </w:p>
        </w:tc>
        <w:tc>
          <w:tcPr>
            <w:tcW w:w="800" w:type="dxa"/>
            <w:vAlign w:val="bottom"/>
            <w:tcBorders>
              <w:bottom w:val="single" w:sz="8" w:color="808080"/>
            </w:tcBorders>
          </w:tcPr>
          <w:p>
            <w:pPr>
              <w:jc w:val="center"/>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341"/>
        </w:trPr>
        <w:tc>
          <w:tcPr>
            <w:tcW w:w="2400" w:type="dxa"/>
            <w:vAlign w:val="bottom"/>
          </w:tcPr>
          <w:p>
            <w:pPr>
              <w:spacing w:after="0"/>
              <w:rPr>
                <w:sz w:val="20"/>
                <w:szCs w:val="20"/>
                <w:color w:val="auto"/>
              </w:rPr>
            </w:pPr>
            <w:r>
              <w:rPr>
                <w:rFonts w:ascii="Arial" w:cs="Arial" w:eastAsia="Arial" w:hAnsi="Arial"/>
                <w:sz w:val="14"/>
                <w:szCs w:val="14"/>
                <w:color w:val="auto"/>
              </w:rPr>
              <w:t>Committee  Chair</w:t>
            </w:r>
          </w:p>
        </w:tc>
        <w:tc>
          <w:tcPr>
            <w:tcW w:w="2160" w:type="dxa"/>
            <w:vAlign w:val="bottom"/>
            <w:gridSpan w:val="4"/>
          </w:tcPr>
          <w:p>
            <w:pPr>
              <w:ind w:left="40"/>
              <w:spacing w:after="0"/>
              <w:rPr>
                <w:sz w:val="20"/>
                <w:szCs w:val="20"/>
                <w:color w:val="auto"/>
              </w:rPr>
            </w:pPr>
            <w:r>
              <w:rPr>
                <w:rFonts w:ascii="Wingdings" w:cs="Wingdings" w:eastAsia="Wingdings" w:hAnsi="Wingdings"/>
                <w:sz w:val="16"/>
                <w:szCs w:val="16"/>
                <w:b w:val="1"/>
                <w:bCs w:val="1"/>
                <w:color w:val="1414D2"/>
              </w:rPr>
              <w:t xml:space="preserve">¢ </w:t>
            </w:r>
            <w:r>
              <w:rPr>
                <w:rFonts w:ascii="Arial" w:cs="Arial" w:eastAsia="Arial" w:hAnsi="Arial"/>
                <w:sz w:val="14"/>
                <w:szCs w:val="14"/>
                <w:color w:val="000000"/>
              </w:rPr>
              <w:t>Committee  Member</w:t>
            </w:r>
          </w:p>
        </w:tc>
        <w:tc>
          <w:tcPr>
            <w:tcW w:w="2220" w:type="dxa"/>
            <w:vAlign w:val="bottom"/>
            <w:gridSpan w:val="4"/>
          </w:tcPr>
          <w:p>
            <w:pPr>
              <w:ind w:left="320"/>
              <w:spacing w:after="0"/>
              <w:rPr>
                <w:sz w:val="20"/>
                <w:szCs w:val="20"/>
                <w:color w:val="auto"/>
              </w:rPr>
            </w:pPr>
            <w:r>
              <w:rPr>
                <w:rFonts w:ascii="Wingdings" w:cs="Wingdings" w:eastAsia="Wingdings" w:hAnsi="Wingdings"/>
                <w:sz w:val="25"/>
                <w:szCs w:val="25"/>
                <w:b w:val="1"/>
                <w:bCs w:val="1"/>
                <w:color w:val="1414D2"/>
              </w:rPr>
              <w:t>«</w:t>
            </w:r>
            <w:r>
              <w:rPr>
                <w:rFonts w:ascii="Arial" w:cs="Arial" w:eastAsia="Arial" w:hAnsi="Arial"/>
                <w:sz w:val="14"/>
                <w:szCs w:val="14"/>
                <w:color w:val="000000"/>
              </w:rPr>
              <w:t>Chairman  of  the  Board</w:t>
            </w:r>
          </w:p>
        </w:tc>
        <w:tc>
          <w:tcPr>
            <w:tcW w:w="360" w:type="dxa"/>
            <w:vAlign w:val="bottom"/>
          </w:tcPr>
          <w:p>
            <w:pPr>
              <w:spacing w:after="0"/>
              <w:rPr>
                <w:sz w:val="24"/>
                <w:szCs w:val="24"/>
                <w:color w:val="auto"/>
              </w:rPr>
            </w:pPr>
          </w:p>
        </w:tc>
        <w:tc>
          <w:tcPr>
            <w:tcW w:w="258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1414D2"/>
              </w:rPr>
              <w:t xml:space="preserve">▲  </w:t>
            </w:r>
            <w:r>
              <w:rPr>
                <w:rFonts w:ascii="Arial" w:cs="Arial" w:eastAsia="Arial" w:hAnsi="Arial"/>
                <w:sz w:val="14"/>
                <w:szCs w:val="14"/>
                <w:color w:val="000000"/>
              </w:rPr>
              <w:t>Audit  Committee  Financial  Expert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720"/>
          </w:cols>
          <w:pgMar w:left="1080" w:top="695"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​​2026​  Proxy</w:t>
      </w:r>
    </w:p>
    <w:p>
      <w:pPr>
        <w:spacing w:after="0" w:line="5"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b w:val="1"/>
          <w:bCs w:val="1"/>
          <w:color w:val="1414D2"/>
        </w:rPr>
        <w:t>6</w:t>
      </w:r>
      <w:r>
        <w:rPr>
          <w:sz w:val="20"/>
          <w:szCs w:val="20"/>
          <w:color w:val="auto"/>
        </w:rPr>
        <w:tab/>
      </w:r>
      <w:r>
        <w:rPr>
          <w:rFonts w:ascii="Arial" w:cs="Arial" w:eastAsia="Arial" w:hAnsi="Arial"/>
          <w:sz w:val="16"/>
          <w:szCs w:val="16"/>
          <w:color w:val="auto"/>
        </w:rPr>
        <w:t>Statement</w:t>
      </w:r>
    </w:p>
    <w:p>
      <w:pPr>
        <w:sectPr>
          <w:pgSz w:w="11900" w:h="16838" w:orient="portrait"/>
          <w:cols w:equalWidth="0" w:num="1">
            <w:col w:w="9720"/>
          </w:cols>
          <w:pgMar w:left="1080" w:top="695" w:right="109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27" w:lineRule="exact"/>
        <w:rPr>
          <w:sz w:val="20"/>
          <w:szCs w:val="20"/>
          <w:color w:val="auto"/>
        </w:rPr>
      </w:pPr>
    </w:p>
    <w:p>
      <w:pPr>
        <w:jc w:val="right"/>
        <w:spacing w:after="0"/>
        <w:rPr>
          <w:sz w:val="20"/>
          <w:szCs w:val="20"/>
          <w:color w:val="auto"/>
        </w:rPr>
      </w:pPr>
      <w:r>
        <w:rPr>
          <w:rFonts w:ascii="Arial" w:cs="Arial" w:eastAsia="Arial" w:hAnsi="Arial"/>
          <w:sz w:val="14"/>
          <w:szCs w:val="14"/>
          <w:color w:val="6D6F71"/>
        </w:rPr>
        <w:t>Proxy  Statement  Summary  and  Voting  Map</w:t>
      </w:r>
    </w:p>
    <w:p>
      <w:pPr>
        <w:sectPr>
          <w:pgSz w:w="11900" w:h="16838" w:orient="portrait"/>
          <w:cols w:equalWidth="0" w:num="1">
            <w:col w:w="9720"/>
          </w:cols>
          <w:pgMar w:left="1080" w:top="695"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Director Nominee Skills and Experience</w:t>
      </w:r>
    </w:p>
    <w:p>
      <w:pPr>
        <w:spacing w:after="0" w:line="119" w:lineRule="exact"/>
        <w:rPr>
          <w:sz w:val="20"/>
          <w:szCs w:val="20"/>
          <w:color w:val="auto"/>
        </w:rPr>
      </w:pPr>
    </w:p>
    <w:p>
      <w:pPr>
        <w:ind w:left="720"/>
        <w:spacing w:after="0"/>
        <w:rPr>
          <w:sz w:val="20"/>
          <w:szCs w:val="20"/>
          <w:color w:val="auto"/>
        </w:rPr>
      </w:pPr>
      <w:r>
        <w:rPr>
          <w:rFonts w:ascii="Arial" w:cs="Arial" w:eastAsia="Arial" w:hAnsi="Arial"/>
          <w:sz w:val="14"/>
          <w:szCs w:val="14"/>
          <w:b w:val="1"/>
          <w:bCs w:val="1"/>
          <w:color w:val="auto"/>
        </w:rPr>
        <w:t>ACTIVE OR FORMER C-SUITE EXECUTIVE:</w:t>
      </w:r>
    </w:p>
    <w:p>
      <w:pPr>
        <w:spacing w:after="0" w:line="15" w:lineRule="exact"/>
        <w:rPr>
          <w:sz w:val="20"/>
          <w:szCs w:val="20"/>
          <w:color w:val="auto"/>
        </w:rPr>
      </w:pPr>
    </w:p>
    <w:p>
      <w:pPr>
        <w:ind w:left="720"/>
        <w:spacing w:after="0"/>
        <w:rPr>
          <w:sz w:val="20"/>
          <w:szCs w:val="20"/>
          <w:color w:val="auto"/>
        </w:rPr>
      </w:pPr>
      <w:r>
        <w:rPr>
          <w:rFonts w:ascii="Arial" w:cs="Arial" w:eastAsia="Arial" w:hAnsi="Arial"/>
          <w:sz w:val="14"/>
          <w:szCs w:val="14"/>
          <w:color w:val="auto"/>
        </w:rPr>
        <w:t>Service  in  senior  leadership  positions,</w:t>
      </w:r>
    </w:p>
    <w:p>
      <w:pPr>
        <w:spacing w:after="0" w:line="15" w:lineRule="exact"/>
        <w:rPr>
          <w:sz w:val="20"/>
          <w:szCs w:val="20"/>
          <w:color w:val="auto"/>
        </w:rPr>
      </w:pPr>
    </w:p>
    <w:p>
      <w:pPr>
        <w:ind w:left="720"/>
        <w:spacing w:after="0" w:line="311" w:lineRule="auto"/>
        <w:rPr>
          <w:sz w:val="20"/>
          <w:szCs w:val="20"/>
          <w:color w:val="auto"/>
        </w:rPr>
      </w:pPr>
      <w:r>
        <w:rPr>
          <w:rFonts w:ascii="Arial" w:cs="Arial" w:eastAsia="Arial" w:hAnsi="Arial"/>
          <w:sz w:val="14"/>
          <w:szCs w:val="14"/>
          <w:color w:val="auto"/>
        </w:rPr>
        <w:t>including past CEO experience or other senior executive positions</w:t>
      </w:r>
    </w:p>
    <w:p>
      <w:pPr>
        <w:spacing w:after="0" w:line="1" w:lineRule="exact"/>
        <w:rPr>
          <w:sz w:val="20"/>
          <w:szCs w:val="20"/>
          <w:color w:val="auto"/>
        </w:rPr>
      </w:pPr>
    </w:p>
    <w:p>
      <w:pPr>
        <w:ind w:left="720"/>
        <w:spacing w:after="0"/>
        <w:rPr>
          <w:sz w:val="20"/>
          <w:szCs w:val="20"/>
          <w:color w:val="auto"/>
        </w:rPr>
      </w:pPr>
      <w:r>
        <w:rPr>
          <w:rFonts w:ascii="Arial" w:cs="Arial" w:eastAsia="Arial" w:hAnsi="Arial"/>
          <w:sz w:val="14"/>
          <w:szCs w:val="14"/>
          <w:b w:val="1"/>
          <w:bCs w:val="1"/>
          <w:color w:val="auto"/>
        </w:rPr>
        <w:t>AIR, TRAVEL &amp; TRANSPORTATION:</w:t>
      </w:r>
    </w:p>
    <w:p>
      <w:pPr>
        <w:spacing w:after="0" w:line="15" w:lineRule="exact"/>
        <w:rPr>
          <w:sz w:val="20"/>
          <w:szCs w:val="20"/>
          <w:color w:val="auto"/>
        </w:rPr>
      </w:pPr>
    </w:p>
    <w:p>
      <w:pPr>
        <w:ind w:left="720" w:right="80"/>
        <w:spacing w:after="0" w:line="311" w:lineRule="auto"/>
        <w:rPr>
          <w:sz w:val="20"/>
          <w:szCs w:val="20"/>
          <w:color w:val="auto"/>
        </w:rPr>
      </w:pPr>
      <w:r>
        <w:rPr>
          <w:rFonts w:ascii="Arial" w:cs="Arial" w:eastAsia="Arial" w:hAnsi="Arial"/>
          <w:sz w:val="14"/>
          <w:szCs w:val="14"/>
          <w:color w:val="auto"/>
        </w:rPr>
        <w:t>Experience as a business leader, regulator or consultant in the industry</w:t>
      </w:r>
    </w:p>
    <w:p>
      <w:pPr>
        <w:spacing w:after="0" w:line="1" w:lineRule="exact"/>
        <w:rPr>
          <w:sz w:val="20"/>
          <w:szCs w:val="20"/>
          <w:color w:val="auto"/>
        </w:rPr>
      </w:pPr>
    </w:p>
    <w:p>
      <w:pPr>
        <w:ind w:left="720" w:right="160"/>
        <w:spacing w:after="0" w:line="281" w:lineRule="auto"/>
        <w:rPr>
          <w:sz w:val="20"/>
          <w:szCs w:val="20"/>
          <w:color w:val="auto"/>
        </w:rPr>
      </w:pPr>
      <w:r>
        <w:rPr>
          <w:rFonts w:ascii="Arial" w:cs="Arial" w:eastAsia="Arial" w:hAnsi="Arial"/>
          <w:sz w:val="13"/>
          <w:szCs w:val="13"/>
          <w:b w:val="1"/>
          <w:bCs w:val="1"/>
          <w:color w:val="auto"/>
        </w:rPr>
        <w:t xml:space="preserve">GOVERNANCE AND CURRENT OR FORMER PUBLIC COMPANY BOARD: </w:t>
      </w:r>
      <w:r>
        <w:rPr>
          <w:rFonts w:ascii="Arial" w:cs="Arial" w:eastAsia="Arial" w:hAnsi="Arial"/>
          <w:sz w:val="13"/>
          <w:szCs w:val="13"/>
          <w:color w:val="auto"/>
        </w:rPr>
        <w:t>Experience in</w:t>
      </w:r>
    </w:p>
    <w:p>
      <w:pPr>
        <w:spacing w:after="0" w:line="1" w:lineRule="exact"/>
        <w:rPr>
          <w:sz w:val="20"/>
          <w:szCs w:val="20"/>
          <w:color w:val="auto"/>
        </w:rPr>
      </w:pPr>
    </w:p>
    <w:p>
      <w:pPr>
        <w:ind w:left="720" w:right="180"/>
        <w:spacing w:after="0" w:line="251" w:lineRule="auto"/>
        <w:rPr>
          <w:sz w:val="20"/>
          <w:szCs w:val="20"/>
          <w:color w:val="auto"/>
        </w:rPr>
      </w:pPr>
      <w:r>
        <w:rPr>
          <w:rFonts w:ascii="Arial" w:cs="Arial" w:eastAsia="Arial" w:hAnsi="Arial"/>
          <w:sz w:val="14"/>
          <w:szCs w:val="14"/>
          <w:color w:val="auto"/>
        </w:rPr>
        <w:t>corporate governance through current or past service on the boards of other publicly</w:t>
      </w:r>
    </w:p>
    <w:p>
      <w:pPr>
        <w:spacing w:after="0" w:line="1" w:lineRule="exact"/>
        <w:rPr>
          <w:sz w:val="20"/>
          <w:szCs w:val="20"/>
          <w:color w:val="auto"/>
        </w:rPr>
      </w:pPr>
    </w:p>
    <w:p>
      <w:pPr>
        <w:ind w:left="720"/>
        <w:spacing w:after="0"/>
        <w:rPr>
          <w:sz w:val="20"/>
          <w:szCs w:val="20"/>
          <w:color w:val="auto"/>
        </w:rPr>
      </w:pPr>
      <w:r>
        <w:rPr>
          <w:rFonts w:ascii="Arial" w:cs="Arial" w:eastAsia="Arial" w:hAnsi="Arial"/>
          <w:sz w:val="14"/>
          <w:szCs w:val="14"/>
          <w:color w:val="auto"/>
        </w:rPr>
        <w:t>traded  companies</w:t>
      </w:r>
    </w:p>
    <w:p>
      <w:pPr>
        <w:spacing w:after="0" w:line="96" w:lineRule="exact"/>
        <w:rPr>
          <w:sz w:val="20"/>
          <w:szCs w:val="20"/>
          <w:color w:val="auto"/>
        </w:rPr>
      </w:pPr>
    </w:p>
    <w:p>
      <w:pPr>
        <w:ind w:left="720"/>
        <w:spacing w:after="0"/>
        <w:rPr>
          <w:sz w:val="20"/>
          <w:szCs w:val="20"/>
          <w:color w:val="auto"/>
        </w:rPr>
      </w:pPr>
      <w:r>
        <w:rPr>
          <w:rFonts w:ascii="Arial" w:cs="Arial" w:eastAsia="Arial" w:hAnsi="Arial"/>
          <w:sz w:val="14"/>
          <w:szCs w:val="14"/>
          <w:b w:val="1"/>
          <w:bCs w:val="1"/>
          <w:color w:val="auto"/>
        </w:rPr>
        <w:t>FINANCE/ACCOUNTING/CAPITAL</w:t>
      </w:r>
    </w:p>
    <w:p>
      <w:pPr>
        <w:spacing w:after="0" w:line="15" w:lineRule="exact"/>
        <w:rPr>
          <w:sz w:val="20"/>
          <w:szCs w:val="20"/>
          <w:color w:val="auto"/>
        </w:rPr>
      </w:pPr>
    </w:p>
    <w:p>
      <w:pPr>
        <w:ind w:left="720"/>
        <w:spacing w:after="0"/>
        <w:rPr>
          <w:sz w:val="20"/>
          <w:szCs w:val="20"/>
          <w:color w:val="auto"/>
        </w:rPr>
      </w:pPr>
      <w:r>
        <w:rPr>
          <w:rFonts w:ascii="Arial" w:cs="Arial" w:eastAsia="Arial" w:hAnsi="Arial"/>
          <w:sz w:val="14"/>
          <w:szCs w:val="14"/>
          <w:b w:val="1"/>
          <w:bCs w:val="1"/>
          <w:color w:val="auto"/>
        </w:rPr>
        <w:t xml:space="preserve">ALLOCATION: </w:t>
      </w:r>
      <w:r>
        <w:rPr>
          <w:rFonts w:ascii="Arial" w:cs="Arial" w:eastAsia="Arial" w:hAnsi="Arial"/>
          <w:sz w:val="14"/>
          <w:szCs w:val="14"/>
          <w:color w:val="auto"/>
        </w:rPr>
        <w:t>Experience  in  evaluating</w:t>
      </w:r>
    </w:p>
    <w:p>
      <w:pPr>
        <w:spacing w:after="0" w:line="15" w:lineRule="exact"/>
        <w:rPr>
          <w:sz w:val="20"/>
          <w:szCs w:val="20"/>
          <w:color w:val="auto"/>
        </w:rPr>
      </w:pPr>
    </w:p>
    <w:p>
      <w:pPr>
        <w:ind w:left="720" w:right="280"/>
        <w:spacing w:after="0" w:line="311" w:lineRule="auto"/>
        <w:rPr>
          <w:sz w:val="20"/>
          <w:szCs w:val="20"/>
          <w:color w:val="auto"/>
        </w:rPr>
      </w:pPr>
      <w:r>
        <w:rPr>
          <w:rFonts w:ascii="Arial" w:cs="Arial" w:eastAsia="Arial" w:hAnsi="Arial"/>
          <w:sz w:val="14"/>
          <w:szCs w:val="14"/>
          <w:color w:val="auto"/>
        </w:rPr>
        <w:t>fnancial statements or overseeing capital structure and fnancial strategy</w:t>
      </w:r>
    </w:p>
    <w:p>
      <w:pPr>
        <w:spacing w:after="0" w:line="1" w:lineRule="exact"/>
        <w:rPr>
          <w:sz w:val="20"/>
          <w:szCs w:val="20"/>
          <w:color w:val="auto"/>
        </w:rPr>
      </w:pPr>
    </w:p>
    <w:p>
      <w:pPr>
        <w:ind w:left="720"/>
        <w:spacing w:after="0" w:line="261" w:lineRule="auto"/>
        <w:rPr>
          <w:sz w:val="20"/>
          <w:szCs w:val="20"/>
          <w:color w:val="auto"/>
        </w:rPr>
      </w:pPr>
      <w:r>
        <w:rPr>
          <w:rFonts w:ascii="Arial" w:cs="Arial" w:eastAsia="Arial" w:hAnsi="Arial"/>
          <w:sz w:val="14"/>
          <w:szCs w:val="14"/>
          <w:b w:val="1"/>
          <w:bCs w:val="1"/>
          <w:color w:val="auto"/>
        </w:rPr>
        <w:t xml:space="preserve">GLOBAL OPERATIONS: </w:t>
      </w:r>
      <w:r>
        <w:rPr>
          <w:rFonts w:ascii="Arial" w:cs="Arial" w:eastAsia="Arial" w:hAnsi="Arial"/>
          <w:sz w:val="14"/>
          <w:szCs w:val="14"/>
          <w:color w:val="auto"/>
        </w:rPr>
        <w:t>Leadership at a global</w:t>
      </w:r>
      <w:r>
        <w:rPr>
          <w:rFonts w:ascii="Arial" w:cs="Arial" w:eastAsia="Arial" w:hAnsi="Arial"/>
          <w:sz w:val="14"/>
          <w:szCs w:val="14"/>
          <w:b w:val="1"/>
          <w:bCs w:val="1"/>
          <w:color w:val="auto"/>
        </w:rPr>
        <w:t xml:space="preserve"> </w:t>
      </w:r>
      <w:r>
        <w:rPr>
          <w:rFonts w:ascii="Arial" w:cs="Arial" w:eastAsia="Arial" w:hAnsi="Arial"/>
          <w:sz w:val="14"/>
          <w:szCs w:val="14"/>
          <w:color w:val="auto"/>
        </w:rPr>
        <w:t>company or experience overseeing</w:t>
      </w:r>
    </w:p>
    <w:p>
      <w:pPr>
        <w:spacing w:after="0" w:line="1" w:lineRule="exact"/>
        <w:rPr>
          <w:sz w:val="20"/>
          <w:szCs w:val="20"/>
          <w:color w:val="auto"/>
        </w:rPr>
      </w:pPr>
    </w:p>
    <w:p>
      <w:pPr>
        <w:ind w:left="720" w:right="140"/>
        <w:spacing w:after="0" w:line="311" w:lineRule="auto"/>
        <w:rPr>
          <w:sz w:val="20"/>
          <w:szCs w:val="20"/>
          <w:color w:val="auto"/>
        </w:rPr>
      </w:pPr>
      <w:r>
        <w:rPr>
          <w:rFonts w:ascii="Arial" w:cs="Arial" w:eastAsia="Arial" w:hAnsi="Arial"/>
          <w:sz w:val="14"/>
          <w:szCs w:val="14"/>
          <w:color w:val="auto"/>
        </w:rPr>
        <w:t>international corporate strategy, operations or development</w:t>
      </w:r>
    </w:p>
    <w:p>
      <w:pPr>
        <w:spacing w:after="0" w:line="1" w:lineRule="exact"/>
        <w:rPr>
          <w:sz w:val="20"/>
          <w:szCs w:val="20"/>
          <w:color w:val="auto"/>
        </w:rPr>
      </w:pPr>
    </w:p>
    <w:p>
      <w:pPr>
        <w:ind w:left="720" w:right="240"/>
        <w:spacing w:after="0" w:line="261" w:lineRule="auto"/>
        <w:rPr>
          <w:sz w:val="20"/>
          <w:szCs w:val="20"/>
          <w:color w:val="auto"/>
        </w:rPr>
      </w:pPr>
      <w:r>
        <w:rPr>
          <w:rFonts w:ascii="Arial" w:cs="Arial" w:eastAsia="Arial" w:hAnsi="Arial"/>
          <w:sz w:val="14"/>
          <w:szCs w:val="14"/>
          <w:b w:val="1"/>
          <w:bCs w:val="1"/>
          <w:color w:val="auto"/>
        </w:rPr>
        <w:t xml:space="preserve">HUMAN CAPITAL MANAGEMENT/UNION RELATIONS: </w:t>
      </w:r>
      <w:r>
        <w:rPr>
          <w:rFonts w:ascii="Arial" w:cs="Arial" w:eastAsia="Arial" w:hAnsi="Arial"/>
          <w:sz w:val="14"/>
          <w:szCs w:val="14"/>
          <w:color w:val="auto"/>
        </w:rPr>
        <w:t>Experience in human capital</w:t>
      </w:r>
    </w:p>
    <w:p>
      <w:pPr>
        <w:spacing w:after="0" w:line="1" w:lineRule="exact"/>
        <w:rPr>
          <w:sz w:val="20"/>
          <w:szCs w:val="20"/>
          <w:color w:val="auto"/>
        </w:rPr>
      </w:pPr>
    </w:p>
    <w:p>
      <w:pPr>
        <w:ind w:left="720" w:right="460"/>
        <w:spacing w:after="0" w:line="251" w:lineRule="auto"/>
        <w:rPr>
          <w:sz w:val="20"/>
          <w:szCs w:val="20"/>
          <w:color w:val="auto"/>
        </w:rPr>
      </w:pPr>
      <w:r>
        <w:rPr>
          <w:rFonts w:ascii="Arial" w:cs="Arial" w:eastAsia="Arial" w:hAnsi="Arial"/>
          <w:sz w:val="14"/>
          <w:szCs w:val="14"/>
          <w:color w:val="auto"/>
        </w:rPr>
        <w:t>management, human resources, talent acquisition and management or labor</w:t>
      </w:r>
    </w:p>
    <w:p>
      <w:pPr>
        <w:spacing w:after="0" w:line="1" w:lineRule="exact"/>
        <w:rPr>
          <w:sz w:val="20"/>
          <w:szCs w:val="20"/>
          <w:color w:val="auto"/>
        </w:rPr>
      </w:pPr>
    </w:p>
    <w:p>
      <w:pPr>
        <w:ind w:left="720"/>
        <w:spacing w:after="0"/>
        <w:rPr>
          <w:sz w:val="20"/>
          <w:szCs w:val="20"/>
          <w:color w:val="auto"/>
        </w:rPr>
      </w:pPr>
      <w:r>
        <w:rPr>
          <w:rFonts w:ascii="Arial" w:cs="Arial" w:eastAsia="Arial" w:hAnsi="Arial"/>
          <w:sz w:val="14"/>
          <w:szCs w:val="14"/>
          <w:color w:val="auto"/>
        </w:rPr>
        <w:t>relations  and  unions</w:t>
      </w:r>
    </w:p>
    <w:p>
      <w:pPr>
        <w:spacing w:after="0" w:line="96" w:lineRule="exact"/>
        <w:rPr>
          <w:sz w:val="20"/>
          <w:szCs w:val="20"/>
          <w:color w:val="auto"/>
        </w:rPr>
      </w:pPr>
    </w:p>
    <w:p>
      <w:pPr>
        <w:ind w:left="720"/>
        <w:spacing w:after="0"/>
        <w:rPr>
          <w:sz w:val="20"/>
          <w:szCs w:val="20"/>
          <w:color w:val="auto"/>
        </w:rPr>
      </w:pPr>
      <w:r>
        <w:rPr>
          <w:rFonts w:ascii="Arial" w:cs="Arial" w:eastAsia="Arial" w:hAnsi="Arial"/>
          <w:sz w:val="14"/>
          <w:szCs w:val="14"/>
          <w:b w:val="1"/>
          <w:bCs w:val="1"/>
          <w:color w:val="auto"/>
        </w:rPr>
        <w:t xml:space="preserve">RETAIL / BRAND MANAGEMENT: </w:t>
      </w:r>
      <w:r>
        <w:rPr>
          <w:rFonts w:ascii="Arial" w:cs="Arial" w:eastAsia="Arial" w:hAnsi="Arial"/>
          <w:sz w:val="14"/>
          <w:szCs w:val="14"/>
          <w:color w:val="auto"/>
        </w:rPr>
        <w:t>Experience</w:t>
      </w:r>
    </w:p>
    <w:p>
      <w:pPr>
        <w:spacing w:after="0" w:line="15" w:lineRule="exact"/>
        <w:rPr>
          <w:sz w:val="20"/>
          <w:szCs w:val="20"/>
          <w:color w:val="auto"/>
        </w:rPr>
      </w:pPr>
    </w:p>
    <w:p>
      <w:pPr>
        <w:ind w:left="720" w:right="480"/>
        <w:spacing w:after="0" w:line="311" w:lineRule="auto"/>
        <w:rPr>
          <w:sz w:val="20"/>
          <w:szCs w:val="20"/>
          <w:color w:val="auto"/>
        </w:rPr>
      </w:pPr>
      <w:r>
        <w:rPr>
          <w:rFonts w:ascii="Arial" w:cs="Arial" w:eastAsia="Arial" w:hAnsi="Arial"/>
          <w:sz w:val="14"/>
          <w:szCs w:val="14"/>
          <w:color w:val="auto"/>
        </w:rPr>
        <w:t>in consumer marketing, sales or brand management</w:t>
      </w:r>
    </w:p>
    <w:p>
      <w:pPr>
        <w:spacing w:after="0" w:line="1" w:lineRule="exact"/>
        <w:rPr>
          <w:sz w:val="20"/>
          <w:szCs w:val="20"/>
          <w:color w:val="auto"/>
        </w:rPr>
      </w:pPr>
    </w:p>
    <w:p>
      <w:pPr>
        <w:ind w:left="720" w:right="240"/>
        <w:spacing w:after="0" w:line="295" w:lineRule="auto"/>
        <w:rPr>
          <w:sz w:val="20"/>
          <w:szCs w:val="20"/>
          <w:color w:val="auto"/>
        </w:rPr>
      </w:pPr>
      <w:r>
        <w:rPr>
          <w:rFonts w:ascii="Arial" w:cs="Arial" w:eastAsia="Arial" w:hAnsi="Arial"/>
          <w:sz w:val="14"/>
          <w:szCs w:val="14"/>
          <w:b w:val="1"/>
          <w:bCs w:val="1"/>
          <w:color w:val="auto"/>
        </w:rPr>
        <w:t xml:space="preserve">RISK MANAGEMENT: </w:t>
      </w:r>
      <w:r>
        <w:rPr>
          <w:rFonts w:ascii="Arial" w:cs="Arial" w:eastAsia="Arial" w:hAnsi="Arial"/>
          <w:sz w:val="14"/>
          <w:szCs w:val="14"/>
          <w:color w:val="auto"/>
        </w:rPr>
        <w:t>Experience in risk</w:t>
      </w:r>
      <w:r>
        <w:rPr>
          <w:rFonts w:ascii="Arial" w:cs="Arial" w:eastAsia="Arial" w:hAnsi="Arial"/>
          <w:sz w:val="14"/>
          <w:szCs w:val="14"/>
          <w:b w:val="1"/>
          <w:bCs w:val="1"/>
          <w:color w:val="auto"/>
        </w:rPr>
        <w:t xml:space="preserve"> </w:t>
      </w:r>
      <w:r>
        <w:rPr>
          <w:rFonts w:ascii="Arial" w:cs="Arial" w:eastAsia="Arial" w:hAnsi="Arial"/>
          <w:sz w:val="14"/>
          <w:szCs w:val="14"/>
          <w:color w:val="auto"/>
        </w:rPr>
        <w:t>management and oversight, including risk assessment, identifcation and mitigation</w:t>
      </w:r>
    </w:p>
    <w:p>
      <w:pPr>
        <w:jc w:val="both"/>
        <w:ind w:left="720" w:right="100"/>
        <w:spacing w:after="0" w:line="296" w:lineRule="auto"/>
        <w:rPr>
          <w:sz w:val="20"/>
          <w:szCs w:val="20"/>
          <w:color w:val="auto"/>
        </w:rPr>
      </w:pPr>
      <w:r>
        <w:rPr>
          <w:rFonts w:ascii="Arial" w:cs="Arial" w:eastAsia="Arial" w:hAnsi="Arial"/>
          <w:sz w:val="14"/>
          <w:szCs w:val="14"/>
          <w:b w:val="1"/>
          <w:bCs w:val="1"/>
          <w:color w:val="auto"/>
        </w:rPr>
        <w:t xml:space="preserve">TECHNOLOGY/CYBERSECURITY: </w:t>
      </w:r>
      <w:r>
        <w:rPr>
          <w:rFonts w:ascii="Arial" w:cs="Arial" w:eastAsia="Arial" w:hAnsi="Arial"/>
          <w:sz w:val="14"/>
          <w:szCs w:val="14"/>
          <w:color w:val="auto"/>
        </w:rPr>
        <w:t>Experience</w:t>
      </w:r>
      <w:r>
        <w:rPr>
          <w:rFonts w:ascii="Arial" w:cs="Arial" w:eastAsia="Arial" w:hAnsi="Arial"/>
          <w:sz w:val="14"/>
          <w:szCs w:val="14"/>
          <w:b w:val="1"/>
          <w:bCs w:val="1"/>
          <w:color w:val="auto"/>
        </w:rPr>
        <w:t xml:space="preserve"> </w:t>
      </w:r>
      <w:r>
        <w:rPr>
          <w:rFonts w:ascii="Arial" w:cs="Arial" w:eastAsia="Arial" w:hAnsi="Arial"/>
          <w:sz w:val="14"/>
          <w:szCs w:val="14"/>
          <w:color w:val="auto"/>
        </w:rPr>
        <w:t>in e-commerce, cybersecurity, data analytics or information technology</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tbl>
      <w:tblPr>
        <w:tblLayout w:type="fixed"/>
        <w:tblInd w:w="5392" w:type="dxa"/>
        <w:tblCellMar>
          <w:top w:w="0" w:type="dxa"/>
          <w:left w:w="0" w:type="dxa"/>
          <w:bottom w:w="0" w:type="dxa"/>
          <w:right w:w="0" w:type="dxa"/>
        </w:tblCellMar>
      </w:tblPr>
      <w:tr>
        <w:trPr>
          <w:trHeight w:val="560"/>
        </w:trPr>
        <w:tc>
          <w:tcPr>
            <w:tcW w:w="115" w:type="dxa"/>
            <w:vAlign w:val="bottom"/>
            <w:textDirection w:val="btLr"/>
          </w:tcPr>
          <w:p>
            <w:pPr>
              <w:spacing w:after="0"/>
              <w:rPr>
                <w:sz w:val="20"/>
                <w:szCs w:val="20"/>
                <w:color w:val="auto"/>
              </w:rPr>
            </w:pPr>
            <w:r>
              <w:rPr>
                <w:rFonts w:ascii="Arial" w:cs="Arial" w:eastAsia="Arial" w:hAnsi="Arial"/>
                <w:sz w:val="10"/>
                <w:szCs w:val="10"/>
                <w:b w:val="1"/>
                <w:bCs w:val="1"/>
                <w:color w:val="auto"/>
              </w:rPr>
              <w:t>Whitehurst</w:t>
            </w:r>
          </w:p>
        </w:tc>
      </w:tr>
    </w:tbl>
    <w:p>
      <w:pPr>
        <w:spacing w:after="0" w:line="1" w:lineRule="exact"/>
        <w:rPr>
          <w:sz w:val="20"/>
          <w:szCs w:val="20"/>
          <w:color w:val="auto"/>
        </w:rPr>
      </w:pPr>
    </w:p>
    <w:tbl>
      <w:tblPr>
        <w:tblLayout w:type="fixed"/>
        <w:tblInd w:w="4967" w:type="dxa"/>
        <w:tblCellMar>
          <w:top w:w="0" w:type="dxa"/>
          <w:left w:w="0" w:type="dxa"/>
          <w:bottom w:w="0" w:type="dxa"/>
          <w:right w:w="0" w:type="dxa"/>
        </w:tblCellMar>
      </w:tblPr>
      <w:tr>
        <w:trPr>
          <w:trHeight w:val="4294967117"/>
        </w:trPr>
        <w:tc>
          <w:tcPr>
            <w:tcW w:w="80" w:type="dxa"/>
            <w:vAlign w:val="bottom"/>
            <w:textDirection w:val="btLr"/>
          </w:tcPr>
          <w:p>
            <w:pPr>
              <w:spacing w:after="0"/>
              <w:rPr>
                <w:sz w:val="20"/>
                <w:szCs w:val="20"/>
                <w:color w:val="auto"/>
              </w:rPr>
            </w:pPr>
            <w:r>
              <w:rPr>
                <w:rFonts w:ascii="Arial" w:cs="Arial" w:eastAsia="Arial" w:hAnsi="Arial"/>
                <w:sz w:val="7"/>
                <w:szCs w:val="7"/>
                <w:b w:val="1"/>
                <w:bCs w:val="1"/>
                <w:color w:val="auto"/>
              </w:rPr>
              <w:t>Ward</w:t>
            </w:r>
          </w:p>
        </w:tc>
      </w:tr>
    </w:tbl>
    <w:p>
      <w:pPr>
        <w:spacing w:after="0" w:line="1" w:lineRule="exact"/>
        <w:rPr>
          <w:sz w:val="20"/>
          <w:szCs w:val="20"/>
          <w:color w:val="auto"/>
        </w:rPr>
      </w:pPr>
    </w:p>
    <w:tbl>
      <w:tblPr>
        <w:tblLayout w:type="fixed"/>
        <w:tblInd w:w="4567" w:type="dxa"/>
        <w:tblCellMar>
          <w:top w:w="0" w:type="dxa"/>
          <w:left w:w="0" w:type="dxa"/>
          <w:bottom w:w="0" w:type="dxa"/>
          <w:right w:w="0" w:type="dxa"/>
        </w:tblCellMar>
      </w:tblPr>
      <w:tr>
        <w:trPr>
          <w:trHeight w:val="140"/>
        </w:trPr>
        <w:tc>
          <w:tcPr>
            <w:tcW w:w="34" w:type="dxa"/>
            <w:vAlign w:val="bottom"/>
            <w:textDirection w:val="btLr"/>
          </w:tcPr>
          <w:p>
            <w:pPr>
              <w:spacing w:after="0"/>
              <w:rPr>
                <w:sz w:val="20"/>
                <w:szCs w:val="20"/>
                <w:color w:val="auto"/>
              </w:rPr>
            </w:pPr>
            <w:r>
              <w:rPr>
                <w:rFonts w:ascii="Arial" w:cs="Arial" w:eastAsia="Arial" w:hAnsi="Arial"/>
                <w:sz w:val="3"/>
                <w:szCs w:val="3"/>
                <w:b w:val="1"/>
                <w:bCs w:val="1"/>
                <w:color w:val="auto"/>
              </w:rPr>
              <w:t>Shapiro</w:t>
            </w:r>
          </w:p>
        </w:tc>
      </w:tr>
    </w:tbl>
    <w:p>
      <w:pPr>
        <w:spacing w:after="0" w:line="1" w:lineRule="exact"/>
        <w:rPr>
          <w:sz w:val="20"/>
          <w:szCs w:val="20"/>
          <w:color w:val="auto"/>
        </w:rPr>
      </w:pPr>
    </w:p>
    <w:tbl>
      <w:tblPr>
        <w:tblLayout w:type="fixed"/>
        <w:tblInd w:w="4158" w:type="dxa"/>
        <w:tblCellMar>
          <w:top w:w="0" w:type="dxa"/>
          <w:left w:w="0" w:type="dxa"/>
          <w:bottom w:w="0" w:type="dxa"/>
          <w:right w:w="0" w:type="dxa"/>
        </w:tblCellMar>
      </w:tblPr>
      <w:tr>
        <w:trPr>
          <w:trHeight w:val="4294967257"/>
        </w:trPr>
        <w:tc>
          <w:tcPr>
            <w:tcW w:w="11" w:type="dxa"/>
            <w:vAlign w:val="bottom"/>
            <w:textDirection w:val="btLr"/>
          </w:tcPr>
          <w:p>
            <w:pPr>
              <w:spacing w:after="0"/>
              <w:rPr>
                <w:sz w:val="20"/>
                <w:szCs w:val="20"/>
                <w:color w:val="auto"/>
              </w:rPr>
            </w:pPr>
            <w:r>
              <w:rPr>
                <w:rFonts w:ascii="Arial" w:cs="Arial" w:eastAsia="Arial" w:hAnsi="Arial"/>
                <w:sz w:val="1"/>
                <w:szCs w:val="1"/>
                <w:b w:val="1"/>
                <w:bCs w:val="1"/>
                <w:color w:val="auto"/>
              </w:rPr>
              <w:t>Philip</w:t>
            </w:r>
          </w:p>
        </w:tc>
      </w:tr>
    </w:tbl>
    <w:p>
      <w:pPr>
        <w:spacing w:after="0" w:line="1" w:lineRule="exact"/>
        <w:rPr>
          <w:sz w:val="20"/>
          <w:szCs w:val="20"/>
          <w:color w:val="auto"/>
        </w:rPr>
      </w:pPr>
    </w:p>
    <w:tbl>
      <w:tblPr>
        <w:tblLayout w:type="fixed"/>
        <w:tblInd w:w="3687" w:type="dxa"/>
        <w:tblCellMar>
          <w:top w:w="0" w:type="dxa"/>
          <w:left w:w="0" w:type="dxa"/>
          <w:bottom w:w="0" w:type="dxa"/>
          <w:right w:w="0" w:type="dxa"/>
        </w:tblCellMar>
      </w:tblPr>
      <w:tr>
        <w:trPr>
          <w:trHeight w:val="80"/>
        </w:trPr>
        <w:tc>
          <w:tcPr>
            <w:tcW w:w="23" w:type="dxa"/>
            <w:vAlign w:val="bottom"/>
            <w:textDirection w:val="btLr"/>
          </w:tcPr>
          <w:p>
            <w:pPr>
              <w:spacing w:after="0"/>
              <w:rPr>
                <w:sz w:val="20"/>
                <w:szCs w:val="20"/>
                <w:color w:val="auto"/>
              </w:rPr>
            </w:pPr>
            <w:r>
              <w:rPr>
                <w:rFonts w:ascii="Arial" w:cs="Arial" w:eastAsia="Arial" w:hAnsi="Arial"/>
                <w:sz w:val="2"/>
                <w:szCs w:val="2"/>
                <w:b w:val="1"/>
                <w:bCs w:val="1"/>
                <w:color w:val="auto"/>
              </w:rPr>
              <w:t>Noyes</w:t>
            </w:r>
          </w:p>
        </w:tc>
      </w:tr>
    </w:tbl>
    <w:p>
      <w:pPr>
        <w:spacing w:after="0" w:line="1" w:lineRule="exact"/>
        <w:rPr>
          <w:sz w:val="20"/>
          <w:szCs w:val="20"/>
          <w:color w:val="auto"/>
        </w:rPr>
      </w:pPr>
    </w:p>
    <w:tbl>
      <w:tblPr>
        <w:tblLayout w:type="fixed"/>
        <w:tblInd w:w="3173" w:type="dxa"/>
        <w:tblCellMar>
          <w:top w:w="0" w:type="dxa"/>
          <w:left w:w="0" w:type="dxa"/>
          <w:bottom w:w="0" w:type="dxa"/>
          <w:right w:w="0" w:type="dxa"/>
        </w:tblCellMar>
      </w:tblPr>
      <w:tr>
        <w:trPr>
          <w:trHeight w:val="4294967077"/>
        </w:trPr>
        <w:tc>
          <w:tcPr>
            <w:tcW w:w="92" w:type="dxa"/>
            <w:vAlign w:val="bottom"/>
            <w:textDirection w:val="btLr"/>
          </w:tcPr>
          <w:p>
            <w:pPr>
              <w:spacing w:after="0"/>
              <w:rPr>
                <w:sz w:val="20"/>
                <w:szCs w:val="20"/>
                <w:color w:val="auto"/>
              </w:rPr>
            </w:pPr>
            <w:r>
              <w:rPr>
                <w:rFonts w:ascii="Arial" w:cs="Arial" w:eastAsia="Arial" w:hAnsi="Arial"/>
                <w:sz w:val="8"/>
                <w:szCs w:val="8"/>
                <w:b w:val="1"/>
                <w:bCs w:val="1"/>
                <w:color w:val="auto"/>
              </w:rPr>
              <w:t>Kirby</w:t>
            </w:r>
          </w:p>
        </w:tc>
      </w:tr>
    </w:tbl>
    <w:p>
      <w:pPr>
        <w:spacing w:after="0" w:line="1" w:lineRule="exact"/>
        <w:rPr>
          <w:sz w:val="20"/>
          <w:szCs w:val="20"/>
          <w:color w:val="auto"/>
        </w:rPr>
      </w:pPr>
    </w:p>
    <w:tbl>
      <w:tblPr>
        <w:tblLayout w:type="fixed"/>
        <w:tblInd w:w="2822" w:type="dxa"/>
        <w:tblCellMar>
          <w:top w:w="0" w:type="dxa"/>
          <w:left w:w="0" w:type="dxa"/>
          <w:bottom w:w="0" w:type="dxa"/>
          <w:right w:w="0" w:type="dxa"/>
        </w:tblCellMar>
      </w:tblPr>
      <w:tr>
        <w:trPr>
          <w:trHeight w:val="4294967237"/>
        </w:trPr>
        <w:tc>
          <w:tcPr>
            <w:tcW w:w="11" w:type="dxa"/>
            <w:vAlign w:val="bottom"/>
            <w:textDirection w:val="btLr"/>
          </w:tcPr>
          <w:p>
            <w:pPr>
              <w:spacing w:after="0"/>
              <w:rPr>
                <w:sz w:val="20"/>
                <w:szCs w:val="20"/>
                <w:color w:val="auto"/>
              </w:rPr>
            </w:pPr>
            <w:r>
              <w:rPr>
                <w:rFonts w:ascii="Arial" w:cs="Arial" w:eastAsia="Arial" w:hAnsi="Arial"/>
                <w:sz w:val="1"/>
                <w:szCs w:val="1"/>
                <w:b w:val="1"/>
                <w:bCs w:val="1"/>
                <w:color w:val="auto"/>
              </w:rPr>
              <w:t>Johnsen</w:t>
            </w:r>
          </w:p>
        </w:tc>
      </w:tr>
    </w:tbl>
    <w:p>
      <w:pPr>
        <w:spacing w:after="0" w:line="1" w:lineRule="exact"/>
        <w:rPr>
          <w:sz w:val="20"/>
          <w:szCs w:val="20"/>
          <w:color w:val="auto"/>
        </w:rPr>
      </w:pPr>
    </w:p>
    <w:tbl>
      <w:tblPr>
        <w:tblLayout w:type="fixed"/>
        <w:tblInd w:w="2365" w:type="dxa"/>
        <w:tblCellMar>
          <w:top w:w="0" w:type="dxa"/>
          <w:left w:w="0" w:type="dxa"/>
          <w:bottom w:w="0" w:type="dxa"/>
          <w:right w:w="0" w:type="dxa"/>
        </w:tblCellMar>
      </w:tblPr>
      <w:tr>
        <w:trPr>
          <w:trHeight w:val="100"/>
        </w:trPr>
        <w:tc>
          <w:tcPr>
            <w:tcW w:w="23" w:type="dxa"/>
            <w:vAlign w:val="bottom"/>
            <w:textDirection w:val="btLr"/>
          </w:tcPr>
          <w:p>
            <w:pPr>
              <w:spacing w:after="0"/>
              <w:rPr>
                <w:sz w:val="20"/>
                <w:szCs w:val="20"/>
                <w:color w:val="auto"/>
              </w:rPr>
            </w:pPr>
            <w:r>
              <w:rPr>
                <w:rFonts w:ascii="Arial" w:cs="Arial" w:eastAsia="Arial" w:hAnsi="Arial"/>
                <w:sz w:val="2"/>
                <w:szCs w:val="2"/>
                <w:b w:val="1"/>
                <w:bCs w:val="1"/>
                <w:color w:val="auto"/>
              </w:rPr>
              <w:t>Isaacson</w:t>
            </w:r>
          </w:p>
        </w:tc>
      </w:tr>
    </w:tbl>
    <w:p>
      <w:pPr>
        <w:spacing w:after="0" w:line="1" w:lineRule="exact"/>
        <w:rPr>
          <w:sz w:val="20"/>
          <w:szCs w:val="20"/>
          <w:color w:val="auto"/>
        </w:rPr>
      </w:pPr>
    </w:p>
    <w:tbl>
      <w:tblPr>
        <w:tblLayout w:type="fixed"/>
        <w:tblInd w:w="1944" w:type="dxa"/>
        <w:tblCellMar>
          <w:top w:w="0" w:type="dxa"/>
          <w:left w:w="0" w:type="dxa"/>
          <w:bottom w:w="0" w:type="dxa"/>
          <w:right w:w="0" w:type="dxa"/>
        </w:tblCellMar>
      </w:tblPr>
      <w:tr>
        <w:trPr>
          <w:trHeight w:val="4294967277"/>
        </w:trPr>
        <w:tc>
          <w:tcPr>
            <w:tcW w:w="11" w:type="dxa"/>
            <w:vAlign w:val="bottom"/>
            <w:textDirection w:val="btLr"/>
          </w:tcPr>
          <w:p>
            <w:pPr>
              <w:spacing w:after="0"/>
              <w:rPr>
                <w:sz w:val="20"/>
                <w:szCs w:val="20"/>
                <w:color w:val="auto"/>
              </w:rPr>
            </w:pPr>
            <w:r>
              <w:rPr>
                <w:rFonts w:ascii="Arial" w:cs="Arial" w:eastAsia="Arial" w:hAnsi="Arial"/>
                <w:sz w:val="1"/>
                <w:szCs w:val="1"/>
                <w:b w:val="1"/>
                <w:bCs w:val="1"/>
                <w:color w:val="auto"/>
              </w:rPr>
              <w:t>Hooper</w:t>
            </w:r>
          </w:p>
        </w:tc>
      </w:tr>
    </w:tbl>
    <w:p>
      <w:pPr>
        <w:spacing w:after="0" w:line="1" w:lineRule="exact"/>
        <w:rPr>
          <w:sz w:val="20"/>
          <w:szCs w:val="20"/>
          <w:color w:val="auto"/>
        </w:rPr>
      </w:pPr>
    </w:p>
    <w:tbl>
      <w:tblPr>
        <w:tblLayout w:type="fixed"/>
        <w:tblInd w:w="1487" w:type="dxa"/>
        <w:tblCellMar>
          <w:top w:w="0" w:type="dxa"/>
          <w:left w:w="0" w:type="dxa"/>
          <w:bottom w:w="0" w:type="dxa"/>
          <w:right w:w="0" w:type="dxa"/>
        </w:tblCellMar>
      </w:tblPr>
      <w:tr>
        <w:trPr>
          <w:trHeight w:val="100"/>
        </w:trPr>
        <w:tc>
          <w:tcPr>
            <w:tcW w:w="23" w:type="dxa"/>
            <w:vAlign w:val="bottom"/>
            <w:textDirection w:val="btLr"/>
          </w:tcPr>
          <w:p>
            <w:pPr>
              <w:spacing w:after="0"/>
              <w:rPr>
                <w:sz w:val="20"/>
                <w:szCs w:val="20"/>
                <w:color w:val="auto"/>
              </w:rPr>
            </w:pPr>
            <w:r>
              <w:rPr>
                <w:rFonts w:ascii="Arial" w:cs="Arial" w:eastAsia="Arial" w:hAnsi="Arial"/>
                <w:sz w:val="2"/>
                <w:szCs w:val="2"/>
                <w:b w:val="1"/>
                <w:bCs w:val="1"/>
                <w:color w:val="auto"/>
              </w:rPr>
              <w:t>Harford</w:t>
            </w:r>
          </w:p>
        </w:tc>
      </w:tr>
    </w:tbl>
    <w:p>
      <w:pPr>
        <w:spacing w:after="0" w:line="1" w:lineRule="exact"/>
        <w:rPr>
          <w:sz w:val="20"/>
          <w:szCs w:val="20"/>
          <w:color w:val="auto"/>
        </w:rPr>
      </w:pPr>
    </w:p>
    <w:tbl>
      <w:tblPr>
        <w:tblLayout w:type="fixed"/>
        <w:tblInd w:w="1067" w:type="dxa"/>
        <w:tblCellMar>
          <w:top w:w="0" w:type="dxa"/>
          <w:left w:w="0" w:type="dxa"/>
          <w:bottom w:w="0" w:type="dxa"/>
          <w:right w:w="0" w:type="dxa"/>
        </w:tblCellMar>
      </w:tblPr>
      <w:tr>
        <w:trPr>
          <w:trHeight w:val="20"/>
        </w:trPr>
        <w:tc>
          <w:tcPr>
            <w:tcW w:w="11" w:type="dxa"/>
            <w:vAlign w:val="bottom"/>
            <w:textDirection w:val="btLr"/>
          </w:tcPr>
          <w:p>
            <w:pPr>
              <w:spacing w:after="0"/>
              <w:rPr>
                <w:sz w:val="20"/>
                <w:szCs w:val="20"/>
                <w:color w:val="auto"/>
              </w:rPr>
            </w:pPr>
            <w:r>
              <w:rPr>
                <w:rFonts w:ascii="Arial" w:cs="Arial" w:eastAsia="Arial" w:hAnsi="Arial"/>
                <w:sz w:val="1"/>
                <w:szCs w:val="1"/>
                <w:b w:val="1"/>
                <w:bCs w:val="1"/>
                <w:color w:val="auto"/>
              </w:rPr>
              <w:t>Friend</w:t>
            </w:r>
          </w:p>
        </w:tc>
      </w:tr>
    </w:tbl>
    <w:p>
      <w:pPr>
        <w:spacing w:after="0" w:line="1" w:lineRule="exact"/>
        <w:rPr>
          <w:sz w:val="20"/>
          <w:szCs w:val="20"/>
          <w:color w:val="auto"/>
        </w:rPr>
      </w:pPr>
    </w:p>
    <w:tbl>
      <w:tblPr>
        <w:tblLayout w:type="fixed"/>
        <w:tblInd w:w="610" w:type="dxa"/>
        <w:tblCellMar>
          <w:top w:w="0" w:type="dxa"/>
          <w:left w:w="0" w:type="dxa"/>
          <w:bottom w:w="0" w:type="dxa"/>
          <w:right w:w="0" w:type="dxa"/>
        </w:tblCellMar>
      </w:tblPr>
      <w:tr>
        <w:trPr>
          <w:trHeight w:val="4294967217"/>
        </w:trPr>
        <w:tc>
          <w:tcPr>
            <w:tcW w:w="23" w:type="dxa"/>
            <w:vAlign w:val="bottom"/>
            <w:textDirection w:val="btLr"/>
          </w:tcPr>
          <w:p>
            <w:pPr>
              <w:spacing w:after="0"/>
              <w:rPr>
                <w:sz w:val="20"/>
                <w:szCs w:val="20"/>
                <w:color w:val="auto"/>
              </w:rPr>
            </w:pPr>
            <w:r>
              <w:rPr>
                <w:rFonts w:ascii="Arial" w:cs="Arial" w:eastAsia="Arial" w:hAnsi="Arial"/>
                <w:sz w:val="2"/>
                <w:szCs w:val="2"/>
                <w:b w:val="1"/>
                <w:bCs w:val="1"/>
                <w:color w:val="auto"/>
              </w:rPr>
              <w:t>Freyre</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580"/>
        </w:trPr>
        <w:tc>
          <w:tcPr>
            <w:tcW w:w="184" w:type="dxa"/>
            <w:vAlign w:val="bottom"/>
            <w:textDirection w:val="btLr"/>
          </w:tcPr>
          <w:p>
            <w:pPr>
              <w:spacing w:after="0"/>
              <w:rPr>
                <w:sz w:val="20"/>
                <w:szCs w:val="20"/>
                <w:color w:val="auto"/>
              </w:rPr>
            </w:pPr>
            <w:r>
              <w:rPr>
                <w:rFonts w:ascii="Arial" w:cs="Arial" w:eastAsia="Arial" w:hAnsi="Arial"/>
                <w:sz w:val="16"/>
                <w:szCs w:val="16"/>
                <w:b w:val="1"/>
                <w:bCs w:val="1"/>
                <w:color w:val="auto"/>
              </w:rPr>
              <w:t>Brewer</w:t>
            </w:r>
          </w:p>
        </w:tc>
      </w:tr>
    </w:tbl>
    <w:p>
      <w:pPr>
        <w:spacing w:after="0" w:line="6855" w:lineRule="exact"/>
        <w:rPr>
          <w:sz w:val="20"/>
          <w:szCs w:val="20"/>
          <w:color w:val="auto"/>
        </w:rPr>
      </w:pPr>
    </w:p>
    <w:p>
      <w:pPr>
        <w:sectPr>
          <w:pgSz w:w="11900" w:h="16838" w:orient="portrait"/>
          <w:cols w:equalWidth="0" w:num="2">
            <w:col w:w="3820" w:space="226"/>
            <w:col w:w="5674"/>
          </w:cols>
          <w:pgMar w:left="1080" w:top="695" w:right="10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7240"/>
        <w:spacing w:after="0"/>
        <w:rPr>
          <w:sz w:val="20"/>
          <w:szCs w:val="20"/>
          <w:color w:val="auto"/>
        </w:rPr>
      </w:pPr>
      <w:r>
        <w:rPr>
          <w:rFonts w:ascii="Arial" w:cs="Arial" w:eastAsia="Arial" w:hAnsi="Arial"/>
          <w:sz w:val="15"/>
          <w:szCs w:val="15"/>
          <w:color w:val="auto"/>
        </w:rPr>
        <w:t>2026  Proxy  Statement</w:t>
      </w:r>
    </w:p>
    <w:p>
      <w:pPr>
        <w:sectPr>
          <w:pgSz w:w="11900" w:h="16838" w:orient="portrait"/>
          <w:cols w:equalWidth="0" w:num="1">
            <w:col w:w="9720"/>
          </w:cols>
          <w:pgMar w:left="1080" w:top="695" w:right="1099" w:bottom="1440" w:gutter="0" w:footer="0" w:header="0"/>
          <w:type w:val="continuous"/>
        </w:sectPr>
      </w:pPr>
    </w:p>
    <w:p>
      <w:pPr>
        <w:spacing w:after="0" w:line="179" w:lineRule="exact"/>
        <w:rPr>
          <w:sz w:val="20"/>
          <w:szCs w:val="20"/>
          <w:color w:val="auto"/>
        </w:rPr>
      </w:pPr>
    </w:p>
    <w:p>
      <w:pPr>
        <w:ind w:left="9640"/>
        <w:spacing w:after="0"/>
        <w:rPr>
          <w:sz w:val="20"/>
          <w:szCs w:val="20"/>
          <w:color w:val="auto"/>
        </w:rPr>
      </w:pPr>
      <w:r>
        <w:rPr>
          <w:rFonts w:ascii="Arial" w:cs="Arial" w:eastAsia="Arial" w:hAnsi="Arial"/>
          <w:sz w:val="14"/>
          <w:szCs w:val="14"/>
          <w:b w:val="1"/>
          <w:bCs w:val="1"/>
          <w:color w:val="1414D2"/>
        </w:rPr>
        <w:t>7</w:t>
      </w:r>
    </w:p>
    <w:p>
      <w:pPr>
        <w:sectPr>
          <w:pgSz w:w="11900" w:h="16838" w:orient="portrait"/>
          <w:cols w:equalWidth="0" w:num="1">
            <w:col w:w="9720"/>
          </w:cols>
          <w:pgMar w:left="1080" w:top="695" w:right="109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6D6F71"/>
        </w:rPr>
        <w:t>Proxy  Statement  Summary  and  Voting  Map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ACTIVE STAKEHOLDER ENGAGEMENT IN FISCAL 2025</w:t>
      </w:r>
    </w:p>
    <w:p>
      <w:pPr>
        <w:spacing w:after="0" w:line="356"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i w:val="1"/>
          <w:iCs w:val="1"/>
          <w:color w:val="FFFFFF"/>
        </w:rPr>
        <w:t>Our Annual Stakeholder Engagement Program</w:t>
      </w:r>
    </w:p>
    <w:p>
      <w:pPr>
        <w:spacing w:after="0" w:line="368" w:lineRule="exact"/>
        <w:rPr>
          <w:sz w:val="20"/>
          <w:szCs w:val="20"/>
          <w:color w:val="auto"/>
        </w:rPr>
      </w:pPr>
    </w:p>
    <w:p>
      <w:pPr>
        <w:ind w:left="140"/>
        <w:spacing w:after="0"/>
        <w:rPr>
          <w:sz w:val="20"/>
          <w:szCs w:val="20"/>
          <w:color w:val="auto"/>
        </w:rPr>
      </w:pPr>
      <w:r>
        <w:rPr>
          <w:rFonts w:ascii="Arial" w:cs="Arial" w:eastAsia="Arial" w:hAnsi="Arial"/>
          <w:sz w:val="15"/>
          <w:szCs w:val="15"/>
          <w:b w:val="1"/>
          <w:bCs w:val="1"/>
          <w:i w:val="1"/>
          <w:iCs w:val="1"/>
          <w:color w:val="FFFFFF"/>
        </w:rPr>
        <w:t>In addition to the ongoing dialogue among our stockholders and our Chief Executive Ofcer, Chief Financial Ofcer and Investor</w:t>
      </w:r>
    </w:p>
    <w:p>
      <w:pPr>
        <w:spacing w:after="0" w:line="32" w:lineRule="exact"/>
        <w:rPr>
          <w:sz w:val="20"/>
          <w:szCs w:val="20"/>
          <w:color w:val="auto"/>
        </w:rPr>
      </w:pPr>
    </w:p>
    <w:p>
      <w:pPr>
        <w:ind w:left="140" w:right="140"/>
        <w:spacing w:after="0" w:line="267" w:lineRule="auto"/>
        <w:rPr>
          <w:sz w:val="20"/>
          <w:szCs w:val="20"/>
          <w:color w:val="auto"/>
        </w:rPr>
      </w:pPr>
      <w:r>
        <w:rPr>
          <w:rFonts w:ascii="Arial" w:cs="Arial" w:eastAsia="Arial" w:hAnsi="Arial"/>
          <w:sz w:val="15"/>
          <w:szCs w:val="15"/>
          <w:b w:val="1"/>
          <w:bCs w:val="1"/>
          <w:i w:val="1"/>
          <w:iCs w:val="1"/>
          <w:color w:val="FFFFFF"/>
        </w:rPr>
        <w:t>Relations team on United’s strategic and fnancial performance, we have developed a proactive, ongoing stakeholder engagement program focused on topics that are important to our stakeholders, including strategy, fnancial and operating performance, corporate governance, safety, oversight of artifcial intelligence, environmental sustainability, responsible sourcing, labor management and executive compensation, highlights of which are described under “Communications with Directors and</w:t>
      </w:r>
    </w:p>
    <w:p>
      <w:pPr>
        <w:spacing w:after="0" w:line="2" w:lineRule="exact"/>
        <w:rPr>
          <w:sz w:val="20"/>
          <w:szCs w:val="20"/>
          <w:color w:val="auto"/>
        </w:rPr>
      </w:pPr>
    </w:p>
    <w:p>
      <w:pPr>
        <w:ind w:left="140"/>
        <w:spacing w:after="0" w:line="286" w:lineRule="auto"/>
        <w:rPr>
          <w:sz w:val="20"/>
          <w:szCs w:val="20"/>
          <w:color w:val="auto"/>
        </w:rPr>
      </w:pPr>
      <w:r>
        <w:rPr>
          <w:rFonts w:ascii="Arial" w:cs="Arial" w:eastAsia="Arial" w:hAnsi="Arial"/>
          <w:sz w:val="14"/>
          <w:szCs w:val="14"/>
          <w:b w:val="1"/>
          <w:bCs w:val="1"/>
          <w:i w:val="1"/>
          <w:iCs w:val="1"/>
          <w:color w:val="FFFFFF"/>
        </w:rPr>
        <w:t>Stockholder Engagement” beginning on page 56. As part of our regular stakeholder outreach, since our 2025 annual meeting of stockholders, we engaged with our top stockholders, representing approximately 61% of our total shares outstanding. These interactions provide us with the opportunity to learn about our stockholders’ priorities and perspectives on signifcant issues. United and its Board consider feedback and insights from stockholders and other stakeholders as we review our governance framework</w:t>
      </w:r>
    </w:p>
    <w:p>
      <w:pPr>
        <w:spacing w:after="0" w:line="2" w:lineRule="exact"/>
        <w:rPr>
          <w:sz w:val="20"/>
          <w:szCs w:val="20"/>
          <w:color w:val="auto"/>
        </w:rPr>
      </w:pPr>
    </w:p>
    <w:p>
      <w:pPr>
        <w:ind w:left="140"/>
        <w:spacing w:after="0"/>
        <w:rPr>
          <w:sz w:val="20"/>
          <w:szCs w:val="20"/>
          <w:color w:val="auto"/>
        </w:rPr>
      </w:pPr>
      <w:r>
        <w:rPr>
          <w:rFonts w:ascii="Arial" w:cs="Arial" w:eastAsia="Arial" w:hAnsi="Arial"/>
          <w:sz w:val="16"/>
          <w:szCs w:val="16"/>
          <w:b w:val="1"/>
          <w:bCs w:val="1"/>
          <w:i w:val="1"/>
          <w:iCs w:val="1"/>
          <w:color w:val="FFFFFF"/>
        </w:rPr>
        <w:t>and disclosures.</w:t>
      </w:r>
    </w:p>
    <w:p>
      <w:pPr>
        <w:sectPr>
          <w:pgSz w:w="11900" w:h="16838" w:orient="portrait"/>
          <w:cols w:equalWidth="0" w:num="1">
            <w:col w:w="9580"/>
          </w:cols>
          <w:pgMar w:left="1080" w:top="695" w:right="1239" w:bottom="1440" w:gutter="0" w:footer="0" w:header="0"/>
        </w:sect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345"/>
        </w:trPr>
        <w:tc>
          <w:tcPr>
            <w:tcW w:w="3040" w:type="dxa"/>
            <w:vAlign w:val="bottom"/>
            <w:gridSpan w:val="2"/>
          </w:tcPr>
          <w:p>
            <w:pPr>
              <w:ind w:left="140"/>
              <w:spacing w:after="0"/>
              <w:rPr>
                <w:sz w:val="20"/>
                <w:szCs w:val="20"/>
                <w:color w:val="auto"/>
              </w:rPr>
            </w:pPr>
            <w:r>
              <w:rPr>
                <w:rFonts w:ascii="Arial" w:cs="Arial" w:eastAsia="Arial" w:hAnsi="Arial"/>
                <w:sz w:val="16"/>
                <w:szCs w:val="16"/>
                <w:b w:val="1"/>
                <w:bCs w:val="1"/>
                <w:i w:val="1"/>
                <w:iCs w:val="1"/>
                <w:color w:val="FFFFFF"/>
              </w:rPr>
              <w:t>Who participated</w:t>
            </w:r>
          </w:p>
        </w:tc>
        <w:tc>
          <w:tcPr>
            <w:tcW w:w="920" w:type="dxa"/>
            <w:vAlign w:val="bottom"/>
            <w:gridSpan w:val="3"/>
          </w:tcPr>
          <w:p>
            <w:pPr>
              <w:ind w:left="460"/>
              <w:spacing w:after="0"/>
              <w:rPr>
                <w:sz w:val="20"/>
                <w:szCs w:val="20"/>
                <w:color w:val="auto"/>
              </w:rPr>
            </w:pPr>
            <w:r>
              <w:rPr>
                <w:rFonts w:ascii="Arial" w:cs="Arial" w:eastAsia="Arial" w:hAnsi="Arial"/>
                <w:sz w:val="16"/>
                <w:szCs w:val="16"/>
                <w:b w:val="1"/>
                <w:bCs w:val="1"/>
                <w:color w:val="FFFFFF"/>
              </w:rPr>
              <w:t xml:space="preserve">​ </w:t>
            </w:r>
            <w:r>
              <w:rPr>
                <w:rFonts w:ascii="Arial" w:cs="Arial" w:eastAsia="Arial" w:hAnsi="Arial"/>
                <w:sz w:val="16"/>
                <w:szCs w:val="16"/>
                <w:b w:val="1"/>
                <w:bCs w:val="1"/>
                <w:i w:val="1"/>
                <w:iCs w:val="1"/>
                <w:color w:val="FFFFFF"/>
              </w:rPr>
              <w:t>Who</w:t>
            </w:r>
            <w:r>
              <w:rPr>
                <w:rFonts w:ascii="Arial" w:cs="Arial" w:eastAsia="Arial" w:hAnsi="Arial"/>
                <w:sz w:val="16"/>
                <w:szCs w:val="16"/>
                <w:b w:val="1"/>
                <w:bCs w:val="1"/>
                <w:color w:val="FFFFFF"/>
              </w:rPr>
              <w:t>​</w:t>
            </w:r>
          </w:p>
        </w:tc>
        <w:tc>
          <w:tcPr>
            <w:tcW w:w="2060" w:type="dxa"/>
            <w:vAlign w:val="bottom"/>
          </w:tcPr>
          <w:p>
            <w:pPr>
              <w:ind w:left="20"/>
              <w:spacing w:after="0"/>
              <w:rPr>
                <w:sz w:val="20"/>
                <w:szCs w:val="20"/>
                <w:color w:val="auto"/>
              </w:rPr>
            </w:pPr>
            <w:r>
              <w:rPr>
                <w:rFonts w:ascii="Arial" w:cs="Arial" w:eastAsia="Arial" w:hAnsi="Arial"/>
                <w:sz w:val="16"/>
                <w:szCs w:val="16"/>
                <w:b w:val="1"/>
                <w:bCs w:val="1"/>
                <w:i w:val="1"/>
                <w:iCs w:val="1"/>
                <w:color w:val="FFFFFF"/>
              </w:rPr>
              <w:t>we engage</w:t>
            </w:r>
          </w:p>
        </w:tc>
        <w:tc>
          <w:tcPr>
            <w:tcW w:w="0" w:type="dxa"/>
            <w:vAlign w:val="bottom"/>
          </w:tcPr>
          <w:p>
            <w:pPr>
              <w:spacing w:after="0"/>
              <w:rPr>
                <w:sz w:val="1"/>
                <w:szCs w:val="1"/>
                <w:color w:val="auto"/>
              </w:rPr>
            </w:pPr>
          </w:p>
        </w:tc>
      </w:tr>
      <w:tr>
        <w:trPr>
          <w:trHeight w:val="311"/>
        </w:trPr>
        <w:tc>
          <w:tcPr>
            <w:tcW w:w="340" w:type="dxa"/>
            <w:vAlign w:val="bottom"/>
          </w:tcPr>
          <w:p>
            <w:pPr>
              <w:ind w:left="120"/>
              <w:spacing w:after="0"/>
              <w:rPr>
                <w:sz w:val="20"/>
                <w:szCs w:val="20"/>
                <w:color w:val="auto"/>
              </w:rPr>
            </w:pPr>
            <w:r>
              <w:rPr>
                <w:rFonts w:ascii="Times New Roman" w:cs="Times New Roman" w:eastAsia="Times New Roman" w:hAnsi="Times New Roman"/>
                <w:sz w:val="16"/>
                <w:szCs w:val="16"/>
                <w:color w:val="FFFFFF"/>
              </w:rPr>
              <w:t>●</w:t>
            </w:r>
          </w:p>
        </w:tc>
        <w:tc>
          <w:tcPr>
            <w:tcW w:w="2700" w:type="dxa"/>
            <w:vAlign w:val="bottom"/>
          </w:tcPr>
          <w:p>
            <w:pPr>
              <w:ind w:left="100"/>
              <w:spacing w:after="0"/>
              <w:rPr>
                <w:sz w:val="20"/>
                <w:szCs w:val="20"/>
                <w:color w:val="auto"/>
              </w:rPr>
            </w:pPr>
            <w:r>
              <w:rPr>
                <w:rFonts w:ascii="Arial" w:cs="Arial" w:eastAsia="Arial" w:hAnsi="Arial"/>
                <w:sz w:val="16"/>
                <w:szCs w:val="16"/>
                <w:color w:val="FFFFFF"/>
              </w:rPr>
              <w:t>Senior  management</w:t>
            </w:r>
          </w:p>
        </w:tc>
        <w:tc>
          <w:tcPr>
            <w:tcW w:w="480" w:type="dxa"/>
            <w:vAlign w:val="bottom"/>
          </w:tcPr>
          <w:p>
            <w:pPr>
              <w:spacing w:after="0"/>
              <w:rPr>
                <w:sz w:val="24"/>
                <w:szCs w:val="24"/>
                <w:color w:val="auto"/>
              </w:rPr>
            </w:pPr>
          </w:p>
        </w:tc>
        <w:tc>
          <w:tcPr>
            <w:tcW w:w="300" w:type="dxa"/>
            <w:vAlign w:val="bottom"/>
          </w:tcPr>
          <w:p>
            <w:pPr>
              <w:ind w:left="80"/>
              <w:spacing w:after="0"/>
              <w:rPr>
                <w:sz w:val="20"/>
                <w:szCs w:val="20"/>
                <w:color w:val="auto"/>
              </w:rPr>
            </w:pPr>
            <w:r>
              <w:rPr>
                <w:rFonts w:ascii="Times New Roman" w:cs="Times New Roman" w:eastAsia="Times New Roman" w:hAnsi="Times New Roman"/>
                <w:sz w:val="16"/>
                <w:szCs w:val="16"/>
                <w:color w:val="FFFFFF"/>
              </w:rPr>
              <w:t>●</w:t>
            </w:r>
          </w:p>
        </w:tc>
        <w:tc>
          <w:tcPr>
            <w:tcW w:w="2200" w:type="dxa"/>
            <w:vAlign w:val="bottom"/>
            <w:gridSpan w:val="2"/>
          </w:tcPr>
          <w:p>
            <w:pPr>
              <w:ind w:left="120"/>
              <w:spacing w:after="0"/>
              <w:rPr>
                <w:sz w:val="20"/>
                <w:szCs w:val="20"/>
                <w:color w:val="auto"/>
              </w:rPr>
            </w:pPr>
            <w:r>
              <w:rPr>
                <w:rFonts w:ascii="Arial" w:cs="Arial" w:eastAsia="Arial" w:hAnsi="Arial"/>
                <w:sz w:val="16"/>
                <w:szCs w:val="16"/>
                <w:color w:val="FFFFFF"/>
              </w:rPr>
              <w:t>Institutional  investors</w:t>
            </w:r>
          </w:p>
        </w:tc>
        <w:tc>
          <w:tcPr>
            <w:tcW w:w="0" w:type="dxa"/>
            <w:vAlign w:val="bottom"/>
          </w:tcPr>
          <w:p>
            <w:pPr>
              <w:spacing w:after="0"/>
              <w:rPr>
                <w:sz w:val="1"/>
                <w:szCs w:val="1"/>
                <w:color w:val="auto"/>
              </w:rPr>
            </w:pPr>
          </w:p>
        </w:tc>
      </w:tr>
      <w:tr>
        <w:trPr>
          <w:trHeight w:val="283"/>
        </w:trPr>
        <w:tc>
          <w:tcPr>
            <w:tcW w:w="340" w:type="dxa"/>
            <w:vAlign w:val="bottom"/>
          </w:tcPr>
          <w:p>
            <w:pPr>
              <w:ind w:left="120"/>
              <w:spacing w:after="0"/>
              <w:rPr>
                <w:sz w:val="20"/>
                <w:szCs w:val="20"/>
                <w:color w:val="auto"/>
              </w:rPr>
            </w:pPr>
            <w:r>
              <w:rPr>
                <w:rFonts w:ascii="Times New Roman" w:cs="Times New Roman" w:eastAsia="Times New Roman" w:hAnsi="Times New Roman"/>
                <w:sz w:val="16"/>
                <w:szCs w:val="16"/>
                <w:color w:val="FFFFFF"/>
              </w:rPr>
              <w:t>●</w:t>
            </w:r>
          </w:p>
        </w:tc>
        <w:tc>
          <w:tcPr>
            <w:tcW w:w="2700" w:type="dxa"/>
            <w:vAlign w:val="bottom"/>
          </w:tcPr>
          <w:p>
            <w:pPr>
              <w:ind w:left="100"/>
              <w:spacing w:after="0"/>
              <w:rPr>
                <w:sz w:val="20"/>
                <w:szCs w:val="20"/>
                <w:color w:val="auto"/>
              </w:rPr>
            </w:pPr>
            <w:r>
              <w:rPr>
                <w:rFonts w:ascii="Arial" w:cs="Arial" w:eastAsia="Arial" w:hAnsi="Arial"/>
                <w:sz w:val="16"/>
                <w:szCs w:val="16"/>
                <w:color w:val="FFFFFF"/>
              </w:rPr>
              <w:t>Investor  Relations</w:t>
            </w:r>
          </w:p>
        </w:tc>
        <w:tc>
          <w:tcPr>
            <w:tcW w:w="480" w:type="dxa"/>
            <w:vAlign w:val="bottom"/>
          </w:tcPr>
          <w:p>
            <w:pPr>
              <w:spacing w:after="0"/>
              <w:rPr>
                <w:sz w:val="24"/>
                <w:szCs w:val="24"/>
                <w:color w:val="auto"/>
              </w:rPr>
            </w:pPr>
          </w:p>
        </w:tc>
        <w:tc>
          <w:tcPr>
            <w:tcW w:w="300" w:type="dxa"/>
            <w:vAlign w:val="bottom"/>
          </w:tcPr>
          <w:p>
            <w:pPr>
              <w:ind w:left="80"/>
              <w:spacing w:after="0"/>
              <w:rPr>
                <w:sz w:val="20"/>
                <w:szCs w:val="20"/>
                <w:color w:val="auto"/>
              </w:rPr>
            </w:pPr>
            <w:r>
              <w:rPr>
                <w:rFonts w:ascii="Times New Roman" w:cs="Times New Roman" w:eastAsia="Times New Roman" w:hAnsi="Times New Roman"/>
                <w:sz w:val="16"/>
                <w:szCs w:val="16"/>
                <w:color w:val="FFFFFF"/>
              </w:rPr>
              <w:t>●</w:t>
            </w:r>
          </w:p>
        </w:tc>
        <w:tc>
          <w:tcPr>
            <w:tcW w:w="2200" w:type="dxa"/>
            <w:vAlign w:val="bottom"/>
            <w:gridSpan w:val="2"/>
          </w:tcPr>
          <w:p>
            <w:pPr>
              <w:ind w:left="120"/>
              <w:spacing w:after="0"/>
              <w:rPr>
                <w:sz w:val="20"/>
                <w:szCs w:val="20"/>
                <w:color w:val="auto"/>
              </w:rPr>
            </w:pPr>
            <w:r>
              <w:rPr>
                <w:rFonts w:ascii="Arial" w:cs="Arial" w:eastAsia="Arial" w:hAnsi="Arial"/>
                <w:sz w:val="16"/>
                <w:szCs w:val="16"/>
                <w:color w:val="FFFFFF"/>
              </w:rPr>
              <w:t>Our  stockholder  proponent</w:t>
            </w:r>
          </w:p>
        </w:tc>
        <w:tc>
          <w:tcPr>
            <w:tcW w:w="0" w:type="dxa"/>
            <w:vAlign w:val="bottom"/>
          </w:tcPr>
          <w:p>
            <w:pPr>
              <w:spacing w:after="0"/>
              <w:rPr>
                <w:sz w:val="1"/>
                <w:szCs w:val="1"/>
                <w:color w:val="auto"/>
              </w:rPr>
            </w:pPr>
          </w:p>
        </w:tc>
      </w:tr>
      <w:tr>
        <w:trPr>
          <w:trHeight w:val="283"/>
        </w:trPr>
        <w:tc>
          <w:tcPr>
            <w:tcW w:w="340" w:type="dxa"/>
            <w:vAlign w:val="bottom"/>
          </w:tcPr>
          <w:p>
            <w:pPr>
              <w:ind w:left="120"/>
              <w:spacing w:after="0"/>
              <w:rPr>
                <w:sz w:val="20"/>
                <w:szCs w:val="20"/>
                <w:color w:val="auto"/>
              </w:rPr>
            </w:pPr>
            <w:r>
              <w:rPr>
                <w:rFonts w:ascii="Times New Roman" w:cs="Times New Roman" w:eastAsia="Times New Roman" w:hAnsi="Times New Roman"/>
                <w:sz w:val="16"/>
                <w:szCs w:val="16"/>
                <w:color w:val="FFFFFF"/>
              </w:rPr>
              <w:t>●</w:t>
            </w:r>
          </w:p>
        </w:tc>
        <w:tc>
          <w:tcPr>
            <w:tcW w:w="2700" w:type="dxa"/>
            <w:vAlign w:val="bottom"/>
          </w:tcPr>
          <w:p>
            <w:pPr>
              <w:ind w:left="100"/>
              <w:spacing w:after="0"/>
              <w:rPr>
                <w:sz w:val="20"/>
                <w:szCs w:val="20"/>
                <w:color w:val="auto"/>
              </w:rPr>
            </w:pPr>
            <w:r>
              <w:rPr>
                <w:rFonts w:ascii="Arial" w:cs="Arial" w:eastAsia="Arial" w:hAnsi="Arial"/>
                <w:sz w:val="16"/>
                <w:szCs w:val="16"/>
                <w:color w:val="FFFFFF"/>
              </w:rPr>
              <w:t>Corporate  Secretary’s  Ofce</w:t>
            </w:r>
          </w:p>
        </w:tc>
        <w:tc>
          <w:tcPr>
            <w:tcW w:w="480" w:type="dxa"/>
            <w:vAlign w:val="bottom"/>
          </w:tcPr>
          <w:p>
            <w:pPr>
              <w:spacing w:after="0"/>
              <w:rPr>
                <w:sz w:val="24"/>
                <w:szCs w:val="24"/>
                <w:color w:val="auto"/>
              </w:rPr>
            </w:pPr>
          </w:p>
        </w:tc>
        <w:tc>
          <w:tcPr>
            <w:tcW w:w="2500" w:type="dxa"/>
            <w:vAlign w:val="bottom"/>
            <w:gridSpan w:val="3"/>
            <w:vMerge w:val="restart"/>
          </w:tcPr>
          <w:p>
            <w:pPr>
              <w:ind w:left="80"/>
              <w:spacing w:after="0"/>
              <w:rPr>
                <w:sz w:val="20"/>
                <w:szCs w:val="20"/>
                <w:color w:val="auto"/>
              </w:rPr>
            </w:pPr>
            <w:r>
              <w:rPr>
                <w:rFonts w:ascii="Arial" w:cs="Arial" w:eastAsia="Arial" w:hAnsi="Arial"/>
                <w:sz w:val="16"/>
                <w:szCs w:val="16"/>
                <w:b w:val="1"/>
                <w:bCs w:val="1"/>
                <w:i w:val="1"/>
                <w:iCs w:val="1"/>
                <w:color w:val="FFFFFF"/>
              </w:rPr>
              <w:t>How we engage</w:t>
            </w:r>
          </w:p>
        </w:tc>
        <w:tc>
          <w:tcPr>
            <w:tcW w:w="0" w:type="dxa"/>
            <w:vAlign w:val="bottom"/>
          </w:tcPr>
          <w:p>
            <w:pPr>
              <w:spacing w:after="0"/>
              <w:rPr>
                <w:sz w:val="1"/>
                <w:szCs w:val="1"/>
                <w:color w:val="auto"/>
              </w:rPr>
            </w:pPr>
          </w:p>
        </w:tc>
      </w:tr>
      <w:tr>
        <w:trPr>
          <w:trHeight w:val="94"/>
        </w:trPr>
        <w:tc>
          <w:tcPr>
            <w:tcW w:w="30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FFFFFF"/>
                <w:w w:val="99"/>
              </w:rPr>
              <w:t>●</w:t>
            </w:r>
            <w:r>
              <w:rPr>
                <w:rFonts w:ascii="Arial" w:cs="Arial" w:eastAsia="Arial" w:hAnsi="Arial"/>
                <w:sz w:val="16"/>
                <w:szCs w:val="16"/>
                <w:color w:val="FFFFFF"/>
                <w:w w:val="99"/>
              </w:rPr>
              <w:t>Chairman  of  the  Board</w:t>
            </w:r>
          </w:p>
        </w:tc>
        <w:tc>
          <w:tcPr>
            <w:tcW w:w="480" w:type="dxa"/>
            <w:vAlign w:val="bottom"/>
          </w:tcPr>
          <w:p>
            <w:pPr>
              <w:spacing w:after="0"/>
              <w:rPr>
                <w:sz w:val="8"/>
                <w:szCs w:val="8"/>
                <w:color w:val="auto"/>
              </w:rPr>
            </w:pPr>
          </w:p>
        </w:tc>
        <w:tc>
          <w:tcPr>
            <w:tcW w:w="25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3040" w:type="dxa"/>
            <w:vAlign w:val="bottom"/>
            <w:gridSpan w:val="2"/>
            <w:vMerge w:val="continue"/>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FFFFFF"/>
              </w:rPr>
              <w:t>●</w:t>
            </w:r>
          </w:p>
        </w:tc>
        <w:tc>
          <w:tcPr>
            <w:tcW w:w="2200" w:type="dxa"/>
            <w:vAlign w:val="bottom"/>
            <w:gridSpan w:val="2"/>
            <w:vMerge w:val="restart"/>
          </w:tcPr>
          <w:p>
            <w:pPr>
              <w:ind w:left="120"/>
              <w:spacing w:after="0"/>
              <w:rPr>
                <w:sz w:val="20"/>
                <w:szCs w:val="20"/>
                <w:color w:val="auto"/>
              </w:rPr>
            </w:pPr>
            <w:r>
              <w:rPr>
                <w:rFonts w:ascii="Arial" w:cs="Arial" w:eastAsia="Arial" w:hAnsi="Arial"/>
                <w:sz w:val="16"/>
                <w:szCs w:val="16"/>
                <w:color w:val="FFFFFF"/>
              </w:rPr>
              <w:t>One-on-one  meetings</w:t>
            </w:r>
          </w:p>
        </w:tc>
        <w:tc>
          <w:tcPr>
            <w:tcW w:w="0" w:type="dxa"/>
            <w:vAlign w:val="bottom"/>
          </w:tcPr>
          <w:p>
            <w:pPr>
              <w:spacing w:after="0"/>
              <w:rPr>
                <w:sz w:val="1"/>
                <w:szCs w:val="1"/>
                <w:color w:val="auto"/>
              </w:rPr>
            </w:pPr>
          </w:p>
        </w:tc>
      </w:tr>
      <w:tr>
        <w:trPr>
          <w:trHeight w:val="122"/>
        </w:trPr>
        <w:tc>
          <w:tcPr>
            <w:tcW w:w="34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22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34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00" w:type="dxa"/>
            <w:vAlign w:val="bottom"/>
          </w:tcPr>
          <w:p>
            <w:pPr>
              <w:ind w:left="80"/>
              <w:spacing w:after="0"/>
              <w:rPr>
                <w:sz w:val="20"/>
                <w:szCs w:val="20"/>
                <w:color w:val="auto"/>
              </w:rPr>
            </w:pPr>
            <w:r>
              <w:rPr>
                <w:rFonts w:ascii="Times New Roman" w:cs="Times New Roman" w:eastAsia="Times New Roman" w:hAnsi="Times New Roman"/>
                <w:sz w:val="16"/>
                <w:szCs w:val="16"/>
                <w:color w:val="FFFFFF"/>
              </w:rPr>
              <w:t>●</w:t>
            </w:r>
          </w:p>
        </w:tc>
        <w:tc>
          <w:tcPr>
            <w:tcW w:w="2200" w:type="dxa"/>
            <w:vAlign w:val="bottom"/>
            <w:gridSpan w:val="2"/>
          </w:tcPr>
          <w:p>
            <w:pPr>
              <w:ind w:left="120"/>
              <w:spacing w:after="0"/>
              <w:rPr>
                <w:sz w:val="20"/>
                <w:szCs w:val="20"/>
                <w:color w:val="auto"/>
              </w:rPr>
            </w:pPr>
            <w:r>
              <w:rPr>
                <w:rFonts w:ascii="Arial" w:cs="Arial" w:eastAsia="Arial" w:hAnsi="Arial"/>
                <w:sz w:val="16"/>
                <w:szCs w:val="16"/>
                <w:color w:val="FFFFFF"/>
              </w:rPr>
              <w:t>Written  and  electronic</w:t>
            </w:r>
          </w:p>
        </w:tc>
        <w:tc>
          <w:tcPr>
            <w:tcW w:w="0" w:type="dxa"/>
            <w:vAlign w:val="bottom"/>
          </w:tcPr>
          <w:p>
            <w:pPr>
              <w:spacing w:after="0"/>
              <w:rPr>
                <w:sz w:val="1"/>
                <w:szCs w:val="1"/>
                <w:color w:val="auto"/>
              </w:rPr>
            </w:pPr>
          </w:p>
        </w:tc>
      </w:tr>
      <w:tr>
        <w:trPr>
          <w:trHeight w:val="235"/>
        </w:trPr>
        <w:tc>
          <w:tcPr>
            <w:tcW w:w="3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0" w:type="dxa"/>
            <w:vAlign w:val="bottom"/>
            <w:gridSpan w:val="2"/>
          </w:tcPr>
          <w:p>
            <w:pPr>
              <w:ind w:left="120"/>
              <w:spacing w:after="0"/>
              <w:rPr>
                <w:sz w:val="20"/>
                <w:szCs w:val="20"/>
                <w:color w:val="auto"/>
              </w:rPr>
            </w:pPr>
            <w:r>
              <w:rPr>
                <w:rFonts w:ascii="Arial" w:cs="Arial" w:eastAsia="Arial" w:hAnsi="Arial"/>
                <w:sz w:val="16"/>
                <w:szCs w:val="16"/>
                <w:color w:val="FFFFFF"/>
              </w:rPr>
              <w:t>communications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ind w:left="97" w:hanging="97"/>
        <w:spacing w:after="0"/>
        <w:tabs>
          <w:tab w:leader="none" w:pos="97" w:val="left"/>
        </w:tabs>
        <w:numPr>
          <w:ilvl w:val="0"/>
          <w:numId w:val="17"/>
        </w:numPr>
        <w:rPr>
          <w:rFonts w:ascii="Arial" w:cs="Arial" w:eastAsia="Arial" w:hAnsi="Arial"/>
          <w:sz w:val="32"/>
          <w:szCs w:val="32"/>
          <w:b w:val="1"/>
          <w:bCs w:val="1"/>
          <w:i w:val="1"/>
          <w:iCs w:val="1"/>
          <w:color w:val="FFFFFF"/>
          <w:vertAlign w:val="superscript"/>
        </w:rPr>
      </w:pPr>
      <w:r>
        <w:rPr>
          <w:rFonts w:ascii="Arial" w:cs="Arial" w:eastAsia="Arial" w:hAnsi="Arial"/>
          <w:sz w:val="16"/>
          <w:szCs w:val="16"/>
          <w:b w:val="1"/>
          <w:bCs w:val="1"/>
          <w:i w:val="1"/>
          <w:iCs w:val="1"/>
          <w:color w:val="FFFFFF"/>
        </w:rPr>
        <w:t>Other</w:t>
      </w:r>
      <w:r>
        <w:rPr>
          <w:rFonts w:ascii="Arial" w:cs="Arial" w:eastAsia="Arial" w:hAnsi="Arial"/>
          <w:sz w:val="32"/>
          <w:szCs w:val="32"/>
          <w:b w:val="1"/>
          <w:bCs w:val="1"/>
          <w:i w:val="1"/>
          <w:iCs w:val="1"/>
          <w:color w:val="FFFFFF"/>
          <w:vertAlign w:val="superscript"/>
        </w:rPr>
        <w:t>​</w:t>
      </w:r>
      <w:r>
        <w:rPr>
          <w:rFonts w:ascii="Arial" w:cs="Arial" w:eastAsia="Arial" w:hAnsi="Arial"/>
          <w:sz w:val="16"/>
          <w:szCs w:val="16"/>
          <w:b w:val="1"/>
          <w:bCs w:val="1"/>
          <w:i w:val="1"/>
          <w:iCs w:val="1"/>
          <w:color w:val="FFFFFF"/>
        </w:rPr>
        <w:t xml:space="preserve"> ways we engage</w:t>
      </w:r>
    </w:p>
    <w:p>
      <w:pPr>
        <w:spacing w:after="0" w:line="50" w:lineRule="exact"/>
        <w:rPr>
          <w:rFonts w:ascii="Arial" w:cs="Arial" w:eastAsia="Arial" w:hAnsi="Arial"/>
          <w:sz w:val="32"/>
          <w:szCs w:val="32"/>
          <w:b w:val="1"/>
          <w:bCs w:val="1"/>
          <w:i w:val="1"/>
          <w:iCs w:val="1"/>
          <w:color w:val="FFFFFF"/>
          <w:vertAlign w:val="superscript"/>
        </w:rPr>
      </w:pPr>
    </w:p>
    <w:p>
      <w:pPr>
        <w:ind w:left="437" w:hanging="333"/>
        <w:spacing w:after="0"/>
        <w:tabs>
          <w:tab w:leader="none" w:pos="437" w:val="left"/>
        </w:tabs>
        <w:numPr>
          <w:ilvl w:val="1"/>
          <w:numId w:val="17"/>
        </w:numPr>
        <w:rPr>
          <w:rFonts w:ascii="Times New Roman" w:cs="Times New Roman" w:eastAsia="Times New Roman" w:hAnsi="Times New Roman"/>
          <w:sz w:val="16"/>
          <w:szCs w:val="16"/>
          <w:color w:val="FFFFFF"/>
        </w:rPr>
      </w:pPr>
      <w:r>
        <w:rPr>
          <w:rFonts w:ascii="Arial" w:cs="Arial" w:eastAsia="Arial" w:hAnsi="Arial"/>
          <w:sz w:val="16"/>
          <w:szCs w:val="16"/>
          <w:color w:val="FFFFFF"/>
        </w:rPr>
        <w:t>Quarterly  earnings  calls</w:t>
      </w:r>
    </w:p>
    <w:p>
      <w:pPr>
        <w:spacing w:after="0" w:line="98" w:lineRule="exact"/>
        <w:rPr>
          <w:rFonts w:ascii="Times New Roman" w:cs="Times New Roman" w:eastAsia="Times New Roman" w:hAnsi="Times New Roman"/>
          <w:sz w:val="16"/>
          <w:szCs w:val="16"/>
          <w:color w:val="FFFFFF"/>
        </w:rPr>
      </w:pPr>
    </w:p>
    <w:p>
      <w:pPr>
        <w:ind w:left="437" w:right="420" w:hanging="333"/>
        <w:spacing w:after="0" w:line="307" w:lineRule="auto"/>
        <w:tabs>
          <w:tab w:leader="none" w:pos="437" w:val="left"/>
        </w:tabs>
        <w:numPr>
          <w:ilvl w:val="1"/>
          <w:numId w:val="17"/>
        </w:numPr>
        <w:rPr>
          <w:rFonts w:ascii="Times New Roman" w:cs="Times New Roman" w:eastAsia="Times New Roman" w:hAnsi="Times New Roman"/>
          <w:sz w:val="16"/>
          <w:szCs w:val="16"/>
          <w:color w:val="FFFFFF"/>
        </w:rPr>
      </w:pPr>
      <w:r>
        <w:rPr>
          <w:rFonts w:ascii="Arial" w:cs="Arial" w:eastAsia="Arial" w:hAnsi="Arial"/>
          <w:sz w:val="16"/>
          <w:szCs w:val="16"/>
          <w:color w:val="FFFFFF"/>
        </w:rPr>
        <w:t>Industry presentations and conferences</w:t>
      </w:r>
    </w:p>
    <w:p>
      <w:pPr>
        <w:ind w:left="437" w:right="320" w:hanging="333"/>
        <w:spacing w:after="0" w:line="316" w:lineRule="auto"/>
        <w:tabs>
          <w:tab w:leader="none" w:pos="437" w:val="left"/>
        </w:tabs>
        <w:numPr>
          <w:ilvl w:val="1"/>
          <w:numId w:val="17"/>
        </w:numPr>
        <w:rPr>
          <w:rFonts w:ascii="Times New Roman" w:cs="Times New Roman" w:eastAsia="Times New Roman" w:hAnsi="Times New Roman"/>
          <w:sz w:val="16"/>
          <w:szCs w:val="16"/>
          <w:color w:val="FFFFFF"/>
        </w:rPr>
      </w:pPr>
      <w:r>
        <w:rPr>
          <w:rFonts w:ascii="Arial" w:cs="Arial" w:eastAsia="Arial" w:hAnsi="Arial"/>
          <w:sz w:val="16"/>
          <w:szCs w:val="16"/>
          <w:color w:val="FFFFFF"/>
        </w:rPr>
        <w:t>Company-hosted events and presentations</w:t>
      </w:r>
    </w:p>
    <w:p>
      <w:pPr>
        <w:ind w:left="437" w:right="540" w:hanging="333"/>
        <w:spacing w:after="0" w:line="330" w:lineRule="auto"/>
        <w:tabs>
          <w:tab w:leader="none" w:pos="437" w:val="left"/>
        </w:tabs>
        <w:numPr>
          <w:ilvl w:val="1"/>
          <w:numId w:val="17"/>
        </w:numPr>
        <w:rPr>
          <w:rFonts w:ascii="Times New Roman" w:cs="Times New Roman" w:eastAsia="Times New Roman" w:hAnsi="Times New Roman"/>
          <w:sz w:val="16"/>
          <w:szCs w:val="16"/>
          <w:color w:val="FFFFFF"/>
        </w:rPr>
      </w:pPr>
      <w:r>
        <w:rPr>
          <w:rFonts w:ascii="Arial" w:cs="Arial" w:eastAsia="Arial" w:hAnsi="Arial"/>
          <w:sz w:val="16"/>
          <w:szCs w:val="16"/>
          <w:color w:val="FFFFFF"/>
        </w:rPr>
        <w:t>Road show meetings with investors and analysts</w:t>
      </w:r>
    </w:p>
    <w:p>
      <w:pPr>
        <w:spacing w:after="0" w:line="200" w:lineRule="exact"/>
        <w:rPr>
          <w:sz w:val="20"/>
          <w:szCs w:val="20"/>
          <w:color w:val="auto"/>
        </w:rPr>
      </w:pPr>
    </w:p>
    <w:p>
      <w:pPr>
        <w:sectPr>
          <w:pgSz w:w="11900" w:h="16838" w:orient="portrait"/>
          <w:cols w:equalWidth="0" w:num="2">
            <w:col w:w="6020" w:space="643"/>
            <w:col w:w="2917"/>
          </w:cols>
          <w:pgMar w:left="1080" w:top="695" w:right="1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​​2026​  Proxy</w:t>
      </w:r>
    </w:p>
    <w:p>
      <w:pPr>
        <w:spacing w:after="0" w:line="5"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b w:val="1"/>
          <w:bCs w:val="1"/>
          <w:color w:val="1414D2"/>
        </w:rPr>
        <w:t>8</w:t>
      </w:r>
      <w:r>
        <w:rPr>
          <w:sz w:val="20"/>
          <w:szCs w:val="20"/>
          <w:color w:val="auto"/>
        </w:rPr>
        <w:tab/>
      </w:r>
      <w:r>
        <w:rPr>
          <w:rFonts w:ascii="Arial" w:cs="Arial" w:eastAsia="Arial" w:hAnsi="Arial"/>
          <w:sz w:val="16"/>
          <w:szCs w:val="16"/>
          <w:color w:val="auto"/>
        </w:rPr>
        <w:t>Statement</w:t>
      </w:r>
    </w:p>
    <w:p>
      <w:pPr>
        <w:sectPr>
          <w:pgSz w:w="11900" w:h="16838" w:orient="portrait"/>
          <w:cols w:equalWidth="0" w:num="1">
            <w:col w:w="9580"/>
          </w:cols>
          <w:pgMar w:left="1080" w:top="695" w:right="12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27" w:lineRule="exact"/>
        <w:rPr>
          <w:sz w:val="20"/>
          <w:szCs w:val="20"/>
          <w:color w:val="auto"/>
        </w:rPr>
      </w:pPr>
    </w:p>
    <w:p>
      <w:pPr>
        <w:ind w:left="6820"/>
        <w:spacing w:after="0"/>
        <w:rPr>
          <w:sz w:val="20"/>
          <w:szCs w:val="20"/>
          <w:color w:val="auto"/>
        </w:rPr>
      </w:pPr>
      <w:r>
        <w:rPr>
          <w:rFonts w:ascii="Arial" w:cs="Arial" w:eastAsia="Arial" w:hAnsi="Arial"/>
          <w:sz w:val="14"/>
          <w:szCs w:val="14"/>
          <w:color w:val="6D6F71"/>
        </w:rPr>
        <w:t>Proxy  Statement  Summary  and  Voting  Map</w:t>
      </w:r>
    </w:p>
    <w:p>
      <w:pPr>
        <w:spacing w:after="0" w:line="223" w:lineRule="exact"/>
        <w:rPr>
          <w:sz w:val="20"/>
          <w:szCs w:val="20"/>
          <w:color w:val="auto"/>
        </w:rPr>
      </w:pPr>
    </w:p>
    <w:p>
      <w:pPr>
        <w:ind w:right="840"/>
        <w:spacing w:after="0" w:line="247" w:lineRule="auto"/>
        <w:rPr>
          <w:sz w:val="20"/>
          <w:szCs w:val="20"/>
          <w:color w:val="auto"/>
        </w:rPr>
      </w:pPr>
      <w:r>
        <w:rPr>
          <w:rFonts w:ascii="Arial" w:cs="Arial" w:eastAsia="Arial" w:hAnsi="Arial"/>
          <w:sz w:val="25"/>
          <w:szCs w:val="25"/>
          <w:b w:val="1"/>
          <w:bCs w:val="1"/>
          <w:color w:val="1414D2"/>
        </w:rPr>
        <w:t>Item 2 | Ratifcation of Appointment of Independent Registered Public Accounting Firm</w:t>
      </w:r>
    </w:p>
    <w:p>
      <w:pPr>
        <w:spacing w:after="0" w:line="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w:t>
      </w:r>
      <w:r>
        <w:rPr>
          <w:rFonts w:ascii="Times New Roman" w:cs="Times New Roman" w:eastAsia="Times New Roman" w:hAnsi="Times New Roman"/>
          <w:sz w:val="25"/>
          <w:szCs w:val="25"/>
          <w:b w:val="1"/>
          <w:bCs w:val="1"/>
          <w:color w:val="auto"/>
        </w:rPr>
        <w:t>►</w:t>
      </w:r>
      <w:r>
        <w:rPr>
          <w:rFonts w:ascii="Arial" w:cs="Arial" w:eastAsia="Arial" w:hAnsi="Arial"/>
          <w:sz w:val="25"/>
          <w:szCs w:val="25"/>
          <w:b w:val="1"/>
          <w:bCs w:val="1"/>
          <w:color w:val="auto"/>
        </w:rPr>
        <w:t xml:space="preserve"> see page 71 for more information)</w:t>
      </w:r>
    </w:p>
    <w:p>
      <w:pPr>
        <w:spacing w:after="0" w:line="145"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The Audit Committee appointed, and the Board has ratifed the appointment of, Ernst &amp; Young LLP (“Ernst &amp; Young”) to serve as our independent registered public accounting frm for the fscal year ending December 31, 2026, subject to ratifcation by the holders of shares of Common Stock. The Board is presenting a resolution to our stockholders requesting ratifcation of Ernst &amp; Young’s appointment, as the Board and the Audit Committee believe that the continued retention of Ernst &amp; Young for 2026 is</w:t>
      </w:r>
    </w:p>
    <w:p>
      <w:pPr>
        <w:spacing w:after="0" w:line="3" w:lineRule="exact"/>
        <w:rPr>
          <w:sz w:val="20"/>
          <w:szCs w:val="20"/>
          <w:color w:val="auto"/>
        </w:rPr>
      </w:pPr>
    </w:p>
    <w:p>
      <w:pPr>
        <w:ind w:right="100"/>
        <w:spacing w:after="0" w:line="313" w:lineRule="auto"/>
        <w:rPr>
          <w:sz w:val="20"/>
          <w:szCs w:val="20"/>
          <w:color w:val="auto"/>
        </w:rPr>
      </w:pPr>
      <w:r>
        <w:rPr>
          <w:rFonts w:ascii="Arial" w:cs="Arial" w:eastAsia="Arial" w:hAnsi="Arial"/>
          <w:sz w:val="16"/>
          <w:szCs w:val="16"/>
          <w:color w:val="auto"/>
        </w:rPr>
        <w:t>in the best interest of the Company and its stockholders. Detailed information about Ernst &amp; Young’s appointment and fees for 2025 and 2024 can be found beginning on page 72.</w:t>
      </w:r>
    </w:p>
    <w:p>
      <w:pPr>
        <w:sectPr>
          <w:pgSz w:w="11900" w:h="16838" w:orient="portrait"/>
          <w:cols w:equalWidth="0" w:num="1">
            <w:col w:w="9720"/>
          </w:cols>
          <w:pgMar w:left="1080" w:top="695"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40"/>
        <w:spacing w:after="0" w:line="255" w:lineRule="auto"/>
        <w:rPr>
          <w:sz w:val="20"/>
          <w:szCs w:val="20"/>
          <w:color w:val="auto"/>
        </w:rPr>
      </w:pPr>
      <w:r>
        <w:rPr>
          <w:rFonts w:ascii="Arial" w:cs="Arial" w:eastAsia="Arial" w:hAnsi="Arial"/>
          <w:sz w:val="16"/>
          <w:szCs w:val="16"/>
          <w:b w:val="1"/>
          <w:bCs w:val="1"/>
          <w:color w:val="auto"/>
        </w:rPr>
        <w:t>The Board and Audit Committee recommend</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 xml:space="preserve">you vote </w:t>
      </w:r>
      <w:r>
        <w:rPr>
          <w:rFonts w:ascii="Arial" w:cs="Arial" w:eastAsia="Arial" w:hAnsi="Arial"/>
          <w:sz w:val="16"/>
          <w:szCs w:val="16"/>
          <w:b w:val="1"/>
          <w:bCs w:val="1"/>
          <w:color w:val="1414D2"/>
        </w:rPr>
        <w:t>FOR</w:t>
      </w:r>
      <w:r>
        <w:rPr>
          <w:rFonts w:ascii="Arial" w:cs="Arial" w:eastAsia="Arial" w:hAnsi="Arial"/>
          <w:sz w:val="16"/>
          <w:szCs w:val="16"/>
          <w:b w:val="1"/>
          <w:bCs w:val="1"/>
          <w:color w:val="auto"/>
        </w:rPr>
        <w:t xml:space="preserve"> Item 2</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VOTE REQUIRED</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Approval  of  Item  2-Ratifcation  of  Appointment  of  Independent  Registered  Public</w:t>
      </w:r>
    </w:p>
    <w:p>
      <w:pPr>
        <w:spacing w:after="0" w:line="19" w:lineRule="exact"/>
        <w:rPr>
          <w:sz w:val="20"/>
          <w:szCs w:val="20"/>
          <w:color w:val="auto"/>
        </w:rPr>
      </w:pPr>
    </w:p>
    <w:p>
      <w:pPr>
        <w:ind w:right="380"/>
        <w:spacing w:after="0" w:line="313" w:lineRule="auto"/>
        <w:rPr>
          <w:sz w:val="20"/>
          <w:szCs w:val="20"/>
          <w:color w:val="auto"/>
        </w:rPr>
      </w:pPr>
      <w:r>
        <w:rPr>
          <w:rFonts w:ascii="Arial" w:cs="Arial" w:eastAsia="Arial" w:hAnsi="Arial"/>
          <w:sz w:val="16"/>
          <w:szCs w:val="16"/>
          <w:color w:val="auto"/>
        </w:rPr>
        <w:t>Accounting Firm-requires the afrmative vote of a majority in voting power of the shares present in person or represented by proxy and entitled to vote on such matter.</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If  you  elect  to  abstain,  the  abstention  will  have  the  same  efect  as  an  “AGAINST”  vote.</w:t>
      </w:r>
    </w:p>
    <w:p>
      <w:pPr>
        <w:spacing w:after="0" w:line="19" w:lineRule="exact"/>
        <w:rPr>
          <w:sz w:val="20"/>
          <w:szCs w:val="20"/>
          <w:color w:val="auto"/>
        </w:rPr>
      </w:pPr>
    </w:p>
    <w:p>
      <w:pPr>
        <w:ind w:right="220"/>
        <w:spacing w:after="0" w:line="313" w:lineRule="auto"/>
        <w:rPr>
          <w:sz w:val="20"/>
          <w:szCs w:val="20"/>
          <w:color w:val="auto"/>
        </w:rPr>
      </w:pPr>
      <w:r>
        <w:rPr>
          <w:rFonts w:ascii="Arial" w:cs="Arial" w:eastAsia="Arial" w:hAnsi="Arial"/>
          <w:sz w:val="16"/>
          <w:szCs w:val="16"/>
          <w:color w:val="auto"/>
        </w:rPr>
        <w:t>Because brokers will have discretionary authority to vote on this proposal, there will not be any broker non-votes.</w:t>
      </w:r>
    </w:p>
    <w:p>
      <w:pPr>
        <w:spacing w:after="0" w:line="200" w:lineRule="exact"/>
        <w:rPr>
          <w:sz w:val="20"/>
          <w:szCs w:val="20"/>
          <w:color w:val="auto"/>
        </w:rPr>
      </w:pPr>
    </w:p>
    <w:p>
      <w:pPr>
        <w:sectPr>
          <w:pgSz w:w="11900" w:h="16838" w:orient="portrait"/>
          <w:cols w:equalWidth="0" w:num="2">
            <w:col w:w="2140" w:space="480"/>
            <w:col w:w="7100"/>
          </w:cols>
          <w:pgMar w:left="1080" w:top="695" w:right="10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2026  Proxy  Statement</w:t>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1414D2"/>
        </w:rPr>
        <w:t>9</w:t>
      </w:r>
    </w:p>
    <w:p>
      <w:pPr>
        <w:sectPr>
          <w:pgSz w:w="11900" w:h="16838" w:orient="portrait"/>
          <w:cols w:equalWidth="0" w:num="1">
            <w:col w:w="9720"/>
          </w:cols>
          <w:pgMar w:left="1080" w:top="695" w:right="109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6D6F71"/>
        </w:rPr>
        <w:t>Proxy  Statement  Summary  and  Voting  Map</w:t>
      </w:r>
    </w:p>
    <w:p>
      <w:pPr>
        <w:spacing w:after="0" w:line="223" w:lineRule="exact"/>
        <w:rPr>
          <w:sz w:val="20"/>
          <w:szCs w:val="20"/>
          <w:color w:val="auto"/>
        </w:rPr>
      </w:pPr>
    </w:p>
    <w:p>
      <w:pPr>
        <w:ind w:right="2280"/>
        <w:spacing w:after="0" w:line="298" w:lineRule="auto"/>
        <w:rPr>
          <w:sz w:val="20"/>
          <w:szCs w:val="20"/>
          <w:color w:val="auto"/>
        </w:rPr>
      </w:pPr>
      <w:r>
        <w:rPr>
          <w:rFonts w:ascii="Arial" w:cs="Arial" w:eastAsia="Arial" w:hAnsi="Arial"/>
          <w:sz w:val="25"/>
          <w:szCs w:val="25"/>
          <w:b w:val="1"/>
          <w:bCs w:val="1"/>
          <w:color w:val="1414D2"/>
        </w:rPr>
        <w:t xml:space="preserve">Item 3 | Advisory Vote to Approve Executive Compensation </w:t>
      </w:r>
      <w:r>
        <w:rPr>
          <w:rFonts w:ascii="Arial" w:cs="Arial" w:eastAsia="Arial" w:hAnsi="Arial"/>
          <w:sz w:val="25"/>
          <w:szCs w:val="25"/>
          <w:b w:val="1"/>
          <w:bCs w:val="1"/>
          <w:color w:val="000000"/>
        </w:rPr>
        <w:t>(</w:t>
      </w:r>
      <w:r>
        <w:rPr>
          <w:rFonts w:ascii="Times New Roman" w:cs="Times New Roman" w:eastAsia="Times New Roman" w:hAnsi="Times New Roman"/>
          <w:sz w:val="25"/>
          <w:szCs w:val="25"/>
          <w:b w:val="1"/>
          <w:bCs w:val="1"/>
          <w:color w:val="000000"/>
        </w:rPr>
        <w:t>►</w:t>
      </w:r>
      <w:r>
        <w:rPr>
          <w:rFonts w:ascii="Arial" w:cs="Arial" w:eastAsia="Arial" w:hAnsi="Arial"/>
          <w:sz w:val="25"/>
          <w:szCs w:val="25"/>
          <w:b w:val="1"/>
          <w:bCs w:val="1"/>
          <w:color w:val="000000"/>
        </w:rPr>
        <w:t xml:space="preserve"> see page 75 for more information)</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In  accordance  with  the  requirements  of  Section  14A  of  the  Securities  Exchange  Act  of  1934,  as  amended  (the  “Exchange  Act”),</w:t>
      </w:r>
    </w:p>
    <w:p>
      <w:pPr>
        <w:spacing w:after="0" w:line="30"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and the related rules of the SEC, and, consistent with the views expressed by stockholders at our 2023 annual meeting of stockholders, the Board has determined to seek an annual nonbinding advisory vote from our stockholders to approve the compensation of our named executive ofcers (“NEOs”) as disclosed pursuant to the SEC’s compensation disclosure rules, which</w:t>
      </w:r>
    </w:p>
    <w:p>
      <w:pPr>
        <w:spacing w:after="0" w:line="1"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disclosure includes the Compensation Discussion and Analysis, the compensation tables and the accompanying narrative disclosures of the Proxy Statement (“Say-on-Pay” vote). The Board is presenting a resolution to our stockholders recommending approval, on a nonbinding advisory basis, of the 2025 compensation paid to our NEOs as described in the “Compensation Discussion and Analysis” and disclosed in the Summary Compensation Table and related compensation tables and narrative</w:t>
      </w:r>
    </w:p>
    <w:p>
      <w:pPr>
        <w:spacing w:after="0" w:line="3" w:lineRule="exact"/>
        <w:rPr>
          <w:sz w:val="20"/>
          <w:szCs w:val="20"/>
          <w:color w:val="auto"/>
        </w:rPr>
      </w:pPr>
    </w:p>
    <w:p>
      <w:pPr>
        <w:ind w:right="180"/>
        <w:spacing w:after="0" w:line="279" w:lineRule="auto"/>
        <w:rPr>
          <w:sz w:val="20"/>
          <w:szCs w:val="20"/>
          <w:color w:val="auto"/>
        </w:rPr>
      </w:pPr>
      <w:r>
        <w:rPr>
          <w:rFonts w:ascii="Arial" w:cs="Arial" w:eastAsia="Arial" w:hAnsi="Arial"/>
          <w:sz w:val="16"/>
          <w:szCs w:val="16"/>
          <w:color w:val="auto"/>
        </w:rPr>
        <w:t>disclosure set forth in this Proxy Statement. For additional information on our 2025 executive compensation program and the 2025 decisions made by the Compensation Committee, we encourage stockholders to review, in detail, the section entitled “Compensation Discussion and Analysis” beginning on page 76.</w:t>
      </w:r>
    </w:p>
    <w:p>
      <w:pPr>
        <w:sectPr>
          <w:pgSz w:w="11900" w:h="16838" w:orient="portrait"/>
          <w:cols w:equalWidth="0" w:num="1">
            <w:col w:w="9700"/>
          </w:cols>
          <w:pgMar w:left="1080" w:top="695" w:right="11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40"/>
        <w:spacing w:after="0" w:line="330" w:lineRule="auto"/>
        <w:rPr>
          <w:sz w:val="20"/>
          <w:szCs w:val="20"/>
          <w:color w:val="auto"/>
        </w:rPr>
      </w:pPr>
      <w:r>
        <w:rPr>
          <w:rFonts w:ascii="Arial" w:cs="Arial" w:eastAsia="Arial" w:hAnsi="Arial"/>
          <w:sz w:val="16"/>
          <w:szCs w:val="16"/>
          <w:b w:val="1"/>
          <w:bCs w:val="1"/>
          <w:color w:val="auto"/>
        </w:rPr>
        <w:t xml:space="preserve">The Board recommends you vote </w:t>
      </w:r>
      <w:r>
        <w:rPr>
          <w:rFonts w:ascii="Arial" w:cs="Arial" w:eastAsia="Arial" w:hAnsi="Arial"/>
          <w:sz w:val="16"/>
          <w:szCs w:val="16"/>
          <w:b w:val="1"/>
          <w:bCs w:val="1"/>
          <w:color w:val="1414D2"/>
        </w:rPr>
        <w:t>FOR</w:t>
      </w:r>
      <w:r>
        <w:rPr>
          <w:rFonts w:ascii="Arial" w:cs="Arial" w:eastAsia="Arial" w:hAnsi="Arial"/>
          <w:sz w:val="16"/>
          <w:szCs w:val="16"/>
          <w:b w:val="1"/>
          <w:bCs w:val="1"/>
          <w:color w:val="auto"/>
        </w:rPr>
        <w:t xml:space="preserve"> Item 3</w:t>
      </w:r>
    </w:p>
    <w:p>
      <w:pPr>
        <w:spacing w:after="0" w:line="20" w:lineRule="exact"/>
        <w:rPr>
          <w:sz w:val="20"/>
          <w:szCs w:val="20"/>
          <w:color w:val="auto"/>
        </w:rPr>
      </w:pPr>
      <w:r>
        <w:rPr>
          <w:sz w:val="20"/>
          <w:szCs w:val="20"/>
          <w:color w:val="auto"/>
        </w:rPr>
        <w:br w:type="column"/>
      </w:r>
    </w:p>
    <w:p>
      <w:pPr>
        <w:spacing w:after="0" w:line="3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VOTE REQUIRED</w:t>
      </w:r>
    </w:p>
    <w:p>
      <w:pPr>
        <w:spacing w:after="0" w:line="127" w:lineRule="exact"/>
        <w:rPr>
          <w:sz w:val="20"/>
          <w:szCs w:val="20"/>
          <w:color w:val="auto"/>
        </w:rPr>
      </w:pPr>
    </w:p>
    <w:p>
      <w:pPr>
        <w:ind w:right="840"/>
        <w:spacing w:after="0" w:line="279" w:lineRule="auto"/>
        <w:rPr>
          <w:sz w:val="20"/>
          <w:szCs w:val="20"/>
          <w:color w:val="auto"/>
        </w:rPr>
      </w:pPr>
      <w:r>
        <w:rPr>
          <w:rFonts w:ascii="Arial" w:cs="Arial" w:eastAsia="Arial" w:hAnsi="Arial"/>
          <w:sz w:val="16"/>
          <w:szCs w:val="16"/>
          <w:color w:val="auto"/>
        </w:rPr>
        <w:t>Approval of Item 3-Advisory Vote to Approve Executive Compensation-requires the afrmative vote of a majority in voting power of the shares present in person or represented by proxy and entitled to vote on such matter.</w:t>
      </w:r>
    </w:p>
    <w:p>
      <w:pPr>
        <w:spacing w:after="0" w:line="33" w:lineRule="exact"/>
        <w:rPr>
          <w:sz w:val="20"/>
          <w:szCs w:val="20"/>
          <w:color w:val="auto"/>
        </w:rPr>
      </w:pPr>
    </w:p>
    <w:p>
      <w:pPr>
        <w:ind w:right="100"/>
        <w:spacing w:after="0" w:line="330" w:lineRule="auto"/>
        <w:rPr>
          <w:sz w:val="20"/>
          <w:szCs w:val="20"/>
          <w:color w:val="auto"/>
        </w:rPr>
      </w:pPr>
      <w:r>
        <w:rPr>
          <w:rFonts w:ascii="Arial" w:cs="Arial" w:eastAsia="Arial" w:hAnsi="Arial"/>
          <w:sz w:val="16"/>
          <w:szCs w:val="16"/>
          <w:color w:val="auto"/>
        </w:rPr>
        <w:t>If you elect to abstain, the abstention will have the same efect as an “AGAINST” vote. Broker non-votes will have no efect on the advisory vote to approve executive compensation.</w:t>
      </w:r>
    </w:p>
    <w:p>
      <w:pPr>
        <w:spacing w:after="0" w:line="200" w:lineRule="exact"/>
        <w:rPr>
          <w:sz w:val="20"/>
          <w:szCs w:val="20"/>
          <w:color w:val="auto"/>
        </w:rPr>
      </w:pPr>
    </w:p>
    <w:p>
      <w:pPr>
        <w:sectPr>
          <w:pgSz w:w="11900" w:h="16838" w:orient="portrait"/>
          <w:cols w:equalWidth="0" w:num="2">
            <w:col w:w="2140" w:space="480"/>
            <w:col w:w="7080"/>
          </w:cols>
          <w:pgMar w:left="1080" w:top="695" w:right="11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right"/>
        <w:ind w:right="7700"/>
        <w:spacing w:after="0"/>
        <w:rPr>
          <w:sz w:val="20"/>
          <w:szCs w:val="20"/>
          <w:color w:val="auto"/>
        </w:rPr>
      </w:pPr>
      <w:r>
        <w:rPr>
          <w:rFonts w:ascii="Arial" w:cs="Arial" w:eastAsia="Arial" w:hAnsi="Arial"/>
          <w:sz w:val="16"/>
          <w:szCs w:val="16"/>
          <w:color w:val="auto"/>
        </w:rPr>
        <w:t>​​2026​  Proxy</w:t>
      </w:r>
    </w:p>
    <w:p>
      <w:pPr>
        <w:spacing w:after="0" w:line="5" w:lineRule="exact"/>
        <w:rPr>
          <w:sz w:val="20"/>
          <w:szCs w:val="20"/>
          <w:color w:val="auto"/>
        </w:rPr>
      </w:pPr>
    </w:p>
    <w:p>
      <w:pPr>
        <w:ind w:left="660" w:hanging="656"/>
        <w:spacing w:after="0"/>
        <w:tabs>
          <w:tab w:leader="none" w:pos="660" w:val="left"/>
        </w:tabs>
        <w:numPr>
          <w:ilvl w:val="0"/>
          <w:numId w:val="18"/>
        </w:numPr>
        <w:rPr>
          <w:rFonts w:ascii="Arial" w:cs="Arial" w:eastAsia="Arial" w:hAnsi="Arial"/>
          <w:sz w:val="16"/>
          <w:szCs w:val="16"/>
          <w:b w:val="1"/>
          <w:bCs w:val="1"/>
          <w:color w:val="1414D2"/>
        </w:rPr>
      </w:pPr>
      <w:r>
        <w:rPr>
          <w:rFonts w:ascii="Arial" w:cs="Arial" w:eastAsia="Arial" w:hAnsi="Arial"/>
          <w:sz w:val="16"/>
          <w:szCs w:val="16"/>
          <w:color w:val="auto"/>
        </w:rPr>
        <w:t>Statement</w:t>
      </w:r>
    </w:p>
    <w:p>
      <w:pPr>
        <w:sectPr>
          <w:pgSz w:w="11900" w:h="16838" w:orient="portrait"/>
          <w:cols w:equalWidth="0" w:num="1">
            <w:col w:w="9700"/>
          </w:cols>
          <w:pgMar w:left="1080" w:top="695" w:right="111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27" w:lineRule="exact"/>
        <w:rPr>
          <w:sz w:val="20"/>
          <w:szCs w:val="20"/>
          <w:color w:val="auto"/>
        </w:rPr>
      </w:pPr>
    </w:p>
    <w:p>
      <w:pPr>
        <w:jc w:val="right"/>
        <w:spacing w:after="0"/>
        <w:rPr>
          <w:sz w:val="20"/>
          <w:szCs w:val="20"/>
          <w:color w:val="auto"/>
        </w:rPr>
      </w:pPr>
      <w:r>
        <w:rPr>
          <w:rFonts w:ascii="Arial" w:cs="Arial" w:eastAsia="Arial" w:hAnsi="Arial"/>
          <w:sz w:val="14"/>
          <w:szCs w:val="14"/>
          <w:color w:val="6D6F71"/>
        </w:rPr>
        <w:t>Proxy  Statement  Summary  and  Voting  Map</w:t>
      </w:r>
    </w:p>
    <w:p>
      <w:pPr>
        <w:spacing w:after="0" w:line="223" w:lineRule="exact"/>
        <w:rPr>
          <w:sz w:val="20"/>
          <w:szCs w:val="20"/>
          <w:color w:val="auto"/>
        </w:rPr>
      </w:pPr>
    </w:p>
    <w:p>
      <w:pPr>
        <w:spacing w:after="0"/>
        <w:rPr>
          <w:sz w:val="20"/>
          <w:szCs w:val="20"/>
          <w:color w:val="auto"/>
        </w:rPr>
      </w:pPr>
      <w:r>
        <w:rPr>
          <w:rFonts w:ascii="Arial" w:cs="Arial" w:eastAsia="Arial" w:hAnsi="Arial"/>
          <w:sz w:val="25"/>
          <w:szCs w:val="25"/>
          <w:b w:val="1"/>
          <w:bCs w:val="1"/>
          <w:color w:val="1414D2"/>
        </w:rPr>
        <w:t>Executive Compensation Summary for 2025</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PROGRAM HIGHLIGHTS</w:t>
      </w:r>
    </w:p>
    <w:p>
      <w:pPr>
        <w:spacing w:after="0" w:line="127" w:lineRule="exact"/>
        <w:rPr>
          <w:sz w:val="20"/>
          <w:szCs w:val="20"/>
          <w:color w:val="auto"/>
        </w:rPr>
      </w:pPr>
    </w:p>
    <w:p>
      <w:pPr>
        <w:ind w:right="80"/>
        <w:spacing w:after="0" w:line="272" w:lineRule="auto"/>
        <w:rPr>
          <w:sz w:val="20"/>
          <w:szCs w:val="20"/>
          <w:color w:val="auto"/>
        </w:rPr>
      </w:pPr>
      <w:r>
        <w:rPr>
          <w:rFonts w:ascii="Arial" w:cs="Arial" w:eastAsia="Arial" w:hAnsi="Arial"/>
          <w:sz w:val="16"/>
          <w:szCs w:val="16"/>
          <w:color w:val="auto"/>
        </w:rPr>
        <w:t>Our 2025 executive compensation program (the “2025 Program”) was designed to motivate and reward our management team for advancing United’s strategic and fnancial priorities while aligning the management team’s interests with those of our stockholders. It features long-term performance-based equity awards and applies three-year vesting to our time-based equity awards.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high-level  summary  of  the  2025  Program.</w:t>
      </w:r>
    </w:p>
    <w:p>
      <w:pPr>
        <w:spacing w:after="0" w:line="221" w:lineRule="exact"/>
        <w:rPr>
          <w:sz w:val="20"/>
          <w:szCs w:val="20"/>
          <w:color w:val="auto"/>
        </w:rPr>
      </w:pPr>
    </w:p>
    <w:p>
      <w:pPr>
        <w:ind w:left="100" w:right="260"/>
        <w:spacing w:after="0" w:line="313" w:lineRule="auto"/>
        <w:rPr>
          <w:sz w:val="20"/>
          <w:szCs w:val="20"/>
          <w:color w:val="auto"/>
        </w:rPr>
      </w:pPr>
      <w:r>
        <w:rPr>
          <w:rFonts w:ascii="Arial" w:cs="Arial" w:eastAsia="Arial" w:hAnsi="Arial"/>
          <w:sz w:val="16"/>
          <w:szCs w:val="16"/>
          <w:color w:val="FFFFFF"/>
        </w:rPr>
        <w:t>We designed our 2025 Program to align the interests of our stockholders and executives, link executive pay to performance and attract, retain and appropriately reward our executives in line with market practices.</w:t>
      </w:r>
    </w:p>
    <w:p>
      <w:pPr>
        <w:spacing w:after="0" w:line="6" w:lineRule="exact"/>
        <w:rPr>
          <w:sz w:val="20"/>
          <w:szCs w:val="20"/>
          <w:color w:val="auto"/>
        </w:rPr>
      </w:pPr>
    </w:p>
    <w:p>
      <w:pPr>
        <w:ind w:left="100"/>
        <w:spacing w:after="0"/>
        <w:rPr>
          <w:sz w:val="20"/>
          <w:szCs w:val="20"/>
          <w:color w:val="auto"/>
        </w:rPr>
      </w:pPr>
      <w:r>
        <w:rPr>
          <w:rFonts w:ascii="Arial" w:cs="Arial" w:eastAsia="Arial" w:hAnsi="Arial"/>
          <w:sz w:val="16"/>
          <w:szCs w:val="16"/>
          <w:color w:val="FFFFFF"/>
        </w:rPr>
        <w:t>Notably,  our  2025  Program:</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3240" w:type="dxa"/>
            <w:vAlign w:val="bottom"/>
            <w:shd w:val="clear" w:color="auto" w:fill="1414D2"/>
          </w:tcPr>
          <w:p>
            <w:pPr>
              <w:ind w:left="220"/>
              <w:spacing w:after="0"/>
              <w:rPr>
                <w:sz w:val="20"/>
                <w:szCs w:val="20"/>
                <w:color w:val="auto"/>
              </w:rPr>
            </w:pPr>
            <w:r>
              <w:rPr>
                <w:rFonts w:ascii="Times New Roman" w:cs="Times New Roman" w:eastAsia="Times New Roman" w:hAnsi="Times New Roman"/>
                <w:sz w:val="16"/>
                <w:szCs w:val="16"/>
                <w:color w:val="FFFFFF"/>
                <w:w w:val="99"/>
              </w:rPr>
              <w:t>●</w:t>
            </w:r>
            <w:r>
              <w:rPr>
                <w:rFonts w:ascii="Arial" w:cs="Arial" w:eastAsia="Arial" w:hAnsi="Arial"/>
                <w:sz w:val="16"/>
                <w:szCs w:val="16"/>
                <w:color w:val="FFFFFF"/>
                <w:w w:val="99"/>
              </w:rPr>
              <w:t>Is  informed  by  the  market</w:t>
            </w:r>
          </w:p>
        </w:tc>
        <w:tc>
          <w:tcPr>
            <w:tcW w:w="3140" w:type="dxa"/>
            <w:vAlign w:val="bottom"/>
          </w:tcPr>
          <w:p>
            <w:pPr>
              <w:ind w:left="220"/>
              <w:spacing w:after="0"/>
              <w:rPr>
                <w:sz w:val="20"/>
                <w:szCs w:val="20"/>
                <w:color w:val="auto"/>
              </w:rPr>
            </w:pPr>
            <w:r>
              <w:rPr>
                <w:rFonts w:ascii="Times New Roman" w:cs="Times New Roman" w:eastAsia="Times New Roman" w:hAnsi="Times New Roman"/>
                <w:sz w:val="14"/>
                <w:szCs w:val="14"/>
                <w:color w:val="FFFFFF"/>
                <w:w w:val="93"/>
              </w:rPr>
              <w:t>●</w:t>
            </w:r>
            <w:r>
              <w:rPr>
                <w:rFonts w:ascii="Arial" w:cs="Arial" w:eastAsia="Arial" w:hAnsi="Arial"/>
                <w:sz w:val="16"/>
                <w:szCs w:val="16"/>
                <w:color w:val="FFFFFF"/>
                <w:w w:val="93"/>
              </w:rPr>
              <w:t>Features  a  mix  of  cash  and</w:t>
            </w:r>
          </w:p>
        </w:tc>
        <w:tc>
          <w:tcPr>
            <w:tcW w:w="3340" w:type="dxa"/>
            <w:vAlign w:val="bottom"/>
          </w:tcPr>
          <w:p>
            <w:pPr>
              <w:ind w:left="300"/>
              <w:spacing w:after="0"/>
              <w:rPr>
                <w:sz w:val="20"/>
                <w:szCs w:val="20"/>
                <w:color w:val="auto"/>
              </w:rPr>
            </w:pPr>
            <w:r>
              <w:rPr>
                <w:rFonts w:ascii="Times New Roman" w:cs="Times New Roman" w:eastAsia="Times New Roman" w:hAnsi="Times New Roman"/>
                <w:sz w:val="16"/>
                <w:szCs w:val="16"/>
                <w:color w:val="FFFFFF"/>
              </w:rPr>
              <w:t>●</w:t>
            </w:r>
            <w:r>
              <w:rPr>
                <w:rFonts w:ascii="Arial" w:cs="Arial" w:eastAsia="Arial" w:hAnsi="Arial"/>
                <w:sz w:val="16"/>
                <w:szCs w:val="16"/>
                <w:color w:val="FFFFFF"/>
              </w:rPr>
              <w:t>Links  pay  to  performance  with</w:t>
            </w:r>
          </w:p>
        </w:tc>
      </w:tr>
      <w:tr>
        <w:trPr>
          <w:trHeight w:val="189"/>
        </w:trPr>
        <w:tc>
          <w:tcPr>
            <w:tcW w:w="3240" w:type="dxa"/>
            <w:vAlign w:val="bottom"/>
            <w:shd w:val="clear" w:color="auto" w:fill="1414D2"/>
          </w:tcPr>
          <w:p>
            <w:pPr>
              <w:ind w:left="540"/>
              <w:spacing w:after="0"/>
              <w:rPr>
                <w:sz w:val="20"/>
                <w:szCs w:val="20"/>
                <w:color w:val="auto"/>
              </w:rPr>
            </w:pPr>
            <w:r>
              <w:rPr>
                <w:rFonts w:ascii="Arial" w:cs="Arial" w:eastAsia="Arial" w:hAnsi="Arial"/>
                <w:sz w:val="16"/>
                <w:szCs w:val="16"/>
                <w:color w:val="FFFFFF"/>
              </w:rPr>
              <w:t>median  of  our  peer  group  of</w:t>
            </w:r>
          </w:p>
        </w:tc>
        <w:tc>
          <w:tcPr>
            <w:tcW w:w="3140" w:type="dxa"/>
            <w:vAlign w:val="bottom"/>
          </w:tcPr>
          <w:p>
            <w:pPr>
              <w:ind w:left="540"/>
              <w:spacing w:after="0"/>
              <w:rPr>
                <w:sz w:val="20"/>
                <w:szCs w:val="20"/>
                <w:color w:val="auto"/>
              </w:rPr>
            </w:pPr>
            <w:r>
              <w:rPr>
                <w:rFonts w:ascii="Arial" w:cs="Arial" w:eastAsia="Arial" w:hAnsi="Arial"/>
                <w:sz w:val="16"/>
                <w:szCs w:val="16"/>
                <w:color w:val="FFFFFF"/>
              </w:rPr>
              <w:t>equity-based  compensation.</w:t>
            </w:r>
          </w:p>
        </w:tc>
        <w:tc>
          <w:tcPr>
            <w:tcW w:w="3340" w:type="dxa"/>
            <w:vAlign w:val="bottom"/>
          </w:tcPr>
          <w:p>
            <w:pPr>
              <w:ind w:left="620"/>
              <w:spacing w:after="0"/>
              <w:rPr>
                <w:sz w:val="20"/>
                <w:szCs w:val="20"/>
                <w:color w:val="auto"/>
              </w:rPr>
            </w:pPr>
            <w:r>
              <w:rPr>
                <w:rFonts w:ascii="Arial" w:cs="Arial" w:eastAsia="Arial" w:hAnsi="Arial"/>
                <w:sz w:val="16"/>
                <w:szCs w:val="16"/>
                <w:color w:val="FFFFFF"/>
              </w:rPr>
              <w:t>multiple  performance  measures</w:t>
            </w:r>
          </w:p>
        </w:tc>
      </w:tr>
      <w:tr>
        <w:trPr>
          <w:trHeight w:val="203"/>
        </w:trPr>
        <w:tc>
          <w:tcPr>
            <w:tcW w:w="3240" w:type="dxa"/>
            <w:vAlign w:val="bottom"/>
            <w:shd w:val="clear" w:color="auto" w:fill="1414D2"/>
          </w:tcPr>
          <w:p>
            <w:pPr>
              <w:ind w:left="540"/>
              <w:spacing w:after="0"/>
              <w:rPr>
                <w:sz w:val="20"/>
                <w:szCs w:val="20"/>
                <w:color w:val="auto"/>
              </w:rPr>
            </w:pPr>
            <w:r>
              <w:rPr>
                <w:rFonts w:ascii="Arial" w:cs="Arial" w:eastAsia="Arial" w:hAnsi="Arial"/>
                <w:sz w:val="16"/>
                <w:szCs w:val="16"/>
                <w:color w:val="FFFFFF"/>
              </w:rPr>
              <w:t>companies,  selected  based  on</w:t>
            </w:r>
          </w:p>
        </w:tc>
        <w:tc>
          <w:tcPr>
            <w:tcW w:w="3140" w:type="dxa"/>
            <w:vAlign w:val="bottom"/>
          </w:tcPr>
          <w:p>
            <w:pPr>
              <w:spacing w:after="0"/>
              <w:rPr>
                <w:sz w:val="17"/>
                <w:szCs w:val="17"/>
                <w:color w:val="auto"/>
              </w:rPr>
            </w:pPr>
          </w:p>
        </w:tc>
        <w:tc>
          <w:tcPr>
            <w:tcW w:w="3340" w:type="dxa"/>
            <w:vAlign w:val="bottom"/>
          </w:tcPr>
          <w:p>
            <w:pPr>
              <w:ind w:left="620"/>
              <w:spacing w:after="0"/>
              <w:rPr>
                <w:sz w:val="20"/>
                <w:szCs w:val="20"/>
                <w:color w:val="auto"/>
              </w:rPr>
            </w:pPr>
            <w:r>
              <w:rPr>
                <w:rFonts w:ascii="Arial" w:cs="Arial" w:eastAsia="Arial" w:hAnsi="Arial"/>
                <w:sz w:val="16"/>
                <w:szCs w:val="16"/>
                <w:color w:val="FFFFFF"/>
              </w:rPr>
              <w:t>aimed  at  increasing  stockholder</w:t>
            </w:r>
          </w:p>
        </w:tc>
      </w:tr>
      <w:tr>
        <w:trPr>
          <w:trHeight w:val="189"/>
        </w:trPr>
        <w:tc>
          <w:tcPr>
            <w:tcW w:w="3240" w:type="dxa"/>
            <w:vAlign w:val="bottom"/>
            <w:shd w:val="clear" w:color="auto" w:fill="1414D2"/>
          </w:tcPr>
          <w:p>
            <w:pPr>
              <w:ind w:left="540"/>
              <w:spacing w:after="0"/>
              <w:rPr>
                <w:sz w:val="20"/>
                <w:szCs w:val="20"/>
                <w:color w:val="auto"/>
              </w:rPr>
            </w:pPr>
            <w:r>
              <w:rPr>
                <w:rFonts w:ascii="Arial" w:cs="Arial" w:eastAsia="Arial" w:hAnsi="Arial"/>
                <w:sz w:val="16"/>
                <w:szCs w:val="16"/>
                <w:color w:val="FFFFFF"/>
              </w:rPr>
              <w:t>similar  revenue,  size,  scope  and</w:t>
            </w:r>
          </w:p>
        </w:tc>
        <w:tc>
          <w:tcPr>
            <w:tcW w:w="3140" w:type="dxa"/>
            <w:vAlign w:val="bottom"/>
          </w:tcPr>
          <w:p>
            <w:pPr>
              <w:spacing w:after="0"/>
              <w:rPr>
                <w:sz w:val="16"/>
                <w:szCs w:val="16"/>
                <w:color w:val="auto"/>
              </w:rPr>
            </w:pPr>
          </w:p>
        </w:tc>
        <w:tc>
          <w:tcPr>
            <w:tcW w:w="3340" w:type="dxa"/>
            <w:vAlign w:val="bottom"/>
          </w:tcPr>
          <w:p>
            <w:pPr>
              <w:ind w:left="620"/>
              <w:spacing w:after="0"/>
              <w:rPr>
                <w:sz w:val="20"/>
                <w:szCs w:val="20"/>
                <w:color w:val="auto"/>
              </w:rPr>
            </w:pPr>
            <w:r>
              <w:rPr>
                <w:rFonts w:ascii="Arial" w:cs="Arial" w:eastAsia="Arial" w:hAnsi="Arial"/>
                <w:sz w:val="16"/>
                <w:szCs w:val="16"/>
                <w:color w:val="FFFFFF"/>
              </w:rPr>
              <w:t>value.</w:t>
            </w:r>
          </w:p>
        </w:tc>
      </w:tr>
      <w:tr>
        <w:trPr>
          <w:trHeight w:val="189"/>
        </w:trPr>
        <w:tc>
          <w:tcPr>
            <w:tcW w:w="3240" w:type="dxa"/>
            <w:vAlign w:val="bottom"/>
            <w:shd w:val="clear" w:color="auto" w:fill="1414D2"/>
          </w:tcPr>
          <w:p>
            <w:pPr>
              <w:ind w:left="540"/>
              <w:spacing w:after="0"/>
              <w:rPr>
                <w:sz w:val="20"/>
                <w:szCs w:val="20"/>
                <w:color w:val="auto"/>
              </w:rPr>
            </w:pPr>
            <w:r>
              <w:rPr>
                <w:rFonts w:ascii="Arial" w:cs="Arial" w:eastAsia="Arial" w:hAnsi="Arial"/>
                <w:sz w:val="16"/>
                <w:szCs w:val="16"/>
                <w:color w:val="FFFFFF"/>
              </w:rPr>
              <w:t>complexity,  with  a  focus  on  size-</w:t>
            </w:r>
          </w:p>
        </w:tc>
        <w:tc>
          <w:tcPr>
            <w:tcW w:w="3140" w:type="dxa"/>
            <w:vAlign w:val="bottom"/>
          </w:tcPr>
          <w:p>
            <w:pPr>
              <w:spacing w:after="0"/>
              <w:rPr>
                <w:sz w:val="16"/>
                <w:szCs w:val="16"/>
                <w:color w:val="auto"/>
              </w:rPr>
            </w:pPr>
          </w:p>
        </w:tc>
        <w:tc>
          <w:tcPr>
            <w:tcW w:w="3340" w:type="dxa"/>
            <w:vAlign w:val="bottom"/>
          </w:tcPr>
          <w:p>
            <w:pPr>
              <w:spacing w:after="0"/>
              <w:rPr>
                <w:sz w:val="16"/>
                <w:szCs w:val="16"/>
                <w:color w:val="auto"/>
              </w:rPr>
            </w:pPr>
          </w:p>
        </w:tc>
      </w:tr>
      <w:tr>
        <w:trPr>
          <w:trHeight w:val="189"/>
        </w:trPr>
        <w:tc>
          <w:tcPr>
            <w:tcW w:w="3240" w:type="dxa"/>
            <w:vAlign w:val="bottom"/>
            <w:shd w:val="clear" w:color="auto" w:fill="1414D2"/>
          </w:tcPr>
          <w:p>
            <w:pPr>
              <w:ind w:left="540"/>
              <w:spacing w:after="0"/>
              <w:rPr>
                <w:sz w:val="20"/>
                <w:szCs w:val="20"/>
                <w:color w:val="auto"/>
              </w:rPr>
            </w:pPr>
            <w:r>
              <w:rPr>
                <w:rFonts w:ascii="Arial" w:cs="Arial" w:eastAsia="Arial" w:hAnsi="Arial"/>
                <w:sz w:val="16"/>
                <w:szCs w:val="16"/>
                <w:color w:val="FFFFFF"/>
              </w:rPr>
              <w:t>relevant  U.S.-based  airline</w:t>
            </w:r>
          </w:p>
        </w:tc>
        <w:tc>
          <w:tcPr>
            <w:tcW w:w="3140" w:type="dxa"/>
            <w:vAlign w:val="bottom"/>
          </w:tcPr>
          <w:p>
            <w:pPr>
              <w:spacing w:after="0"/>
              <w:rPr>
                <w:sz w:val="16"/>
                <w:szCs w:val="16"/>
                <w:color w:val="auto"/>
              </w:rPr>
            </w:pPr>
          </w:p>
        </w:tc>
        <w:tc>
          <w:tcPr>
            <w:tcW w:w="3340" w:type="dxa"/>
            <w:vAlign w:val="bottom"/>
          </w:tcPr>
          <w:p>
            <w:pPr>
              <w:spacing w:after="0"/>
              <w:rPr>
                <w:sz w:val="16"/>
                <w:szCs w:val="16"/>
                <w:color w:val="auto"/>
              </w:rPr>
            </w:pPr>
          </w:p>
        </w:tc>
      </w:tr>
      <w:tr>
        <w:trPr>
          <w:trHeight w:val="235"/>
        </w:trPr>
        <w:tc>
          <w:tcPr>
            <w:tcW w:w="3240" w:type="dxa"/>
            <w:vAlign w:val="bottom"/>
            <w:shd w:val="clear" w:color="auto" w:fill="1414D2"/>
          </w:tcPr>
          <w:p>
            <w:pPr>
              <w:ind w:left="540"/>
              <w:spacing w:after="0"/>
              <w:rPr>
                <w:sz w:val="20"/>
                <w:szCs w:val="20"/>
                <w:color w:val="auto"/>
              </w:rPr>
            </w:pPr>
            <w:r>
              <w:rPr>
                <w:rFonts w:ascii="Arial" w:cs="Arial" w:eastAsia="Arial" w:hAnsi="Arial"/>
                <w:sz w:val="16"/>
                <w:szCs w:val="16"/>
                <w:color w:val="FFFFFF"/>
              </w:rPr>
              <w:t>peers.</w:t>
            </w:r>
          </w:p>
        </w:tc>
        <w:tc>
          <w:tcPr>
            <w:tcW w:w="3140" w:type="dxa"/>
            <w:vAlign w:val="bottom"/>
          </w:tcPr>
          <w:p>
            <w:pPr>
              <w:spacing w:after="0"/>
              <w:rPr>
                <w:sz w:val="20"/>
                <w:szCs w:val="20"/>
                <w:color w:val="auto"/>
              </w:rPr>
            </w:pPr>
          </w:p>
        </w:tc>
        <w:tc>
          <w:tcPr>
            <w:tcW w:w="3340" w:type="dxa"/>
            <w:vAlign w:val="bottom"/>
          </w:tcPr>
          <w:p>
            <w:pPr>
              <w:spacing w:after="0"/>
              <w:rPr>
                <w:sz w:val="20"/>
                <w:szCs w:val="20"/>
                <w:color w:val="auto"/>
              </w:rPr>
            </w:pPr>
          </w:p>
        </w:tc>
      </w:tr>
      <w:tr>
        <w:trPr>
          <w:trHeight w:val="100"/>
        </w:trPr>
        <w:tc>
          <w:tcPr>
            <w:tcW w:w="3240" w:type="dxa"/>
            <w:vAlign w:val="bottom"/>
            <w:shd w:val="clear" w:color="auto" w:fill="1414D2"/>
          </w:tcPr>
          <w:p>
            <w:pPr>
              <w:spacing w:after="0"/>
              <w:rPr>
                <w:sz w:val="8"/>
                <w:szCs w:val="8"/>
                <w:color w:val="auto"/>
              </w:rPr>
            </w:pPr>
          </w:p>
        </w:tc>
        <w:tc>
          <w:tcPr>
            <w:tcW w:w="3140" w:type="dxa"/>
            <w:vAlign w:val="bottom"/>
          </w:tcPr>
          <w:p>
            <w:pPr>
              <w:spacing w:after="0"/>
              <w:rPr>
                <w:sz w:val="8"/>
                <w:szCs w:val="8"/>
                <w:color w:val="auto"/>
              </w:rPr>
            </w:pPr>
          </w:p>
        </w:tc>
        <w:tc>
          <w:tcPr>
            <w:tcW w:w="3340" w:type="dxa"/>
            <w:vAlign w:val="bottom"/>
          </w:tcPr>
          <w:p>
            <w:pPr>
              <w:spacing w:after="0"/>
              <w:rPr>
                <w:sz w:val="8"/>
                <w:szCs w:val="8"/>
                <w:color w:val="auto"/>
              </w:rPr>
            </w:pPr>
          </w:p>
        </w:tc>
      </w:tr>
      <w:tr>
        <w:trPr>
          <w:trHeight w:val="286"/>
        </w:trPr>
        <w:tc>
          <w:tcPr>
            <w:tcW w:w="3240" w:type="dxa"/>
            <w:vAlign w:val="bottom"/>
            <w:shd w:val="clear" w:color="auto" w:fill="1414D2"/>
          </w:tcPr>
          <w:p>
            <w:pPr>
              <w:ind w:left="220"/>
              <w:spacing w:after="0"/>
              <w:rPr>
                <w:sz w:val="20"/>
                <w:szCs w:val="20"/>
                <w:color w:val="auto"/>
              </w:rPr>
            </w:pPr>
            <w:r>
              <w:rPr>
                <w:rFonts w:ascii="Times New Roman" w:cs="Times New Roman" w:eastAsia="Times New Roman" w:hAnsi="Times New Roman"/>
                <w:sz w:val="16"/>
                <w:szCs w:val="16"/>
                <w:color w:val="FFFFFF"/>
              </w:rPr>
              <w:t>●</w:t>
            </w:r>
            <w:r>
              <w:rPr>
                <w:rFonts w:ascii="Arial" w:cs="Arial" w:eastAsia="Arial" w:hAnsi="Arial"/>
                <w:sz w:val="16"/>
                <w:szCs w:val="16"/>
                <w:color w:val="FFFFFF"/>
              </w:rPr>
              <w:t>Includes  robust  stock  ownership</w:t>
            </w:r>
          </w:p>
        </w:tc>
        <w:tc>
          <w:tcPr>
            <w:tcW w:w="3140" w:type="dxa"/>
            <w:vAlign w:val="bottom"/>
            <w:shd w:val="clear" w:color="auto" w:fill="1414D2"/>
          </w:tcPr>
          <w:p>
            <w:pPr>
              <w:ind w:left="220"/>
              <w:spacing w:after="0"/>
              <w:rPr>
                <w:sz w:val="20"/>
                <w:szCs w:val="20"/>
                <w:color w:val="auto"/>
              </w:rPr>
            </w:pPr>
            <w:r>
              <w:rPr>
                <w:rFonts w:ascii="Times New Roman" w:cs="Times New Roman" w:eastAsia="Times New Roman" w:hAnsi="Times New Roman"/>
                <w:sz w:val="16"/>
                <w:szCs w:val="16"/>
                <w:color w:val="FFFFFF"/>
                <w:w w:val="98"/>
              </w:rPr>
              <w:t>●</w:t>
            </w:r>
            <w:r>
              <w:rPr>
                <w:rFonts w:ascii="Arial" w:cs="Arial" w:eastAsia="Arial" w:hAnsi="Arial"/>
                <w:sz w:val="16"/>
                <w:szCs w:val="16"/>
                <w:color w:val="FFFFFF"/>
                <w:w w:val="98"/>
              </w:rPr>
              <w:t>Does  not  encourage  excessive</w:t>
            </w:r>
          </w:p>
        </w:tc>
        <w:tc>
          <w:tcPr>
            <w:tcW w:w="3340" w:type="dxa"/>
            <w:vAlign w:val="bottom"/>
            <w:shd w:val="clear" w:color="auto" w:fill="1414D2"/>
          </w:tcPr>
          <w:p>
            <w:pPr>
              <w:ind w:left="300"/>
              <w:spacing w:after="0"/>
              <w:rPr>
                <w:sz w:val="20"/>
                <w:szCs w:val="20"/>
                <w:color w:val="auto"/>
              </w:rPr>
            </w:pPr>
            <w:r>
              <w:rPr>
                <w:rFonts w:ascii="Times New Roman" w:cs="Times New Roman" w:eastAsia="Times New Roman" w:hAnsi="Times New Roman"/>
                <w:sz w:val="16"/>
                <w:szCs w:val="16"/>
                <w:color w:val="FFFFFF"/>
              </w:rPr>
              <w:t>●</w:t>
            </w:r>
            <w:r>
              <w:rPr>
                <w:rFonts w:ascii="Arial" w:cs="Arial" w:eastAsia="Arial" w:hAnsi="Arial"/>
                <w:sz w:val="16"/>
                <w:szCs w:val="16"/>
                <w:color w:val="FFFFFF"/>
              </w:rPr>
              <w:t>Refects  stockholder  feedback</w:t>
            </w:r>
          </w:p>
        </w:tc>
      </w:tr>
      <w:tr>
        <w:trPr>
          <w:trHeight w:val="189"/>
        </w:trPr>
        <w:tc>
          <w:tcPr>
            <w:tcW w:w="3240" w:type="dxa"/>
            <w:vAlign w:val="bottom"/>
            <w:shd w:val="clear" w:color="auto" w:fill="1414D2"/>
          </w:tcPr>
          <w:p>
            <w:pPr>
              <w:ind w:left="540"/>
              <w:spacing w:after="0"/>
              <w:rPr>
                <w:sz w:val="20"/>
                <w:szCs w:val="20"/>
                <w:color w:val="auto"/>
              </w:rPr>
            </w:pPr>
            <w:r>
              <w:rPr>
                <w:rFonts w:ascii="Arial" w:cs="Arial" w:eastAsia="Arial" w:hAnsi="Arial"/>
                <w:sz w:val="16"/>
                <w:szCs w:val="16"/>
                <w:color w:val="FFFFFF"/>
              </w:rPr>
              <w:t>guidelines  for  our  named</w:t>
            </w:r>
          </w:p>
        </w:tc>
        <w:tc>
          <w:tcPr>
            <w:tcW w:w="3140" w:type="dxa"/>
            <w:vAlign w:val="bottom"/>
            <w:shd w:val="clear" w:color="auto" w:fill="1414D2"/>
          </w:tcPr>
          <w:p>
            <w:pPr>
              <w:ind w:left="540"/>
              <w:spacing w:after="0"/>
              <w:rPr>
                <w:sz w:val="20"/>
                <w:szCs w:val="20"/>
                <w:color w:val="auto"/>
              </w:rPr>
            </w:pPr>
            <w:r>
              <w:rPr>
                <w:rFonts w:ascii="Arial" w:cs="Arial" w:eastAsia="Arial" w:hAnsi="Arial"/>
                <w:sz w:val="16"/>
                <w:szCs w:val="16"/>
                <w:color w:val="FFFFFF"/>
              </w:rPr>
              <w:t>risk-taking.</w:t>
            </w:r>
          </w:p>
        </w:tc>
        <w:tc>
          <w:tcPr>
            <w:tcW w:w="3340" w:type="dxa"/>
            <w:vAlign w:val="bottom"/>
            <w:shd w:val="clear" w:color="auto" w:fill="1414D2"/>
          </w:tcPr>
          <w:p>
            <w:pPr>
              <w:ind w:left="620"/>
              <w:spacing w:after="0"/>
              <w:rPr>
                <w:sz w:val="20"/>
                <w:szCs w:val="20"/>
                <w:color w:val="auto"/>
              </w:rPr>
            </w:pPr>
            <w:r>
              <w:rPr>
                <w:rFonts w:ascii="Arial" w:cs="Arial" w:eastAsia="Arial" w:hAnsi="Arial"/>
                <w:sz w:val="16"/>
                <w:szCs w:val="16"/>
                <w:color w:val="FFFFFF"/>
              </w:rPr>
              <w:t>through  our  annual  Say-on-Pay</w:t>
            </w:r>
          </w:p>
        </w:tc>
      </w:tr>
      <w:tr>
        <w:trPr>
          <w:trHeight w:val="203"/>
        </w:trPr>
        <w:tc>
          <w:tcPr>
            <w:tcW w:w="3240" w:type="dxa"/>
            <w:vAlign w:val="bottom"/>
            <w:shd w:val="clear" w:color="auto" w:fill="1414D2"/>
          </w:tcPr>
          <w:p>
            <w:pPr>
              <w:ind w:left="540"/>
              <w:spacing w:after="0"/>
              <w:rPr>
                <w:sz w:val="20"/>
                <w:szCs w:val="20"/>
                <w:color w:val="auto"/>
              </w:rPr>
            </w:pPr>
            <w:r>
              <w:rPr>
                <w:rFonts w:ascii="Arial" w:cs="Arial" w:eastAsia="Arial" w:hAnsi="Arial"/>
                <w:sz w:val="16"/>
                <w:szCs w:val="16"/>
                <w:color w:val="FFFFFF"/>
              </w:rPr>
              <w:t>executive  ofcers,  as  well  as</w:t>
            </w:r>
          </w:p>
        </w:tc>
        <w:tc>
          <w:tcPr>
            <w:tcW w:w="3140" w:type="dxa"/>
            <w:vAlign w:val="bottom"/>
            <w:shd w:val="clear" w:color="auto" w:fill="1414D2"/>
          </w:tcPr>
          <w:p>
            <w:pPr>
              <w:spacing w:after="0"/>
              <w:rPr>
                <w:sz w:val="17"/>
                <w:szCs w:val="17"/>
                <w:color w:val="auto"/>
              </w:rPr>
            </w:pPr>
          </w:p>
        </w:tc>
        <w:tc>
          <w:tcPr>
            <w:tcW w:w="3340" w:type="dxa"/>
            <w:vAlign w:val="bottom"/>
            <w:shd w:val="clear" w:color="auto" w:fill="1414D2"/>
          </w:tcPr>
          <w:p>
            <w:pPr>
              <w:ind w:left="620"/>
              <w:spacing w:after="0"/>
              <w:rPr>
                <w:sz w:val="20"/>
                <w:szCs w:val="20"/>
                <w:color w:val="auto"/>
              </w:rPr>
            </w:pPr>
            <w:r>
              <w:rPr>
                <w:rFonts w:ascii="Arial" w:cs="Arial" w:eastAsia="Arial" w:hAnsi="Arial"/>
                <w:sz w:val="16"/>
                <w:szCs w:val="16"/>
                <w:color w:val="FFFFFF"/>
              </w:rPr>
              <w:t>vote  and  stockholder</w:t>
            </w:r>
          </w:p>
        </w:tc>
      </w:tr>
      <w:tr>
        <w:trPr>
          <w:trHeight w:val="189"/>
        </w:trPr>
        <w:tc>
          <w:tcPr>
            <w:tcW w:w="3240" w:type="dxa"/>
            <w:vAlign w:val="bottom"/>
            <w:shd w:val="clear" w:color="auto" w:fill="1414D2"/>
          </w:tcPr>
          <w:p>
            <w:pPr>
              <w:ind w:left="540"/>
              <w:spacing w:after="0"/>
              <w:rPr>
                <w:sz w:val="20"/>
                <w:szCs w:val="20"/>
                <w:color w:val="auto"/>
              </w:rPr>
            </w:pPr>
            <w:r>
              <w:rPr>
                <w:rFonts w:ascii="Arial" w:cs="Arial" w:eastAsia="Arial" w:hAnsi="Arial"/>
                <w:sz w:val="16"/>
                <w:szCs w:val="16"/>
                <w:color w:val="FFFFFF"/>
              </w:rPr>
              <w:t>prohibitions  on  pledging  and</w:t>
            </w:r>
          </w:p>
        </w:tc>
        <w:tc>
          <w:tcPr>
            <w:tcW w:w="3140" w:type="dxa"/>
            <w:vAlign w:val="bottom"/>
            <w:shd w:val="clear" w:color="auto" w:fill="1414D2"/>
          </w:tcPr>
          <w:p>
            <w:pPr>
              <w:spacing w:after="0"/>
              <w:rPr>
                <w:sz w:val="16"/>
                <w:szCs w:val="16"/>
                <w:color w:val="auto"/>
              </w:rPr>
            </w:pPr>
          </w:p>
        </w:tc>
        <w:tc>
          <w:tcPr>
            <w:tcW w:w="3340" w:type="dxa"/>
            <w:vAlign w:val="bottom"/>
            <w:shd w:val="clear" w:color="auto" w:fill="1414D2"/>
          </w:tcPr>
          <w:p>
            <w:pPr>
              <w:ind w:left="620"/>
              <w:spacing w:after="0"/>
              <w:rPr>
                <w:sz w:val="20"/>
                <w:szCs w:val="20"/>
                <w:color w:val="auto"/>
              </w:rPr>
            </w:pPr>
            <w:r>
              <w:rPr>
                <w:rFonts w:ascii="Arial" w:cs="Arial" w:eastAsia="Arial" w:hAnsi="Arial"/>
                <w:sz w:val="16"/>
                <w:szCs w:val="16"/>
                <w:color w:val="FFFFFF"/>
              </w:rPr>
              <w:t>engagement  program.</w:t>
            </w:r>
          </w:p>
        </w:tc>
      </w:tr>
      <w:tr>
        <w:trPr>
          <w:trHeight w:val="189"/>
        </w:trPr>
        <w:tc>
          <w:tcPr>
            <w:tcW w:w="3240" w:type="dxa"/>
            <w:vAlign w:val="bottom"/>
            <w:shd w:val="clear" w:color="auto" w:fill="1414D2"/>
          </w:tcPr>
          <w:p>
            <w:pPr>
              <w:ind w:left="540"/>
              <w:spacing w:after="0"/>
              <w:rPr>
                <w:sz w:val="20"/>
                <w:szCs w:val="20"/>
                <w:color w:val="auto"/>
              </w:rPr>
            </w:pPr>
            <w:r>
              <w:rPr>
                <w:rFonts w:ascii="Arial" w:cs="Arial" w:eastAsia="Arial" w:hAnsi="Arial"/>
                <w:sz w:val="16"/>
                <w:szCs w:val="16"/>
                <w:color w:val="FFFFFF"/>
              </w:rPr>
              <w:t>hedging  and  a  robust  clawback</w:t>
            </w:r>
          </w:p>
        </w:tc>
        <w:tc>
          <w:tcPr>
            <w:tcW w:w="3140" w:type="dxa"/>
            <w:vAlign w:val="bottom"/>
            <w:shd w:val="clear" w:color="auto" w:fill="1414D2"/>
          </w:tcPr>
          <w:p>
            <w:pPr>
              <w:spacing w:after="0"/>
              <w:rPr>
                <w:sz w:val="16"/>
                <w:szCs w:val="16"/>
                <w:color w:val="auto"/>
              </w:rPr>
            </w:pPr>
          </w:p>
        </w:tc>
        <w:tc>
          <w:tcPr>
            <w:tcW w:w="3340" w:type="dxa"/>
            <w:vAlign w:val="bottom"/>
            <w:shd w:val="clear" w:color="auto" w:fill="1414D2"/>
          </w:tcPr>
          <w:p>
            <w:pPr>
              <w:spacing w:after="0"/>
              <w:rPr>
                <w:sz w:val="16"/>
                <w:szCs w:val="16"/>
                <w:color w:val="auto"/>
              </w:rPr>
            </w:pPr>
          </w:p>
        </w:tc>
      </w:tr>
      <w:tr>
        <w:trPr>
          <w:trHeight w:val="235"/>
        </w:trPr>
        <w:tc>
          <w:tcPr>
            <w:tcW w:w="3240" w:type="dxa"/>
            <w:vAlign w:val="bottom"/>
            <w:shd w:val="clear" w:color="auto" w:fill="1414D2"/>
          </w:tcPr>
          <w:p>
            <w:pPr>
              <w:ind w:left="540"/>
              <w:spacing w:after="0"/>
              <w:rPr>
                <w:sz w:val="20"/>
                <w:szCs w:val="20"/>
                <w:color w:val="auto"/>
              </w:rPr>
            </w:pPr>
            <w:r>
              <w:rPr>
                <w:rFonts w:ascii="Arial" w:cs="Arial" w:eastAsia="Arial" w:hAnsi="Arial"/>
                <w:sz w:val="16"/>
                <w:szCs w:val="16"/>
                <w:color w:val="FFFFFF"/>
              </w:rPr>
              <w:t>policy.</w:t>
            </w:r>
          </w:p>
        </w:tc>
        <w:tc>
          <w:tcPr>
            <w:tcW w:w="3140" w:type="dxa"/>
            <w:vAlign w:val="bottom"/>
            <w:shd w:val="clear" w:color="auto" w:fill="1414D2"/>
          </w:tcPr>
          <w:p>
            <w:pPr>
              <w:spacing w:after="0"/>
              <w:rPr>
                <w:sz w:val="20"/>
                <w:szCs w:val="20"/>
                <w:color w:val="auto"/>
              </w:rPr>
            </w:pPr>
          </w:p>
        </w:tc>
        <w:tc>
          <w:tcPr>
            <w:tcW w:w="3340" w:type="dxa"/>
            <w:vAlign w:val="bottom"/>
            <w:shd w:val="clear" w:color="auto" w:fill="1414D2"/>
          </w:tcPr>
          <w:p>
            <w:pPr>
              <w:spacing w:after="0"/>
              <w:rPr>
                <w:sz w:val="20"/>
                <w:szCs w:val="20"/>
                <w:color w:val="auto"/>
              </w:rPr>
            </w:pPr>
          </w:p>
        </w:tc>
      </w:tr>
      <w:tr>
        <w:trPr>
          <w:trHeight w:val="100"/>
        </w:trPr>
        <w:tc>
          <w:tcPr>
            <w:tcW w:w="3240" w:type="dxa"/>
            <w:vAlign w:val="bottom"/>
            <w:shd w:val="clear" w:color="auto" w:fill="1414D2"/>
          </w:tcPr>
          <w:p>
            <w:pPr>
              <w:spacing w:after="0"/>
              <w:rPr>
                <w:sz w:val="8"/>
                <w:szCs w:val="8"/>
                <w:color w:val="auto"/>
              </w:rPr>
            </w:pPr>
          </w:p>
        </w:tc>
        <w:tc>
          <w:tcPr>
            <w:tcW w:w="3140" w:type="dxa"/>
            <w:vAlign w:val="bottom"/>
            <w:shd w:val="clear" w:color="auto" w:fill="1414D2"/>
          </w:tcPr>
          <w:p>
            <w:pPr>
              <w:spacing w:after="0"/>
              <w:rPr>
                <w:sz w:val="8"/>
                <w:szCs w:val="8"/>
                <w:color w:val="auto"/>
              </w:rPr>
            </w:pPr>
          </w:p>
        </w:tc>
        <w:tc>
          <w:tcPr>
            <w:tcW w:w="3340" w:type="dxa"/>
            <w:vAlign w:val="bottom"/>
            <w:shd w:val="clear" w:color="auto" w:fill="1414D2"/>
          </w:tcPr>
          <w:p>
            <w:pPr>
              <w:spacing w:after="0"/>
              <w:rPr>
                <w:sz w:val="8"/>
                <w:szCs w:val="8"/>
                <w:color w:val="auto"/>
              </w:rPr>
            </w:pPr>
          </w:p>
        </w:tc>
      </w:tr>
    </w:tbl>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296"/>
        </w:trPr>
        <w:tc>
          <w:tcPr>
            <w:tcW w:w="3240" w:type="dxa"/>
            <w:vAlign w:val="bottom"/>
            <w:shd w:val="clear" w:color="auto" w:fill="1414D2"/>
          </w:tcPr>
          <w:p>
            <w:pPr>
              <w:jc w:val="center"/>
              <w:spacing w:after="0"/>
              <w:rPr>
                <w:sz w:val="20"/>
                <w:szCs w:val="20"/>
                <w:color w:val="auto"/>
              </w:rPr>
            </w:pPr>
            <w:r>
              <w:rPr>
                <w:rFonts w:ascii="Arial" w:cs="Arial" w:eastAsia="Arial" w:hAnsi="Arial"/>
                <w:sz w:val="36"/>
                <w:szCs w:val="36"/>
                <w:b w:val="1"/>
                <w:bCs w:val="1"/>
                <w:color w:val="FFFFFF"/>
              </w:rPr>
              <w:t>94%</w:t>
            </w:r>
          </w:p>
        </w:tc>
        <w:tc>
          <w:tcPr>
            <w:tcW w:w="3220" w:type="dxa"/>
            <w:vAlign w:val="bottom"/>
            <w:shd w:val="clear" w:color="auto" w:fill="1414D2"/>
          </w:tcPr>
          <w:p>
            <w:pPr>
              <w:jc w:val="center"/>
              <w:spacing w:after="0"/>
              <w:rPr>
                <w:sz w:val="20"/>
                <w:szCs w:val="20"/>
                <w:color w:val="auto"/>
              </w:rPr>
            </w:pPr>
            <w:r>
              <w:rPr>
                <w:rFonts w:ascii="Arial" w:cs="Arial" w:eastAsia="Arial" w:hAnsi="Arial"/>
                <w:sz w:val="36"/>
                <w:szCs w:val="36"/>
                <w:b w:val="1"/>
                <w:bCs w:val="1"/>
                <w:color w:val="FFFFFF"/>
              </w:rPr>
              <w:t>6x</w:t>
            </w:r>
          </w:p>
        </w:tc>
        <w:tc>
          <w:tcPr>
            <w:tcW w:w="3260" w:type="dxa"/>
            <w:vAlign w:val="bottom"/>
            <w:shd w:val="clear" w:color="auto" w:fill="1414D2"/>
          </w:tcPr>
          <w:p>
            <w:pPr>
              <w:jc w:val="center"/>
              <w:spacing w:after="0"/>
              <w:rPr>
                <w:sz w:val="20"/>
                <w:szCs w:val="20"/>
                <w:color w:val="auto"/>
              </w:rPr>
            </w:pPr>
            <w:r>
              <w:rPr>
                <w:rFonts w:ascii="Arial" w:cs="Arial" w:eastAsia="Arial" w:hAnsi="Arial"/>
                <w:sz w:val="36"/>
                <w:szCs w:val="36"/>
                <w:b w:val="1"/>
                <w:bCs w:val="1"/>
                <w:color w:val="FFFFFF"/>
              </w:rPr>
              <w:t>90%</w:t>
            </w:r>
          </w:p>
        </w:tc>
      </w:tr>
      <w:tr>
        <w:trPr>
          <w:trHeight w:val="282"/>
        </w:trPr>
        <w:tc>
          <w:tcPr>
            <w:tcW w:w="3240" w:type="dxa"/>
            <w:vAlign w:val="bottom"/>
            <w:shd w:val="clear" w:color="auto" w:fill="1414D2"/>
          </w:tcPr>
          <w:p>
            <w:pPr>
              <w:jc w:val="center"/>
              <w:spacing w:after="0"/>
              <w:rPr>
                <w:sz w:val="20"/>
                <w:szCs w:val="20"/>
                <w:color w:val="auto"/>
              </w:rPr>
            </w:pPr>
            <w:r>
              <w:rPr>
                <w:rFonts w:ascii="Arial" w:cs="Arial" w:eastAsia="Arial" w:hAnsi="Arial"/>
                <w:sz w:val="15"/>
                <w:szCs w:val="15"/>
                <w:color w:val="FFFFFF"/>
                <w:w w:val="97"/>
              </w:rPr>
              <w:t>Percentage  of  our  CEO’s  target</w:t>
            </w:r>
          </w:p>
        </w:tc>
        <w:tc>
          <w:tcPr>
            <w:tcW w:w="3220" w:type="dxa"/>
            <w:vAlign w:val="bottom"/>
            <w:shd w:val="clear" w:color="auto" w:fill="1414D2"/>
          </w:tcPr>
          <w:p>
            <w:pPr>
              <w:jc w:val="center"/>
              <w:spacing w:after="0"/>
              <w:rPr>
                <w:sz w:val="20"/>
                <w:szCs w:val="20"/>
                <w:color w:val="auto"/>
              </w:rPr>
            </w:pPr>
            <w:r>
              <w:rPr>
                <w:rFonts w:ascii="Arial" w:cs="Arial" w:eastAsia="Arial" w:hAnsi="Arial"/>
                <w:sz w:val="15"/>
                <w:szCs w:val="15"/>
                <w:color w:val="FFFFFF"/>
              </w:rPr>
              <w:t>Our  CEO’s  stock  ownership  requirement,</w:t>
            </w:r>
          </w:p>
        </w:tc>
        <w:tc>
          <w:tcPr>
            <w:tcW w:w="3260" w:type="dxa"/>
            <w:vAlign w:val="bottom"/>
            <w:shd w:val="clear" w:color="auto" w:fill="1414D2"/>
          </w:tcPr>
          <w:p>
            <w:pPr>
              <w:jc w:val="center"/>
              <w:spacing w:after="0"/>
              <w:rPr>
                <w:sz w:val="20"/>
                <w:szCs w:val="20"/>
                <w:color w:val="auto"/>
              </w:rPr>
            </w:pPr>
            <w:r>
              <w:rPr>
                <w:rFonts w:ascii="Arial" w:cs="Arial" w:eastAsia="Arial" w:hAnsi="Arial"/>
                <w:sz w:val="15"/>
                <w:szCs w:val="15"/>
                <w:color w:val="FFFFFF"/>
              </w:rPr>
              <w:t>Average  level  of  stockholder  support  for</w:t>
            </w:r>
          </w:p>
        </w:tc>
      </w:tr>
      <w:tr>
        <w:trPr>
          <w:trHeight w:val="176"/>
        </w:trPr>
        <w:tc>
          <w:tcPr>
            <w:tcW w:w="3240" w:type="dxa"/>
            <w:vAlign w:val="bottom"/>
            <w:shd w:val="clear" w:color="auto" w:fill="1414D2"/>
          </w:tcPr>
          <w:p>
            <w:pPr>
              <w:jc w:val="center"/>
              <w:spacing w:after="0"/>
              <w:rPr>
                <w:sz w:val="20"/>
                <w:szCs w:val="20"/>
                <w:color w:val="auto"/>
              </w:rPr>
            </w:pPr>
            <w:r>
              <w:rPr>
                <w:rFonts w:ascii="Arial" w:cs="Arial" w:eastAsia="Arial" w:hAnsi="Arial"/>
                <w:sz w:val="15"/>
                <w:szCs w:val="15"/>
                <w:color w:val="FFFFFF"/>
              </w:rPr>
              <w:t>compensation  at-risk  and  fuctuating</w:t>
            </w:r>
          </w:p>
        </w:tc>
        <w:tc>
          <w:tcPr>
            <w:tcW w:w="3220" w:type="dxa"/>
            <w:vAlign w:val="bottom"/>
            <w:shd w:val="clear" w:color="auto" w:fill="1414D2"/>
          </w:tcPr>
          <w:p>
            <w:pPr>
              <w:jc w:val="center"/>
              <w:spacing w:after="0"/>
              <w:rPr>
                <w:sz w:val="20"/>
                <w:szCs w:val="20"/>
                <w:color w:val="auto"/>
              </w:rPr>
            </w:pPr>
            <w:r>
              <w:rPr>
                <w:rFonts w:ascii="Arial" w:cs="Arial" w:eastAsia="Arial" w:hAnsi="Arial"/>
                <w:sz w:val="15"/>
                <w:szCs w:val="15"/>
                <w:color w:val="FFFFFF"/>
                <w:w w:val="94"/>
              </w:rPr>
              <w:t>as  a  multiple  of  his  base  salary.</w:t>
            </w:r>
          </w:p>
        </w:tc>
        <w:tc>
          <w:tcPr>
            <w:tcW w:w="3260" w:type="dxa"/>
            <w:vAlign w:val="bottom"/>
            <w:shd w:val="clear" w:color="auto" w:fill="1414D2"/>
          </w:tcPr>
          <w:p>
            <w:pPr>
              <w:jc w:val="center"/>
              <w:spacing w:after="0"/>
              <w:rPr>
                <w:sz w:val="20"/>
                <w:szCs w:val="20"/>
                <w:color w:val="auto"/>
              </w:rPr>
            </w:pPr>
            <w:r>
              <w:rPr>
                <w:rFonts w:ascii="Arial" w:cs="Arial" w:eastAsia="Arial" w:hAnsi="Arial"/>
                <w:sz w:val="15"/>
                <w:szCs w:val="15"/>
                <w:color w:val="FFFFFF"/>
                <w:w w:val="97"/>
              </w:rPr>
              <w:t>our  “Say-on-Pay”  proposal  in  the  last  3</w:t>
            </w:r>
          </w:p>
        </w:tc>
      </w:tr>
      <w:tr>
        <w:trPr>
          <w:trHeight w:val="189"/>
        </w:trPr>
        <w:tc>
          <w:tcPr>
            <w:tcW w:w="3240" w:type="dxa"/>
            <w:vAlign w:val="bottom"/>
            <w:shd w:val="clear" w:color="auto" w:fill="1414D2"/>
          </w:tcPr>
          <w:p>
            <w:pPr>
              <w:jc w:val="center"/>
              <w:spacing w:after="0"/>
              <w:rPr>
                <w:sz w:val="20"/>
                <w:szCs w:val="20"/>
                <w:color w:val="auto"/>
              </w:rPr>
            </w:pPr>
            <w:r>
              <w:rPr>
                <w:rFonts w:ascii="Arial" w:cs="Arial" w:eastAsia="Arial" w:hAnsi="Arial"/>
                <w:sz w:val="15"/>
                <w:szCs w:val="15"/>
                <w:color w:val="FFFFFF"/>
              </w:rPr>
              <w:t>based  on  our  performance  and/or  our</w:t>
            </w:r>
          </w:p>
        </w:tc>
        <w:tc>
          <w:tcPr>
            <w:tcW w:w="3220" w:type="dxa"/>
            <w:vAlign w:val="bottom"/>
            <w:shd w:val="clear" w:color="auto" w:fill="1414D2"/>
          </w:tcPr>
          <w:p>
            <w:pPr>
              <w:spacing w:after="0"/>
              <w:rPr>
                <w:sz w:val="16"/>
                <w:szCs w:val="16"/>
                <w:color w:val="auto"/>
              </w:rPr>
            </w:pPr>
          </w:p>
        </w:tc>
        <w:tc>
          <w:tcPr>
            <w:tcW w:w="3260" w:type="dxa"/>
            <w:vAlign w:val="bottom"/>
            <w:shd w:val="clear" w:color="auto" w:fill="1414D2"/>
          </w:tcPr>
          <w:p>
            <w:pPr>
              <w:jc w:val="center"/>
              <w:spacing w:after="0"/>
              <w:rPr>
                <w:sz w:val="20"/>
                <w:szCs w:val="20"/>
                <w:color w:val="auto"/>
              </w:rPr>
            </w:pPr>
            <w:r>
              <w:rPr>
                <w:rFonts w:ascii="Arial" w:cs="Arial" w:eastAsia="Arial" w:hAnsi="Arial"/>
                <w:sz w:val="15"/>
                <w:szCs w:val="15"/>
                <w:color w:val="FFFFFF"/>
              </w:rPr>
              <w:t>years.</w:t>
            </w:r>
          </w:p>
        </w:tc>
      </w:tr>
      <w:tr>
        <w:trPr>
          <w:trHeight w:val="222"/>
        </w:trPr>
        <w:tc>
          <w:tcPr>
            <w:tcW w:w="3240" w:type="dxa"/>
            <w:vAlign w:val="bottom"/>
            <w:shd w:val="clear" w:color="auto" w:fill="1414D2"/>
          </w:tcPr>
          <w:p>
            <w:pPr>
              <w:jc w:val="center"/>
              <w:spacing w:after="0"/>
              <w:rPr>
                <w:sz w:val="20"/>
                <w:szCs w:val="20"/>
                <w:color w:val="auto"/>
              </w:rPr>
            </w:pPr>
            <w:r>
              <w:rPr>
                <w:rFonts w:ascii="Arial" w:cs="Arial" w:eastAsia="Arial" w:hAnsi="Arial"/>
                <w:sz w:val="15"/>
                <w:szCs w:val="15"/>
                <w:color w:val="FFFFFF"/>
                <w:w w:val="99"/>
              </w:rPr>
              <w:t>stock  price.</w:t>
            </w:r>
          </w:p>
        </w:tc>
        <w:tc>
          <w:tcPr>
            <w:tcW w:w="3220" w:type="dxa"/>
            <w:vAlign w:val="bottom"/>
            <w:shd w:val="clear" w:color="auto" w:fill="1414D2"/>
          </w:tcPr>
          <w:p>
            <w:pPr>
              <w:spacing w:after="0"/>
              <w:rPr>
                <w:sz w:val="19"/>
                <w:szCs w:val="19"/>
                <w:color w:val="auto"/>
              </w:rPr>
            </w:pPr>
          </w:p>
        </w:tc>
        <w:tc>
          <w:tcPr>
            <w:tcW w:w="3260" w:type="dxa"/>
            <w:vAlign w:val="bottom"/>
            <w:shd w:val="clear" w:color="auto" w:fill="1414D2"/>
          </w:tcPr>
          <w:p>
            <w:pPr>
              <w:spacing w:after="0"/>
              <w:rPr>
                <w:sz w:val="19"/>
                <w:szCs w:val="19"/>
                <w:color w:val="auto"/>
              </w:rPr>
            </w:pPr>
          </w:p>
        </w:tc>
      </w:tr>
      <w:tr>
        <w:trPr>
          <w:trHeight w:val="568"/>
        </w:trPr>
        <w:tc>
          <w:tcPr>
            <w:tcW w:w="3240" w:type="dxa"/>
            <w:vAlign w:val="bottom"/>
            <w:shd w:val="clear" w:color="auto" w:fill="1414D2"/>
          </w:tcPr>
          <w:p>
            <w:pPr>
              <w:jc w:val="center"/>
              <w:spacing w:after="0"/>
              <w:rPr>
                <w:sz w:val="20"/>
                <w:szCs w:val="20"/>
                <w:color w:val="auto"/>
              </w:rPr>
            </w:pPr>
            <w:r>
              <w:rPr>
                <w:rFonts w:ascii="Arial" w:cs="Arial" w:eastAsia="Arial" w:hAnsi="Arial"/>
                <w:sz w:val="36"/>
                <w:szCs w:val="36"/>
                <w:b w:val="1"/>
                <w:bCs w:val="1"/>
                <w:color w:val="FFFFFF"/>
              </w:rPr>
              <w:t>NO</w:t>
            </w:r>
          </w:p>
        </w:tc>
        <w:tc>
          <w:tcPr>
            <w:tcW w:w="3220" w:type="dxa"/>
            <w:vAlign w:val="bottom"/>
            <w:shd w:val="clear" w:color="auto" w:fill="1414D2"/>
          </w:tcPr>
          <w:p>
            <w:pPr>
              <w:jc w:val="center"/>
              <w:spacing w:after="0"/>
              <w:rPr>
                <w:sz w:val="20"/>
                <w:szCs w:val="20"/>
                <w:color w:val="auto"/>
              </w:rPr>
            </w:pPr>
            <w:r>
              <w:rPr>
                <w:rFonts w:ascii="Arial" w:cs="Arial" w:eastAsia="Arial" w:hAnsi="Arial"/>
                <w:sz w:val="36"/>
                <w:szCs w:val="36"/>
                <w:b w:val="1"/>
                <w:bCs w:val="1"/>
                <w:color w:val="FFFFFF"/>
                <w:w w:val="91"/>
              </w:rPr>
              <w:t>YES</w:t>
            </w:r>
          </w:p>
        </w:tc>
        <w:tc>
          <w:tcPr>
            <w:tcW w:w="3260" w:type="dxa"/>
            <w:vAlign w:val="bottom"/>
            <w:shd w:val="clear" w:color="auto" w:fill="1414D2"/>
          </w:tcPr>
          <w:p>
            <w:pPr>
              <w:jc w:val="center"/>
              <w:spacing w:after="0"/>
              <w:rPr>
                <w:sz w:val="20"/>
                <w:szCs w:val="20"/>
                <w:color w:val="auto"/>
              </w:rPr>
            </w:pPr>
            <w:r>
              <w:rPr>
                <w:rFonts w:ascii="Arial" w:cs="Arial" w:eastAsia="Arial" w:hAnsi="Arial"/>
                <w:sz w:val="36"/>
                <w:szCs w:val="36"/>
                <w:b w:val="1"/>
                <w:bCs w:val="1"/>
                <w:color w:val="FFFFFF"/>
              </w:rPr>
              <w:t>Independence</w:t>
            </w:r>
          </w:p>
        </w:tc>
      </w:tr>
      <w:tr>
        <w:trPr>
          <w:trHeight w:val="236"/>
        </w:trPr>
        <w:tc>
          <w:tcPr>
            <w:tcW w:w="3240" w:type="dxa"/>
            <w:vAlign w:val="bottom"/>
            <w:shd w:val="clear" w:color="auto" w:fill="1414D2"/>
          </w:tcPr>
          <w:p>
            <w:pPr>
              <w:jc w:val="center"/>
              <w:spacing w:after="0"/>
              <w:rPr>
                <w:sz w:val="20"/>
                <w:szCs w:val="20"/>
                <w:color w:val="auto"/>
              </w:rPr>
            </w:pPr>
            <w:r>
              <w:rPr>
                <w:rFonts w:ascii="Arial" w:cs="Arial" w:eastAsia="Arial" w:hAnsi="Arial"/>
                <w:sz w:val="15"/>
                <w:szCs w:val="15"/>
                <w:color w:val="FFFFFF"/>
              </w:rPr>
              <w:t>No  hedging  or  pledging  of  company</w:t>
            </w:r>
          </w:p>
        </w:tc>
        <w:tc>
          <w:tcPr>
            <w:tcW w:w="3220" w:type="dxa"/>
            <w:vAlign w:val="bottom"/>
            <w:shd w:val="clear" w:color="auto" w:fill="1414D2"/>
          </w:tcPr>
          <w:p>
            <w:pPr>
              <w:jc w:val="center"/>
              <w:spacing w:after="0"/>
              <w:rPr>
                <w:sz w:val="20"/>
                <w:szCs w:val="20"/>
                <w:color w:val="auto"/>
              </w:rPr>
            </w:pPr>
            <w:r>
              <w:rPr>
                <w:rFonts w:ascii="Arial" w:cs="Arial" w:eastAsia="Arial" w:hAnsi="Arial"/>
                <w:sz w:val="15"/>
                <w:szCs w:val="15"/>
                <w:color w:val="FFFFFF"/>
                <w:w w:val="97"/>
              </w:rPr>
              <w:t>Clawback  policy  is  in  place  to  permit</w:t>
            </w:r>
          </w:p>
        </w:tc>
        <w:tc>
          <w:tcPr>
            <w:tcW w:w="3260" w:type="dxa"/>
            <w:vAlign w:val="bottom"/>
            <w:shd w:val="clear" w:color="auto" w:fill="1414D2"/>
          </w:tcPr>
          <w:p>
            <w:pPr>
              <w:jc w:val="center"/>
              <w:spacing w:after="0"/>
              <w:rPr>
                <w:sz w:val="20"/>
                <w:szCs w:val="20"/>
                <w:color w:val="auto"/>
              </w:rPr>
            </w:pPr>
            <w:r>
              <w:rPr>
                <w:rFonts w:ascii="Arial" w:cs="Arial" w:eastAsia="Arial" w:hAnsi="Arial"/>
                <w:sz w:val="15"/>
                <w:szCs w:val="15"/>
                <w:color w:val="FFFFFF"/>
              </w:rPr>
              <w:t>Compensation  decisions  made  by  the</w:t>
            </w:r>
          </w:p>
        </w:tc>
      </w:tr>
      <w:tr>
        <w:trPr>
          <w:trHeight w:val="176"/>
        </w:trPr>
        <w:tc>
          <w:tcPr>
            <w:tcW w:w="3240" w:type="dxa"/>
            <w:vAlign w:val="bottom"/>
            <w:shd w:val="clear" w:color="auto" w:fill="1414D2"/>
          </w:tcPr>
          <w:p>
            <w:pPr>
              <w:jc w:val="center"/>
              <w:spacing w:after="0"/>
              <w:rPr>
                <w:sz w:val="20"/>
                <w:szCs w:val="20"/>
                <w:color w:val="auto"/>
              </w:rPr>
            </w:pPr>
            <w:r>
              <w:rPr>
                <w:rFonts w:ascii="Arial" w:cs="Arial" w:eastAsia="Arial" w:hAnsi="Arial"/>
                <w:sz w:val="15"/>
                <w:szCs w:val="15"/>
                <w:color w:val="FFFFFF"/>
              </w:rPr>
              <w:t>stock  permitted  for  ofcers,  directors  or</w:t>
            </w:r>
          </w:p>
        </w:tc>
        <w:tc>
          <w:tcPr>
            <w:tcW w:w="3220" w:type="dxa"/>
            <w:vAlign w:val="bottom"/>
            <w:shd w:val="clear" w:color="auto" w:fill="1414D2"/>
          </w:tcPr>
          <w:p>
            <w:pPr>
              <w:jc w:val="center"/>
              <w:spacing w:after="0"/>
              <w:rPr>
                <w:sz w:val="20"/>
                <w:szCs w:val="20"/>
                <w:color w:val="auto"/>
              </w:rPr>
            </w:pPr>
            <w:r>
              <w:rPr>
                <w:rFonts w:ascii="Arial" w:cs="Arial" w:eastAsia="Arial" w:hAnsi="Arial"/>
                <w:sz w:val="15"/>
                <w:szCs w:val="15"/>
                <w:color w:val="FFFFFF"/>
                <w:w w:val="99"/>
              </w:rPr>
              <w:t>recovery  of  compensation  in  the  event</w:t>
            </w:r>
          </w:p>
        </w:tc>
        <w:tc>
          <w:tcPr>
            <w:tcW w:w="3260" w:type="dxa"/>
            <w:vAlign w:val="bottom"/>
            <w:shd w:val="clear" w:color="auto" w:fill="1414D2"/>
          </w:tcPr>
          <w:p>
            <w:pPr>
              <w:jc w:val="center"/>
              <w:spacing w:after="0"/>
              <w:rPr>
                <w:sz w:val="20"/>
                <w:szCs w:val="20"/>
                <w:color w:val="auto"/>
              </w:rPr>
            </w:pPr>
            <w:r>
              <w:rPr>
                <w:rFonts w:ascii="Arial" w:cs="Arial" w:eastAsia="Arial" w:hAnsi="Arial"/>
                <w:sz w:val="15"/>
                <w:szCs w:val="15"/>
                <w:color w:val="FFFFFF"/>
              </w:rPr>
              <w:t>independent  Compensation  Committee</w:t>
            </w:r>
          </w:p>
        </w:tc>
      </w:tr>
      <w:tr>
        <w:trPr>
          <w:trHeight w:val="189"/>
        </w:trPr>
        <w:tc>
          <w:tcPr>
            <w:tcW w:w="3240" w:type="dxa"/>
            <w:vAlign w:val="bottom"/>
            <w:shd w:val="clear" w:color="auto" w:fill="1414D2"/>
          </w:tcPr>
          <w:p>
            <w:pPr>
              <w:jc w:val="center"/>
              <w:spacing w:after="0"/>
              <w:rPr>
                <w:sz w:val="20"/>
                <w:szCs w:val="20"/>
                <w:color w:val="auto"/>
              </w:rPr>
            </w:pPr>
            <w:r>
              <w:rPr>
                <w:rFonts w:ascii="Arial" w:cs="Arial" w:eastAsia="Arial" w:hAnsi="Arial"/>
                <w:sz w:val="15"/>
                <w:szCs w:val="15"/>
                <w:color w:val="FFFFFF"/>
              </w:rPr>
              <w:t>management  and  administrative</w:t>
            </w:r>
          </w:p>
        </w:tc>
        <w:tc>
          <w:tcPr>
            <w:tcW w:w="3220" w:type="dxa"/>
            <w:vAlign w:val="bottom"/>
            <w:shd w:val="clear" w:color="auto" w:fill="1414D2"/>
          </w:tcPr>
          <w:p>
            <w:pPr>
              <w:ind w:left="160"/>
              <w:spacing w:after="0"/>
              <w:rPr>
                <w:sz w:val="20"/>
                <w:szCs w:val="20"/>
                <w:color w:val="auto"/>
              </w:rPr>
            </w:pPr>
            <w:r>
              <w:rPr>
                <w:rFonts w:ascii="Arial" w:cs="Arial" w:eastAsia="Arial" w:hAnsi="Arial"/>
                <w:sz w:val="15"/>
                <w:szCs w:val="15"/>
                <w:color w:val="FFFFFF"/>
              </w:rPr>
              <w:t>of  certain  misconduct  and  goes  beyond</w:t>
            </w:r>
          </w:p>
        </w:tc>
        <w:tc>
          <w:tcPr>
            <w:tcW w:w="3260" w:type="dxa"/>
            <w:vAlign w:val="bottom"/>
            <w:shd w:val="clear" w:color="auto" w:fill="1414D2"/>
          </w:tcPr>
          <w:p>
            <w:pPr>
              <w:jc w:val="center"/>
              <w:spacing w:after="0"/>
              <w:rPr>
                <w:sz w:val="20"/>
                <w:szCs w:val="20"/>
                <w:color w:val="auto"/>
              </w:rPr>
            </w:pPr>
            <w:r>
              <w:rPr>
                <w:rFonts w:ascii="Arial" w:cs="Arial" w:eastAsia="Arial" w:hAnsi="Arial"/>
                <w:sz w:val="15"/>
                <w:szCs w:val="15"/>
                <w:color w:val="FFFFFF"/>
              </w:rPr>
              <w:t>and  the  Compensation  Committee’s</w:t>
            </w:r>
          </w:p>
        </w:tc>
      </w:tr>
      <w:tr>
        <w:trPr>
          <w:trHeight w:val="175"/>
        </w:trPr>
        <w:tc>
          <w:tcPr>
            <w:tcW w:w="3240" w:type="dxa"/>
            <w:vAlign w:val="bottom"/>
            <w:shd w:val="clear" w:color="auto" w:fill="1414D2"/>
          </w:tcPr>
          <w:p>
            <w:pPr>
              <w:jc w:val="center"/>
              <w:spacing w:after="0"/>
              <w:rPr>
                <w:sz w:val="20"/>
                <w:szCs w:val="20"/>
                <w:color w:val="auto"/>
              </w:rPr>
            </w:pPr>
            <w:r>
              <w:rPr>
                <w:rFonts w:ascii="Arial" w:cs="Arial" w:eastAsia="Arial" w:hAnsi="Arial"/>
                <w:sz w:val="15"/>
                <w:szCs w:val="15"/>
                <w:color w:val="FFFFFF"/>
              </w:rPr>
              <w:t>employees.</w:t>
            </w:r>
          </w:p>
        </w:tc>
        <w:tc>
          <w:tcPr>
            <w:tcW w:w="3220" w:type="dxa"/>
            <w:vAlign w:val="bottom"/>
            <w:shd w:val="clear" w:color="auto" w:fill="1414D2"/>
          </w:tcPr>
          <w:p>
            <w:pPr>
              <w:jc w:val="center"/>
              <w:spacing w:after="0"/>
              <w:rPr>
                <w:sz w:val="20"/>
                <w:szCs w:val="20"/>
                <w:color w:val="auto"/>
              </w:rPr>
            </w:pPr>
            <w:r>
              <w:rPr>
                <w:rFonts w:ascii="Arial" w:cs="Arial" w:eastAsia="Arial" w:hAnsi="Arial"/>
                <w:sz w:val="15"/>
                <w:szCs w:val="15"/>
                <w:color w:val="FFFFFF"/>
              </w:rPr>
              <w:t>Dodd-Frank  requirements.</w:t>
            </w:r>
          </w:p>
        </w:tc>
        <w:tc>
          <w:tcPr>
            <w:tcW w:w="3260" w:type="dxa"/>
            <w:vAlign w:val="bottom"/>
            <w:shd w:val="clear" w:color="auto" w:fill="1414D2"/>
          </w:tcPr>
          <w:p>
            <w:pPr>
              <w:jc w:val="center"/>
              <w:spacing w:after="0"/>
              <w:rPr>
                <w:sz w:val="20"/>
                <w:szCs w:val="20"/>
                <w:color w:val="auto"/>
              </w:rPr>
            </w:pPr>
            <w:r>
              <w:rPr>
                <w:rFonts w:ascii="Arial" w:cs="Arial" w:eastAsia="Arial" w:hAnsi="Arial"/>
                <w:sz w:val="15"/>
                <w:szCs w:val="15"/>
                <w:color w:val="FFFFFF"/>
              </w:rPr>
              <w:t>compensation  consultant  is</w:t>
            </w:r>
          </w:p>
        </w:tc>
      </w:tr>
      <w:tr>
        <w:trPr>
          <w:trHeight w:val="222"/>
        </w:trPr>
        <w:tc>
          <w:tcPr>
            <w:tcW w:w="3240" w:type="dxa"/>
            <w:vAlign w:val="bottom"/>
            <w:shd w:val="clear" w:color="auto" w:fill="1414D2"/>
          </w:tcPr>
          <w:p>
            <w:pPr>
              <w:spacing w:after="0"/>
              <w:rPr>
                <w:sz w:val="19"/>
                <w:szCs w:val="19"/>
                <w:color w:val="auto"/>
              </w:rPr>
            </w:pPr>
          </w:p>
        </w:tc>
        <w:tc>
          <w:tcPr>
            <w:tcW w:w="3220" w:type="dxa"/>
            <w:vAlign w:val="bottom"/>
            <w:shd w:val="clear" w:color="auto" w:fill="1414D2"/>
          </w:tcPr>
          <w:p>
            <w:pPr>
              <w:spacing w:after="0"/>
              <w:rPr>
                <w:sz w:val="19"/>
                <w:szCs w:val="19"/>
                <w:color w:val="auto"/>
              </w:rPr>
            </w:pPr>
          </w:p>
        </w:tc>
        <w:tc>
          <w:tcPr>
            <w:tcW w:w="3260" w:type="dxa"/>
            <w:vAlign w:val="bottom"/>
            <w:shd w:val="clear" w:color="auto" w:fill="1414D2"/>
          </w:tcPr>
          <w:p>
            <w:pPr>
              <w:jc w:val="center"/>
              <w:spacing w:after="0"/>
              <w:rPr>
                <w:sz w:val="20"/>
                <w:szCs w:val="20"/>
                <w:color w:val="auto"/>
              </w:rPr>
            </w:pPr>
            <w:r>
              <w:rPr>
                <w:rFonts w:ascii="Arial" w:cs="Arial" w:eastAsia="Arial" w:hAnsi="Arial"/>
                <w:sz w:val="15"/>
                <w:szCs w:val="15"/>
                <w:color w:val="FFFFFF"/>
              </w:rPr>
              <w:t>independent.</w:t>
            </w:r>
          </w:p>
        </w:tc>
      </w:tr>
      <w:tr>
        <w:trPr>
          <w:trHeight w:val="77"/>
        </w:trPr>
        <w:tc>
          <w:tcPr>
            <w:tcW w:w="3240" w:type="dxa"/>
            <w:vAlign w:val="bottom"/>
            <w:shd w:val="clear" w:color="auto" w:fill="1414D2"/>
          </w:tcPr>
          <w:p>
            <w:pPr>
              <w:spacing w:after="0"/>
              <w:rPr>
                <w:sz w:val="6"/>
                <w:szCs w:val="6"/>
                <w:color w:val="auto"/>
              </w:rPr>
            </w:pPr>
          </w:p>
        </w:tc>
        <w:tc>
          <w:tcPr>
            <w:tcW w:w="3220" w:type="dxa"/>
            <w:vAlign w:val="bottom"/>
            <w:shd w:val="clear" w:color="auto" w:fill="1414D2"/>
          </w:tcPr>
          <w:p>
            <w:pPr>
              <w:spacing w:after="0"/>
              <w:rPr>
                <w:sz w:val="6"/>
                <w:szCs w:val="6"/>
                <w:color w:val="auto"/>
              </w:rPr>
            </w:pPr>
          </w:p>
        </w:tc>
        <w:tc>
          <w:tcPr>
            <w:tcW w:w="3260" w:type="dxa"/>
            <w:vAlign w:val="bottom"/>
            <w:shd w:val="clear" w:color="auto" w:fill="1414D2"/>
          </w:tcPr>
          <w:p>
            <w:pPr>
              <w:spacing w:after="0"/>
              <w:rPr>
                <w:sz w:val="6"/>
                <w:szCs w:val="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2026  Proxy  Statement</w:t>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1414D2"/>
        </w:rPr>
        <w:t>11</w:t>
      </w:r>
    </w:p>
    <w:p>
      <w:pPr>
        <w:sectPr>
          <w:pgSz w:w="11900" w:h="16838" w:orient="portrait"/>
          <w:cols w:equalWidth="0" w:num="1">
            <w:col w:w="9720"/>
          </w:cols>
          <w:pgMar w:left="1080" w:top="695" w:right="1099" w:bottom="1440" w:gutter="0" w:footer="0" w:header="0"/>
        </w:sectPr>
      </w:pPr>
    </w:p>
    <w:bookmarkStart w:id="22" w:name="page23"/>
    <w:bookmarkEnd w:id="22"/>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6D6F71"/>
        </w:rPr>
        <w:t>Proxy  Statement  Summary  and  Voting  Map</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2025 TOTAL TARGET COMPENSATION MIX</w:t>
      </w:r>
    </w:p>
    <w:p>
      <w:pPr>
        <w:spacing w:after="0" w:line="215" w:lineRule="exact"/>
        <w:rPr>
          <w:sz w:val="20"/>
          <w:szCs w:val="20"/>
          <w:color w:val="auto"/>
        </w:rPr>
      </w:pPr>
    </w:p>
    <w:p>
      <w:pPr>
        <w:jc w:val="both"/>
        <w:ind w:left="2220"/>
        <w:spacing w:after="0"/>
        <w:tabs>
          <w:tab w:leader="none" w:pos="6500" w:val="left"/>
        </w:tabs>
        <w:rPr>
          <w:sz w:val="20"/>
          <w:szCs w:val="20"/>
          <w:color w:val="auto"/>
        </w:rPr>
      </w:pPr>
      <w:r>
        <w:rPr>
          <w:rFonts w:ascii="Arial" w:cs="Arial" w:eastAsia="Arial" w:hAnsi="Arial"/>
          <w:sz w:val="18"/>
          <w:szCs w:val="18"/>
          <w:b w:val="1"/>
          <w:bCs w:val="1"/>
          <w:color w:val="auto"/>
        </w:rPr>
        <w:t>CEO</w:t>
      </w:r>
      <w:r>
        <w:rPr>
          <w:sz w:val="20"/>
          <w:szCs w:val="20"/>
          <w:color w:val="auto"/>
        </w:rPr>
        <w:tab/>
      </w:r>
      <w:r>
        <w:rPr>
          <w:rFonts w:ascii="Arial" w:cs="Arial" w:eastAsia="Arial" w:hAnsi="Arial"/>
          <w:sz w:val="18"/>
          <w:szCs w:val="18"/>
          <w:b w:val="1"/>
          <w:bCs w:val="1"/>
          <w:color w:val="auto"/>
        </w:rPr>
        <w:t>AVG OTHER NEOS</w:t>
      </w:r>
    </w:p>
    <w:p>
      <w:pPr>
        <w:sectPr>
          <w:pgSz w:w="11900" w:h="16838" w:orient="portrait"/>
          <w:cols w:equalWidth="0" w:num="1">
            <w:col w:w="9640"/>
          </w:cols>
          <w:pgMar w:left="1080" w:top="695" w:right="11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FFFFFF"/>
        </w:rPr>
        <w:t>Short-Term Incentive Program</w:t>
      </w:r>
    </w:p>
    <w:p>
      <w:pPr>
        <w:spacing w:after="0" w:line="167" w:lineRule="exact"/>
        <w:rPr>
          <w:sz w:val="20"/>
          <w:szCs w:val="20"/>
          <w:color w:val="auto"/>
        </w:rPr>
      </w:pPr>
    </w:p>
    <w:p>
      <w:pPr>
        <w:ind w:left="460" w:hanging="318"/>
        <w:spacing w:after="0" w:line="257" w:lineRule="auto"/>
        <w:tabs>
          <w:tab w:leader="none" w:pos="460" w:val="left"/>
        </w:tabs>
        <w:numPr>
          <w:ilvl w:val="0"/>
          <w:numId w:val="19"/>
        </w:numPr>
        <w:rPr>
          <w:rFonts w:ascii="Times New Roman" w:cs="Times New Roman" w:eastAsia="Times New Roman" w:hAnsi="Times New Roman"/>
          <w:sz w:val="16"/>
          <w:szCs w:val="16"/>
          <w:color w:val="auto"/>
        </w:rPr>
      </w:pPr>
      <w:r>
        <w:rPr>
          <w:rFonts w:ascii="Arial" w:cs="Arial" w:eastAsia="Arial" w:hAnsi="Arial"/>
          <w:sz w:val="16"/>
          <w:szCs w:val="16"/>
          <w:color w:val="auto"/>
        </w:rPr>
        <w:t>Our executives are eligible to receive an annual cash short-term incentive award, which is earned based on achievement of performance measures consistent with our business plan for the fscal year (in particular, operational targets aligned with our key strategic initiatives to enhance the best-in-class travel experience of our customers as well as fnancial targets aligned with our key fnancial objectives) and metrics are designed to align with short-term and long-term stockholder value creation.</w:t>
      </w:r>
    </w:p>
    <w:p>
      <w:pPr>
        <w:spacing w:after="0" w:line="270"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2025 Short-Term Incentive Program Weighted Measures</w:t>
      </w:r>
    </w:p>
    <w:p>
      <w:pPr>
        <w:spacing w:after="0" w:line="129" w:lineRule="exact"/>
        <w:rPr>
          <w:sz w:val="20"/>
          <w:szCs w:val="20"/>
          <w:color w:val="auto"/>
        </w:rPr>
      </w:pPr>
    </w:p>
    <w:p>
      <w:pPr>
        <w:ind w:left="1440"/>
        <w:spacing w:after="0"/>
        <w:rPr>
          <w:sz w:val="20"/>
          <w:szCs w:val="20"/>
          <w:color w:val="auto"/>
        </w:rPr>
      </w:pPr>
      <w:r>
        <w:rPr>
          <w:rFonts w:ascii="Arial" w:cs="Arial" w:eastAsia="Arial" w:hAnsi="Arial"/>
          <w:sz w:val="16"/>
          <w:szCs w:val="16"/>
          <w:b w:val="1"/>
          <w:bCs w:val="1"/>
          <w:color w:val="auto"/>
        </w:rPr>
        <w:t xml:space="preserve">Financial: </w:t>
      </w:r>
      <w:r>
        <w:rPr>
          <w:rFonts w:ascii="Arial" w:cs="Arial" w:eastAsia="Arial" w:hAnsi="Arial"/>
          <w:sz w:val="16"/>
          <w:szCs w:val="16"/>
          <w:color w:val="auto"/>
        </w:rPr>
        <w:t>This  metric  is  based  on  our</w:t>
      </w:r>
    </w:p>
    <w:p>
      <w:pPr>
        <w:ind w:left="1440" w:right="80" w:hanging="1279"/>
        <w:spacing w:after="0" w:line="283" w:lineRule="auto"/>
        <w:tabs>
          <w:tab w:leader="none" w:pos="1420" w:val="left"/>
        </w:tabs>
        <w:rPr>
          <w:sz w:val="20"/>
          <w:szCs w:val="20"/>
          <w:color w:val="auto"/>
        </w:rPr>
      </w:pPr>
      <w:r>
        <w:rPr>
          <w:rFonts w:ascii="Arial" w:cs="Arial" w:eastAsia="Arial" w:hAnsi="Arial"/>
          <w:sz w:val="18"/>
          <w:szCs w:val="18"/>
          <w:b w:val="1"/>
          <w:bCs w:val="1"/>
          <w:color w:val="1414D2"/>
        </w:rPr>
        <w:t>33%</w:t>
      </w:r>
      <w:r>
        <w:rPr>
          <w:sz w:val="20"/>
          <w:szCs w:val="20"/>
          <w:color w:val="auto"/>
        </w:rPr>
        <w:tab/>
      </w:r>
      <w:r>
        <w:rPr>
          <w:rFonts w:ascii="Arial" w:cs="Arial" w:eastAsia="Arial" w:hAnsi="Arial"/>
          <w:sz w:val="16"/>
          <w:szCs w:val="16"/>
          <w:color w:val="auto"/>
        </w:rPr>
        <w:t>2025 Adjusted EBITDAR Margin relative to our industry peers.</w:t>
      </w:r>
    </w:p>
    <w:p>
      <w:pPr>
        <w:spacing w:after="0" w:line="166" w:lineRule="exact"/>
        <w:rPr>
          <w:sz w:val="20"/>
          <w:szCs w:val="20"/>
          <w:color w:val="auto"/>
        </w:rPr>
      </w:pPr>
    </w:p>
    <w:p>
      <w:pPr>
        <w:ind w:left="1440" w:right="120"/>
        <w:spacing w:after="0" w:line="246" w:lineRule="auto"/>
        <w:rPr>
          <w:sz w:val="20"/>
          <w:szCs w:val="20"/>
          <w:color w:val="auto"/>
        </w:rPr>
      </w:pPr>
      <w:r>
        <w:rPr>
          <w:rFonts w:ascii="Arial" w:cs="Arial" w:eastAsia="Arial" w:hAnsi="Arial"/>
          <w:sz w:val="16"/>
          <w:szCs w:val="16"/>
          <w:b w:val="1"/>
          <w:bCs w:val="1"/>
          <w:color w:val="auto"/>
        </w:rPr>
        <w:t xml:space="preserve">Net Promoter Score (“NPS”): </w:t>
      </w:r>
      <w:r>
        <w:rPr>
          <w:rFonts w:ascii="Arial" w:cs="Arial" w:eastAsia="Arial" w:hAnsi="Arial"/>
          <w:sz w:val="16"/>
          <w:szCs w:val="16"/>
          <w:color w:val="auto"/>
        </w:rPr>
        <w:t>This</w:t>
      </w:r>
      <w:r>
        <w:rPr>
          <w:rFonts w:ascii="Arial" w:cs="Arial" w:eastAsia="Arial" w:hAnsi="Arial"/>
          <w:sz w:val="16"/>
          <w:szCs w:val="16"/>
          <w:b w:val="1"/>
          <w:bCs w:val="1"/>
          <w:color w:val="auto"/>
        </w:rPr>
        <w:t xml:space="preserve"> </w:t>
      </w:r>
      <w:r>
        <w:rPr>
          <w:rFonts w:ascii="Arial" w:cs="Arial" w:eastAsia="Arial" w:hAnsi="Arial"/>
          <w:sz w:val="16"/>
          <w:szCs w:val="16"/>
          <w:color w:val="auto"/>
        </w:rPr>
        <w:t>customer-based metric focuses on taking</w:t>
      </w:r>
    </w:p>
    <w:p>
      <w:pPr>
        <w:spacing w:after="0" w:line="1" w:lineRule="exact"/>
        <w:rPr>
          <w:sz w:val="20"/>
          <w:szCs w:val="20"/>
          <w:color w:val="auto"/>
        </w:rPr>
      </w:pPr>
    </w:p>
    <w:p>
      <w:pPr>
        <w:ind w:left="1440" w:right="240" w:hanging="1279"/>
        <w:spacing w:after="0"/>
        <w:tabs>
          <w:tab w:leader="none" w:pos="1420" w:val="left"/>
        </w:tabs>
        <w:rPr>
          <w:sz w:val="20"/>
          <w:szCs w:val="20"/>
          <w:color w:val="auto"/>
        </w:rPr>
      </w:pPr>
      <w:r>
        <w:rPr>
          <w:rFonts w:ascii="Arial" w:cs="Arial" w:eastAsia="Arial" w:hAnsi="Arial"/>
          <w:sz w:val="18"/>
          <w:szCs w:val="18"/>
          <w:b w:val="1"/>
          <w:bCs w:val="1"/>
          <w:color w:val="1414D2"/>
        </w:rPr>
        <w:t>33%</w:t>
      </w:r>
      <w:r>
        <w:rPr>
          <w:sz w:val="20"/>
          <w:szCs w:val="20"/>
          <w:color w:val="auto"/>
        </w:rPr>
        <w:tab/>
      </w:r>
      <w:r>
        <w:rPr>
          <w:rFonts w:ascii="Arial" w:cs="Arial" w:eastAsia="Arial" w:hAnsi="Arial"/>
          <w:sz w:val="16"/>
          <w:szCs w:val="16"/>
          <w:color w:val="auto"/>
        </w:rPr>
        <w:t>care of our customers and indicates our success toward positioning the United</w:t>
      </w:r>
    </w:p>
    <w:p>
      <w:pPr>
        <w:spacing w:after="0" w:line="1" w:lineRule="exact"/>
        <w:rPr>
          <w:sz w:val="20"/>
          <w:szCs w:val="20"/>
          <w:color w:val="auto"/>
        </w:rPr>
      </w:pPr>
    </w:p>
    <w:p>
      <w:pPr>
        <w:ind w:left="1440" w:right="220"/>
        <w:spacing w:after="0" w:line="313" w:lineRule="auto"/>
        <w:rPr>
          <w:sz w:val="20"/>
          <w:szCs w:val="20"/>
          <w:color w:val="auto"/>
        </w:rPr>
      </w:pPr>
      <w:r>
        <w:rPr>
          <w:rFonts w:ascii="Arial" w:cs="Arial" w:eastAsia="Arial" w:hAnsi="Arial"/>
          <w:sz w:val="16"/>
          <w:szCs w:val="16"/>
          <w:color w:val="auto"/>
        </w:rPr>
        <w:t>brand as the preferred choice for airline travel.</w:t>
      </w:r>
    </w:p>
    <w:p>
      <w:pPr>
        <w:spacing w:after="0" w:line="33" w:lineRule="exact"/>
        <w:rPr>
          <w:sz w:val="20"/>
          <w:szCs w:val="20"/>
          <w:color w:val="auto"/>
        </w:rPr>
      </w:pPr>
    </w:p>
    <w:p>
      <w:pPr>
        <w:ind w:left="1440"/>
        <w:spacing w:after="0"/>
        <w:rPr>
          <w:sz w:val="20"/>
          <w:szCs w:val="20"/>
          <w:color w:val="auto"/>
        </w:rPr>
      </w:pPr>
      <w:r>
        <w:rPr>
          <w:rFonts w:ascii="Arial" w:cs="Arial" w:eastAsia="Arial" w:hAnsi="Arial"/>
          <w:sz w:val="16"/>
          <w:szCs w:val="16"/>
          <w:b w:val="1"/>
          <w:bCs w:val="1"/>
          <w:color w:val="auto"/>
        </w:rPr>
        <w:t xml:space="preserve">Operational Excellence: </w:t>
      </w:r>
      <w:r>
        <w:rPr>
          <w:rFonts w:ascii="Arial" w:cs="Arial" w:eastAsia="Arial" w:hAnsi="Arial"/>
          <w:sz w:val="16"/>
          <w:szCs w:val="16"/>
          <w:color w:val="auto"/>
        </w:rPr>
        <w:t>This  features</w:t>
      </w:r>
    </w:p>
    <w:p>
      <w:pPr>
        <w:spacing w:after="0" w:line="5" w:lineRule="exact"/>
        <w:rPr>
          <w:sz w:val="20"/>
          <w:szCs w:val="20"/>
          <w:color w:val="auto"/>
        </w:rPr>
      </w:pPr>
    </w:p>
    <w:p>
      <w:pPr>
        <w:ind w:left="1440" w:right="100" w:hanging="1279"/>
        <w:spacing w:after="0" w:line="263" w:lineRule="auto"/>
        <w:tabs>
          <w:tab w:leader="none" w:pos="1420" w:val="left"/>
        </w:tabs>
        <w:rPr>
          <w:sz w:val="20"/>
          <w:szCs w:val="20"/>
          <w:color w:val="auto"/>
        </w:rPr>
      </w:pPr>
      <w:r>
        <w:rPr>
          <w:rFonts w:ascii="Arial" w:cs="Arial" w:eastAsia="Arial" w:hAnsi="Arial"/>
          <w:sz w:val="18"/>
          <w:szCs w:val="18"/>
          <w:b w:val="1"/>
          <w:bCs w:val="1"/>
          <w:color w:val="1414D2"/>
        </w:rPr>
        <w:t>33%</w:t>
      </w:r>
      <w:r>
        <w:rPr>
          <w:sz w:val="20"/>
          <w:szCs w:val="20"/>
          <w:color w:val="auto"/>
        </w:rPr>
        <w:tab/>
      </w:r>
      <w:r>
        <w:rPr>
          <w:rFonts w:ascii="Arial" w:cs="Arial" w:eastAsia="Arial" w:hAnsi="Arial"/>
          <w:sz w:val="16"/>
          <w:szCs w:val="16"/>
          <w:color w:val="auto"/>
        </w:rPr>
        <w:t>three key airline operational metrics—on-time departures, mishandled baggage rate and seat cancellations.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FFFFFF"/>
        </w:rPr>
        <w:t>Long-Term Incentive Program</w:t>
      </w:r>
    </w:p>
    <w:p>
      <w:pPr>
        <w:spacing w:after="0" w:line="167" w:lineRule="exact"/>
        <w:rPr>
          <w:sz w:val="20"/>
          <w:szCs w:val="20"/>
          <w:color w:val="auto"/>
        </w:rPr>
      </w:pPr>
    </w:p>
    <w:p>
      <w:pPr>
        <w:ind w:left="322" w:hanging="322"/>
        <w:spacing w:after="0" w:line="268" w:lineRule="auto"/>
        <w:tabs>
          <w:tab w:leader="none" w:pos="322" w:val="left"/>
        </w:tabs>
        <w:numPr>
          <w:ilvl w:val="0"/>
          <w:numId w:val="20"/>
        </w:numPr>
        <w:rPr>
          <w:rFonts w:ascii="Times New Roman" w:cs="Times New Roman" w:eastAsia="Times New Roman" w:hAnsi="Times New Roman"/>
          <w:sz w:val="16"/>
          <w:szCs w:val="16"/>
          <w:color w:val="auto"/>
        </w:rPr>
      </w:pPr>
      <w:r>
        <w:rPr>
          <w:rFonts w:ascii="Arial" w:cs="Arial" w:eastAsia="Arial" w:hAnsi="Arial"/>
          <w:sz w:val="16"/>
          <w:szCs w:val="16"/>
          <w:color w:val="auto"/>
        </w:rPr>
        <w:t>We granted awards of time-based restricted stock units (“RSUs”) and performance-based restricted stock units (“PBRSUs” or “Performance-Based RSUs”) to our executives in 2025.</w:t>
      </w:r>
    </w:p>
    <w:p>
      <w:pPr>
        <w:spacing w:after="0" w:line="54" w:lineRule="exact"/>
        <w:rPr>
          <w:rFonts w:ascii="Times New Roman" w:cs="Times New Roman" w:eastAsia="Times New Roman" w:hAnsi="Times New Roman"/>
          <w:sz w:val="16"/>
          <w:szCs w:val="16"/>
          <w:color w:val="auto"/>
        </w:rPr>
      </w:pPr>
    </w:p>
    <w:p>
      <w:pPr>
        <w:ind w:left="322" w:right="60" w:hanging="322"/>
        <w:spacing w:after="0" w:line="268" w:lineRule="auto"/>
        <w:tabs>
          <w:tab w:leader="none" w:pos="322" w:val="left"/>
        </w:tabs>
        <w:numPr>
          <w:ilvl w:val="0"/>
          <w:numId w:val="20"/>
        </w:numPr>
        <w:rPr>
          <w:rFonts w:ascii="Times New Roman" w:cs="Times New Roman" w:eastAsia="Times New Roman" w:hAnsi="Times New Roman"/>
          <w:sz w:val="16"/>
          <w:szCs w:val="16"/>
          <w:color w:val="auto"/>
        </w:rPr>
      </w:pPr>
      <w:r>
        <w:rPr>
          <w:rFonts w:ascii="Arial" w:cs="Arial" w:eastAsia="Arial" w:hAnsi="Arial"/>
          <w:sz w:val="16"/>
          <w:szCs w:val="16"/>
          <w:color w:val="auto"/>
        </w:rPr>
        <w:t>Equity awards are structured to promote retention of key talent, motivate management’s focus on our sustained performance and success and on building long-term stockholder value.</w:t>
      </w:r>
    </w:p>
    <w:p>
      <w:pPr>
        <w:spacing w:after="0" w:line="344" w:lineRule="exact"/>
        <w:rPr>
          <w:sz w:val="20"/>
          <w:szCs w:val="20"/>
          <w:color w:val="auto"/>
        </w:rPr>
      </w:pPr>
    </w:p>
    <w:p>
      <w:pPr>
        <w:ind w:left="2"/>
        <w:spacing w:after="0"/>
        <w:rPr>
          <w:sz w:val="20"/>
          <w:szCs w:val="20"/>
          <w:color w:val="auto"/>
        </w:rPr>
      </w:pPr>
      <w:r>
        <w:rPr>
          <w:rFonts w:ascii="Arial" w:cs="Arial" w:eastAsia="Arial" w:hAnsi="Arial"/>
          <w:sz w:val="14"/>
          <w:szCs w:val="14"/>
          <w:b w:val="1"/>
          <w:bCs w:val="1"/>
          <w:color w:val="auto"/>
        </w:rPr>
        <w:t>Performance-Based RSUs</w:t>
      </w:r>
    </w:p>
    <w:p>
      <w:pPr>
        <w:spacing w:after="0" w:line="129" w:lineRule="exact"/>
        <w:rPr>
          <w:sz w:val="20"/>
          <w:szCs w:val="20"/>
          <w:color w:val="auto"/>
        </w:rPr>
      </w:pPr>
    </w:p>
    <w:p>
      <w:pPr>
        <w:ind w:left="1262"/>
        <w:spacing w:after="0"/>
        <w:rPr>
          <w:sz w:val="20"/>
          <w:szCs w:val="20"/>
          <w:color w:val="auto"/>
        </w:rPr>
      </w:pPr>
      <w:r>
        <w:rPr>
          <w:rFonts w:ascii="Arial" w:cs="Arial" w:eastAsia="Arial" w:hAnsi="Arial"/>
          <w:sz w:val="16"/>
          <w:szCs w:val="16"/>
          <w:color w:val="auto"/>
        </w:rPr>
        <w:t>Performance-Based  RSUs  reward</w:t>
      </w:r>
    </w:p>
    <w:p>
      <w:pPr>
        <w:ind w:left="42"/>
        <w:spacing w:after="0" w:line="219" w:lineRule="auto"/>
        <w:tabs>
          <w:tab w:leader="none" w:pos="1242" w:val="left"/>
        </w:tabs>
        <w:rPr>
          <w:sz w:val="20"/>
          <w:szCs w:val="20"/>
          <w:color w:val="auto"/>
        </w:rPr>
      </w:pPr>
      <w:r>
        <w:rPr>
          <w:rFonts w:ascii="Arial" w:cs="Arial" w:eastAsia="Arial" w:hAnsi="Arial"/>
          <w:sz w:val="18"/>
          <w:szCs w:val="18"/>
          <w:b w:val="1"/>
          <w:bCs w:val="1"/>
          <w:color w:val="1414D2"/>
        </w:rPr>
        <w:t>50%</w:t>
      </w:r>
      <w:r>
        <w:rPr>
          <w:sz w:val="20"/>
          <w:szCs w:val="20"/>
          <w:color w:val="auto"/>
        </w:rPr>
        <w:tab/>
      </w:r>
      <w:r>
        <w:rPr>
          <w:rFonts w:ascii="Arial" w:cs="Arial" w:eastAsia="Arial" w:hAnsi="Arial"/>
          <w:sz w:val="16"/>
          <w:szCs w:val="16"/>
          <w:color w:val="auto"/>
        </w:rPr>
        <w:t>achievement  of  fnancial  goals  and</w:t>
      </w:r>
    </w:p>
    <w:p>
      <w:pPr>
        <w:spacing w:after="0" w:line="6" w:lineRule="exact"/>
        <w:rPr>
          <w:sz w:val="20"/>
          <w:szCs w:val="20"/>
          <w:color w:val="auto"/>
        </w:rPr>
      </w:pPr>
    </w:p>
    <w:p>
      <w:pPr>
        <w:ind w:left="1262"/>
        <w:spacing w:after="0"/>
        <w:rPr>
          <w:sz w:val="20"/>
          <w:szCs w:val="20"/>
          <w:color w:val="auto"/>
        </w:rPr>
      </w:pPr>
      <w:r>
        <w:rPr>
          <w:rFonts w:ascii="Arial" w:cs="Arial" w:eastAsia="Arial" w:hAnsi="Arial"/>
          <w:sz w:val="16"/>
          <w:szCs w:val="16"/>
          <w:color w:val="auto"/>
        </w:rPr>
        <w:t>strategic  initiatives.</w:t>
      </w:r>
    </w:p>
    <w:p>
      <w:pPr>
        <w:spacing w:after="0" w:line="321" w:lineRule="exact"/>
        <w:rPr>
          <w:sz w:val="20"/>
          <w:szCs w:val="20"/>
          <w:color w:val="auto"/>
        </w:rPr>
      </w:pPr>
    </w:p>
    <w:p>
      <w:pPr>
        <w:ind w:left="2"/>
        <w:spacing w:after="0"/>
        <w:rPr>
          <w:sz w:val="20"/>
          <w:szCs w:val="20"/>
          <w:color w:val="auto"/>
        </w:rPr>
      </w:pPr>
      <w:r>
        <w:rPr>
          <w:rFonts w:ascii="Arial" w:cs="Arial" w:eastAsia="Arial" w:hAnsi="Arial"/>
          <w:sz w:val="14"/>
          <w:szCs w:val="14"/>
          <w:b w:val="1"/>
          <w:bCs w:val="1"/>
          <w:color w:val="auto"/>
        </w:rPr>
        <w:t>Time-Based RSUs</w:t>
      </w:r>
    </w:p>
    <w:p>
      <w:pPr>
        <w:spacing w:after="0" w:line="144" w:lineRule="exact"/>
        <w:rPr>
          <w:sz w:val="20"/>
          <w:szCs w:val="20"/>
          <w:color w:val="auto"/>
        </w:rPr>
      </w:pPr>
    </w:p>
    <w:p>
      <w:pPr>
        <w:ind w:left="1262"/>
        <w:spacing w:after="0"/>
        <w:rPr>
          <w:sz w:val="20"/>
          <w:szCs w:val="20"/>
          <w:color w:val="auto"/>
        </w:rPr>
      </w:pPr>
      <w:r>
        <w:rPr>
          <w:rFonts w:ascii="Arial" w:cs="Arial" w:eastAsia="Arial" w:hAnsi="Arial"/>
          <w:sz w:val="15"/>
          <w:szCs w:val="15"/>
          <w:color w:val="auto"/>
        </w:rPr>
        <w:t>Time-based  RSUs  vest  one-third  per  year</w:t>
      </w:r>
    </w:p>
    <w:p>
      <w:pPr>
        <w:spacing w:after="0" w:line="17" w:lineRule="exact"/>
        <w:rPr>
          <w:sz w:val="20"/>
          <w:szCs w:val="20"/>
          <w:color w:val="auto"/>
        </w:rPr>
      </w:pPr>
    </w:p>
    <w:p>
      <w:pPr>
        <w:ind w:left="1262" w:right="240" w:hanging="1219"/>
        <w:spacing w:after="0" w:line="263" w:lineRule="auto"/>
        <w:tabs>
          <w:tab w:leader="none" w:pos="1242" w:val="left"/>
        </w:tabs>
        <w:rPr>
          <w:sz w:val="20"/>
          <w:szCs w:val="20"/>
          <w:color w:val="auto"/>
        </w:rPr>
      </w:pPr>
      <w:r>
        <w:rPr>
          <w:rFonts w:ascii="Arial" w:cs="Arial" w:eastAsia="Arial" w:hAnsi="Arial"/>
          <w:sz w:val="18"/>
          <w:szCs w:val="18"/>
          <w:b w:val="1"/>
          <w:bCs w:val="1"/>
          <w:color w:val="1414D2"/>
        </w:rPr>
        <w:t>50%</w:t>
      </w:r>
      <w:r>
        <w:rPr>
          <w:sz w:val="20"/>
          <w:szCs w:val="20"/>
          <w:color w:val="auto"/>
        </w:rPr>
        <w:tab/>
      </w:r>
      <w:r>
        <w:rPr>
          <w:rFonts w:ascii="Arial" w:cs="Arial" w:eastAsia="Arial" w:hAnsi="Arial"/>
          <w:sz w:val="16"/>
          <w:szCs w:val="16"/>
          <w:color w:val="auto"/>
        </w:rPr>
        <w:t>over a three-year period, aligning with stockholder value creation and promoting executive retention.</w:t>
      </w:r>
    </w:p>
    <w:p>
      <w:pPr>
        <w:spacing w:after="0" w:line="1104" w:lineRule="exact"/>
        <w:rPr>
          <w:sz w:val="20"/>
          <w:szCs w:val="20"/>
          <w:color w:val="auto"/>
        </w:rPr>
      </w:pPr>
    </w:p>
    <w:p>
      <w:pPr>
        <w:sectPr>
          <w:pgSz w:w="11900" w:h="16838" w:orient="portrait"/>
          <w:cols w:equalWidth="0" w:num="2">
            <w:col w:w="4700" w:space="518"/>
            <w:col w:w="4422"/>
          </w:cols>
          <w:pgMar w:left="1080" w:top="695" w:right="11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right"/>
        <w:ind w:right="7640"/>
        <w:spacing w:after="0"/>
        <w:rPr>
          <w:sz w:val="20"/>
          <w:szCs w:val="20"/>
          <w:color w:val="auto"/>
        </w:rPr>
      </w:pPr>
      <w:r>
        <w:rPr>
          <w:rFonts w:ascii="Arial" w:cs="Arial" w:eastAsia="Arial" w:hAnsi="Arial"/>
          <w:sz w:val="16"/>
          <w:szCs w:val="16"/>
          <w:color w:val="auto"/>
        </w:rPr>
        <w:t>​​2026​  Proxy</w:t>
      </w:r>
    </w:p>
    <w:p>
      <w:pPr>
        <w:spacing w:after="0" w:line="5" w:lineRule="exact"/>
        <w:rPr>
          <w:sz w:val="20"/>
          <w:szCs w:val="20"/>
          <w:color w:val="auto"/>
        </w:rPr>
      </w:pPr>
    </w:p>
    <w:p>
      <w:pPr>
        <w:ind w:left="660" w:hanging="656"/>
        <w:spacing w:after="0"/>
        <w:tabs>
          <w:tab w:leader="none" w:pos="660" w:val="left"/>
        </w:tabs>
        <w:numPr>
          <w:ilvl w:val="0"/>
          <w:numId w:val="21"/>
        </w:numPr>
        <w:rPr>
          <w:rFonts w:ascii="Arial" w:cs="Arial" w:eastAsia="Arial" w:hAnsi="Arial"/>
          <w:sz w:val="16"/>
          <w:szCs w:val="16"/>
          <w:b w:val="1"/>
          <w:bCs w:val="1"/>
          <w:color w:val="1414D2"/>
        </w:rPr>
      </w:pPr>
      <w:r>
        <w:rPr>
          <w:rFonts w:ascii="Arial" w:cs="Arial" w:eastAsia="Arial" w:hAnsi="Arial"/>
          <w:sz w:val="16"/>
          <w:szCs w:val="16"/>
          <w:color w:val="auto"/>
        </w:rPr>
        <w:t>Statement</w:t>
      </w:r>
    </w:p>
    <w:p>
      <w:pPr>
        <w:sectPr>
          <w:pgSz w:w="11900" w:h="16838" w:orient="portrait"/>
          <w:cols w:equalWidth="0" w:num="1">
            <w:col w:w="9640"/>
          </w:cols>
          <w:pgMar w:left="1080" w:top="695" w:right="117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27" w:lineRule="exact"/>
        <w:rPr>
          <w:sz w:val="20"/>
          <w:szCs w:val="20"/>
          <w:color w:val="auto"/>
        </w:rPr>
      </w:pPr>
    </w:p>
    <w:p>
      <w:pPr>
        <w:ind w:left="6820"/>
        <w:spacing w:after="0"/>
        <w:rPr>
          <w:sz w:val="20"/>
          <w:szCs w:val="20"/>
          <w:color w:val="auto"/>
        </w:rPr>
      </w:pPr>
      <w:r>
        <w:rPr>
          <w:rFonts w:ascii="Arial" w:cs="Arial" w:eastAsia="Arial" w:hAnsi="Arial"/>
          <w:sz w:val="14"/>
          <w:szCs w:val="14"/>
          <w:color w:val="6D6F71"/>
        </w:rPr>
        <w:t>Proxy  Statement  Summary  and  Voting  Map</w:t>
      </w:r>
    </w:p>
    <w:p>
      <w:pPr>
        <w:spacing w:after="0" w:line="223" w:lineRule="exact"/>
        <w:rPr>
          <w:sz w:val="20"/>
          <w:szCs w:val="20"/>
          <w:color w:val="auto"/>
        </w:rPr>
      </w:pPr>
    </w:p>
    <w:p>
      <w:pPr>
        <w:ind w:right="1000"/>
        <w:spacing w:after="0" w:line="311" w:lineRule="auto"/>
        <w:rPr>
          <w:sz w:val="20"/>
          <w:szCs w:val="20"/>
          <w:color w:val="auto"/>
        </w:rPr>
      </w:pPr>
      <w:r>
        <w:rPr>
          <w:rFonts w:ascii="Arial" w:cs="Arial" w:eastAsia="Arial" w:hAnsi="Arial"/>
          <w:sz w:val="25"/>
          <w:szCs w:val="25"/>
          <w:b w:val="1"/>
          <w:bCs w:val="1"/>
          <w:color w:val="1414D2"/>
        </w:rPr>
        <w:t xml:space="preserve">Item 4 | Advisory Vote on Stockholder Proposal, if properly presented </w:t>
      </w:r>
      <w:r>
        <w:rPr>
          <w:rFonts w:ascii="Arial" w:cs="Arial" w:eastAsia="Arial" w:hAnsi="Arial"/>
          <w:sz w:val="25"/>
          <w:szCs w:val="25"/>
          <w:b w:val="1"/>
          <w:bCs w:val="1"/>
          <w:color w:val="000000"/>
        </w:rPr>
        <w:t>(</w:t>
      </w:r>
      <w:r>
        <w:rPr>
          <w:rFonts w:ascii="Times New Roman" w:cs="Times New Roman" w:eastAsia="Times New Roman" w:hAnsi="Times New Roman"/>
          <w:sz w:val="25"/>
          <w:szCs w:val="25"/>
          <w:b w:val="1"/>
          <w:bCs w:val="1"/>
          <w:color w:val="000000"/>
        </w:rPr>
        <w:t>►</w:t>
      </w:r>
      <w:r>
        <w:rPr>
          <w:rFonts w:ascii="Arial" w:cs="Arial" w:eastAsia="Arial" w:hAnsi="Arial"/>
          <w:sz w:val="25"/>
          <w:szCs w:val="25"/>
          <w:b w:val="1"/>
          <w:bCs w:val="1"/>
          <w:color w:val="000000"/>
        </w:rPr>
        <w:t xml:space="preserve"> see page 133 for more information)</w:t>
      </w:r>
    </w:p>
    <w:p>
      <w:pPr>
        <w:sectPr>
          <w:pgSz w:w="11900" w:h="16838" w:orient="portrait"/>
          <w:cols w:equalWidth="0" w:num="1">
            <w:col w:w="9720"/>
          </w:cols>
          <w:pgMar w:left="1080" w:top="695"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40"/>
        <w:spacing w:after="0" w:line="330" w:lineRule="auto"/>
        <w:rPr>
          <w:sz w:val="20"/>
          <w:szCs w:val="20"/>
          <w:color w:val="auto"/>
        </w:rPr>
      </w:pPr>
      <w:r>
        <w:rPr>
          <w:rFonts w:ascii="Arial" w:cs="Arial" w:eastAsia="Arial" w:hAnsi="Arial"/>
          <w:sz w:val="16"/>
          <w:szCs w:val="16"/>
          <w:b w:val="1"/>
          <w:bCs w:val="1"/>
          <w:color w:val="auto"/>
        </w:rPr>
        <w:t xml:space="preserve">The Board recommends you vote </w:t>
      </w:r>
      <w:r>
        <w:rPr>
          <w:rFonts w:ascii="Arial" w:cs="Arial" w:eastAsia="Arial" w:hAnsi="Arial"/>
          <w:sz w:val="16"/>
          <w:szCs w:val="16"/>
          <w:b w:val="1"/>
          <w:bCs w:val="1"/>
          <w:color w:val="FF0000"/>
        </w:rPr>
        <w:t>AGAINST</w:t>
      </w:r>
      <w:r>
        <w:rPr>
          <w:rFonts w:ascii="Arial" w:cs="Arial" w:eastAsia="Arial" w:hAnsi="Arial"/>
          <w:sz w:val="16"/>
          <w:szCs w:val="16"/>
          <w:b w:val="1"/>
          <w:bCs w:val="1"/>
          <w:color w:val="auto"/>
        </w:rPr>
        <w:t xml:space="preserve"> Item 4</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VOTE REQUIRED</w:t>
      </w:r>
    </w:p>
    <w:p>
      <w:pPr>
        <w:spacing w:after="0" w:line="127" w:lineRule="exact"/>
        <w:rPr>
          <w:sz w:val="20"/>
          <w:szCs w:val="20"/>
          <w:color w:val="auto"/>
        </w:rPr>
      </w:pPr>
    </w:p>
    <w:p>
      <w:pPr>
        <w:ind w:right="260"/>
        <w:spacing w:after="0" w:line="279" w:lineRule="auto"/>
        <w:rPr>
          <w:sz w:val="20"/>
          <w:szCs w:val="20"/>
          <w:color w:val="auto"/>
        </w:rPr>
      </w:pPr>
      <w:r>
        <w:rPr>
          <w:rFonts w:ascii="Arial" w:cs="Arial" w:eastAsia="Arial" w:hAnsi="Arial"/>
          <w:sz w:val="16"/>
          <w:szCs w:val="16"/>
          <w:color w:val="auto"/>
        </w:rPr>
        <w:t>Approval of Item 4-Advisory Vote on Stockholder Proposal Regarding Shareholder Right to Act by Written Consent-requires the afrmative vote of a majority in voting power of the shares present in person or represented by proxy and entitled to vote on such matter.</w:t>
      </w:r>
    </w:p>
    <w:p>
      <w:pPr>
        <w:spacing w:after="0" w:line="47" w:lineRule="exact"/>
        <w:rPr>
          <w:sz w:val="20"/>
          <w:szCs w:val="20"/>
          <w:color w:val="auto"/>
        </w:rPr>
      </w:pPr>
    </w:p>
    <w:p>
      <w:pPr>
        <w:ind w:right="120"/>
        <w:spacing w:after="0" w:line="313" w:lineRule="auto"/>
        <w:rPr>
          <w:sz w:val="20"/>
          <w:szCs w:val="20"/>
          <w:color w:val="auto"/>
        </w:rPr>
      </w:pPr>
      <w:r>
        <w:rPr>
          <w:rFonts w:ascii="Arial" w:cs="Arial" w:eastAsia="Arial" w:hAnsi="Arial"/>
          <w:sz w:val="16"/>
          <w:szCs w:val="16"/>
          <w:color w:val="auto"/>
        </w:rPr>
        <w:t>If you elect to abstain, the abstention will have the same efect as an “AGAINST” vote. Broker non-votes will have no efect on the outcome of this proposal.</w:t>
      </w:r>
    </w:p>
    <w:p>
      <w:pPr>
        <w:spacing w:after="0" w:line="200" w:lineRule="exact"/>
        <w:rPr>
          <w:sz w:val="20"/>
          <w:szCs w:val="20"/>
          <w:color w:val="auto"/>
        </w:rPr>
      </w:pPr>
    </w:p>
    <w:p>
      <w:pPr>
        <w:sectPr>
          <w:pgSz w:w="11900" w:h="16838" w:orient="portrait"/>
          <w:cols w:equalWidth="0" w:num="2">
            <w:col w:w="2260" w:space="360"/>
            <w:col w:w="7100"/>
          </w:cols>
          <w:pgMar w:left="1080" w:top="695" w:right="10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2026  Proxy  Statement</w:t>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1414D2"/>
        </w:rPr>
        <w:t>13</w:t>
      </w:r>
    </w:p>
    <w:p>
      <w:pPr>
        <w:sectPr>
          <w:pgSz w:w="11900" w:h="16838" w:orient="portrait"/>
          <w:cols w:equalWidth="0" w:num="1">
            <w:col w:w="9720"/>
          </w:cols>
          <w:pgMar w:left="1080" w:top="695" w:right="109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35"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United’s Approach to Corporate Citizenship and Value Creation</w:t>
      </w:r>
    </w:p>
    <w:p>
      <w:pPr>
        <w:spacing w:after="0" w:line="368" w:lineRule="exact"/>
        <w:rPr>
          <w:sz w:val="20"/>
          <w:szCs w:val="20"/>
          <w:color w:val="auto"/>
        </w:rPr>
      </w:pPr>
    </w:p>
    <w:p>
      <w:pPr>
        <w:ind w:right="40"/>
        <w:spacing w:after="0" w:line="268" w:lineRule="auto"/>
        <w:rPr>
          <w:sz w:val="20"/>
          <w:szCs w:val="20"/>
          <w:color w:val="auto"/>
        </w:rPr>
      </w:pPr>
      <w:r>
        <w:rPr>
          <w:rFonts w:ascii="Arial" w:cs="Arial" w:eastAsia="Arial" w:hAnsi="Arial"/>
          <w:sz w:val="16"/>
          <w:szCs w:val="16"/>
          <w:color w:val="auto"/>
        </w:rPr>
        <w:t>At United "Good Leads the Way" is more than a slogan; it fuels our mission to build the world's biggest and best airline. Our employees around the world are joined together to enable connections that matter and move society—whether it is connecting people across cultures, fying a loved one to a wedding, connecting medical professionals at a breakthrough conference or getting a business traveler to an important meeting or back home in time for a child’s big game.</w:t>
      </w:r>
    </w:p>
    <w:p>
      <w:pPr>
        <w:spacing w:after="0" w:line="137"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Today, United is viewed not only as a leader among our peer airlines but as a leader among the world’s largest corporations. Our leadership is driven by our desire to blaze new trails by being a force for good, responsive to the world in which we operate,</w:t>
      </w:r>
    </w:p>
    <w:p>
      <w:pPr>
        <w:spacing w:after="0" w:line="1"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 xml:space="preserve">responsible for our actions and committed to doing the right thing. We have identifed six corporate citizenship focus areas set forth below that we believe are critical to our business needs, maintain our corporate values, build stockholder value and improve the communities in which we live and fy. To learn more about the Company’s corporate citizenship focus areas, please see our Corporate Impact Report available at </w:t>
      </w:r>
      <w:r>
        <w:rPr>
          <w:rFonts w:ascii="Arial" w:cs="Arial" w:eastAsia="Arial" w:hAnsi="Arial"/>
          <w:sz w:val="16"/>
          <w:szCs w:val="16"/>
          <w:b w:val="1"/>
          <w:bCs w:val="1"/>
          <w:color w:val="auto"/>
        </w:rPr>
        <w:t>https://corporateimpact.united.com.</w:t>
      </w:r>
      <w:r>
        <w:rPr>
          <w:rFonts w:ascii="Arial" w:cs="Arial" w:eastAsia="Arial" w:hAnsi="Arial"/>
          <w:sz w:val="16"/>
          <w:szCs w:val="16"/>
          <w:color w:val="auto"/>
        </w:rPr>
        <w:t xml:space="preserve"> Later this year, we plan to issue an</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updated  Corporate  Impact  Report  based  on  our  2025  fscal  year.</w:t>
      </w:r>
    </w:p>
    <w:p>
      <w:pPr>
        <w:spacing w:after="0" w:line="208" w:lineRule="exact"/>
        <w:rPr>
          <w:sz w:val="20"/>
          <w:szCs w:val="20"/>
          <w:color w:val="auto"/>
        </w:rPr>
      </w:pPr>
    </w:p>
    <w:tbl>
      <w:tblPr>
        <w:tblLayout w:type="fixed"/>
        <w:tblInd w:w="1100" w:type="dxa"/>
        <w:tblCellMar>
          <w:top w:w="0" w:type="dxa"/>
          <w:left w:w="0" w:type="dxa"/>
          <w:bottom w:w="0" w:type="dxa"/>
          <w:right w:w="0" w:type="dxa"/>
        </w:tblCellMar>
      </w:tblPr>
      <w:tr>
        <w:trPr>
          <w:trHeight w:val="189"/>
        </w:trPr>
        <w:tc>
          <w:tcPr>
            <w:tcW w:w="1100" w:type="dxa"/>
            <w:vAlign w:val="bottom"/>
            <w:shd w:val="clear" w:color="auto" w:fill="1414D2"/>
          </w:tcPr>
          <w:p>
            <w:pPr>
              <w:spacing w:after="0"/>
              <w:rPr>
                <w:sz w:val="16"/>
                <w:szCs w:val="16"/>
                <w:color w:val="auto"/>
              </w:rPr>
            </w:pPr>
          </w:p>
        </w:tc>
        <w:tc>
          <w:tcPr>
            <w:tcW w:w="1280" w:type="dxa"/>
            <w:vAlign w:val="bottom"/>
            <w:shd w:val="clear" w:color="auto" w:fill="1414D2"/>
          </w:tcPr>
          <w:p>
            <w:pPr>
              <w:spacing w:after="0"/>
              <w:rPr>
                <w:sz w:val="16"/>
                <w:szCs w:val="16"/>
                <w:color w:val="auto"/>
              </w:rPr>
            </w:pPr>
          </w:p>
        </w:tc>
        <w:tc>
          <w:tcPr>
            <w:tcW w:w="1400" w:type="dxa"/>
            <w:vAlign w:val="bottom"/>
            <w:vMerge w:val="restart"/>
            <w:shd w:val="clear" w:color="auto" w:fill="1414D2"/>
          </w:tcPr>
          <w:p>
            <w:pPr>
              <w:jc w:val="center"/>
              <w:spacing w:after="0"/>
              <w:rPr>
                <w:sz w:val="20"/>
                <w:szCs w:val="20"/>
                <w:color w:val="auto"/>
              </w:rPr>
            </w:pPr>
            <w:r>
              <w:rPr>
                <w:rFonts w:ascii="Arial" w:cs="Arial" w:eastAsia="Arial" w:hAnsi="Arial"/>
                <w:sz w:val="16"/>
                <w:szCs w:val="16"/>
                <w:b w:val="1"/>
                <w:bCs w:val="1"/>
                <w:color w:val="FFFFFF"/>
              </w:rPr>
              <w:t>Environmental</w:t>
            </w:r>
          </w:p>
        </w:tc>
        <w:tc>
          <w:tcPr>
            <w:tcW w:w="1280" w:type="dxa"/>
            <w:vAlign w:val="bottom"/>
            <w:shd w:val="clear" w:color="auto" w:fill="1414D2"/>
          </w:tcPr>
          <w:p>
            <w:pPr>
              <w:jc w:val="center"/>
              <w:spacing w:after="0"/>
              <w:rPr>
                <w:sz w:val="20"/>
                <w:szCs w:val="20"/>
                <w:color w:val="auto"/>
              </w:rPr>
            </w:pPr>
            <w:r>
              <w:rPr>
                <w:rFonts w:ascii="Arial" w:cs="Arial" w:eastAsia="Arial" w:hAnsi="Arial"/>
                <w:sz w:val="16"/>
                <w:szCs w:val="16"/>
                <w:b w:val="1"/>
                <w:bCs w:val="1"/>
                <w:color w:val="FFFFFF"/>
              </w:rPr>
              <w:t>People and</w:t>
            </w:r>
          </w:p>
        </w:tc>
        <w:tc>
          <w:tcPr>
            <w:tcW w:w="1300" w:type="dxa"/>
            <w:vAlign w:val="bottom"/>
            <w:shd w:val="clear" w:color="auto" w:fill="1414D2"/>
          </w:tcPr>
          <w:p>
            <w:pPr>
              <w:spacing w:after="0"/>
              <w:rPr>
                <w:sz w:val="16"/>
                <w:szCs w:val="16"/>
                <w:color w:val="auto"/>
              </w:rPr>
            </w:pPr>
          </w:p>
        </w:tc>
        <w:tc>
          <w:tcPr>
            <w:tcW w:w="1180" w:type="dxa"/>
            <w:vAlign w:val="bottom"/>
            <w:shd w:val="clear" w:color="auto" w:fill="1414D2"/>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100" w:type="dxa"/>
            <w:vAlign w:val="bottom"/>
            <w:vMerge w:val="restart"/>
            <w:shd w:val="clear" w:color="auto" w:fill="1414D2"/>
          </w:tcPr>
          <w:p>
            <w:pPr>
              <w:jc w:val="center"/>
              <w:spacing w:after="0"/>
              <w:rPr>
                <w:sz w:val="20"/>
                <w:szCs w:val="20"/>
                <w:color w:val="auto"/>
              </w:rPr>
            </w:pPr>
            <w:r>
              <w:rPr>
                <w:rFonts w:ascii="Arial" w:cs="Arial" w:eastAsia="Arial" w:hAnsi="Arial"/>
                <w:sz w:val="16"/>
                <w:szCs w:val="16"/>
                <w:b w:val="1"/>
                <w:bCs w:val="1"/>
                <w:color w:val="FFFFFF"/>
              </w:rPr>
              <w:t>Safety</w:t>
            </w:r>
          </w:p>
        </w:tc>
        <w:tc>
          <w:tcPr>
            <w:tcW w:w="1280" w:type="dxa"/>
            <w:vAlign w:val="bottom"/>
            <w:vMerge w:val="restart"/>
            <w:shd w:val="clear" w:color="auto" w:fill="1414D2"/>
          </w:tcPr>
          <w:p>
            <w:pPr>
              <w:jc w:val="center"/>
              <w:ind w:left="19"/>
              <w:spacing w:after="0"/>
              <w:rPr>
                <w:sz w:val="20"/>
                <w:szCs w:val="20"/>
                <w:color w:val="auto"/>
              </w:rPr>
            </w:pPr>
            <w:r>
              <w:rPr>
                <w:rFonts w:ascii="Arial" w:cs="Arial" w:eastAsia="Arial" w:hAnsi="Arial"/>
                <w:sz w:val="16"/>
                <w:szCs w:val="16"/>
                <w:b w:val="1"/>
                <w:bCs w:val="1"/>
                <w:color w:val="FFFFFF"/>
              </w:rPr>
              <w:t>Community</w:t>
            </w:r>
          </w:p>
        </w:tc>
        <w:tc>
          <w:tcPr>
            <w:tcW w:w="1400" w:type="dxa"/>
            <w:vAlign w:val="bottom"/>
            <w:vMerge w:val="continue"/>
            <w:shd w:val="clear" w:color="auto" w:fill="1414D2"/>
          </w:tcPr>
          <w:p>
            <w:pPr>
              <w:spacing w:after="0"/>
              <w:rPr>
                <w:sz w:val="8"/>
                <w:szCs w:val="8"/>
                <w:color w:val="auto"/>
              </w:rPr>
            </w:pPr>
          </w:p>
        </w:tc>
        <w:tc>
          <w:tcPr>
            <w:tcW w:w="1280" w:type="dxa"/>
            <w:vAlign w:val="bottom"/>
            <w:vMerge w:val="restart"/>
            <w:shd w:val="clear" w:color="auto" w:fill="1414D2"/>
          </w:tcPr>
          <w:p>
            <w:pPr>
              <w:jc w:val="center"/>
              <w:spacing w:after="0"/>
              <w:rPr>
                <w:sz w:val="20"/>
                <w:szCs w:val="20"/>
                <w:color w:val="auto"/>
              </w:rPr>
            </w:pPr>
            <w:r>
              <w:rPr>
                <w:rFonts w:ascii="Arial" w:cs="Arial" w:eastAsia="Arial" w:hAnsi="Arial"/>
                <w:sz w:val="16"/>
                <w:szCs w:val="16"/>
                <w:b w:val="1"/>
                <w:bCs w:val="1"/>
                <w:color w:val="FFFFFF"/>
              </w:rPr>
              <w:t>Human</w:t>
            </w:r>
          </w:p>
        </w:tc>
        <w:tc>
          <w:tcPr>
            <w:tcW w:w="1300" w:type="dxa"/>
            <w:vAlign w:val="bottom"/>
            <w:vMerge w:val="restart"/>
            <w:shd w:val="clear" w:color="auto" w:fill="1414D2"/>
          </w:tcPr>
          <w:p>
            <w:pPr>
              <w:jc w:val="center"/>
              <w:spacing w:after="0"/>
              <w:rPr>
                <w:sz w:val="20"/>
                <w:szCs w:val="20"/>
                <w:color w:val="auto"/>
              </w:rPr>
            </w:pPr>
            <w:r>
              <w:rPr>
                <w:rFonts w:ascii="Arial" w:cs="Arial" w:eastAsia="Arial" w:hAnsi="Arial"/>
                <w:sz w:val="16"/>
                <w:szCs w:val="16"/>
                <w:b w:val="1"/>
                <w:bCs w:val="1"/>
                <w:color w:val="FFFFFF"/>
              </w:rPr>
              <w:t>Cybersecurity</w:t>
            </w:r>
          </w:p>
        </w:tc>
        <w:tc>
          <w:tcPr>
            <w:tcW w:w="1180" w:type="dxa"/>
            <w:vAlign w:val="bottom"/>
            <w:vMerge w:val="restart"/>
            <w:shd w:val="clear" w:color="auto" w:fill="1414D2"/>
          </w:tcPr>
          <w:p>
            <w:pPr>
              <w:jc w:val="center"/>
              <w:spacing w:after="0"/>
              <w:rPr>
                <w:sz w:val="20"/>
                <w:szCs w:val="20"/>
                <w:color w:val="auto"/>
              </w:rPr>
            </w:pPr>
            <w:r>
              <w:rPr>
                <w:rFonts w:ascii="Arial" w:cs="Arial" w:eastAsia="Arial" w:hAnsi="Arial"/>
                <w:sz w:val="16"/>
                <w:szCs w:val="16"/>
                <w:b w:val="1"/>
                <w:bCs w:val="1"/>
                <w:color w:val="FFFFFF"/>
              </w:rPr>
              <w:t>Corporate</w:t>
            </w:r>
          </w:p>
        </w:tc>
        <w:tc>
          <w:tcPr>
            <w:tcW w:w="0" w:type="dxa"/>
            <w:vAlign w:val="bottom"/>
          </w:tcPr>
          <w:p>
            <w:pPr>
              <w:spacing w:after="0"/>
              <w:rPr>
                <w:sz w:val="1"/>
                <w:szCs w:val="1"/>
                <w:color w:val="auto"/>
              </w:rPr>
            </w:pPr>
          </w:p>
        </w:tc>
      </w:tr>
      <w:tr>
        <w:trPr>
          <w:trHeight w:val="94"/>
        </w:trPr>
        <w:tc>
          <w:tcPr>
            <w:tcW w:w="1100" w:type="dxa"/>
            <w:vAlign w:val="bottom"/>
            <w:vMerge w:val="continue"/>
            <w:shd w:val="clear" w:color="auto" w:fill="1414D2"/>
          </w:tcPr>
          <w:p>
            <w:pPr>
              <w:spacing w:after="0"/>
              <w:rPr>
                <w:sz w:val="8"/>
                <w:szCs w:val="8"/>
                <w:color w:val="auto"/>
              </w:rPr>
            </w:pPr>
          </w:p>
        </w:tc>
        <w:tc>
          <w:tcPr>
            <w:tcW w:w="1280" w:type="dxa"/>
            <w:vAlign w:val="bottom"/>
            <w:vMerge w:val="continue"/>
            <w:shd w:val="clear" w:color="auto" w:fill="1414D2"/>
          </w:tcPr>
          <w:p>
            <w:pPr>
              <w:spacing w:after="0"/>
              <w:rPr>
                <w:sz w:val="8"/>
                <w:szCs w:val="8"/>
                <w:color w:val="auto"/>
              </w:rPr>
            </w:pPr>
          </w:p>
        </w:tc>
        <w:tc>
          <w:tcPr>
            <w:tcW w:w="1400" w:type="dxa"/>
            <w:vAlign w:val="bottom"/>
            <w:vMerge w:val="restart"/>
            <w:shd w:val="clear" w:color="auto" w:fill="1414D2"/>
          </w:tcPr>
          <w:p>
            <w:pPr>
              <w:jc w:val="center"/>
              <w:spacing w:after="0"/>
              <w:rPr>
                <w:sz w:val="20"/>
                <w:szCs w:val="20"/>
                <w:color w:val="auto"/>
              </w:rPr>
            </w:pPr>
            <w:r>
              <w:rPr>
                <w:rFonts w:ascii="Arial" w:cs="Arial" w:eastAsia="Arial" w:hAnsi="Arial"/>
                <w:sz w:val="16"/>
                <w:szCs w:val="16"/>
                <w:b w:val="1"/>
                <w:bCs w:val="1"/>
                <w:color w:val="FFFFFF"/>
              </w:rPr>
              <w:t>Sustainability</w:t>
            </w:r>
          </w:p>
        </w:tc>
        <w:tc>
          <w:tcPr>
            <w:tcW w:w="1280" w:type="dxa"/>
            <w:vAlign w:val="bottom"/>
            <w:vMerge w:val="continue"/>
            <w:shd w:val="clear" w:color="auto" w:fill="1414D2"/>
          </w:tcPr>
          <w:p>
            <w:pPr>
              <w:spacing w:after="0"/>
              <w:rPr>
                <w:sz w:val="8"/>
                <w:szCs w:val="8"/>
                <w:color w:val="auto"/>
              </w:rPr>
            </w:pPr>
          </w:p>
        </w:tc>
        <w:tc>
          <w:tcPr>
            <w:tcW w:w="1300" w:type="dxa"/>
            <w:vAlign w:val="bottom"/>
            <w:vMerge w:val="continue"/>
            <w:shd w:val="clear" w:color="auto" w:fill="1414D2"/>
          </w:tcPr>
          <w:p>
            <w:pPr>
              <w:spacing w:after="0"/>
              <w:rPr>
                <w:sz w:val="8"/>
                <w:szCs w:val="8"/>
                <w:color w:val="auto"/>
              </w:rPr>
            </w:pPr>
          </w:p>
        </w:tc>
        <w:tc>
          <w:tcPr>
            <w:tcW w:w="1180" w:type="dxa"/>
            <w:vAlign w:val="bottom"/>
            <w:vMerge w:val="continue"/>
            <w:shd w:val="clear" w:color="auto" w:fill="1414D2"/>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100" w:type="dxa"/>
            <w:vAlign w:val="bottom"/>
            <w:vMerge w:val="restart"/>
            <w:shd w:val="clear" w:color="auto" w:fill="1414D2"/>
          </w:tcPr>
          <w:p>
            <w:pPr>
              <w:jc w:val="center"/>
              <w:ind w:left="19"/>
              <w:spacing w:after="0"/>
              <w:rPr>
                <w:sz w:val="20"/>
                <w:szCs w:val="20"/>
                <w:color w:val="auto"/>
              </w:rPr>
            </w:pPr>
            <w:r>
              <w:rPr>
                <w:rFonts w:ascii="Arial" w:cs="Arial" w:eastAsia="Arial" w:hAnsi="Arial"/>
                <w:sz w:val="16"/>
                <w:szCs w:val="16"/>
                <w:b w:val="1"/>
                <w:bCs w:val="1"/>
                <w:color w:val="FFFFFF"/>
              </w:rPr>
              <w:t>Culture</w:t>
            </w:r>
          </w:p>
        </w:tc>
        <w:tc>
          <w:tcPr>
            <w:tcW w:w="1280" w:type="dxa"/>
            <w:vAlign w:val="bottom"/>
            <w:vMerge w:val="restart"/>
            <w:shd w:val="clear" w:color="auto" w:fill="1414D2"/>
          </w:tcPr>
          <w:p>
            <w:pPr>
              <w:jc w:val="center"/>
              <w:ind w:left="19"/>
              <w:spacing w:after="0"/>
              <w:rPr>
                <w:sz w:val="20"/>
                <w:szCs w:val="20"/>
                <w:color w:val="auto"/>
              </w:rPr>
            </w:pPr>
            <w:r>
              <w:rPr>
                <w:rFonts w:ascii="Arial" w:cs="Arial" w:eastAsia="Arial" w:hAnsi="Arial"/>
                <w:sz w:val="16"/>
                <w:szCs w:val="16"/>
                <w:b w:val="1"/>
                <w:bCs w:val="1"/>
                <w:color w:val="FFFFFF"/>
              </w:rPr>
              <w:t>Impact</w:t>
            </w:r>
          </w:p>
        </w:tc>
        <w:tc>
          <w:tcPr>
            <w:tcW w:w="1400" w:type="dxa"/>
            <w:vAlign w:val="bottom"/>
            <w:vMerge w:val="continue"/>
            <w:shd w:val="clear" w:color="auto" w:fill="1414D2"/>
          </w:tcPr>
          <w:p>
            <w:pPr>
              <w:spacing w:after="0"/>
              <w:rPr>
                <w:sz w:val="9"/>
                <w:szCs w:val="9"/>
                <w:color w:val="auto"/>
              </w:rPr>
            </w:pPr>
          </w:p>
        </w:tc>
        <w:tc>
          <w:tcPr>
            <w:tcW w:w="1280" w:type="dxa"/>
            <w:vAlign w:val="bottom"/>
            <w:vMerge w:val="restart"/>
            <w:shd w:val="clear" w:color="auto" w:fill="1414D2"/>
          </w:tcPr>
          <w:p>
            <w:pPr>
              <w:jc w:val="center"/>
              <w:spacing w:after="0"/>
              <w:rPr>
                <w:sz w:val="20"/>
                <w:szCs w:val="20"/>
                <w:color w:val="auto"/>
              </w:rPr>
            </w:pPr>
            <w:r>
              <w:rPr>
                <w:rFonts w:ascii="Arial" w:cs="Arial" w:eastAsia="Arial" w:hAnsi="Arial"/>
                <w:sz w:val="16"/>
                <w:szCs w:val="16"/>
                <w:b w:val="1"/>
                <w:bCs w:val="1"/>
                <w:color w:val="FFFFFF"/>
              </w:rPr>
              <w:t>Capital</w:t>
            </w:r>
          </w:p>
        </w:tc>
        <w:tc>
          <w:tcPr>
            <w:tcW w:w="1300" w:type="dxa"/>
            <w:vAlign w:val="bottom"/>
            <w:vMerge w:val="restart"/>
            <w:shd w:val="clear" w:color="auto" w:fill="1414D2"/>
          </w:tcPr>
          <w:p>
            <w:pPr>
              <w:jc w:val="center"/>
              <w:spacing w:after="0"/>
              <w:rPr>
                <w:sz w:val="20"/>
                <w:szCs w:val="20"/>
                <w:color w:val="auto"/>
              </w:rPr>
            </w:pPr>
            <w:r>
              <w:rPr>
                <w:rFonts w:ascii="Arial" w:cs="Arial" w:eastAsia="Arial" w:hAnsi="Arial"/>
                <w:sz w:val="16"/>
                <w:szCs w:val="16"/>
                <w:b w:val="1"/>
                <w:bCs w:val="1"/>
                <w:color w:val="FFFFFF"/>
              </w:rPr>
              <w:t>Strategy</w:t>
            </w:r>
          </w:p>
        </w:tc>
        <w:tc>
          <w:tcPr>
            <w:tcW w:w="1180" w:type="dxa"/>
            <w:vAlign w:val="bottom"/>
            <w:vMerge w:val="restart"/>
            <w:shd w:val="clear" w:color="auto" w:fill="1414D2"/>
          </w:tcPr>
          <w:p>
            <w:pPr>
              <w:jc w:val="center"/>
              <w:spacing w:after="0"/>
              <w:rPr>
                <w:sz w:val="20"/>
                <w:szCs w:val="20"/>
                <w:color w:val="auto"/>
              </w:rPr>
            </w:pPr>
            <w:r>
              <w:rPr>
                <w:rFonts w:ascii="Arial" w:cs="Arial" w:eastAsia="Arial" w:hAnsi="Arial"/>
                <w:sz w:val="16"/>
                <w:szCs w:val="16"/>
                <w:b w:val="1"/>
                <w:bCs w:val="1"/>
                <w:color w:val="FFFFFF"/>
              </w:rPr>
              <w:t>Governance</w:t>
            </w:r>
          </w:p>
        </w:tc>
        <w:tc>
          <w:tcPr>
            <w:tcW w:w="0" w:type="dxa"/>
            <w:vAlign w:val="bottom"/>
          </w:tcPr>
          <w:p>
            <w:pPr>
              <w:spacing w:after="0"/>
              <w:rPr>
                <w:sz w:val="1"/>
                <w:szCs w:val="1"/>
                <w:color w:val="auto"/>
              </w:rPr>
            </w:pPr>
          </w:p>
        </w:tc>
      </w:tr>
      <w:tr>
        <w:trPr>
          <w:trHeight w:val="94"/>
        </w:trPr>
        <w:tc>
          <w:tcPr>
            <w:tcW w:w="1100" w:type="dxa"/>
            <w:vAlign w:val="bottom"/>
            <w:vMerge w:val="continue"/>
            <w:shd w:val="clear" w:color="auto" w:fill="1414D2"/>
          </w:tcPr>
          <w:p>
            <w:pPr>
              <w:spacing w:after="0"/>
              <w:rPr>
                <w:sz w:val="8"/>
                <w:szCs w:val="8"/>
                <w:color w:val="auto"/>
              </w:rPr>
            </w:pPr>
          </w:p>
        </w:tc>
        <w:tc>
          <w:tcPr>
            <w:tcW w:w="1280" w:type="dxa"/>
            <w:vAlign w:val="bottom"/>
            <w:vMerge w:val="continue"/>
            <w:shd w:val="clear" w:color="auto" w:fill="1414D2"/>
          </w:tcPr>
          <w:p>
            <w:pPr>
              <w:spacing w:after="0"/>
              <w:rPr>
                <w:sz w:val="8"/>
                <w:szCs w:val="8"/>
                <w:color w:val="auto"/>
              </w:rPr>
            </w:pPr>
          </w:p>
        </w:tc>
        <w:tc>
          <w:tcPr>
            <w:tcW w:w="1400" w:type="dxa"/>
            <w:vAlign w:val="bottom"/>
            <w:vMerge w:val="restart"/>
            <w:shd w:val="clear" w:color="auto" w:fill="1414D2"/>
          </w:tcPr>
          <w:p>
            <w:pPr>
              <w:jc w:val="center"/>
              <w:spacing w:after="0"/>
              <w:rPr>
                <w:sz w:val="20"/>
                <w:szCs w:val="20"/>
                <w:color w:val="auto"/>
              </w:rPr>
            </w:pPr>
            <w:r>
              <w:rPr>
                <w:rFonts w:ascii="Arial" w:cs="Arial" w:eastAsia="Arial" w:hAnsi="Arial"/>
                <w:sz w:val="16"/>
                <w:szCs w:val="16"/>
                <w:b w:val="1"/>
                <w:bCs w:val="1"/>
                <w:color w:val="FFFFFF"/>
              </w:rPr>
              <w:t>Strategy</w:t>
            </w:r>
          </w:p>
        </w:tc>
        <w:tc>
          <w:tcPr>
            <w:tcW w:w="1280" w:type="dxa"/>
            <w:vAlign w:val="bottom"/>
            <w:vMerge w:val="continue"/>
            <w:shd w:val="clear" w:color="auto" w:fill="1414D2"/>
          </w:tcPr>
          <w:p>
            <w:pPr>
              <w:spacing w:after="0"/>
              <w:rPr>
                <w:sz w:val="8"/>
                <w:szCs w:val="8"/>
                <w:color w:val="auto"/>
              </w:rPr>
            </w:pPr>
          </w:p>
        </w:tc>
        <w:tc>
          <w:tcPr>
            <w:tcW w:w="1300" w:type="dxa"/>
            <w:vAlign w:val="bottom"/>
            <w:vMerge w:val="continue"/>
            <w:shd w:val="clear" w:color="auto" w:fill="1414D2"/>
          </w:tcPr>
          <w:p>
            <w:pPr>
              <w:spacing w:after="0"/>
              <w:rPr>
                <w:sz w:val="8"/>
                <w:szCs w:val="8"/>
                <w:color w:val="auto"/>
              </w:rPr>
            </w:pPr>
          </w:p>
        </w:tc>
        <w:tc>
          <w:tcPr>
            <w:tcW w:w="1180" w:type="dxa"/>
            <w:vAlign w:val="bottom"/>
            <w:vMerge w:val="continue"/>
            <w:shd w:val="clear" w:color="auto" w:fill="1414D2"/>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1100" w:type="dxa"/>
            <w:vAlign w:val="bottom"/>
            <w:shd w:val="clear" w:color="auto" w:fill="1414D2"/>
          </w:tcPr>
          <w:p>
            <w:pPr>
              <w:spacing w:after="0"/>
              <w:rPr>
                <w:sz w:val="12"/>
                <w:szCs w:val="12"/>
                <w:color w:val="auto"/>
              </w:rPr>
            </w:pPr>
          </w:p>
        </w:tc>
        <w:tc>
          <w:tcPr>
            <w:tcW w:w="1280" w:type="dxa"/>
            <w:vAlign w:val="bottom"/>
            <w:shd w:val="clear" w:color="auto" w:fill="1414D2"/>
          </w:tcPr>
          <w:p>
            <w:pPr>
              <w:spacing w:after="0"/>
              <w:rPr>
                <w:sz w:val="12"/>
                <w:szCs w:val="12"/>
                <w:color w:val="auto"/>
              </w:rPr>
            </w:pPr>
          </w:p>
        </w:tc>
        <w:tc>
          <w:tcPr>
            <w:tcW w:w="1400" w:type="dxa"/>
            <w:vAlign w:val="bottom"/>
            <w:vMerge w:val="continue"/>
            <w:shd w:val="clear" w:color="auto" w:fill="1414D2"/>
          </w:tcPr>
          <w:p>
            <w:pPr>
              <w:spacing w:after="0"/>
              <w:rPr>
                <w:sz w:val="12"/>
                <w:szCs w:val="12"/>
                <w:color w:val="auto"/>
              </w:rPr>
            </w:pPr>
          </w:p>
        </w:tc>
        <w:tc>
          <w:tcPr>
            <w:tcW w:w="1280" w:type="dxa"/>
            <w:vAlign w:val="bottom"/>
            <w:vMerge w:val="restart"/>
            <w:shd w:val="clear" w:color="auto" w:fill="1414D2"/>
          </w:tcPr>
          <w:p>
            <w:pPr>
              <w:jc w:val="center"/>
              <w:spacing w:after="0"/>
              <w:rPr>
                <w:sz w:val="20"/>
                <w:szCs w:val="20"/>
                <w:color w:val="auto"/>
              </w:rPr>
            </w:pPr>
            <w:r>
              <w:rPr>
                <w:rFonts w:ascii="Arial" w:cs="Arial" w:eastAsia="Arial" w:hAnsi="Arial"/>
                <w:sz w:val="16"/>
                <w:szCs w:val="16"/>
                <w:b w:val="1"/>
                <w:bCs w:val="1"/>
                <w:color w:val="FFFFFF"/>
              </w:rPr>
              <w:t>Management</w:t>
            </w:r>
          </w:p>
        </w:tc>
        <w:tc>
          <w:tcPr>
            <w:tcW w:w="1300" w:type="dxa"/>
            <w:vAlign w:val="bottom"/>
            <w:shd w:val="clear" w:color="auto" w:fill="1414D2"/>
          </w:tcPr>
          <w:p>
            <w:pPr>
              <w:spacing w:after="0"/>
              <w:rPr>
                <w:sz w:val="12"/>
                <w:szCs w:val="12"/>
                <w:color w:val="auto"/>
              </w:rPr>
            </w:pPr>
          </w:p>
        </w:tc>
        <w:tc>
          <w:tcPr>
            <w:tcW w:w="1180" w:type="dxa"/>
            <w:vAlign w:val="bottom"/>
            <w:shd w:val="clear" w:color="auto" w:fill="1414D2"/>
          </w:tcPr>
          <w:p>
            <w:pPr>
              <w:spacing w:after="0"/>
              <w:rPr>
                <w:sz w:val="12"/>
                <w:szCs w:val="12"/>
                <w:color w:val="auto"/>
              </w:rPr>
            </w:pPr>
          </w:p>
        </w:tc>
        <w:tc>
          <w:tcPr>
            <w:tcW w:w="0" w:type="dxa"/>
            <w:vAlign w:val="bottom"/>
          </w:tcPr>
          <w:p>
            <w:pPr>
              <w:spacing w:after="0"/>
              <w:rPr>
                <w:sz w:val="1"/>
                <w:szCs w:val="1"/>
                <w:color w:val="auto"/>
              </w:rPr>
            </w:pPr>
          </w:p>
        </w:tc>
      </w:tr>
      <w:tr>
        <w:trPr>
          <w:trHeight w:val="73"/>
        </w:trPr>
        <w:tc>
          <w:tcPr>
            <w:tcW w:w="1100" w:type="dxa"/>
            <w:vAlign w:val="bottom"/>
            <w:shd w:val="clear" w:color="auto" w:fill="1414D2"/>
          </w:tcPr>
          <w:p>
            <w:pPr>
              <w:spacing w:after="0"/>
              <w:rPr>
                <w:sz w:val="6"/>
                <w:szCs w:val="6"/>
                <w:color w:val="auto"/>
              </w:rPr>
            </w:pPr>
          </w:p>
        </w:tc>
        <w:tc>
          <w:tcPr>
            <w:tcW w:w="1280" w:type="dxa"/>
            <w:vAlign w:val="bottom"/>
            <w:shd w:val="clear" w:color="auto" w:fill="1414D2"/>
          </w:tcPr>
          <w:p>
            <w:pPr>
              <w:spacing w:after="0"/>
              <w:rPr>
                <w:sz w:val="6"/>
                <w:szCs w:val="6"/>
                <w:color w:val="auto"/>
              </w:rPr>
            </w:pPr>
          </w:p>
        </w:tc>
        <w:tc>
          <w:tcPr>
            <w:tcW w:w="1400" w:type="dxa"/>
            <w:vAlign w:val="bottom"/>
            <w:shd w:val="clear" w:color="auto" w:fill="1414D2"/>
          </w:tcPr>
          <w:p>
            <w:pPr>
              <w:spacing w:after="0"/>
              <w:rPr>
                <w:sz w:val="6"/>
                <w:szCs w:val="6"/>
                <w:color w:val="auto"/>
              </w:rPr>
            </w:pPr>
          </w:p>
        </w:tc>
        <w:tc>
          <w:tcPr>
            <w:tcW w:w="1280" w:type="dxa"/>
            <w:vAlign w:val="bottom"/>
            <w:vMerge w:val="continue"/>
            <w:shd w:val="clear" w:color="auto" w:fill="1414D2"/>
          </w:tcPr>
          <w:p>
            <w:pPr>
              <w:spacing w:after="0"/>
              <w:rPr>
                <w:sz w:val="6"/>
                <w:szCs w:val="6"/>
                <w:color w:val="auto"/>
              </w:rPr>
            </w:pPr>
          </w:p>
        </w:tc>
        <w:tc>
          <w:tcPr>
            <w:tcW w:w="1300" w:type="dxa"/>
            <w:vAlign w:val="bottom"/>
            <w:shd w:val="clear" w:color="auto" w:fill="1414D2"/>
          </w:tcPr>
          <w:p>
            <w:pPr>
              <w:spacing w:after="0"/>
              <w:rPr>
                <w:sz w:val="6"/>
                <w:szCs w:val="6"/>
                <w:color w:val="auto"/>
              </w:rPr>
            </w:pPr>
          </w:p>
        </w:tc>
        <w:tc>
          <w:tcPr>
            <w:tcW w:w="1180" w:type="dxa"/>
            <w:vAlign w:val="bottom"/>
            <w:shd w:val="clear" w:color="auto" w:fill="1414D2"/>
          </w:tcPr>
          <w:p>
            <w:pPr>
              <w:spacing w:after="0"/>
              <w:rPr>
                <w:sz w:val="6"/>
                <w:szCs w:val="6"/>
                <w:color w:val="auto"/>
              </w:rPr>
            </w:pPr>
          </w:p>
        </w:tc>
        <w:tc>
          <w:tcPr>
            <w:tcW w:w="0" w:type="dxa"/>
            <w:vAlign w:val="bottom"/>
          </w:tcPr>
          <w:p>
            <w:pPr>
              <w:spacing w:after="0"/>
              <w:rPr>
                <w:sz w:val="1"/>
                <w:szCs w:val="1"/>
                <w:color w:val="auto"/>
              </w:rPr>
            </w:pPr>
          </w:p>
        </w:tc>
      </w:tr>
    </w:tbl>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United  takes  an  integrated  approach  to  our  corporate  citizenship:</w:t>
      </w:r>
    </w:p>
    <w:p>
      <w:pPr>
        <w:spacing w:after="0" w:line="208" w:lineRule="exact"/>
        <w:rPr>
          <w:sz w:val="20"/>
          <w:szCs w:val="20"/>
          <w:color w:val="auto"/>
        </w:rPr>
      </w:pPr>
    </w:p>
    <w:p>
      <w:pPr>
        <w:ind w:left="680" w:right="200" w:hanging="325"/>
        <w:spacing w:after="0" w:line="274" w:lineRule="auto"/>
        <w:tabs>
          <w:tab w:leader="none" w:pos="68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Board Composition Philosophy</w:t>
      </w:r>
      <w:r>
        <w:rPr>
          <w:rFonts w:ascii="Arial" w:cs="Arial" w:eastAsia="Arial" w:hAnsi="Arial"/>
          <w:sz w:val="16"/>
          <w:szCs w:val="16"/>
          <w:color w:val="auto"/>
        </w:rPr>
        <w:t>: Our Board believes that a key component of efective oversight of our corporate</w:t>
      </w:r>
      <w:r>
        <w:rPr>
          <w:rFonts w:ascii="Arial" w:cs="Arial" w:eastAsia="Arial" w:hAnsi="Arial"/>
          <w:sz w:val="16"/>
          <w:szCs w:val="16"/>
          <w:b w:val="1"/>
          <w:bCs w:val="1"/>
          <w:color w:val="auto"/>
        </w:rPr>
        <w:t xml:space="preserve"> </w:t>
      </w:r>
      <w:r>
        <w:rPr>
          <w:rFonts w:ascii="Arial" w:cs="Arial" w:eastAsia="Arial" w:hAnsi="Arial"/>
          <w:sz w:val="16"/>
          <w:szCs w:val="16"/>
          <w:color w:val="auto"/>
        </w:rPr>
        <w:t>strategy is its commitment to having directors with a broad range of perspectives refecting a variety of independent views. The Board, therefore, remains focused on ensuring that it is composed of directors with a broad range of experience and balance of professional skills to oversee the success of the business efectively.</w:t>
      </w:r>
    </w:p>
    <w:p>
      <w:pPr>
        <w:spacing w:after="0" w:line="117" w:lineRule="exact"/>
        <w:rPr>
          <w:rFonts w:ascii="Times New Roman" w:cs="Times New Roman" w:eastAsia="Times New Roman" w:hAnsi="Times New Roman"/>
          <w:sz w:val="16"/>
          <w:szCs w:val="16"/>
          <w:color w:val="auto"/>
        </w:rPr>
      </w:pPr>
    </w:p>
    <w:p>
      <w:pPr>
        <w:ind w:left="680" w:right="260" w:hanging="325"/>
        <w:spacing w:after="0" w:line="267" w:lineRule="auto"/>
        <w:tabs>
          <w:tab w:leader="none" w:pos="68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United Corporate Citizenship Strategy</w:t>
      </w:r>
      <w:r>
        <w:rPr>
          <w:rFonts w:ascii="Arial" w:cs="Arial" w:eastAsia="Arial" w:hAnsi="Arial"/>
          <w:sz w:val="16"/>
          <w:szCs w:val="16"/>
          <w:color w:val="auto"/>
        </w:rPr>
        <w:t>: We have devoted our brand, reputation, resources, time and efort to</w:t>
      </w:r>
      <w:r>
        <w:rPr>
          <w:rFonts w:ascii="Arial" w:cs="Arial" w:eastAsia="Arial" w:hAnsi="Arial"/>
          <w:sz w:val="16"/>
          <w:szCs w:val="16"/>
          <w:b w:val="1"/>
          <w:bCs w:val="1"/>
          <w:color w:val="auto"/>
        </w:rPr>
        <w:t xml:space="preserve"> </w:t>
      </w:r>
      <w:r>
        <w:rPr>
          <w:rFonts w:ascii="Arial" w:cs="Arial" w:eastAsia="Arial" w:hAnsi="Arial"/>
          <w:sz w:val="16"/>
          <w:szCs w:val="16"/>
          <w:color w:val="auto"/>
        </w:rPr>
        <w:t>pursuing corporate citizenship goals aimed to generate value and impactful results. Over the last few years, our management has worked to incorporate our corporate citizenship strategy into the Company’s overall business strategy, which has included establishing important initiatives improve energy security and sustainability in aviation and providing career opportunities to thousands of people.</w:t>
      </w:r>
    </w:p>
    <w:p>
      <w:pPr>
        <w:spacing w:after="0" w:line="123" w:lineRule="exact"/>
        <w:rPr>
          <w:rFonts w:ascii="Times New Roman" w:cs="Times New Roman" w:eastAsia="Times New Roman" w:hAnsi="Times New Roman"/>
          <w:sz w:val="16"/>
          <w:szCs w:val="16"/>
          <w:color w:val="auto"/>
        </w:rPr>
      </w:pPr>
    </w:p>
    <w:p>
      <w:pPr>
        <w:ind w:left="680" w:right="60" w:hanging="325"/>
        <w:spacing w:after="0" w:line="325" w:lineRule="auto"/>
        <w:tabs>
          <w:tab w:leader="none" w:pos="68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Board and Executive Team Oversight of United Corporate Citizenship Strategy</w:t>
      </w:r>
      <w:r>
        <w:rPr>
          <w:rFonts w:ascii="Arial" w:cs="Arial" w:eastAsia="Arial" w:hAnsi="Arial"/>
          <w:sz w:val="16"/>
          <w:szCs w:val="16"/>
          <w:color w:val="auto"/>
        </w:rPr>
        <w:t>: We identify and manage the risks</w:t>
      </w:r>
      <w:r>
        <w:rPr>
          <w:rFonts w:ascii="Arial" w:cs="Arial" w:eastAsia="Arial" w:hAnsi="Arial"/>
          <w:sz w:val="16"/>
          <w:szCs w:val="16"/>
          <w:b w:val="1"/>
          <w:bCs w:val="1"/>
          <w:color w:val="auto"/>
        </w:rPr>
        <w:t xml:space="preserve"> </w:t>
      </w:r>
      <w:r>
        <w:rPr>
          <w:rFonts w:ascii="Arial" w:cs="Arial" w:eastAsia="Arial" w:hAnsi="Arial"/>
          <w:sz w:val="16"/>
          <w:szCs w:val="16"/>
          <w:color w:val="auto"/>
        </w:rPr>
        <w:t>and opportunities that arise from our corporate citizenship focus areas through strong Board and executive oversight.</w:t>
      </w:r>
    </w:p>
    <w:p>
      <w:pPr>
        <w:ind w:left="660"/>
        <w:spacing w:after="0"/>
        <w:rPr>
          <w:sz w:val="20"/>
          <w:szCs w:val="20"/>
          <w:color w:val="auto"/>
        </w:rPr>
      </w:pPr>
      <w:r>
        <w:rPr>
          <w:rFonts w:ascii="Arial" w:cs="Arial" w:eastAsia="Arial" w:hAnsi="Arial"/>
          <w:sz w:val="15"/>
          <w:szCs w:val="15"/>
          <w:color w:val="auto"/>
        </w:rPr>
        <w:t>Oversight  of  our  corporate  citizenship  strategy  starts  at  the  Board  level,  which,  as  a  whole  and  through  its  Committees,</w:t>
      </w:r>
    </w:p>
    <w:p>
      <w:pPr>
        <w:spacing w:after="0" w:line="30" w:lineRule="exact"/>
        <w:rPr>
          <w:sz w:val="20"/>
          <w:szCs w:val="20"/>
          <w:color w:val="auto"/>
        </w:rPr>
      </w:pPr>
    </w:p>
    <w:p>
      <w:pPr>
        <w:ind w:left="660" w:right="80"/>
        <w:spacing w:after="0" w:line="252" w:lineRule="auto"/>
        <w:rPr>
          <w:sz w:val="20"/>
          <w:szCs w:val="20"/>
          <w:color w:val="auto"/>
        </w:rPr>
      </w:pPr>
      <w:r>
        <w:rPr>
          <w:rFonts w:ascii="Arial" w:cs="Arial" w:eastAsia="Arial" w:hAnsi="Arial"/>
          <w:sz w:val="16"/>
          <w:szCs w:val="16"/>
          <w:color w:val="auto"/>
        </w:rPr>
        <w:t>oversees goals, targets, strategies, initiatives, risks, assessments, disclosures and external engagement and related matters. Each of the Public Responsibility, Audit, Nominating/Governance, Executive and Compensation Committees is charged with oversight and implementation of their respective corporate citizenship-related focus areas. This</w:t>
      </w:r>
    </w:p>
    <w:p>
      <w:pPr>
        <w:spacing w:after="0" w:line="1" w:lineRule="exact"/>
        <w:rPr>
          <w:sz w:val="20"/>
          <w:szCs w:val="20"/>
          <w:color w:val="auto"/>
        </w:rPr>
      </w:pPr>
    </w:p>
    <w:p>
      <w:pPr>
        <w:ind w:left="660" w:right="200"/>
        <w:spacing w:after="0" w:line="268" w:lineRule="auto"/>
        <w:rPr>
          <w:sz w:val="20"/>
          <w:szCs w:val="20"/>
          <w:color w:val="auto"/>
        </w:rPr>
      </w:pPr>
      <w:r>
        <w:rPr>
          <w:rFonts w:ascii="Arial" w:cs="Arial" w:eastAsia="Arial" w:hAnsi="Arial"/>
          <w:sz w:val="16"/>
          <w:szCs w:val="16"/>
          <w:color w:val="auto"/>
        </w:rPr>
        <w:t>distributed allocation of responsibilities among the various Committees helps ensure dedicated attention to implementation of our corporate citizenship strategy. In 2025, the Board, in full and in individual committees, discussed a range of corporate citizenship topics, including the six corporate citizenship focus areas identifed above, as well as political engagement and contributions, technology, data privacy and artifcial intelligence.</w:t>
      </w:r>
    </w:p>
    <w:p>
      <w:pPr>
        <w:spacing w:after="0" w:line="56" w:lineRule="exact"/>
        <w:rPr>
          <w:sz w:val="20"/>
          <w:szCs w:val="20"/>
          <w:color w:val="auto"/>
        </w:rPr>
      </w:pPr>
    </w:p>
    <w:p>
      <w:pPr>
        <w:ind w:left="660" w:right="180"/>
        <w:spacing w:after="0" w:line="250" w:lineRule="auto"/>
        <w:rPr>
          <w:sz w:val="20"/>
          <w:szCs w:val="20"/>
          <w:color w:val="auto"/>
        </w:rPr>
      </w:pPr>
      <w:r>
        <w:rPr>
          <w:rFonts w:ascii="Arial" w:cs="Arial" w:eastAsia="Arial" w:hAnsi="Arial"/>
          <w:sz w:val="16"/>
          <w:szCs w:val="16"/>
          <w:color w:val="auto"/>
        </w:rPr>
        <w:t>United’s executive team also provides management-level oversight over United’s corporate citizenship strategy and is responsible for reviewing, refning and implementing long-term corporate citizenship strategies and periodically updating the full Board and the Committees, as applicable, on issues related to the implementation of the corporate citizenship strategies. Through the review process and ongoing check-ins with United team leaders of our corporate</w:t>
      </w:r>
    </w:p>
    <w:p>
      <w:pPr>
        <w:spacing w:after="0" w:line="3" w:lineRule="exact"/>
        <w:rPr>
          <w:sz w:val="20"/>
          <w:szCs w:val="20"/>
          <w:color w:val="auto"/>
        </w:rPr>
      </w:pPr>
    </w:p>
    <w:p>
      <w:pPr>
        <w:ind w:left="660" w:right="60"/>
        <w:spacing w:after="0" w:line="279" w:lineRule="auto"/>
        <w:rPr>
          <w:sz w:val="20"/>
          <w:szCs w:val="20"/>
          <w:color w:val="auto"/>
        </w:rPr>
      </w:pPr>
      <w:r>
        <w:rPr>
          <w:rFonts w:ascii="Arial" w:cs="Arial" w:eastAsia="Arial" w:hAnsi="Arial"/>
          <w:sz w:val="16"/>
          <w:szCs w:val="16"/>
          <w:color w:val="auto"/>
        </w:rPr>
        <w:t>citizenship focus areas, United’s executive team approves the creation of corporate citizenship goals and initiatives and monitors progress toward the goals by maintaining regular communication with dedicated teams of corporate citizenship professionals and subject-matter experts throughout the Company.</w:t>
      </w:r>
    </w:p>
    <w:p>
      <w:pPr>
        <w:sectPr>
          <w:pgSz w:w="11900" w:h="16838" w:orient="portrait"/>
          <w:cols w:equalWidth="0" w:num="1">
            <w:col w:w="9720"/>
          </w:cols>
          <w:pgMar w:left="1080" w:top="695"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ind w:right="7720"/>
        <w:spacing w:after="0"/>
        <w:rPr>
          <w:sz w:val="20"/>
          <w:szCs w:val="20"/>
          <w:color w:val="auto"/>
        </w:rPr>
      </w:pPr>
      <w:r>
        <w:rPr>
          <w:rFonts w:ascii="Arial" w:cs="Arial" w:eastAsia="Arial" w:hAnsi="Arial"/>
          <w:sz w:val="16"/>
          <w:szCs w:val="16"/>
          <w:color w:val="auto"/>
        </w:rPr>
        <w:t>​​2026​  Proxy</w:t>
      </w:r>
    </w:p>
    <w:p>
      <w:pPr>
        <w:spacing w:after="0" w:line="5" w:lineRule="exact"/>
        <w:rPr>
          <w:sz w:val="20"/>
          <w:szCs w:val="20"/>
          <w:color w:val="auto"/>
        </w:rPr>
      </w:pPr>
    </w:p>
    <w:p>
      <w:pPr>
        <w:ind w:left="660" w:hanging="656"/>
        <w:spacing w:after="0"/>
        <w:tabs>
          <w:tab w:leader="none" w:pos="660" w:val="left"/>
        </w:tabs>
        <w:numPr>
          <w:ilvl w:val="0"/>
          <w:numId w:val="23"/>
        </w:numPr>
        <w:rPr>
          <w:rFonts w:ascii="Arial" w:cs="Arial" w:eastAsia="Arial" w:hAnsi="Arial"/>
          <w:sz w:val="16"/>
          <w:szCs w:val="16"/>
          <w:b w:val="1"/>
          <w:bCs w:val="1"/>
          <w:color w:val="1414D2"/>
        </w:rPr>
      </w:pPr>
      <w:r>
        <w:rPr>
          <w:rFonts w:ascii="Arial" w:cs="Arial" w:eastAsia="Arial" w:hAnsi="Arial"/>
          <w:sz w:val="16"/>
          <w:szCs w:val="16"/>
          <w:color w:val="auto"/>
        </w:rPr>
        <w:t>Statement</w:t>
      </w:r>
    </w:p>
    <w:p>
      <w:pPr>
        <w:sectPr>
          <w:pgSz w:w="11900" w:h="16838" w:orient="portrait"/>
          <w:cols w:equalWidth="0" w:num="1">
            <w:col w:w="9720"/>
          </w:cols>
          <w:pgMar w:left="1080" w:top="695" w:right="109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27" w:lineRule="exact"/>
        <w:rPr>
          <w:sz w:val="20"/>
          <w:szCs w:val="20"/>
          <w:color w:val="auto"/>
        </w:rPr>
      </w:pPr>
    </w:p>
    <w:p>
      <w:pPr>
        <w:ind w:left="5500"/>
        <w:spacing w:after="0"/>
        <w:rPr>
          <w:sz w:val="20"/>
          <w:szCs w:val="20"/>
          <w:color w:val="auto"/>
        </w:rPr>
      </w:pPr>
      <w:r>
        <w:rPr>
          <w:rFonts w:ascii="Arial" w:cs="Arial" w:eastAsia="Arial" w:hAnsi="Arial"/>
          <w:sz w:val="14"/>
          <w:szCs w:val="14"/>
          <w:color w:val="6D6F71"/>
        </w:rPr>
        <w:t>United’s  Approach  to  Corporate  Citizenship  and  Value  Creation</w:t>
      </w:r>
    </w:p>
    <w:p>
      <w:pPr>
        <w:spacing w:after="0" w:line="225" w:lineRule="exact"/>
        <w:rPr>
          <w:sz w:val="20"/>
          <w:szCs w:val="20"/>
          <w:color w:val="auto"/>
        </w:rPr>
      </w:pPr>
    </w:p>
    <w:p>
      <w:pPr>
        <w:ind w:left="680" w:right="60" w:hanging="325"/>
        <w:spacing w:after="0" w:line="312" w:lineRule="auto"/>
        <w:tabs>
          <w:tab w:leader="none" w:pos="680"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Transparency of United Corporate Citizenship Strategy</w:t>
      </w:r>
      <w:r>
        <w:rPr>
          <w:rFonts w:ascii="Arial" w:cs="Arial" w:eastAsia="Arial" w:hAnsi="Arial"/>
          <w:sz w:val="16"/>
          <w:szCs w:val="16"/>
          <w:color w:val="auto"/>
        </w:rPr>
        <w:t>: We place a high priority on active stakeholder engagement</w:t>
      </w:r>
      <w:r>
        <w:rPr>
          <w:rFonts w:ascii="Arial" w:cs="Arial" w:eastAsia="Arial" w:hAnsi="Arial"/>
          <w:sz w:val="16"/>
          <w:szCs w:val="16"/>
          <w:b w:val="1"/>
          <w:bCs w:val="1"/>
          <w:color w:val="auto"/>
        </w:rPr>
        <w:t xml:space="preserve"> </w:t>
      </w:r>
      <w:r>
        <w:rPr>
          <w:rFonts w:ascii="Arial" w:cs="Arial" w:eastAsia="Arial" w:hAnsi="Arial"/>
          <w:sz w:val="16"/>
          <w:szCs w:val="16"/>
          <w:color w:val="auto"/>
        </w:rPr>
        <w:t>and robust public reporting of our corporate citizenship strategy, initiatives and goals.</w:t>
      </w:r>
    </w:p>
    <w:p>
      <w:pPr>
        <w:spacing w:after="0" w:line="20" w:lineRule="exact"/>
        <w:rPr>
          <w:sz w:val="20"/>
          <w:szCs w:val="20"/>
          <w:color w:val="auto"/>
        </w:rPr>
      </w:pPr>
    </w:p>
    <w:p>
      <w:pPr>
        <w:ind w:left="660" w:right="660"/>
        <w:spacing w:after="0" w:line="255" w:lineRule="auto"/>
        <w:rPr>
          <w:sz w:val="20"/>
          <w:szCs w:val="20"/>
          <w:color w:val="auto"/>
        </w:rPr>
      </w:pPr>
      <w:r>
        <w:rPr>
          <w:rFonts w:ascii="Arial" w:cs="Arial" w:eastAsia="Arial" w:hAnsi="Arial"/>
          <w:sz w:val="16"/>
          <w:szCs w:val="16"/>
          <w:color w:val="auto"/>
        </w:rPr>
        <w:t>Throughout 2025, the Corporate Secretary’s Ofce, in partnership with Investor Relations, hosted calls with stakeholders and investor groups focusing specifcally on Board and Committee oversight of various corporate</w:t>
      </w:r>
    </w:p>
    <w:p>
      <w:pPr>
        <w:spacing w:after="0" w:line="1" w:lineRule="exact"/>
        <w:rPr>
          <w:sz w:val="20"/>
          <w:szCs w:val="20"/>
          <w:color w:val="auto"/>
        </w:rPr>
      </w:pPr>
    </w:p>
    <w:p>
      <w:pPr>
        <w:ind w:left="660" w:right="700"/>
        <w:spacing w:after="0" w:line="268" w:lineRule="auto"/>
        <w:rPr>
          <w:sz w:val="20"/>
          <w:szCs w:val="20"/>
          <w:color w:val="auto"/>
        </w:rPr>
      </w:pPr>
      <w:r>
        <w:rPr>
          <w:rFonts w:ascii="Arial" w:cs="Arial" w:eastAsia="Arial" w:hAnsi="Arial"/>
          <w:sz w:val="16"/>
          <w:szCs w:val="16"/>
          <w:color w:val="auto"/>
        </w:rPr>
        <w:t>citizenship matters, including environmental sustainability topics, such as our stated greenhouse gas (“GHG”) emissions goals and eforts to source and scale SAF; human capital management, including our people impact initiatives; how we have invested in our team; our labor relations; and our responsible sourcing initiatives. Our stakeholder engagement enables us to better understand our stakeholders’ priorities and perspectives.</w:t>
      </w:r>
    </w:p>
    <w:p>
      <w:pPr>
        <w:spacing w:after="0" w:line="56" w:lineRule="exact"/>
        <w:rPr>
          <w:sz w:val="20"/>
          <w:szCs w:val="20"/>
          <w:color w:val="auto"/>
        </w:rPr>
      </w:pPr>
    </w:p>
    <w:p>
      <w:pPr>
        <w:ind w:left="660" w:right="280"/>
        <w:spacing w:after="0" w:line="279" w:lineRule="auto"/>
        <w:rPr>
          <w:sz w:val="20"/>
          <w:szCs w:val="20"/>
          <w:color w:val="auto"/>
        </w:rPr>
      </w:pPr>
      <w:r>
        <w:rPr>
          <w:rFonts w:ascii="Arial" w:cs="Arial" w:eastAsia="Arial" w:hAnsi="Arial"/>
          <w:sz w:val="16"/>
          <w:szCs w:val="16"/>
          <w:color w:val="auto"/>
        </w:rPr>
        <w:t>We believe that our stakeholder engagement program is successful in part because our public disclosures allow our various stakeholders to measure our performance and track our progress against our goals. Examples of our disclosures include the following:</w:t>
      </w:r>
    </w:p>
    <w:p>
      <w:pPr>
        <w:spacing w:after="0" w:line="33" w:lineRule="exact"/>
        <w:rPr>
          <w:sz w:val="20"/>
          <w:szCs w:val="20"/>
          <w:color w:val="auto"/>
        </w:rPr>
      </w:pPr>
    </w:p>
    <w:p>
      <w:pPr>
        <w:ind w:left="1000" w:right="100" w:hanging="321"/>
        <w:spacing w:after="0" w:line="278" w:lineRule="auto"/>
        <w:tabs>
          <w:tab w:leader="none" w:pos="1000" w:val="left"/>
        </w:tabs>
        <w:numPr>
          <w:ilvl w:val="0"/>
          <w:numId w:val="25"/>
        </w:numPr>
        <w:rPr>
          <w:rFonts w:ascii="Courier New" w:cs="Courier New" w:eastAsia="Courier New" w:hAnsi="Courier New"/>
          <w:sz w:val="16"/>
          <w:szCs w:val="16"/>
          <w:color w:val="auto"/>
        </w:rPr>
      </w:pPr>
      <w:r>
        <w:rPr>
          <w:rFonts w:ascii="Arial" w:cs="Arial" w:eastAsia="Arial" w:hAnsi="Arial"/>
          <w:sz w:val="16"/>
          <w:szCs w:val="16"/>
          <w:color w:val="auto"/>
        </w:rPr>
        <w:t>In our most recent Corporate Impact Report, we provided an update on our corporate citizenship strategy, initiatives and goals. The report can be found at corporateimpact.united.com. Neither the report nor the contents are incorporated by reference into this proxy statement.</w:t>
      </w:r>
    </w:p>
    <w:p>
      <w:pPr>
        <w:spacing w:after="0" w:line="32" w:lineRule="exact"/>
        <w:rPr>
          <w:rFonts w:ascii="Courier New" w:cs="Courier New" w:eastAsia="Courier New" w:hAnsi="Courier New"/>
          <w:sz w:val="16"/>
          <w:szCs w:val="16"/>
          <w:color w:val="auto"/>
        </w:rPr>
      </w:pPr>
    </w:p>
    <w:p>
      <w:pPr>
        <w:ind w:left="1000" w:right="180" w:hanging="321"/>
        <w:spacing w:after="0" w:line="286" w:lineRule="auto"/>
        <w:tabs>
          <w:tab w:leader="none" w:pos="1000" w:val="left"/>
        </w:tabs>
        <w:numPr>
          <w:ilvl w:val="0"/>
          <w:numId w:val="25"/>
        </w:numPr>
        <w:rPr>
          <w:rFonts w:ascii="Courier New" w:cs="Courier New" w:eastAsia="Courier New" w:hAnsi="Courier New"/>
          <w:sz w:val="16"/>
          <w:szCs w:val="16"/>
          <w:color w:val="auto"/>
        </w:rPr>
      </w:pPr>
      <w:r>
        <w:rPr>
          <w:rFonts w:ascii="Arial" w:cs="Arial" w:eastAsia="Arial" w:hAnsi="Arial"/>
          <w:sz w:val="16"/>
          <w:szCs w:val="16"/>
          <w:color w:val="auto"/>
        </w:rPr>
        <w:t>We disclosed key corporate citizenship qualitative and quantitative data in our Annual Report on Form 10-K, including our Scope 1 (direct), Scope 2 (indirect) and Scope 3 (other indirect) GHG emissions and carbon intensity emission rates.</w:t>
      </w:r>
    </w:p>
    <w:p>
      <w:pPr>
        <w:spacing w:after="0" w:line="233" w:lineRule="exact"/>
        <w:rPr>
          <w:rFonts w:ascii="Courier New" w:cs="Courier New" w:eastAsia="Courier New" w:hAnsi="Courier New"/>
          <w:sz w:val="16"/>
          <w:szCs w:val="16"/>
          <w:color w:val="auto"/>
        </w:rPr>
      </w:pPr>
    </w:p>
    <w:p>
      <w:pPr>
        <w:ind w:left="1000" w:right="20" w:hanging="321"/>
        <w:spacing w:after="0" w:line="267" w:lineRule="auto"/>
        <w:tabs>
          <w:tab w:leader="none" w:pos="1000" w:val="left"/>
        </w:tabs>
        <w:numPr>
          <w:ilvl w:val="0"/>
          <w:numId w:val="25"/>
        </w:numPr>
        <w:rPr>
          <w:rFonts w:ascii="Courier New" w:cs="Courier New" w:eastAsia="Courier New" w:hAnsi="Courier New"/>
          <w:sz w:val="16"/>
          <w:szCs w:val="16"/>
          <w:color w:val="auto"/>
        </w:rPr>
      </w:pPr>
      <w:r>
        <w:rPr>
          <w:rFonts w:ascii="Arial" w:cs="Arial" w:eastAsia="Arial" w:hAnsi="Arial"/>
          <w:sz w:val="16"/>
          <w:szCs w:val="16"/>
          <w:color w:val="auto"/>
        </w:rPr>
        <w:t>We reported information around performance and progress toward our environmental sustainability-related goals in alignment with recognized external corporate citizenship reporting frameworks, including the former Task Force on Climate-related Financial Disclosures, now incorporated in the International Sustainability Standards Board (ISSB) standards.</w:t>
      </w:r>
    </w:p>
    <w:p>
      <w:pPr>
        <w:spacing w:after="0" w:line="43" w:lineRule="exact"/>
        <w:rPr>
          <w:rFonts w:ascii="Courier New" w:cs="Courier New" w:eastAsia="Courier New" w:hAnsi="Courier New"/>
          <w:sz w:val="16"/>
          <w:szCs w:val="16"/>
          <w:color w:val="auto"/>
        </w:rPr>
      </w:pPr>
    </w:p>
    <w:p>
      <w:pPr>
        <w:ind w:left="1000" w:right="360" w:hanging="321"/>
        <w:spacing w:after="0" w:line="312" w:lineRule="auto"/>
        <w:tabs>
          <w:tab w:leader="none" w:pos="1000" w:val="left"/>
        </w:tabs>
        <w:numPr>
          <w:ilvl w:val="0"/>
          <w:numId w:val="25"/>
        </w:numPr>
        <w:rPr>
          <w:rFonts w:ascii="Courier New" w:cs="Courier New" w:eastAsia="Courier New" w:hAnsi="Courier New"/>
          <w:sz w:val="16"/>
          <w:szCs w:val="16"/>
          <w:color w:val="auto"/>
        </w:rPr>
      </w:pPr>
      <w:r>
        <w:rPr>
          <w:rFonts w:ascii="Arial" w:cs="Arial" w:eastAsia="Arial" w:hAnsi="Arial"/>
          <w:sz w:val="16"/>
          <w:szCs w:val="16"/>
          <w:color w:val="auto"/>
        </w:rPr>
        <w:t>We issued our “Climate Lobbying Report: Aligning Climate Leadership with Advocacy” in 2022, which describes how our lobbying practices are aligned with our environmental sustainability strategy.</w:t>
      </w:r>
    </w:p>
    <w:p>
      <w:pPr>
        <w:spacing w:after="0" w:line="3" w:lineRule="exact"/>
        <w:rPr>
          <w:sz w:val="20"/>
          <w:szCs w:val="20"/>
          <w:color w:val="auto"/>
        </w:rPr>
      </w:pPr>
    </w:p>
    <w:p>
      <w:pPr>
        <w:ind w:left="660" w:right="480"/>
        <w:spacing w:after="0" w:line="330" w:lineRule="auto"/>
        <w:rPr>
          <w:sz w:val="20"/>
          <w:szCs w:val="20"/>
          <w:color w:val="auto"/>
        </w:rPr>
      </w:pPr>
      <w:r>
        <w:rPr>
          <w:rFonts w:ascii="Arial" w:cs="Arial" w:eastAsia="Arial" w:hAnsi="Arial"/>
          <w:sz w:val="16"/>
          <w:szCs w:val="16"/>
          <w:color w:val="auto"/>
        </w:rPr>
        <w:t>We will continue to evaluate our corporate citizenship strategy and disclosures as we develop and implement our corporate citizenship strategy.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2026  Proxy  Statement</w:t>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1414D2"/>
        </w:rPr>
        <w:t>15</w:t>
      </w:r>
    </w:p>
    <w:p>
      <w:pPr>
        <w:sectPr>
          <w:pgSz w:w="11900" w:h="16838" w:orient="portrait"/>
          <w:cols w:equalWidth="0" w:num="1">
            <w:col w:w="9720"/>
          </w:cols>
          <w:pgMar w:left="1080" w:top="695" w:right="1099" w:bottom="1440" w:gutter="0" w:footer="0" w:header="0"/>
        </w:sectPr>
      </w:pPr>
    </w:p>
    <w:bookmarkStart w:id="26" w:name="page27"/>
    <w:bookmarkEnd w:id="26"/>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16"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Item 1-Election of Directors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auto"/>
        </w:rPr>
        <w:t>Our  Amended  and  Restated  Bylaws  provide  that  the  number  of  directors  shall  be  determined  by  the  Board,  which  has  currently</w:t>
      </w:r>
    </w:p>
    <w:p>
      <w:pPr>
        <w:spacing w:after="0" w:line="30" w:lineRule="exact"/>
        <w:rPr>
          <w:sz w:val="20"/>
          <w:szCs w:val="20"/>
          <w:color w:val="auto"/>
        </w:rPr>
      </w:pPr>
    </w:p>
    <w:p>
      <w:pPr>
        <w:ind w:right="120"/>
        <w:spacing w:after="0" w:line="246" w:lineRule="auto"/>
        <w:rPr>
          <w:sz w:val="20"/>
          <w:szCs w:val="20"/>
          <w:color w:val="auto"/>
        </w:rPr>
      </w:pPr>
      <w:r>
        <w:rPr>
          <w:rFonts w:ascii="Arial" w:cs="Arial" w:eastAsia="Arial" w:hAnsi="Arial"/>
          <w:sz w:val="16"/>
          <w:szCs w:val="16"/>
          <w:color w:val="auto"/>
        </w:rPr>
        <w:t>set the number at 13. The Board reserves the right to increase or decrease its size at any time. Upon the recommendation of the Nominating/Governance Committee, which consists of only independent directors, the Board has unanimously nominated 11 nominees (Ms. Brewer, Ms. Freyre, Mr. Friend, Mr. Harford, Ms. Hooper, Mr. Isaacson, Mr. Kirby, Mr. Philip, Mr. Shapiro,</w:t>
      </w:r>
    </w:p>
    <w:p>
      <w:pPr>
        <w:spacing w:after="0" w:line="1" w:lineRule="exact"/>
        <w:rPr>
          <w:sz w:val="20"/>
          <w:szCs w:val="20"/>
          <w:color w:val="auto"/>
        </w:rPr>
      </w:pPr>
    </w:p>
    <w:p>
      <w:pPr>
        <w:ind w:right="20"/>
        <w:spacing w:after="0" w:line="325" w:lineRule="auto"/>
        <w:rPr>
          <w:sz w:val="20"/>
          <w:szCs w:val="20"/>
          <w:color w:val="auto"/>
        </w:rPr>
      </w:pPr>
      <w:r>
        <w:rPr>
          <w:rFonts w:ascii="Arial" w:cs="Arial" w:eastAsia="Arial" w:hAnsi="Arial"/>
          <w:sz w:val="16"/>
          <w:szCs w:val="16"/>
          <w:color w:val="auto"/>
        </w:rPr>
        <w:t>Ms. Ward and Mr. Whitehurst) for election by the holders of shares of Common Stock as directors of the Company at the Annual Meeting. Proxies cannot be voted for a greater number of persons than the number of nominees named.</w:t>
      </w:r>
    </w:p>
    <w:p>
      <w:pPr>
        <w:spacing w:after="0" w:line="1" w:lineRule="exact"/>
        <w:rPr>
          <w:sz w:val="20"/>
          <w:szCs w:val="20"/>
          <w:color w:val="auto"/>
        </w:rPr>
      </w:pPr>
    </w:p>
    <w:p>
      <w:pPr>
        <w:ind w:right="280"/>
        <w:spacing w:after="0" w:line="279" w:lineRule="auto"/>
        <w:rPr>
          <w:sz w:val="20"/>
          <w:szCs w:val="20"/>
          <w:color w:val="auto"/>
        </w:rPr>
      </w:pPr>
      <w:r>
        <w:rPr>
          <w:rFonts w:ascii="Arial" w:cs="Arial" w:eastAsia="Arial" w:hAnsi="Arial"/>
          <w:sz w:val="16"/>
          <w:szCs w:val="16"/>
          <w:color w:val="auto"/>
        </w:rPr>
        <w:t>The ALPA, the sole holder of the Company’s Class Pilot MEC Junior Preferred Stock, which provides the ALPA with the right to elect one member to the Board at each annual meeting of stockholders (the “ALPA director”), has nominated and intends to elect Captain Noyes as the ALPA director at the Annual Meeting.</w:t>
      </w:r>
    </w:p>
    <w:p>
      <w:pPr>
        <w:spacing w:after="0" w:line="47" w:lineRule="exact"/>
        <w:rPr>
          <w:sz w:val="20"/>
          <w:szCs w:val="20"/>
          <w:color w:val="auto"/>
        </w:rPr>
      </w:pPr>
    </w:p>
    <w:p>
      <w:pPr>
        <w:ind w:right="120"/>
        <w:spacing w:after="0" w:line="279" w:lineRule="auto"/>
        <w:rPr>
          <w:sz w:val="20"/>
          <w:szCs w:val="20"/>
          <w:color w:val="auto"/>
        </w:rPr>
      </w:pPr>
      <w:r>
        <w:rPr>
          <w:rFonts w:ascii="Arial" w:cs="Arial" w:eastAsia="Arial" w:hAnsi="Arial"/>
          <w:sz w:val="16"/>
          <w:szCs w:val="16"/>
          <w:color w:val="auto"/>
        </w:rPr>
        <w:t>The IAM, the sole holder of the Company’s Class IAM Junior Preferred Stock, which provides the IAM with the right to elect one member to the Board at each annual meeting of stockholders (the “IAM director”), has nominated and intends to reelect Mr. Johnsen at the Annual Meeting.</w:t>
      </w:r>
    </w:p>
    <w:p>
      <w:pPr>
        <w:spacing w:after="0" w:line="47" w:lineRule="exact"/>
        <w:rPr>
          <w:sz w:val="20"/>
          <w:szCs w:val="20"/>
          <w:color w:val="auto"/>
        </w:rPr>
      </w:pPr>
    </w:p>
    <w:p>
      <w:pPr>
        <w:spacing w:after="0"/>
        <w:rPr>
          <w:sz w:val="20"/>
          <w:szCs w:val="20"/>
          <w:color w:val="auto"/>
        </w:rPr>
      </w:pPr>
      <w:r>
        <w:rPr>
          <w:rFonts w:ascii="Arial" w:cs="Arial" w:eastAsia="Arial" w:hAnsi="Arial"/>
          <w:sz w:val="15"/>
          <w:szCs w:val="15"/>
          <w:color w:val="auto"/>
        </w:rPr>
        <w:t>Each  Board  nominee  being  voted  on  by  holders  of  Common  Stock  was  elected  by  our  stockholders  at  the  2025  annual  meeting.</w:t>
      </w:r>
    </w:p>
    <w:p>
      <w:pPr>
        <w:spacing w:after="0" w:line="125" w:lineRule="exact"/>
        <w:rPr>
          <w:sz w:val="20"/>
          <w:szCs w:val="20"/>
          <w:color w:val="auto"/>
        </w:rPr>
      </w:pPr>
    </w:p>
    <w:p>
      <w:pPr>
        <w:ind w:right="120"/>
        <w:spacing w:after="0" w:line="252" w:lineRule="auto"/>
        <w:rPr>
          <w:sz w:val="20"/>
          <w:szCs w:val="20"/>
          <w:color w:val="auto"/>
        </w:rPr>
      </w:pPr>
      <w:r>
        <w:rPr>
          <w:rFonts w:ascii="Arial" w:cs="Arial" w:eastAsia="Arial" w:hAnsi="Arial"/>
          <w:sz w:val="16"/>
          <w:szCs w:val="16"/>
          <w:color w:val="auto"/>
        </w:rPr>
        <w:t>In accordance with our Amended and Restated Certifcate of Incorporation and Amended and Restated Bylaws, we have a declassifed Board, which means that if elected each nominee will serve a one-year term of ofce that would expire at the next annual meeting of stockholders. Each director will hold ofce until his or her successor is elected and qualifed or until his or</w:t>
      </w:r>
    </w:p>
    <w:p>
      <w:pPr>
        <w:spacing w:after="0" w:line="1"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her earlier resignation, removal from ofce or death. Each of the directors nominated by the Board has consented to serving as a nominee, being named in this Proxy Statement and serving on the Board, if elected. Consequently, the Board knows of no reason why any of the nominees would be unable or unwilling to serve. However, if for any reason any nominee is unable or unwilling to serve as a director, your proxy authorizes the people named as proxies to vote for a replacement nominee if the</w:t>
      </w:r>
    </w:p>
    <w:p>
      <w:pPr>
        <w:spacing w:after="0" w:line="3"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Board names one. Alternatively, the Board may reduce the number of directors who serve on the Board to eliminate the vacancy. In accordance with our Corporate Governance Guidelines, any nominee who is currently a director and for whom more votes are cast against than are cast for must ofer to resign from the Board. There are no family relationships among the director nominees or between the director nominees and any executive ofcer.</w:t>
      </w:r>
    </w:p>
    <w:p>
      <w:pPr>
        <w:spacing w:after="0" w:line="56" w:lineRule="exact"/>
        <w:rPr>
          <w:sz w:val="20"/>
          <w:szCs w:val="20"/>
          <w:color w:val="auto"/>
        </w:rPr>
      </w:pPr>
    </w:p>
    <w:p>
      <w:pPr>
        <w:ind w:right="280"/>
        <w:spacing w:after="0" w:line="313" w:lineRule="auto"/>
        <w:rPr>
          <w:sz w:val="20"/>
          <w:szCs w:val="20"/>
          <w:color w:val="auto"/>
        </w:rPr>
      </w:pPr>
      <w:r>
        <w:rPr>
          <w:rFonts w:ascii="Arial" w:cs="Arial" w:eastAsia="Arial" w:hAnsi="Arial"/>
          <w:sz w:val="16"/>
          <w:szCs w:val="16"/>
          <w:color w:val="auto"/>
        </w:rPr>
        <w:t>The Board asks in Item 1 for your voting support so we can continue our important work and build on our success. All of the nominees are expected to attend the Annual Meeting.</w:t>
      </w:r>
    </w:p>
    <w:p>
      <w:pPr>
        <w:sectPr>
          <w:pgSz w:w="11900" w:h="16838" w:orient="portrait"/>
          <w:cols w:equalWidth="0" w:num="1">
            <w:col w:w="9700"/>
          </w:cols>
          <w:pgMar w:left="1080" w:top="695" w:right="11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The Board Recommends</w:t>
      </w:r>
    </w:p>
    <w:p>
      <w:pPr>
        <w:spacing w:after="0" w:line="19" w:lineRule="exact"/>
        <w:rPr>
          <w:sz w:val="20"/>
          <w:szCs w:val="20"/>
          <w:color w:val="auto"/>
        </w:rPr>
      </w:pPr>
    </w:p>
    <w:p>
      <w:pPr>
        <w:ind w:left="240"/>
        <w:spacing w:after="0" w:line="313" w:lineRule="auto"/>
        <w:rPr>
          <w:sz w:val="20"/>
          <w:szCs w:val="20"/>
          <w:color w:val="auto"/>
        </w:rPr>
      </w:pPr>
      <w:r>
        <w:rPr>
          <w:rFonts w:ascii="Arial" w:cs="Arial" w:eastAsia="Arial" w:hAnsi="Arial"/>
          <w:sz w:val="16"/>
          <w:szCs w:val="16"/>
          <w:b w:val="1"/>
          <w:bCs w:val="1"/>
          <w:color w:val="auto"/>
        </w:rPr>
        <w:t xml:space="preserve">you vote </w:t>
      </w:r>
      <w:r>
        <w:rPr>
          <w:rFonts w:ascii="Arial" w:cs="Arial" w:eastAsia="Arial" w:hAnsi="Arial"/>
          <w:sz w:val="16"/>
          <w:szCs w:val="16"/>
          <w:b w:val="1"/>
          <w:bCs w:val="1"/>
          <w:color w:val="1414D2"/>
        </w:rPr>
        <w:t>FOR</w:t>
      </w:r>
      <w:r>
        <w:rPr>
          <w:rFonts w:ascii="Arial" w:cs="Arial" w:eastAsia="Arial" w:hAnsi="Arial"/>
          <w:sz w:val="16"/>
          <w:szCs w:val="16"/>
          <w:b w:val="1"/>
          <w:bCs w:val="1"/>
          <w:color w:val="auto"/>
        </w:rPr>
        <w:t xml:space="preserve"> each of the nominees</w:t>
      </w:r>
    </w:p>
    <w:p>
      <w:pPr>
        <w:spacing w:after="0" w:line="20" w:lineRule="exact"/>
        <w:rPr>
          <w:sz w:val="20"/>
          <w:szCs w:val="20"/>
          <w:color w:val="auto"/>
        </w:rPr>
      </w:pPr>
      <w:r>
        <w:rPr>
          <w:sz w:val="20"/>
          <w:szCs w:val="20"/>
          <w:color w:val="auto"/>
        </w:rPr>
        <w:br w:type="column"/>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Vote Required</w:t>
      </w:r>
    </w:p>
    <w:p>
      <w:pPr>
        <w:spacing w:after="0" w:line="127" w:lineRule="exact"/>
        <w:rPr>
          <w:sz w:val="20"/>
          <w:szCs w:val="20"/>
          <w:color w:val="auto"/>
        </w:rPr>
      </w:pPr>
    </w:p>
    <w:p>
      <w:pPr>
        <w:ind w:right="260"/>
        <w:spacing w:after="0" w:line="279" w:lineRule="auto"/>
        <w:rPr>
          <w:sz w:val="20"/>
          <w:szCs w:val="20"/>
          <w:color w:val="auto"/>
        </w:rPr>
      </w:pPr>
      <w:r>
        <w:rPr>
          <w:rFonts w:ascii="Arial" w:cs="Arial" w:eastAsia="Arial" w:hAnsi="Arial"/>
          <w:sz w:val="16"/>
          <w:szCs w:val="16"/>
          <w:color w:val="auto"/>
        </w:rPr>
        <w:t>We have implemented majority voting in uncontested elections of directors. Accordingly, our bylaws provide that each director will be elected by vote of a majority of the votes cast with respect to that director’s election.</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Abstentions  and  broker  non-votes  will  have  no  efect  on  the  election  of  directors.</w:t>
      </w:r>
    </w:p>
    <w:p>
      <w:pPr>
        <w:spacing w:after="0" w:line="306" w:lineRule="exact"/>
        <w:rPr>
          <w:sz w:val="20"/>
          <w:szCs w:val="20"/>
          <w:color w:val="auto"/>
        </w:rPr>
      </w:pPr>
    </w:p>
    <w:p>
      <w:pPr>
        <w:sectPr>
          <w:pgSz w:w="11900" w:h="16838" w:orient="portrait"/>
          <w:cols w:equalWidth="0" w:num="2">
            <w:col w:w="2240" w:space="380"/>
            <w:col w:w="7080"/>
          </w:cols>
          <w:pgMar w:left="1080" w:top="695" w:right="11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right"/>
        <w:ind w:right="7700"/>
        <w:spacing w:after="0"/>
        <w:rPr>
          <w:sz w:val="20"/>
          <w:szCs w:val="20"/>
          <w:color w:val="auto"/>
        </w:rPr>
      </w:pPr>
      <w:r>
        <w:rPr>
          <w:rFonts w:ascii="Arial" w:cs="Arial" w:eastAsia="Arial" w:hAnsi="Arial"/>
          <w:sz w:val="16"/>
          <w:szCs w:val="16"/>
          <w:color w:val="auto"/>
        </w:rPr>
        <w:t>​​2026​  Proxy</w:t>
      </w:r>
    </w:p>
    <w:p>
      <w:pPr>
        <w:spacing w:after="0" w:line="5" w:lineRule="exact"/>
        <w:rPr>
          <w:sz w:val="20"/>
          <w:szCs w:val="20"/>
          <w:color w:val="auto"/>
        </w:rPr>
      </w:pPr>
    </w:p>
    <w:p>
      <w:pPr>
        <w:ind w:left="660" w:hanging="656"/>
        <w:spacing w:after="0"/>
        <w:tabs>
          <w:tab w:leader="none" w:pos="660" w:val="left"/>
        </w:tabs>
        <w:numPr>
          <w:ilvl w:val="0"/>
          <w:numId w:val="26"/>
        </w:numPr>
        <w:rPr>
          <w:rFonts w:ascii="Arial" w:cs="Arial" w:eastAsia="Arial" w:hAnsi="Arial"/>
          <w:sz w:val="16"/>
          <w:szCs w:val="16"/>
          <w:b w:val="1"/>
          <w:bCs w:val="1"/>
          <w:color w:val="1414D2"/>
        </w:rPr>
      </w:pPr>
      <w:r>
        <w:rPr>
          <w:rFonts w:ascii="Arial" w:cs="Arial" w:eastAsia="Arial" w:hAnsi="Arial"/>
          <w:sz w:val="16"/>
          <w:szCs w:val="16"/>
          <w:color w:val="auto"/>
        </w:rPr>
        <w:t>Statement</w:t>
      </w:r>
    </w:p>
    <w:p>
      <w:pPr>
        <w:sectPr>
          <w:pgSz w:w="11900" w:h="16838" w:orient="portrait"/>
          <w:cols w:equalWidth="0" w:num="1">
            <w:col w:w="9700"/>
          </w:cols>
          <w:pgMar w:left="1080" w:top="695" w:right="111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27" w:lineRule="exact"/>
        <w:rPr>
          <w:sz w:val="20"/>
          <w:szCs w:val="20"/>
          <w:color w:val="auto"/>
        </w:rPr>
      </w:pPr>
    </w:p>
    <w:p>
      <w:pPr>
        <w:jc w:val="right"/>
        <w:spacing w:after="0"/>
        <w:rPr>
          <w:sz w:val="20"/>
          <w:szCs w:val="20"/>
          <w:color w:val="auto"/>
        </w:rPr>
      </w:pPr>
      <w:r>
        <w:rPr>
          <w:rFonts w:ascii="Arial" w:cs="Arial" w:eastAsia="Arial" w:hAnsi="Arial"/>
          <w:sz w:val="14"/>
          <w:szCs w:val="14"/>
          <w:color w:val="6D6F71"/>
        </w:rPr>
        <w:t>Item  1  -  Election  of  Directors</w:t>
      </w:r>
    </w:p>
    <w:p>
      <w:pPr>
        <w:spacing w:after="0" w:line="223" w:lineRule="exact"/>
        <w:rPr>
          <w:sz w:val="20"/>
          <w:szCs w:val="20"/>
          <w:color w:val="auto"/>
        </w:rPr>
      </w:pPr>
    </w:p>
    <w:p>
      <w:pPr>
        <w:spacing w:after="0"/>
        <w:rPr>
          <w:sz w:val="20"/>
          <w:szCs w:val="20"/>
          <w:color w:val="auto"/>
        </w:rPr>
      </w:pPr>
      <w:r>
        <w:rPr>
          <w:rFonts w:ascii="Arial" w:cs="Arial" w:eastAsia="Arial" w:hAnsi="Arial"/>
          <w:sz w:val="25"/>
          <w:szCs w:val="25"/>
          <w:b w:val="1"/>
          <w:bCs w:val="1"/>
          <w:color w:val="1414D2"/>
        </w:rPr>
        <w:t>Director Qualifcations</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auto"/>
        </w:rPr>
        <w:t>The  Nominating/Governance  Committee  and  the  Board  believe  that  our  slate  of  director  nominees  consists  of  individuals  with</w:t>
      </w:r>
    </w:p>
    <w:p>
      <w:pPr>
        <w:spacing w:after="0" w:line="19"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expertise in felds that align with both the Company’s current and evolving business and long-term strategy and includes a mixture of tenure that allows for both new perspectives and continuity. In addition, our Nominating/Governance Committee and Board believe that our nominee directors possess broad experience (including in positions at the policy-making level and in areas relevant to the Company), balance of professional skills (including fnancial literacy) and a broad range of perspectives</w:t>
      </w:r>
    </w:p>
    <w:p>
      <w:pPr>
        <w:spacing w:after="0" w:line="3"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that, taken together, are relevant and benefcial in fulflling the Board’s oversight of the Company’s business and strategy on behalf of the Company’s stockholders and other stakeholders and in strengthening and supporting senior management. The Nominating/Governance Committee and the Board also believe that each director nominee has the proven integrity, ability to work professionally with others, sound business judgment and experience to act in what the nominee reasonably believes to be</w:t>
      </w:r>
    </w:p>
    <w:p>
      <w:pPr>
        <w:spacing w:after="0" w:line="3" w:lineRule="exact"/>
        <w:rPr>
          <w:sz w:val="20"/>
          <w:szCs w:val="20"/>
          <w:color w:val="auto"/>
        </w:rPr>
      </w:pPr>
    </w:p>
    <w:p>
      <w:pPr>
        <w:ind w:right="1120"/>
        <w:spacing w:after="0" w:line="313" w:lineRule="auto"/>
        <w:rPr>
          <w:sz w:val="20"/>
          <w:szCs w:val="20"/>
          <w:color w:val="auto"/>
        </w:rPr>
      </w:pPr>
      <w:r>
        <w:rPr>
          <w:rFonts w:ascii="Arial" w:cs="Arial" w:eastAsia="Arial" w:hAnsi="Arial"/>
          <w:sz w:val="16"/>
          <w:szCs w:val="16"/>
          <w:color w:val="auto"/>
        </w:rPr>
        <w:t>in the best interests of the Company and its stockholders and is able to devote adequate time and efort to Board responsibilities.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2026  Proxy  Statement</w:t>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1414D2"/>
        </w:rPr>
        <w:t>17</w:t>
      </w:r>
    </w:p>
    <w:p>
      <w:pPr>
        <w:sectPr>
          <w:pgSz w:w="11900" w:h="16838" w:orient="portrait"/>
          <w:cols w:equalWidth="0" w:num="1">
            <w:col w:w="9720"/>
          </w:cols>
          <w:pgMar w:left="1080" w:top="695" w:right="1099" w:bottom="1440" w:gutter="0" w:footer="0" w:header="0"/>
        </w:sectPr>
      </w:pPr>
    </w:p>
    <w:bookmarkStart w:id="28" w:name="page29"/>
    <w:bookmarkEnd w:id="28"/>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6D6F71"/>
        </w:rPr>
        <w:t>Item  1  -  Election  of  Directors</w:t>
      </w:r>
    </w:p>
    <w:p>
      <w:pPr>
        <w:spacing w:after="0" w:line="225" w:lineRule="exact"/>
        <w:rPr>
          <w:sz w:val="20"/>
          <w:szCs w:val="20"/>
          <w:color w:val="auto"/>
        </w:rPr>
      </w:pPr>
    </w:p>
    <w:p>
      <w:pPr>
        <w:ind w:right="17"/>
        <w:spacing w:after="0" w:line="255" w:lineRule="auto"/>
        <w:rPr>
          <w:sz w:val="20"/>
          <w:szCs w:val="20"/>
          <w:color w:val="auto"/>
        </w:rPr>
      </w:pPr>
      <w:r>
        <w:rPr>
          <w:rFonts w:ascii="Arial" w:cs="Arial" w:eastAsia="Arial" w:hAnsi="Arial"/>
          <w:sz w:val="16"/>
          <w:szCs w:val="16"/>
          <w:color w:val="auto"/>
        </w:rPr>
        <w:t>The table below summarizes the key skills and experience of each of our director nominees that are most relevant to their Board service. The fact that a specifc area of focus or experience is not designated does not mean the director nominee does</w:t>
      </w:r>
    </w:p>
    <w:p>
      <w:pPr>
        <w:spacing w:after="0" w:line="1" w:lineRule="exact"/>
        <w:rPr>
          <w:sz w:val="20"/>
          <w:szCs w:val="20"/>
          <w:color w:val="auto"/>
        </w:rPr>
      </w:pPr>
    </w:p>
    <w:p>
      <w:pPr>
        <w:ind w:right="417"/>
        <w:spacing w:after="0" w:line="274" w:lineRule="auto"/>
        <w:rPr>
          <w:sz w:val="20"/>
          <w:szCs w:val="20"/>
          <w:color w:val="auto"/>
        </w:rPr>
      </w:pPr>
      <w:r>
        <w:rPr>
          <w:rFonts w:ascii="Arial" w:cs="Arial" w:eastAsia="Arial" w:hAnsi="Arial"/>
          <w:sz w:val="16"/>
          <w:szCs w:val="16"/>
          <w:color w:val="auto"/>
        </w:rPr>
        <w:t>not possess that skill or expertise. Rather, the skills and experiences noted below are those reviewed periodically by the Nominating/Governance Committee and the Board in making nomination decisions and as part of the Board succession planning process.</w:t>
      </w:r>
    </w:p>
    <w:p>
      <w:pPr>
        <w:sectPr>
          <w:pgSz w:w="11900" w:h="16838" w:orient="portrait"/>
          <w:cols w:equalWidth="0" w:num="1">
            <w:col w:w="9537"/>
          </w:cols>
          <w:pgMar w:left="1080" w:top="695" w:right="1283"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auto"/>
        </w:rPr>
        <w:t>Director Nominee Skills and Experience</w:t>
      </w:r>
    </w:p>
    <w:p>
      <w:pPr>
        <w:spacing w:after="0" w:line="20" w:lineRule="exact"/>
        <w:rPr>
          <w:sz w:val="20"/>
          <w:szCs w:val="20"/>
          <w:color w:val="auto"/>
        </w:rPr>
      </w:pPr>
      <w:r>
        <w:rPr>
          <w:sz w:val="20"/>
          <w:szCs w:val="20"/>
          <w:color w:val="auto"/>
        </w:rPr>
        <w:br w:type="column"/>
      </w:r>
    </w:p>
    <w:tbl>
      <w:tblPr>
        <w:tblLayout w:type="fixed"/>
        <w:tblInd w:w="5808" w:type="dxa"/>
        <w:tblCellMar>
          <w:top w:w="0" w:type="dxa"/>
          <w:left w:w="0" w:type="dxa"/>
          <w:bottom w:w="0" w:type="dxa"/>
          <w:right w:w="0" w:type="dxa"/>
        </w:tblCellMar>
      </w:tblPr>
      <w:tr>
        <w:trPr>
          <w:trHeight w:val="420"/>
        </w:trPr>
        <w:tc>
          <w:tcPr>
            <w:tcW w:w="92" w:type="dxa"/>
            <w:vAlign w:val="bottom"/>
            <w:textDirection w:val="btLr"/>
          </w:tcPr>
          <w:p>
            <w:pPr>
              <w:spacing w:after="0"/>
              <w:rPr>
                <w:sz w:val="20"/>
                <w:szCs w:val="20"/>
                <w:color w:val="auto"/>
              </w:rPr>
            </w:pPr>
            <w:r>
              <w:rPr>
                <w:rFonts w:ascii="Arial" w:cs="Arial" w:eastAsia="Arial" w:hAnsi="Arial"/>
                <w:sz w:val="8"/>
                <w:szCs w:val="8"/>
                <w:b w:val="1"/>
                <w:bCs w:val="1"/>
                <w:color w:val="auto"/>
              </w:rPr>
              <w:t>Whitehurst</w:t>
            </w:r>
          </w:p>
        </w:tc>
      </w:tr>
    </w:tbl>
    <w:p>
      <w:pPr>
        <w:spacing w:after="0" w:line="1" w:lineRule="exact"/>
        <w:rPr>
          <w:sz w:val="20"/>
          <w:szCs w:val="20"/>
          <w:color w:val="auto"/>
        </w:rPr>
      </w:pPr>
    </w:p>
    <w:tbl>
      <w:tblPr>
        <w:tblLayout w:type="fixed"/>
        <w:tblInd w:w="5369" w:type="dxa"/>
        <w:tblCellMar>
          <w:top w:w="0" w:type="dxa"/>
          <w:left w:w="0" w:type="dxa"/>
          <w:bottom w:w="0" w:type="dxa"/>
          <w:right w:w="0" w:type="dxa"/>
        </w:tblCellMar>
      </w:tblPr>
      <w:tr>
        <w:trPr>
          <w:trHeight w:val="4294967157"/>
        </w:trPr>
        <w:tc>
          <w:tcPr>
            <w:tcW w:w="57" w:type="dxa"/>
            <w:vAlign w:val="bottom"/>
            <w:textDirection w:val="btLr"/>
          </w:tcPr>
          <w:p>
            <w:pPr>
              <w:spacing w:after="0"/>
              <w:rPr>
                <w:sz w:val="20"/>
                <w:szCs w:val="20"/>
                <w:color w:val="auto"/>
              </w:rPr>
            </w:pPr>
            <w:r>
              <w:rPr>
                <w:rFonts w:ascii="Arial" w:cs="Arial" w:eastAsia="Arial" w:hAnsi="Arial"/>
                <w:sz w:val="5"/>
                <w:szCs w:val="5"/>
                <w:b w:val="1"/>
                <w:bCs w:val="1"/>
                <w:color w:val="auto"/>
              </w:rPr>
              <w:t>Ward</w:t>
            </w:r>
          </w:p>
        </w:tc>
      </w:tr>
    </w:tbl>
    <w:p>
      <w:pPr>
        <w:spacing w:after="0" w:line="1" w:lineRule="exact"/>
        <w:rPr>
          <w:sz w:val="20"/>
          <w:szCs w:val="20"/>
          <w:color w:val="auto"/>
        </w:rPr>
      </w:pPr>
    </w:p>
    <w:tbl>
      <w:tblPr>
        <w:tblLayout w:type="fixed"/>
        <w:tblInd w:w="4920" w:type="dxa"/>
        <w:tblCellMar>
          <w:top w:w="0" w:type="dxa"/>
          <w:left w:w="0" w:type="dxa"/>
          <w:bottom w:w="0" w:type="dxa"/>
          <w:right w:w="0" w:type="dxa"/>
        </w:tblCellMar>
      </w:tblPr>
      <w:tr>
        <w:trPr>
          <w:trHeight w:val="120"/>
        </w:trPr>
        <w:tc>
          <w:tcPr>
            <w:tcW w:w="34" w:type="dxa"/>
            <w:vAlign w:val="bottom"/>
            <w:textDirection w:val="btLr"/>
          </w:tcPr>
          <w:p>
            <w:pPr>
              <w:spacing w:after="0"/>
              <w:rPr>
                <w:sz w:val="20"/>
                <w:szCs w:val="20"/>
                <w:color w:val="auto"/>
              </w:rPr>
            </w:pPr>
            <w:r>
              <w:rPr>
                <w:rFonts w:ascii="Arial" w:cs="Arial" w:eastAsia="Arial" w:hAnsi="Arial"/>
                <w:sz w:val="3"/>
                <w:szCs w:val="3"/>
                <w:b w:val="1"/>
                <w:bCs w:val="1"/>
                <w:color w:val="auto"/>
              </w:rPr>
              <w:t>Shapiro</w:t>
            </w:r>
          </w:p>
        </w:tc>
      </w:tr>
    </w:tbl>
    <w:p>
      <w:pPr>
        <w:spacing w:after="0" w:line="1" w:lineRule="exact"/>
        <w:rPr>
          <w:sz w:val="20"/>
          <w:szCs w:val="20"/>
          <w:color w:val="auto"/>
        </w:rPr>
      </w:pPr>
    </w:p>
    <w:tbl>
      <w:tblPr>
        <w:tblLayout w:type="fixed"/>
        <w:tblInd w:w="4470" w:type="dxa"/>
        <w:tblCellMar>
          <w:top w:w="0" w:type="dxa"/>
          <w:left w:w="0" w:type="dxa"/>
          <w:bottom w:w="0" w:type="dxa"/>
          <w:right w:w="0" w:type="dxa"/>
        </w:tblCellMar>
      </w:tblPr>
      <w:tr>
        <w:trPr>
          <w:trHeight w:val="4294967257"/>
        </w:trPr>
        <w:tc>
          <w:tcPr>
            <w:tcW w:w="11" w:type="dxa"/>
            <w:vAlign w:val="bottom"/>
            <w:textDirection w:val="btLr"/>
          </w:tcPr>
          <w:p>
            <w:pPr>
              <w:spacing w:after="0"/>
              <w:rPr>
                <w:sz w:val="20"/>
                <w:szCs w:val="20"/>
                <w:color w:val="auto"/>
              </w:rPr>
            </w:pPr>
            <w:r>
              <w:rPr>
                <w:rFonts w:ascii="Arial" w:cs="Arial" w:eastAsia="Arial" w:hAnsi="Arial"/>
                <w:sz w:val="1"/>
                <w:szCs w:val="1"/>
                <w:b w:val="1"/>
                <w:bCs w:val="1"/>
                <w:color w:val="auto"/>
              </w:rPr>
              <w:t>Philip</w:t>
            </w:r>
          </w:p>
        </w:tc>
      </w:tr>
    </w:tbl>
    <w:p>
      <w:pPr>
        <w:spacing w:after="0" w:line="1" w:lineRule="exact"/>
        <w:rPr>
          <w:sz w:val="20"/>
          <w:szCs w:val="20"/>
          <w:color w:val="auto"/>
        </w:rPr>
      </w:pPr>
    </w:p>
    <w:tbl>
      <w:tblPr>
        <w:tblLayout w:type="fixed"/>
        <w:tblInd w:w="3998" w:type="dxa"/>
        <w:tblCellMar>
          <w:top w:w="0" w:type="dxa"/>
          <w:left w:w="0" w:type="dxa"/>
          <w:bottom w:w="0" w:type="dxa"/>
          <w:right w:w="0" w:type="dxa"/>
        </w:tblCellMar>
      </w:tblPr>
      <w:tr>
        <w:trPr>
          <w:trHeight w:val="60"/>
        </w:trPr>
        <w:tc>
          <w:tcPr>
            <w:tcW w:w="11" w:type="dxa"/>
            <w:vAlign w:val="bottom"/>
            <w:textDirection w:val="btLr"/>
          </w:tcPr>
          <w:p>
            <w:pPr>
              <w:spacing w:after="0"/>
              <w:rPr>
                <w:sz w:val="20"/>
                <w:szCs w:val="20"/>
                <w:color w:val="auto"/>
              </w:rPr>
            </w:pPr>
            <w:r>
              <w:rPr>
                <w:rFonts w:ascii="Arial" w:cs="Arial" w:eastAsia="Arial" w:hAnsi="Arial"/>
                <w:sz w:val="1"/>
                <w:szCs w:val="1"/>
                <w:b w:val="1"/>
                <w:bCs w:val="1"/>
                <w:color w:val="auto"/>
              </w:rPr>
              <w:t>Noyes</w:t>
            </w:r>
          </w:p>
        </w:tc>
      </w:tr>
    </w:tbl>
    <w:p>
      <w:pPr>
        <w:spacing w:after="0" w:line="1" w:lineRule="exact"/>
        <w:rPr>
          <w:sz w:val="20"/>
          <w:szCs w:val="20"/>
          <w:color w:val="auto"/>
        </w:rPr>
      </w:pPr>
    </w:p>
    <w:tbl>
      <w:tblPr>
        <w:tblLayout w:type="fixed"/>
        <w:tblInd w:w="3468" w:type="dxa"/>
        <w:tblCellMar>
          <w:top w:w="0" w:type="dxa"/>
          <w:left w:w="0" w:type="dxa"/>
          <w:bottom w:w="0" w:type="dxa"/>
          <w:right w:w="0" w:type="dxa"/>
        </w:tblCellMar>
      </w:tblPr>
      <w:tr>
        <w:trPr>
          <w:trHeight w:val="4294967137"/>
        </w:trPr>
        <w:tc>
          <w:tcPr>
            <w:tcW w:w="69" w:type="dxa"/>
            <w:vAlign w:val="bottom"/>
            <w:textDirection w:val="btLr"/>
          </w:tcPr>
          <w:p>
            <w:pPr>
              <w:spacing w:after="0"/>
              <w:rPr>
                <w:sz w:val="20"/>
                <w:szCs w:val="20"/>
                <w:color w:val="auto"/>
              </w:rPr>
            </w:pPr>
            <w:r>
              <w:rPr>
                <w:rFonts w:ascii="Arial" w:cs="Arial" w:eastAsia="Arial" w:hAnsi="Arial"/>
                <w:sz w:val="6"/>
                <w:szCs w:val="6"/>
                <w:b w:val="1"/>
                <w:bCs w:val="1"/>
                <w:color w:val="auto"/>
              </w:rPr>
              <w:t>Kirby</w:t>
            </w:r>
          </w:p>
        </w:tc>
      </w:tr>
    </w:tbl>
    <w:p>
      <w:pPr>
        <w:spacing w:after="0" w:line="1" w:lineRule="exact"/>
        <w:rPr>
          <w:sz w:val="20"/>
          <w:szCs w:val="20"/>
          <w:color w:val="auto"/>
        </w:rPr>
      </w:pPr>
    </w:p>
    <w:tbl>
      <w:tblPr>
        <w:tblLayout w:type="fixed"/>
        <w:tblInd w:w="3040" w:type="dxa"/>
        <w:tblCellMar>
          <w:top w:w="0" w:type="dxa"/>
          <w:left w:w="0" w:type="dxa"/>
          <w:bottom w:w="0" w:type="dxa"/>
          <w:right w:w="0" w:type="dxa"/>
        </w:tblCellMar>
      </w:tblPr>
      <w:tr>
        <w:trPr>
          <w:trHeight w:val="4294967237"/>
        </w:trPr>
        <w:tc>
          <w:tcPr>
            <w:tcW w:w="11" w:type="dxa"/>
            <w:vAlign w:val="bottom"/>
            <w:textDirection w:val="btLr"/>
          </w:tcPr>
          <w:p>
            <w:pPr>
              <w:spacing w:after="0"/>
              <w:rPr>
                <w:sz w:val="20"/>
                <w:szCs w:val="20"/>
                <w:color w:val="auto"/>
              </w:rPr>
            </w:pPr>
            <w:r>
              <w:rPr>
                <w:rFonts w:ascii="Arial" w:cs="Arial" w:eastAsia="Arial" w:hAnsi="Arial"/>
                <w:sz w:val="1"/>
                <w:szCs w:val="1"/>
                <w:b w:val="1"/>
                <w:bCs w:val="1"/>
                <w:color w:val="auto"/>
              </w:rPr>
              <w:t>Johnsen</w:t>
            </w:r>
          </w:p>
        </w:tc>
      </w:tr>
    </w:tbl>
    <w:p>
      <w:pPr>
        <w:spacing w:after="0" w:line="1" w:lineRule="exact"/>
        <w:rPr>
          <w:sz w:val="20"/>
          <w:szCs w:val="20"/>
          <w:color w:val="auto"/>
        </w:rPr>
      </w:pPr>
    </w:p>
    <w:tbl>
      <w:tblPr>
        <w:tblLayout w:type="fixed"/>
        <w:tblInd w:w="2542" w:type="dxa"/>
        <w:tblCellMar>
          <w:top w:w="0" w:type="dxa"/>
          <w:left w:w="0" w:type="dxa"/>
          <w:bottom w:w="0" w:type="dxa"/>
          <w:right w:w="0" w:type="dxa"/>
        </w:tblCellMar>
      </w:tblPr>
      <w:tr>
        <w:trPr>
          <w:trHeight w:val="100"/>
        </w:trPr>
        <w:tc>
          <w:tcPr>
            <w:tcW w:w="23" w:type="dxa"/>
            <w:vAlign w:val="bottom"/>
            <w:textDirection w:val="btLr"/>
          </w:tcPr>
          <w:p>
            <w:pPr>
              <w:spacing w:after="0"/>
              <w:rPr>
                <w:sz w:val="20"/>
                <w:szCs w:val="20"/>
                <w:color w:val="auto"/>
              </w:rPr>
            </w:pPr>
            <w:r>
              <w:rPr>
                <w:rFonts w:ascii="Arial" w:cs="Arial" w:eastAsia="Arial" w:hAnsi="Arial"/>
                <w:sz w:val="2"/>
                <w:szCs w:val="2"/>
                <w:b w:val="1"/>
                <w:bCs w:val="1"/>
                <w:color w:val="auto"/>
              </w:rPr>
              <w:t>Isaacson</w:t>
            </w:r>
          </w:p>
        </w:tc>
      </w:tr>
    </w:tbl>
    <w:p>
      <w:pPr>
        <w:spacing w:after="0" w:line="1" w:lineRule="exact"/>
        <w:rPr>
          <w:sz w:val="20"/>
          <w:szCs w:val="20"/>
          <w:color w:val="auto"/>
        </w:rPr>
      </w:pPr>
    </w:p>
    <w:tbl>
      <w:tblPr>
        <w:tblLayout w:type="fixed"/>
        <w:tblInd w:w="2067" w:type="dxa"/>
        <w:tblCellMar>
          <w:top w:w="0" w:type="dxa"/>
          <w:left w:w="0" w:type="dxa"/>
          <w:bottom w:w="0" w:type="dxa"/>
          <w:right w:w="0" w:type="dxa"/>
        </w:tblCellMar>
      </w:tblPr>
      <w:tr>
        <w:trPr>
          <w:trHeight w:val="4294967257"/>
        </w:trPr>
        <w:tc>
          <w:tcPr>
            <w:tcW w:w="11" w:type="dxa"/>
            <w:vAlign w:val="bottom"/>
            <w:textDirection w:val="btLr"/>
          </w:tcPr>
          <w:p>
            <w:pPr>
              <w:spacing w:after="0"/>
              <w:rPr>
                <w:sz w:val="20"/>
                <w:szCs w:val="20"/>
                <w:color w:val="auto"/>
              </w:rPr>
            </w:pPr>
            <w:r>
              <w:rPr>
                <w:rFonts w:ascii="Arial" w:cs="Arial" w:eastAsia="Arial" w:hAnsi="Arial"/>
                <w:sz w:val="1"/>
                <w:szCs w:val="1"/>
                <w:b w:val="1"/>
                <w:bCs w:val="1"/>
                <w:color w:val="auto"/>
              </w:rPr>
              <w:t>Hooper</w:t>
            </w:r>
          </w:p>
        </w:tc>
      </w:tr>
    </w:tbl>
    <w:p>
      <w:pPr>
        <w:spacing w:after="0" w:line="1" w:lineRule="exact"/>
        <w:rPr>
          <w:sz w:val="20"/>
          <w:szCs w:val="20"/>
          <w:color w:val="auto"/>
        </w:rPr>
      </w:pPr>
    </w:p>
    <w:tbl>
      <w:tblPr>
        <w:tblLayout w:type="fixed"/>
        <w:tblInd w:w="1570" w:type="dxa"/>
        <w:tblCellMar>
          <w:top w:w="0" w:type="dxa"/>
          <w:left w:w="0" w:type="dxa"/>
          <w:bottom w:w="0" w:type="dxa"/>
          <w:right w:w="0" w:type="dxa"/>
        </w:tblCellMar>
      </w:tblPr>
      <w:tr>
        <w:trPr>
          <w:trHeight w:val="100"/>
        </w:trPr>
        <w:tc>
          <w:tcPr>
            <w:tcW w:w="23" w:type="dxa"/>
            <w:vAlign w:val="bottom"/>
            <w:textDirection w:val="btLr"/>
          </w:tcPr>
          <w:p>
            <w:pPr>
              <w:spacing w:after="0"/>
              <w:rPr>
                <w:sz w:val="20"/>
                <w:szCs w:val="20"/>
                <w:color w:val="auto"/>
              </w:rPr>
            </w:pPr>
            <w:r>
              <w:rPr>
                <w:rFonts w:ascii="Arial" w:cs="Arial" w:eastAsia="Arial" w:hAnsi="Arial"/>
                <w:sz w:val="2"/>
                <w:szCs w:val="2"/>
                <w:b w:val="1"/>
                <w:bCs w:val="1"/>
                <w:color w:val="auto"/>
              </w:rPr>
              <w:t>Harford</w:t>
            </w:r>
          </w:p>
        </w:tc>
      </w:tr>
    </w:tbl>
    <w:p>
      <w:pPr>
        <w:spacing w:after="0" w:line="1" w:lineRule="exact"/>
        <w:rPr>
          <w:sz w:val="20"/>
          <w:szCs w:val="20"/>
          <w:color w:val="auto"/>
        </w:rPr>
      </w:pPr>
    </w:p>
    <w:tbl>
      <w:tblPr>
        <w:tblLayout w:type="fixed"/>
        <w:tblInd w:w="1095" w:type="dxa"/>
        <w:tblCellMar>
          <w:top w:w="0" w:type="dxa"/>
          <w:left w:w="0" w:type="dxa"/>
          <w:bottom w:w="0" w:type="dxa"/>
          <w:right w:w="0" w:type="dxa"/>
        </w:tblCellMar>
      </w:tblPr>
      <w:tr>
        <w:trPr>
          <w:trHeight w:val="0"/>
        </w:trPr>
        <w:tc>
          <w:tcPr>
            <w:tcW w:w="11" w:type="dxa"/>
            <w:vAlign w:val="bottom"/>
            <w:textDirection w:val="btLr"/>
          </w:tcPr>
          <w:p>
            <w:pPr>
              <w:spacing w:after="0"/>
              <w:rPr>
                <w:sz w:val="20"/>
                <w:szCs w:val="20"/>
                <w:color w:val="auto"/>
              </w:rPr>
            </w:pPr>
            <w:r>
              <w:rPr>
                <w:rFonts w:ascii="Arial" w:cs="Arial" w:eastAsia="Arial" w:hAnsi="Arial"/>
                <w:sz w:val="1"/>
                <w:szCs w:val="1"/>
                <w:b w:val="1"/>
                <w:bCs w:val="1"/>
                <w:color w:val="auto"/>
              </w:rPr>
              <w:t>Friend</w:t>
            </w:r>
          </w:p>
        </w:tc>
      </w:tr>
    </w:tbl>
    <w:p>
      <w:pPr>
        <w:spacing w:after="0" w:line="1" w:lineRule="exact"/>
        <w:rPr>
          <w:sz w:val="20"/>
          <w:szCs w:val="20"/>
          <w:color w:val="auto"/>
        </w:rPr>
      </w:pPr>
    </w:p>
    <w:tbl>
      <w:tblPr>
        <w:tblLayout w:type="fixed"/>
        <w:tblInd w:w="609" w:type="dxa"/>
        <w:tblCellMar>
          <w:top w:w="0" w:type="dxa"/>
          <w:left w:w="0" w:type="dxa"/>
          <w:bottom w:w="0" w:type="dxa"/>
          <w:right w:w="0" w:type="dxa"/>
        </w:tblCellMar>
      </w:tblPr>
      <w:tr>
        <w:trPr>
          <w:trHeight w:val="4294967237"/>
        </w:trPr>
        <w:tc>
          <w:tcPr>
            <w:tcW w:w="11" w:type="dxa"/>
            <w:vAlign w:val="bottom"/>
            <w:textDirection w:val="btLr"/>
          </w:tcPr>
          <w:p>
            <w:pPr>
              <w:spacing w:after="0"/>
              <w:rPr>
                <w:sz w:val="20"/>
                <w:szCs w:val="20"/>
                <w:color w:val="auto"/>
              </w:rPr>
            </w:pPr>
            <w:r>
              <w:rPr>
                <w:rFonts w:ascii="Arial" w:cs="Arial" w:eastAsia="Arial" w:hAnsi="Arial"/>
                <w:sz w:val="1"/>
                <w:szCs w:val="1"/>
                <w:b w:val="1"/>
                <w:bCs w:val="1"/>
                <w:color w:val="auto"/>
              </w:rPr>
              <w:t>Freyre</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460"/>
        </w:trPr>
        <w:tc>
          <w:tcPr>
            <w:tcW w:w="149" w:type="dxa"/>
            <w:vAlign w:val="bottom"/>
            <w:textDirection w:val="btLr"/>
          </w:tcPr>
          <w:p>
            <w:pPr>
              <w:spacing w:after="0"/>
              <w:rPr>
                <w:sz w:val="20"/>
                <w:szCs w:val="20"/>
                <w:color w:val="auto"/>
              </w:rPr>
            </w:pPr>
            <w:r>
              <w:rPr>
                <w:rFonts w:ascii="Arial" w:cs="Arial" w:eastAsia="Arial" w:hAnsi="Arial"/>
                <w:sz w:val="13"/>
                <w:szCs w:val="13"/>
                <w:b w:val="1"/>
                <w:bCs w:val="1"/>
                <w:color w:val="auto"/>
              </w:rPr>
              <w:t>Brewer</w:t>
            </w:r>
          </w:p>
        </w:tc>
      </w:tr>
    </w:tbl>
    <w:p>
      <w:pPr>
        <w:spacing w:after="0" w:line="129" w:lineRule="exact"/>
        <w:rPr>
          <w:sz w:val="20"/>
          <w:szCs w:val="20"/>
          <w:color w:val="auto"/>
        </w:rPr>
      </w:pPr>
    </w:p>
    <w:p>
      <w:pPr>
        <w:sectPr>
          <w:pgSz w:w="11900" w:h="16838" w:orient="portrait"/>
          <w:cols w:equalWidth="0" w:num="2">
            <w:col w:w="2917" w:space="720"/>
            <w:col w:w="5900"/>
          </w:cols>
          <w:pgMar w:left="1080" w:top="695" w:right="1283" w:bottom="1440" w:gutter="0" w:footer="0" w:header="0"/>
          <w:type w:val="continuous"/>
        </w:sectPr>
      </w:pPr>
    </w:p>
    <w:p>
      <w:pPr>
        <w:ind w:left="760" w:right="6317"/>
        <w:spacing w:after="0" w:line="256" w:lineRule="auto"/>
        <w:rPr>
          <w:sz w:val="20"/>
          <w:szCs w:val="20"/>
          <w:color w:val="auto"/>
        </w:rPr>
      </w:pPr>
      <w:r>
        <w:rPr>
          <w:rFonts w:ascii="Arial" w:cs="Arial" w:eastAsia="Arial" w:hAnsi="Arial"/>
          <w:sz w:val="13"/>
          <w:szCs w:val="13"/>
          <w:b w:val="1"/>
          <w:bCs w:val="1"/>
          <w:color w:val="auto"/>
        </w:rPr>
        <w:t xml:space="preserve">ACTIVE OR FORMER C-SUITE EXECUTIVE: </w:t>
      </w:r>
      <w:r>
        <w:rPr>
          <w:rFonts w:ascii="Arial" w:cs="Arial" w:eastAsia="Arial" w:hAnsi="Arial"/>
          <w:sz w:val="13"/>
          <w:szCs w:val="13"/>
          <w:color w:val="auto"/>
        </w:rPr>
        <w:t>Service in senior leadership positions, including past CEO experience or other senior executive positions</w:t>
      </w:r>
    </w:p>
    <w:p>
      <w:pPr>
        <w:spacing w:after="0" w:line="118" w:lineRule="exact"/>
        <w:rPr>
          <w:sz w:val="20"/>
          <w:szCs w:val="20"/>
          <w:color w:val="auto"/>
        </w:rPr>
      </w:pPr>
    </w:p>
    <w:p>
      <w:pPr>
        <w:ind w:left="760" w:right="6297"/>
        <w:spacing w:after="0" w:line="265" w:lineRule="auto"/>
        <w:rPr>
          <w:sz w:val="20"/>
          <w:szCs w:val="20"/>
          <w:color w:val="auto"/>
        </w:rPr>
      </w:pPr>
      <w:r>
        <w:rPr>
          <w:rFonts w:ascii="Arial" w:cs="Arial" w:eastAsia="Arial" w:hAnsi="Arial"/>
          <w:sz w:val="13"/>
          <w:szCs w:val="13"/>
          <w:b w:val="1"/>
          <w:bCs w:val="1"/>
          <w:color w:val="auto"/>
        </w:rPr>
        <w:t xml:space="preserve">AIR, TRAVEL &amp; TRANSPORTATION: </w:t>
      </w:r>
      <w:r>
        <w:rPr>
          <w:rFonts w:ascii="Arial" w:cs="Arial" w:eastAsia="Arial" w:hAnsi="Arial"/>
          <w:sz w:val="13"/>
          <w:szCs w:val="13"/>
          <w:color w:val="auto"/>
        </w:rPr>
        <w:t>Experience as a business leader, regulator or consultant in the industry</w:t>
      </w:r>
    </w:p>
    <w:p>
      <w:pPr>
        <w:spacing w:after="0" w:line="166" w:lineRule="exact"/>
        <w:rPr>
          <w:sz w:val="20"/>
          <w:szCs w:val="20"/>
          <w:color w:val="auto"/>
        </w:rPr>
      </w:pPr>
    </w:p>
    <w:p>
      <w:pPr>
        <w:ind w:left="760" w:right="6197"/>
        <w:spacing w:after="0" w:line="277" w:lineRule="auto"/>
        <w:rPr>
          <w:sz w:val="20"/>
          <w:szCs w:val="20"/>
          <w:color w:val="auto"/>
        </w:rPr>
      </w:pPr>
      <w:r>
        <w:rPr>
          <w:rFonts w:ascii="Arial" w:cs="Arial" w:eastAsia="Arial" w:hAnsi="Arial"/>
          <w:sz w:val="12"/>
          <w:szCs w:val="12"/>
          <w:b w:val="1"/>
          <w:bCs w:val="1"/>
          <w:color w:val="auto"/>
        </w:rPr>
        <w:t xml:space="preserve">GOVERNANCE AND CURRENT OR FORMER PUBLIC COMPANY BOARD: </w:t>
      </w:r>
      <w:r>
        <w:rPr>
          <w:rFonts w:ascii="Arial" w:cs="Arial" w:eastAsia="Arial" w:hAnsi="Arial"/>
          <w:sz w:val="12"/>
          <w:szCs w:val="12"/>
          <w:color w:val="auto"/>
        </w:rPr>
        <w:t>Experience in</w:t>
      </w:r>
      <w:r>
        <w:rPr>
          <w:rFonts w:ascii="Arial" w:cs="Arial" w:eastAsia="Arial" w:hAnsi="Arial"/>
          <w:sz w:val="12"/>
          <w:szCs w:val="12"/>
          <w:b w:val="1"/>
          <w:bCs w:val="1"/>
          <w:color w:val="auto"/>
        </w:rPr>
        <w:t xml:space="preserve"> </w:t>
      </w:r>
      <w:r>
        <w:rPr>
          <w:rFonts w:ascii="Arial" w:cs="Arial" w:eastAsia="Arial" w:hAnsi="Arial"/>
          <w:sz w:val="12"/>
          <w:szCs w:val="12"/>
          <w:color w:val="auto"/>
        </w:rPr>
        <w:t>corporate governance through current or past service on the boards of other publicly traded companies listed on U.S. exchanges</w:t>
      </w:r>
    </w:p>
    <w:p>
      <w:pPr>
        <w:spacing w:after="0" w:line="176" w:lineRule="exact"/>
        <w:rPr>
          <w:sz w:val="20"/>
          <w:szCs w:val="20"/>
          <w:color w:val="auto"/>
        </w:rPr>
      </w:pPr>
    </w:p>
    <w:p>
      <w:pPr>
        <w:ind w:left="760" w:right="6317"/>
        <w:spacing w:after="0" w:line="256" w:lineRule="auto"/>
        <w:rPr>
          <w:sz w:val="20"/>
          <w:szCs w:val="20"/>
          <w:color w:val="auto"/>
        </w:rPr>
      </w:pPr>
      <w:r>
        <w:rPr>
          <w:rFonts w:ascii="Arial" w:cs="Arial" w:eastAsia="Arial" w:hAnsi="Arial"/>
          <w:sz w:val="13"/>
          <w:szCs w:val="13"/>
          <w:b w:val="1"/>
          <w:bCs w:val="1"/>
          <w:color w:val="auto"/>
        </w:rPr>
        <w:t xml:space="preserve">FINANCE/ACCOUNTING/CAPITAL ALLOCATION: </w:t>
      </w:r>
      <w:r>
        <w:rPr>
          <w:rFonts w:ascii="Arial" w:cs="Arial" w:eastAsia="Arial" w:hAnsi="Arial"/>
          <w:sz w:val="13"/>
          <w:szCs w:val="13"/>
          <w:color w:val="auto"/>
        </w:rPr>
        <w:t>Experience in evaluating</w:t>
      </w:r>
      <w:r>
        <w:rPr>
          <w:rFonts w:ascii="Arial" w:cs="Arial" w:eastAsia="Arial" w:hAnsi="Arial"/>
          <w:sz w:val="13"/>
          <w:szCs w:val="13"/>
          <w:b w:val="1"/>
          <w:bCs w:val="1"/>
          <w:color w:val="auto"/>
        </w:rPr>
        <w:t xml:space="preserve"> </w:t>
      </w:r>
      <w:r>
        <w:rPr>
          <w:rFonts w:ascii="Arial" w:cs="Arial" w:eastAsia="Arial" w:hAnsi="Arial"/>
          <w:sz w:val="13"/>
          <w:szCs w:val="13"/>
          <w:color w:val="auto"/>
        </w:rPr>
        <w:t>fnancial statements or overseeing capital structure and fnancial strategy</w:t>
      </w:r>
    </w:p>
    <w:p>
      <w:pPr>
        <w:spacing w:after="0" w:line="118" w:lineRule="exact"/>
        <w:rPr>
          <w:sz w:val="20"/>
          <w:szCs w:val="20"/>
          <w:color w:val="auto"/>
        </w:rPr>
      </w:pPr>
    </w:p>
    <w:p>
      <w:pPr>
        <w:ind w:left="760" w:right="6177"/>
        <w:spacing w:after="0" w:line="256" w:lineRule="auto"/>
        <w:rPr>
          <w:sz w:val="20"/>
          <w:szCs w:val="20"/>
          <w:color w:val="auto"/>
        </w:rPr>
      </w:pPr>
      <w:r>
        <w:rPr>
          <w:rFonts w:ascii="Arial" w:cs="Arial" w:eastAsia="Arial" w:hAnsi="Arial"/>
          <w:sz w:val="13"/>
          <w:szCs w:val="13"/>
          <w:b w:val="1"/>
          <w:bCs w:val="1"/>
          <w:color w:val="auto"/>
        </w:rPr>
        <w:t xml:space="preserve">GLOBAL OPERATIONS: </w:t>
      </w:r>
      <w:r>
        <w:rPr>
          <w:rFonts w:ascii="Arial" w:cs="Arial" w:eastAsia="Arial" w:hAnsi="Arial"/>
          <w:sz w:val="13"/>
          <w:szCs w:val="13"/>
          <w:color w:val="auto"/>
        </w:rPr>
        <w:t>Leadership at a</w:t>
      </w:r>
      <w:r>
        <w:rPr>
          <w:rFonts w:ascii="Arial" w:cs="Arial" w:eastAsia="Arial" w:hAnsi="Arial"/>
          <w:sz w:val="13"/>
          <w:szCs w:val="13"/>
          <w:b w:val="1"/>
          <w:bCs w:val="1"/>
          <w:color w:val="auto"/>
        </w:rPr>
        <w:t xml:space="preserve"> </w:t>
      </w:r>
      <w:r>
        <w:rPr>
          <w:rFonts w:ascii="Arial" w:cs="Arial" w:eastAsia="Arial" w:hAnsi="Arial"/>
          <w:sz w:val="13"/>
          <w:szCs w:val="13"/>
          <w:color w:val="auto"/>
        </w:rPr>
        <w:t>global company or experience overseeing international corporate strategy, operations or development</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auto"/>
        </w:rPr>
        <w:t>HUMAN CAPITAL MANAGEMENT/UNION</w:t>
      </w:r>
    </w:p>
    <w:p>
      <w:pPr>
        <w:ind w:left="760"/>
        <w:spacing w:after="0"/>
        <w:rPr>
          <w:sz w:val="20"/>
          <w:szCs w:val="20"/>
          <w:color w:val="auto"/>
        </w:rPr>
      </w:pPr>
      <w:r>
        <w:rPr>
          <w:rFonts w:ascii="Arial" w:cs="Arial" w:eastAsia="Arial" w:hAnsi="Arial"/>
          <w:sz w:val="13"/>
          <w:szCs w:val="13"/>
          <w:b w:val="1"/>
          <w:bCs w:val="1"/>
          <w:color w:val="auto"/>
        </w:rPr>
        <w:t xml:space="preserve">RELATIONS: </w:t>
      </w:r>
      <w:r>
        <w:rPr>
          <w:rFonts w:ascii="Arial" w:cs="Arial" w:eastAsia="Arial" w:hAnsi="Arial"/>
          <w:sz w:val="13"/>
          <w:szCs w:val="13"/>
          <w:color w:val="auto"/>
        </w:rPr>
        <w:t>Experience  in  human  capital</w:t>
      </w:r>
    </w:p>
    <w:p>
      <w:pPr>
        <w:ind w:left="760"/>
        <w:spacing w:after="0"/>
        <w:rPr>
          <w:sz w:val="20"/>
          <w:szCs w:val="20"/>
          <w:color w:val="auto"/>
        </w:rPr>
      </w:pPr>
      <w:r>
        <w:rPr>
          <w:rFonts w:ascii="Arial" w:cs="Arial" w:eastAsia="Arial" w:hAnsi="Arial"/>
          <w:sz w:val="13"/>
          <w:szCs w:val="13"/>
          <w:color w:val="auto"/>
        </w:rPr>
        <w:t>management,  human  resources,  talent</w:t>
      </w:r>
    </w:p>
    <w:p>
      <w:pPr>
        <w:ind w:left="760"/>
        <w:spacing w:after="0"/>
        <w:rPr>
          <w:sz w:val="20"/>
          <w:szCs w:val="20"/>
          <w:color w:val="auto"/>
        </w:rPr>
      </w:pPr>
      <w:r>
        <w:rPr>
          <w:rFonts w:ascii="Arial" w:cs="Arial" w:eastAsia="Arial" w:hAnsi="Arial"/>
          <w:sz w:val="13"/>
          <w:szCs w:val="13"/>
          <w:color w:val="auto"/>
        </w:rPr>
        <w:t>acquisition  and  management  or  labor</w:t>
      </w:r>
    </w:p>
    <w:p>
      <w:pPr>
        <w:ind w:left="760"/>
        <w:spacing w:after="0"/>
        <w:rPr>
          <w:sz w:val="20"/>
          <w:szCs w:val="20"/>
          <w:color w:val="auto"/>
        </w:rPr>
      </w:pPr>
      <w:r>
        <w:rPr>
          <w:rFonts w:ascii="Arial" w:cs="Arial" w:eastAsia="Arial" w:hAnsi="Arial"/>
          <w:sz w:val="13"/>
          <w:szCs w:val="13"/>
          <w:color w:val="auto"/>
        </w:rPr>
        <w:t>relations  and  unions</w:t>
      </w:r>
    </w:p>
    <w:p>
      <w:pPr>
        <w:spacing w:after="0" w:line="161" w:lineRule="exact"/>
        <w:rPr>
          <w:sz w:val="20"/>
          <w:szCs w:val="20"/>
          <w:color w:val="auto"/>
        </w:rPr>
      </w:pPr>
    </w:p>
    <w:p>
      <w:pPr>
        <w:ind w:left="760" w:right="6197"/>
        <w:spacing w:after="0" w:line="265" w:lineRule="auto"/>
        <w:rPr>
          <w:sz w:val="20"/>
          <w:szCs w:val="20"/>
          <w:color w:val="auto"/>
        </w:rPr>
      </w:pPr>
      <w:r>
        <w:rPr>
          <w:rFonts w:ascii="Arial" w:cs="Arial" w:eastAsia="Arial" w:hAnsi="Arial"/>
          <w:sz w:val="13"/>
          <w:szCs w:val="13"/>
          <w:b w:val="1"/>
          <w:bCs w:val="1"/>
          <w:color w:val="auto"/>
        </w:rPr>
        <w:t xml:space="preserve">RETAIL / BRAND MANAGEMENT: </w:t>
      </w:r>
      <w:r>
        <w:rPr>
          <w:rFonts w:ascii="Arial" w:cs="Arial" w:eastAsia="Arial" w:hAnsi="Arial"/>
          <w:sz w:val="13"/>
          <w:szCs w:val="13"/>
          <w:color w:val="auto"/>
        </w:rPr>
        <w:t>Experience in consumer marketing, sales or brand management</w:t>
      </w:r>
    </w:p>
    <w:p>
      <w:pPr>
        <w:spacing w:after="0" w:line="112" w:lineRule="exact"/>
        <w:rPr>
          <w:sz w:val="20"/>
          <w:szCs w:val="20"/>
          <w:color w:val="auto"/>
        </w:rPr>
      </w:pPr>
    </w:p>
    <w:p>
      <w:pPr>
        <w:ind w:left="760" w:right="6277"/>
        <w:spacing w:after="0" w:line="265" w:lineRule="auto"/>
        <w:rPr>
          <w:sz w:val="20"/>
          <w:szCs w:val="20"/>
          <w:color w:val="auto"/>
        </w:rPr>
      </w:pPr>
      <w:r>
        <w:rPr>
          <w:rFonts w:ascii="Arial" w:cs="Arial" w:eastAsia="Arial" w:hAnsi="Arial"/>
          <w:sz w:val="13"/>
          <w:szCs w:val="13"/>
          <w:b w:val="1"/>
          <w:bCs w:val="1"/>
          <w:color w:val="auto"/>
        </w:rPr>
        <w:t xml:space="preserve">RISK MANAGEMENT: </w:t>
      </w:r>
      <w:r>
        <w:rPr>
          <w:rFonts w:ascii="Arial" w:cs="Arial" w:eastAsia="Arial" w:hAnsi="Arial"/>
          <w:sz w:val="13"/>
          <w:szCs w:val="13"/>
          <w:color w:val="auto"/>
        </w:rPr>
        <w:t>Experience in risk</w:t>
      </w:r>
      <w:r>
        <w:rPr>
          <w:rFonts w:ascii="Arial" w:cs="Arial" w:eastAsia="Arial" w:hAnsi="Arial"/>
          <w:sz w:val="13"/>
          <w:szCs w:val="13"/>
          <w:b w:val="1"/>
          <w:bCs w:val="1"/>
          <w:color w:val="auto"/>
        </w:rPr>
        <w:t xml:space="preserve"> </w:t>
      </w:r>
      <w:r>
        <w:rPr>
          <w:rFonts w:ascii="Arial" w:cs="Arial" w:eastAsia="Arial" w:hAnsi="Arial"/>
          <w:sz w:val="13"/>
          <w:szCs w:val="13"/>
          <w:color w:val="auto"/>
        </w:rPr>
        <w:t>management and oversight, including risk assessment, identifcation and mitigation</w:t>
      </w:r>
    </w:p>
    <w:p>
      <w:pPr>
        <w:spacing w:after="0" w:line="126" w:lineRule="exact"/>
        <w:rPr>
          <w:sz w:val="20"/>
          <w:szCs w:val="20"/>
          <w:color w:val="auto"/>
        </w:rPr>
      </w:pPr>
    </w:p>
    <w:p>
      <w:pPr>
        <w:ind w:left="760" w:right="6337"/>
        <w:spacing w:after="0" w:line="265" w:lineRule="auto"/>
        <w:rPr>
          <w:sz w:val="20"/>
          <w:szCs w:val="20"/>
          <w:color w:val="auto"/>
        </w:rPr>
      </w:pPr>
      <w:r>
        <w:rPr>
          <w:rFonts w:ascii="Arial" w:cs="Arial" w:eastAsia="Arial" w:hAnsi="Arial"/>
          <w:sz w:val="13"/>
          <w:szCs w:val="13"/>
          <w:b w:val="1"/>
          <w:bCs w:val="1"/>
          <w:color w:val="auto"/>
        </w:rPr>
        <w:t xml:space="preserve">TECHNOLOGY/CYBERSECURITY: </w:t>
      </w:r>
      <w:r>
        <w:rPr>
          <w:rFonts w:ascii="Arial" w:cs="Arial" w:eastAsia="Arial" w:hAnsi="Arial"/>
          <w:sz w:val="13"/>
          <w:szCs w:val="13"/>
          <w:color w:val="auto"/>
        </w:rPr>
        <w:t>Experience in e-commerce, cybersecurity, data analytics or information technology</w:t>
      </w:r>
    </w:p>
    <w:p>
      <w:pPr>
        <w:sectPr>
          <w:pgSz w:w="11900" w:h="16838" w:orient="portrait"/>
          <w:cols w:equalWidth="0" w:num="1">
            <w:col w:w="9537"/>
          </w:cols>
          <w:pgMar w:left="1080" w:top="695" w:right="1283"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right"/>
        <w:ind w:right="7537"/>
        <w:spacing w:after="0"/>
        <w:rPr>
          <w:sz w:val="20"/>
          <w:szCs w:val="20"/>
          <w:color w:val="auto"/>
        </w:rPr>
      </w:pPr>
      <w:r>
        <w:rPr>
          <w:rFonts w:ascii="Arial" w:cs="Arial" w:eastAsia="Arial" w:hAnsi="Arial"/>
          <w:sz w:val="16"/>
          <w:szCs w:val="16"/>
          <w:color w:val="auto"/>
        </w:rPr>
        <w:t>​​2026​  Proxy</w:t>
      </w:r>
    </w:p>
    <w:p>
      <w:pPr>
        <w:spacing w:after="0" w:line="5" w:lineRule="exact"/>
        <w:rPr>
          <w:sz w:val="20"/>
          <w:szCs w:val="20"/>
          <w:color w:val="auto"/>
        </w:rPr>
      </w:pPr>
    </w:p>
    <w:p>
      <w:pPr>
        <w:ind w:left="660" w:hanging="656"/>
        <w:spacing w:after="0"/>
        <w:tabs>
          <w:tab w:leader="none" w:pos="660" w:val="left"/>
        </w:tabs>
        <w:numPr>
          <w:ilvl w:val="0"/>
          <w:numId w:val="27"/>
        </w:numPr>
        <w:rPr>
          <w:rFonts w:ascii="Arial" w:cs="Arial" w:eastAsia="Arial" w:hAnsi="Arial"/>
          <w:sz w:val="16"/>
          <w:szCs w:val="16"/>
          <w:b w:val="1"/>
          <w:bCs w:val="1"/>
          <w:color w:val="1414D2"/>
        </w:rPr>
      </w:pPr>
      <w:r>
        <w:rPr>
          <w:rFonts w:ascii="Arial" w:cs="Arial" w:eastAsia="Arial" w:hAnsi="Arial"/>
          <w:sz w:val="16"/>
          <w:szCs w:val="16"/>
          <w:color w:val="auto"/>
        </w:rPr>
        <w:t>Statement</w:t>
      </w:r>
    </w:p>
    <w:p>
      <w:pPr>
        <w:sectPr>
          <w:pgSz w:w="11900" w:h="16838" w:orient="portrait"/>
          <w:cols w:equalWidth="0" w:num="1">
            <w:col w:w="9537"/>
          </w:cols>
          <w:pgMar w:left="1080" w:top="695" w:right="1283"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27" w:lineRule="exact"/>
        <w:rPr>
          <w:sz w:val="20"/>
          <w:szCs w:val="20"/>
          <w:color w:val="auto"/>
        </w:rPr>
      </w:pPr>
    </w:p>
    <w:p>
      <w:pPr>
        <w:jc w:val="right"/>
        <w:spacing w:after="0"/>
        <w:rPr>
          <w:sz w:val="20"/>
          <w:szCs w:val="20"/>
          <w:color w:val="auto"/>
        </w:rPr>
      </w:pPr>
      <w:r>
        <w:rPr>
          <w:rFonts w:ascii="Arial" w:cs="Arial" w:eastAsia="Arial" w:hAnsi="Arial"/>
          <w:sz w:val="14"/>
          <w:szCs w:val="14"/>
          <w:color w:val="6D6F71"/>
        </w:rPr>
        <w:t>Item  1  -  Election  of  Directors</w:t>
      </w:r>
    </w:p>
    <w:p>
      <w:pPr>
        <w:spacing w:after="0" w:line="223" w:lineRule="exact"/>
        <w:rPr>
          <w:sz w:val="20"/>
          <w:szCs w:val="20"/>
          <w:color w:val="auto"/>
        </w:rPr>
      </w:pPr>
    </w:p>
    <w:p>
      <w:pPr>
        <w:spacing w:after="0"/>
        <w:rPr>
          <w:sz w:val="20"/>
          <w:szCs w:val="20"/>
          <w:color w:val="auto"/>
        </w:rPr>
      </w:pPr>
      <w:r>
        <w:rPr>
          <w:rFonts w:ascii="Arial" w:cs="Arial" w:eastAsia="Arial" w:hAnsi="Arial"/>
          <w:sz w:val="25"/>
          <w:szCs w:val="25"/>
          <w:b w:val="1"/>
          <w:bCs w:val="1"/>
          <w:color w:val="1414D2"/>
        </w:rPr>
        <w:t>Director Refreshment</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auto"/>
        </w:rPr>
        <w:t>Our  Board  represents  an  intentional  mix  of  long-tenured  directors  maintaining  the  stability  and  continuity  of  Board  oversight</w:t>
      </w:r>
    </w:p>
    <w:p>
      <w:pPr>
        <w:spacing w:after="0" w:line="19" w:lineRule="exact"/>
        <w:rPr>
          <w:sz w:val="20"/>
          <w:szCs w:val="20"/>
          <w:color w:val="auto"/>
        </w:rPr>
      </w:pPr>
    </w:p>
    <w:p>
      <w:pPr>
        <w:ind w:right="100"/>
        <w:spacing w:after="0" w:line="308" w:lineRule="auto"/>
        <w:rPr>
          <w:sz w:val="20"/>
          <w:szCs w:val="20"/>
          <w:color w:val="auto"/>
        </w:rPr>
      </w:pPr>
      <w:r>
        <w:rPr>
          <w:rFonts w:ascii="Arial" w:cs="Arial" w:eastAsia="Arial" w:hAnsi="Arial"/>
          <w:sz w:val="16"/>
          <w:szCs w:val="16"/>
          <w:color w:val="auto"/>
        </w:rPr>
        <w:t>with newer directors with fresh perspectives, insights, expertise and experiences. The average tenure of our director nominees is 7.31 years, with six of our current directors having joined our Board since 2021.</w:t>
      </w:r>
    </w:p>
    <w:p>
      <w:pPr>
        <w:ind w:right="140"/>
        <w:spacing w:after="0" w:line="252" w:lineRule="auto"/>
        <w:rPr>
          <w:sz w:val="20"/>
          <w:szCs w:val="20"/>
          <w:color w:val="auto"/>
        </w:rPr>
      </w:pPr>
      <w:r>
        <w:rPr>
          <w:rFonts w:ascii="Arial" w:cs="Arial" w:eastAsia="Arial" w:hAnsi="Arial"/>
          <w:sz w:val="16"/>
          <w:szCs w:val="16"/>
          <w:color w:val="auto"/>
        </w:rPr>
        <w:t>The Board uses refreshment processes to enable it to evaluate the continued alignment of the Board’s membership with the needs of United. The Board’s refreshment processes involve periodically reviewing and assessing director skills, as refected in our director skills matrix and evaluating the experience required for membership accordingly. The Board also enables periodic</w:t>
      </w:r>
    </w:p>
    <w:p>
      <w:pPr>
        <w:spacing w:after="0" w:line="1" w:lineRule="exact"/>
        <w:rPr>
          <w:sz w:val="20"/>
          <w:szCs w:val="20"/>
          <w:color w:val="auto"/>
        </w:rPr>
      </w:pPr>
    </w:p>
    <w:p>
      <w:pPr>
        <w:ind w:right="240"/>
        <w:spacing w:after="0" w:line="313" w:lineRule="auto"/>
        <w:rPr>
          <w:sz w:val="20"/>
          <w:szCs w:val="20"/>
          <w:color w:val="auto"/>
        </w:rPr>
      </w:pPr>
      <w:r>
        <w:rPr>
          <w:rFonts w:ascii="Arial" w:cs="Arial" w:eastAsia="Arial" w:hAnsi="Arial"/>
          <w:sz w:val="16"/>
          <w:szCs w:val="16"/>
          <w:color w:val="auto"/>
        </w:rPr>
        <w:t>refreshment through its retirement policy contained in the Corporate Governance Guidelines which provides that no director may be nominated to a new term if he or she would be 75 years of age or older at the time of the election.</w:t>
      </w:r>
    </w:p>
    <w:p>
      <w:pPr>
        <w:spacing w:after="0" w:line="128" w:lineRule="exact"/>
        <w:rPr>
          <w:sz w:val="20"/>
          <w:szCs w:val="20"/>
          <w:color w:val="auto"/>
        </w:rPr>
      </w:pPr>
    </w:p>
    <w:tbl>
      <w:tblPr>
        <w:tblLayout w:type="fixed"/>
        <w:tblInd w:w="700" w:type="dxa"/>
        <w:tblCellMar>
          <w:top w:w="0" w:type="dxa"/>
          <w:left w:w="0" w:type="dxa"/>
          <w:bottom w:w="0" w:type="dxa"/>
          <w:right w:w="0" w:type="dxa"/>
        </w:tblCellMar>
      </w:tblPr>
      <w:tr>
        <w:trPr>
          <w:trHeight w:val="189"/>
        </w:trPr>
        <w:tc>
          <w:tcPr>
            <w:tcW w:w="1200" w:type="dxa"/>
            <w:vAlign w:val="bottom"/>
            <w:vMerge w:val="restart"/>
          </w:tcPr>
          <w:p>
            <w:pPr>
              <w:jc w:val="right"/>
              <w:ind w:right="256"/>
              <w:spacing w:after="0"/>
              <w:rPr>
                <w:sz w:val="20"/>
                <w:szCs w:val="20"/>
                <w:color w:val="auto"/>
              </w:rPr>
            </w:pPr>
            <w:r>
              <w:rPr>
                <w:rFonts w:ascii="Arial" w:cs="Arial" w:eastAsia="Arial" w:hAnsi="Arial"/>
                <w:sz w:val="29"/>
                <w:szCs w:val="29"/>
                <w:color w:val="1414D2"/>
                <w:w w:val="94"/>
              </w:rPr>
              <w:t>46.2%</w:t>
            </w:r>
          </w:p>
        </w:tc>
        <w:tc>
          <w:tcPr>
            <w:tcW w:w="7400" w:type="dxa"/>
            <w:vAlign w:val="bottom"/>
          </w:tcPr>
          <w:p>
            <w:pPr>
              <w:ind w:left="380"/>
              <w:spacing w:after="0"/>
              <w:rPr>
                <w:sz w:val="20"/>
                <w:szCs w:val="20"/>
                <w:color w:val="auto"/>
              </w:rPr>
            </w:pPr>
            <w:r>
              <w:rPr>
                <w:rFonts w:ascii="Arial" w:cs="Arial" w:eastAsia="Arial" w:hAnsi="Arial"/>
                <w:sz w:val="16"/>
                <w:szCs w:val="16"/>
                <w:b w:val="1"/>
                <w:bCs w:val="1"/>
                <w:color w:val="1414D2"/>
              </w:rPr>
              <w:t>46.2% of our director nominees were frst elected or appointed to our board in the past</w:t>
            </w:r>
          </w:p>
        </w:tc>
        <w:tc>
          <w:tcPr>
            <w:tcW w:w="0" w:type="dxa"/>
            <w:vAlign w:val="bottom"/>
          </w:tcPr>
          <w:p>
            <w:pPr>
              <w:spacing w:after="0"/>
              <w:rPr>
                <w:sz w:val="1"/>
                <w:szCs w:val="1"/>
                <w:color w:val="auto"/>
              </w:rPr>
            </w:pPr>
          </w:p>
        </w:tc>
      </w:tr>
      <w:tr>
        <w:trPr>
          <w:trHeight w:val="258"/>
        </w:trPr>
        <w:tc>
          <w:tcPr>
            <w:tcW w:w="1200" w:type="dxa"/>
            <w:vAlign w:val="bottom"/>
            <w:vMerge w:val="continue"/>
          </w:tcPr>
          <w:p>
            <w:pPr>
              <w:spacing w:after="0"/>
              <w:rPr>
                <w:sz w:val="22"/>
                <w:szCs w:val="22"/>
                <w:color w:val="auto"/>
              </w:rPr>
            </w:pPr>
          </w:p>
        </w:tc>
        <w:tc>
          <w:tcPr>
            <w:tcW w:w="7400" w:type="dxa"/>
            <w:vAlign w:val="bottom"/>
          </w:tcPr>
          <w:p>
            <w:pPr>
              <w:ind w:left="380"/>
              <w:spacing w:after="0"/>
              <w:rPr>
                <w:sz w:val="20"/>
                <w:szCs w:val="20"/>
                <w:color w:val="auto"/>
              </w:rPr>
            </w:pPr>
            <w:r>
              <w:rPr>
                <w:rFonts w:ascii="Arial" w:cs="Arial" w:eastAsia="Arial" w:hAnsi="Arial"/>
                <w:sz w:val="16"/>
                <w:szCs w:val="16"/>
                <w:b w:val="1"/>
                <w:bCs w:val="1"/>
                <w:color w:val="1414D2"/>
              </w:rPr>
              <w:t>fve years. These directors are identifed below.</w:t>
            </w:r>
          </w:p>
        </w:tc>
        <w:tc>
          <w:tcPr>
            <w:tcW w:w="0" w:type="dxa"/>
            <w:vAlign w:val="bottom"/>
          </w:tcPr>
          <w:p>
            <w:pPr>
              <w:spacing w:after="0"/>
              <w:rPr>
                <w:sz w:val="1"/>
                <w:szCs w:val="1"/>
                <w:color w:val="auto"/>
              </w:rPr>
            </w:pPr>
          </w:p>
        </w:tc>
      </w:tr>
    </w:tbl>
    <w:p>
      <w:pPr>
        <w:spacing w:after="0" w:line="188" w:lineRule="exact"/>
        <w:rPr>
          <w:sz w:val="20"/>
          <w:szCs w:val="20"/>
          <w:color w:val="auto"/>
        </w:rPr>
      </w:pPr>
    </w:p>
    <w:p>
      <w:pPr>
        <w:sectPr>
          <w:pgSz w:w="11900" w:h="16838" w:orient="portrait"/>
          <w:cols w:equalWidth="0" w:num="1">
            <w:col w:w="9720"/>
          </w:cols>
          <w:pgMar w:left="1080" w:top="695" w:right="1099" w:bottom="1440" w:gutter="0" w:footer="0" w:header="0"/>
        </w:sectPr>
      </w:pPr>
    </w:p>
    <w:p>
      <w:pPr>
        <w:jc w:val="center"/>
        <w:ind w:left="480"/>
        <w:spacing w:after="0"/>
        <w:rPr>
          <w:sz w:val="20"/>
          <w:szCs w:val="20"/>
          <w:color w:val="auto"/>
        </w:rPr>
      </w:pPr>
      <w:r>
        <w:rPr>
          <w:rFonts w:ascii="Arial" w:cs="Arial" w:eastAsia="Arial" w:hAnsi="Arial"/>
          <w:sz w:val="29"/>
          <w:szCs w:val="29"/>
          <w:color w:val="1414D2"/>
        </w:rPr>
        <w:t>56.2</w:t>
      </w:r>
    </w:p>
    <w:p>
      <w:pPr>
        <w:spacing w:after="0" w:line="4" w:lineRule="exact"/>
        <w:rPr>
          <w:sz w:val="20"/>
          <w:szCs w:val="20"/>
          <w:color w:val="auto"/>
        </w:rPr>
      </w:pPr>
    </w:p>
    <w:p>
      <w:pPr>
        <w:jc w:val="center"/>
        <w:ind w:left="480"/>
        <w:spacing w:after="0"/>
        <w:rPr>
          <w:sz w:val="20"/>
          <w:szCs w:val="20"/>
          <w:color w:val="auto"/>
        </w:rPr>
      </w:pPr>
      <w:r>
        <w:rPr>
          <w:rFonts w:ascii="Arial" w:cs="Arial" w:eastAsia="Arial" w:hAnsi="Arial"/>
          <w:sz w:val="28"/>
          <w:szCs w:val="28"/>
          <w:color w:val="1414D2"/>
        </w:rPr>
        <w:t>years  old</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ind w:right="580"/>
        <w:spacing w:after="0" w:line="313" w:lineRule="auto"/>
        <w:rPr>
          <w:sz w:val="20"/>
          <w:szCs w:val="20"/>
          <w:color w:val="auto"/>
        </w:rPr>
      </w:pPr>
      <w:r>
        <w:rPr>
          <w:rFonts w:ascii="Arial" w:cs="Arial" w:eastAsia="Arial" w:hAnsi="Arial"/>
          <w:sz w:val="16"/>
          <w:szCs w:val="16"/>
          <w:b w:val="1"/>
          <w:bCs w:val="1"/>
          <w:color w:val="1414D2"/>
        </w:rPr>
        <w:t>The average age of our director nominees that were frst elected or appointed to our board in the past fve years is 56.2 years old.</w:t>
      </w:r>
    </w:p>
    <w:p>
      <w:pPr>
        <w:spacing w:after="0" w:line="231" w:lineRule="exact"/>
        <w:rPr>
          <w:sz w:val="20"/>
          <w:szCs w:val="20"/>
          <w:color w:val="auto"/>
        </w:rPr>
      </w:pPr>
    </w:p>
    <w:p>
      <w:pPr>
        <w:sectPr>
          <w:pgSz w:w="11900" w:h="16838" w:orient="portrait"/>
          <w:cols w:equalWidth="0" w:num="2">
            <w:col w:w="1720" w:space="560"/>
            <w:col w:w="7440"/>
          </w:cols>
          <w:pgMar w:left="1080" w:top="695" w:right="1099" w:bottom="1440" w:gutter="0" w:footer="0" w:header="0"/>
          <w:type w:val="continuous"/>
        </w:sectPr>
      </w:pP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1960" w:type="dxa"/>
            <w:vAlign w:val="bottom"/>
          </w:tcPr>
          <w:p>
            <w:pPr>
              <w:spacing w:after="0"/>
              <w:rPr>
                <w:sz w:val="22"/>
                <w:szCs w:val="22"/>
                <w:color w:val="auto"/>
              </w:rPr>
            </w:pPr>
          </w:p>
        </w:tc>
        <w:tc>
          <w:tcPr>
            <w:tcW w:w="2860" w:type="dxa"/>
            <w:vAlign w:val="bottom"/>
          </w:tcPr>
          <w:p>
            <w:pPr>
              <w:jc w:val="right"/>
              <w:ind w:right="2079"/>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460" w:type="dxa"/>
            <w:vAlign w:val="bottom"/>
          </w:tcPr>
          <w:p>
            <w:pPr>
              <w:jc w:val="right"/>
              <w:ind w:right="1279"/>
              <w:spacing w:after="0"/>
              <w:rPr>
                <w:sz w:val="20"/>
                <w:szCs w:val="20"/>
                <w:color w:val="auto"/>
              </w:rPr>
            </w:pPr>
            <w:r>
              <w:rPr>
                <w:rFonts w:ascii="Arial" w:cs="Arial" w:eastAsia="Arial" w:hAnsi="Arial"/>
                <w:sz w:val="18"/>
                <w:szCs w:val="18"/>
                <w:b w:val="1"/>
                <w:bCs w:val="1"/>
                <w:color w:val="auto"/>
              </w:rPr>
              <w:t>2024</w:t>
            </w:r>
          </w:p>
        </w:tc>
        <w:tc>
          <w:tcPr>
            <w:tcW w:w="16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2025</w:t>
            </w:r>
          </w:p>
        </w:tc>
      </w:tr>
      <w:tr>
        <w:trPr>
          <w:trHeight w:val="24"/>
        </w:trPr>
        <w:tc>
          <w:tcPr>
            <w:tcW w:w="19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68"/>
        </w:trPr>
        <w:tc>
          <w:tcPr>
            <w:tcW w:w="1960" w:type="dxa"/>
            <w:vAlign w:val="bottom"/>
            <w:shd w:val="clear" w:color="auto" w:fill="1414D2"/>
          </w:tcPr>
          <w:p>
            <w:pPr>
              <w:spacing w:after="0"/>
              <w:rPr>
                <w:sz w:val="5"/>
                <w:szCs w:val="5"/>
                <w:color w:val="auto"/>
              </w:rPr>
            </w:pPr>
          </w:p>
        </w:tc>
        <w:tc>
          <w:tcPr>
            <w:tcW w:w="2860" w:type="dxa"/>
            <w:vAlign w:val="bottom"/>
            <w:shd w:val="clear" w:color="auto" w:fill="1414D2"/>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shd w:val="clear" w:color="auto" w:fill="1414D2"/>
          </w:tcPr>
          <w:p>
            <w:pPr>
              <w:spacing w:after="0"/>
              <w:rPr>
                <w:sz w:val="5"/>
                <w:szCs w:val="5"/>
                <w:color w:val="auto"/>
              </w:rPr>
            </w:pPr>
          </w:p>
        </w:tc>
        <w:tc>
          <w:tcPr>
            <w:tcW w:w="2460" w:type="dxa"/>
            <w:vAlign w:val="bottom"/>
            <w:shd w:val="clear" w:color="auto" w:fill="1414D2"/>
          </w:tcPr>
          <w:p>
            <w:pPr>
              <w:spacing w:after="0"/>
              <w:rPr>
                <w:sz w:val="5"/>
                <w:szCs w:val="5"/>
                <w:color w:val="auto"/>
              </w:rPr>
            </w:pPr>
          </w:p>
        </w:tc>
        <w:tc>
          <w:tcPr>
            <w:tcW w:w="80" w:type="dxa"/>
            <w:vAlign w:val="bottom"/>
          </w:tcPr>
          <w:p>
            <w:pPr>
              <w:spacing w:after="0"/>
              <w:rPr>
                <w:sz w:val="5"/>
                <w:szCs w:val="5"/>
                <w:color w:val="auto"/>
              </w:rPr>
            </w:pPr>
          </w:p>
        </w:tc>
        <w:tc>
          <w:tcPr>
            <w:tcW w:w="1540" w:type="dxa"/>
            <w:vAlign w:val="bottom"/>
            <w:shd w:val="clear" w:color="auto" w:fill="1414D2"/>
          </w:tcPr>
          <w:p>
            <w:pPr>
              <w:spacing w:after="0"/>
              <w:rPr>
                <w:sz w:val="5"/>
                <w:szCs w:val="5"/>
                <w:color w:val="auto"/>
              </w:rPr>
            </w:pPr>
          </w:p>
        </w:tc>
      </w:tr>
      <w:tr>
        <w:trPr>
          <w:trHeight w:val="297"/>
        </w:trPr>
        <w:tc>
          <w:tcPr>
            <w:tcW w:w="1960" w:type="dxa"/>
            <w:vAlign w:val="bottom"/>
          </w:tcPr>
          <w:p>
            <w:pPr>
              <w:ind w:left="1640"/>
              <w:spacing w:after="0"/>
              <w:rPr>
                <w:sz w:val="20"/>
                <w:szCs w:val="20"/>
                <w:color w:val="auto"/>
              </w:rPr>
            </w:pPr>
            <w:r>
              <w:rPr>
                <w:rFonts w:ascii="Arial" w:cs="Arial" w:eastAsia="Arial" w:hAnsi="Arial"/>
                <w:sz w:val="14"/>
                <w:szCs w:val="14"/>
                <w:color w:val="auto"/>
              </w:rPr>
              <w:t>​</w:t>
            </w:r>
          </w:p>
        </w:tc>
        <w:tc>
          <w:tcPr>
            <w:tcW w:w="2860" w:type="dxa"/>
            <w:vAlign w:val="bottom"/>
          </w:tcPr>
          <w:p>
            <w:pPr>
              <w:jc w:val="right"/>
              <w:ind w:right="1439"/>
              <w:spacing w:after="0"/>
              <w:rPr>
                <w:sz w:val="20"/>
                <w:szCs w:val="20"/>
                <w:color w:val="auto"/>
              </w:rPr>
            </w:pPr>
            <w:r>
              <w:rPr>
                <w:rFonts w:ascii="Arial" w:cs="Arial" w:eastAsia="Arial" w:hAnsi="Arial"/>
                <w:sz w:val="14"/>
                <w:szCs w:val="14"/>
                <w:color w:val="auto"/>
              </w:rPr>
              <w:t>​</w:t>
            </w:r>
          </w:p>
        </w:tc>
        <w:tc>
          <w:tcPr>
            <w:tcW w:w="82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2460" w:type="dxa"/>
            <w:vAlign w:val="bottom"/>
          </w:tcPr>
          <w:p>
            <w:pPr>
              <w:jc w:val="center"/>
              <w:ind w:right="559"/>
              <w:spacing w:after="0"/>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1520"/>
              <w:spacing w:after="0"/>
              <w:rPr>
                <w:sz w:val="20"/>
                <w:szCs w:val="20"/>
                <w:color w:val="auto"/>
              </w:rPr>
            </w:pPr>
            <w:r>
              <w:rPr>
                <w:rFonts w:ascii="Arial" w:cs="Arial" w:eastAsia="Arial" w:hAnsi="Arial"/>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60" w:type="dxa"/>
            <w:vAlign w:val="bottom"/>
          </w:tcPr>
          <w:p>
            <w:pPr>
              <w:ind w:left="60"/>
              <w:spacing w:after="0"/>
              <w:rPr>
                <w:sz w:val="20"/>
                <w:szCs w:val="20"/>
                <w:color w:val="auto"/>
              </w:rPr>
            </w:pPr>
            <w:r>
              <w:rPr>
                <w:rFonts w:ascii="Arial" w:cs="Arial" w:eastAsia="Arial" w:hAnsi="Arial"/>
                <w:sz w:val="14"/>
                <w:szCs w:val="14"/>
                <w:b w:val="1"/>
                <w:bCs w:val="1"/>
                <w:color w:val="auto"/>
              </w:rPr>
              <w:t>Laysha Ward</w:t>
            </w:r>
          </w:p>
        </w:tc>
        <w:tc>
          <w:tcPr>
            <w:tcW w:w="100" w:type="dxa"/>
            <w:vAlign w:val="bottom"/>
          </w:tcPr>
          <w:p>
            <w:pPr>
              <w:spacing w:after="0"/>
              <w:rPr>
                <w:sz w:val="14"/>
                <w:szCs w:val="14"/>
                <w:color w:val="auto"/>
              </w:rPr>
            </w:pPr>
          </w:p>
        </w:tc>
        <w:tc>
          <w:tcPr>
            <w:tcW w:w="1520" w:type="dxa"/>
            <w:vAlign w:val="bottom"/>
          </w:tcPr>
          <w:p>
            <w:pPr>
              <w:ind w:left="60"/>
              <w:spacing w:after="0"/>
              <w:rPr>
                <w:sz w:val="20"/>
                <w:szCs w:val="20"/>
                <w:color w:val="auto"/>
              </w:rPr>
            </w:pPr>
            <w:r>
              <w:rPr>
                <w:rFonts w:ascii="Arial" w:cs="Arial" w:eastAsia="Arial" w:hAnsi="Arial"/>
                <w:sz w:val="14"/>
                <w:szCs w:val="14"/>
                <w:b w:val="1"/>
                <w:bCs w:val="1"/>
                <w:color w:val="auto"/>
              </w:rPr>
              <w:t>Richard Johnsen</w:t>
            </w:r>
          </w:p>
        </w:tc>
        <w:tc>
          <w:tcPr>
            <w:tcW w:w="100" w:type="dxa"/>
            <w:vAlign w:val="bottom"/>
          </w:tcPr>
          <w:p>
            <w:pPr>
              <w:spacing w:after="0"/>
              <w:rPr>
                <w:sz w:val="14"/>
                <w:szCs w:val="14"/>
                <w:color w:val="auto"/>
              </w:rPr>
            </w:pPr>
          </w:p>
        </w:tc>
        <w:tc>
          <w:tcPr>
            <w:tcW w:w="1540" w:type="dxa"/>
            <w:vAlign w:val="bottom"/>
          </w:tcPr>
          <w:p>
            <w:pPr>
              <w:ind w:left="60"/>
              <w:spacing w:after="0"/>
              <w:rPr>
                <w:sz w:val="20"/>
                <w:szCs w:val="20"/>
                <w:color w:val="auto"/>
              </w:rPr>
            </w:pPr>
            <w:r>
              <w:rPr>
                <w:rFonts w:ascii="Arial" w:cs="Arial" w:eastAsia="Arial" w:hAnsi="Arial"/>
                <w:sz w:val="14"/>
                <w:szCs w:val="14"/>
                <w:b w:val="1"/>
                <w:bCs w:val="1"/>
                <w:color w:val="auto"/>
              </w:rPr>
              <w:t>Matthew Friend</w:t>
            </w:r>
          </w:p>
        </w:tc>
        <w:tc>
          <w:tcPr>
            <w:tcW w:w="100" w:type="dxa"/>
            <w:vAlign w:val="bottom"/>
          </w:tcPr>
          <w:p>
            <w:pPr>
              <w:spacing w:after="0"/>
              <w:rPr>
                <w:sz w:val="14"/>
                <w:szCs w:val="14"/>
                <w:color w:val="auto"/>
              </w:rPr>
            </w:pPr>
          </w:p>
        </w:tc>
        <w:tc>
          <w:tcPr>
            <w:tcW w:w="1540" w:type="dxa"/>
            <w:vAlign w:val="bottom"/>
          </w:tcPr>
          <w:p>
            <w:pPr>
              <w:ind w:left="60"/>
              <w:spacing w:after="0"/>
              <w:rPr>
                <w:sz w:val="20"/>
                <w:szCs w:val="20"/>
                <w:color w:val="auto"/>
              </w:rPr>
            </w:pPr>
            <w:r>
              <w:rPr>
                <w:rFonts w:ascii="Arial" w:cs="Arial" w:eastAsia="Arial" w:hAnsi="Arial"/>
                <w:sz w:val="14"/>
                <w:szCs w:val="14"/>
                <w:b w:val="1"/>
                <w:bCs w:val="1"/>
                <w:color w:val="auto"/>
              </w:rPr>
              <w:t>Rosalind Brewer</w:t>
            </w:r>
          </w:p>
        </w:tc>
        <w:tc>
          <w:tcPr>
            <w:tcW w:w="100" w:type="dxa"/>
            <w:vAlign w:val="bottom"/>
          </w:tcPr>
          <w:p>
            <w:pPr>
              <w:spacing w:after="0"/>
              <w:rPr>
                <w:sz w:val="14"/>
                <w:szCs w:val="14"/>
                <w:color w:val="auto"/>
              </w:rPr>
            </w:pPr>
          </w:p>
        </w:tc>
        <w:tc>
          <w:tcPr>
            <w:tcW w:w="1540" w:type="dxa"/>
            <w:vAlign w:val="bottom"/>
          </w:tcPr>
          <w:p>
            <w:pPr>
              <w:ind w:left="60"/>
              <w:spacing w:after="0"/>
              <w:rPr>
                <w:sz w:val="20"/>
                <w:szCs w:val="20"/>
                <w:color w:val="auto"/>
              </w:rPr>
            </w:pPr>
            <w:r>
              <w:rPr>
                <w:rFonts w:ascii="Arial" w:cs="Arial" w:eastAsia="Arial" w:hAnsi="Arial"/>
                <w:sz w:val="14"/>
                <w:szCs w:val="14"/>
                <w:b w:val="1"/>
                <w:bCs w:val="1"/>
                <w:color w:val="auto"/>
              </w:rPr>
              <w:t>Michelle Freyre</w:t>
            </w:r>
          </w:p>
        </w:tc>
        <w:tc>
          <w:tcPr>
            <w:tcW w:w="80" w:type="dxa"/>
            <w:vAlign w:val="bottom"/>
          </w:tcPr>
          <w:p>
            <w:pPr>
              <w:spacing w:after="0"/>
              <w:rPr>
                <w:sz w:val="14"/>
                <w:szCs w:val="14"/>
                <w:color w:val="auto"/>
              </w:rPr>
            </w:pPr>
          </w:p>
        </w:tc>
        <w:tc>
          <w:tcPr>
            <w:tcW w:w="1540" w:type="dxa"/>
            <w:vAlign w:val="bottom"/>
          </w:tcPr>
          <w:p>
            <w:pPr>
              <w:ind w:left="60"/>
              <w:spacing w:after="0"/>
              <w:rPr>
                <w:sz w:val="20"/>
                <w:szCs w:val="20"/>
                <w:color w:val="auto"/>
              </w:rPr>
            </w:pPr>
            <w:r>
              <w:rPr>
                <w:rFonts w:ascii="Arial" w:cs="Arial" w:eastAsia="Arial" w:hAnsi="Arial"/>
                <w:sz w:val="14"/>
                <w:szCs w:val="14"/>
                <w:b w:val="1"/>
                <w:bCs w:val="1"/>
                <w:color w:val="auto"/>
              </w:rPr>
              <w:t>Captain Brian</w:t>
            </w:r>
          </w:p>
        </w:tc>
      </w:tr>
      <w:tr>
        <w:trPr>
          <w:trHeight w:val="208"/>
        </w:trPr>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ind w:left="60"/>
              <w:spacing w:after="0"/>
              <w:rPr>
                <w:sz w:val="20"/>
                <w:szCs w:val="20"/>
                <w:color w:val="auto"/>
              </w:rPr>
            </w:pPr>
            <w:r>
              <w:rPr>
                <w:rFonts w:ascii="Arial" w:cs="Arial" w:eastAsia="Arial" w:hAnsi="Arial"/>
                <w:sz w:val="14"/>
                <w:szCs w:val="14"/>
                <w:b w:val="1"/>
                <w:bCs w:val="1"/>
                <w:color w:val="auto"/>
              </w:rPr>
              <w:t>Noyes</w:t>
            </w:r>
          </w:p>
        </w:tc>
      </w:tr>
      <w:tr>
        <w:trPr>
          <w:trHeight w:val="175"/>
        </w:trPr>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84"/>
        </w:trPr>
        <w:tc>
          <w:tcPr>
            <w:tcW w:w="1560" w:type="dxa"/>
            <w:vAlign w:val="bottom"/>
            <w:shd w:val="clear" w:color="auto" w:fill="F2F2F2"/>
          </w:tcPr>
          <w:p>
            <w:pPr>
              <w:ind w:left="60"/>
              <w:spacing w:after="0"/>
              <w:rPr>
                <w:sz w:val="20"/>
                <w:szCs w:val="20"/>
                <w:color w:val="auto"/>
              </w:rPr>
            </w:pPr>
            <w:r>
              <w:rPr>
                <w:rFonts w:ascii="Arial" w:cs="Arial" w:eastAsia="Arial" w:hAnsi="Arial"/>
                <w:sz w:val="14"/>
                <w:szCs w:val="14"/>
                <w:color w:val="auto"/>
              </w:rPr>
              <w:t>Active  or</w:t>
            </w:r>
          </w:p>
        </w:tc>
        <w:tc>
          <w:tcPr>
            <w:tcW w:w="100" w:type="dxa"/>
            <w:vAlign w:val="bottom"/>
          </w:tcPr>
          <w:p>
            <w:pPr>
              <w:spacing w:after="0"/>
              <w:rPr>
                <w:sz w:val="15"/>
                <w:szCs w:val="15"/>
                <w:color w:val="auto"/>
              </w:rPr>
            </w:pPr>
          </w:p>
        </w:tc>
        <w:tc>
          <w:tcPr>
            <w:tcW w:w="1520" w:type="dxa"/>
            <w:vAlign w:val="bottom"/>
            <w:shd w:val="clear" w:color="auto" w:fill="F2F2F2"/>
          </w:tcPr>
          <w:p>
            <w:pPr>
              <w:ind w:left="60"/>
              <w:spacing w:after="0"/>
              <w:rPr>
                <w:sz w:val="20"/>
                <w:szCs w:val="20"/>
                <w:color w:val="auto"/>
              </w:rPr>
            </w:pPr>
            <w:r>
              <w:rPr>
                <w:rFonts w:ascii="Arial" w:cs="Arial" w:eastAsia="Arial" w:hAnsi="Arial"/>
                <w:sz w:val="14"/>
                <w:szCs w:val="14"/>
                <w:color w:val="auto"/>
              </w:rPr>
              <w:t>Air,  travel  and</w:t>
            </w:r>
          </w:p>
        </w:tc>
        <w:tc>
          <w:tcPr>
            <w:tcW w:w="100" w:type="dxa"/>
            <w:vAlign w:val="bottom"/>
          </w:tcPr>
          <w:p>
            <w:pPr>
              <w:spacing w:after="0"/>
              <w:rPr>
                <w:sz w:val="15"/>
                <w:szCs w:val="15"/>
                <w:color w:val="auto"/>
              </w:rPr>
            </w:pPr>
          </w:p>
        </w:tc>
        <w:tc>
          <w:tcPr>
            <w:tcW w:w="1540" w:type="dxa"/>
            <w:vAlign w:val="bottom"/>
            <w:shd w:val="clear" w:color="auto" w:fill="F2F2F2"/>
          </w:tcPr>
          <w:p>
            <w:pPr>
              <w:ind w:left="60"/>
              <w:spacing w:after="0"/>
              <w:rPr>
                <w:sz w:val="20"/>
                <w:szCs w:val="20"/>
                <w:color w:val="auto"/>
              </w:rPr>
            </w:pPr>
            <w:r>
              <w:rPr>
                <w:rFonts w:ascii="Arial" w:cs="Arial" w:eastAsia="Arial" w:hAnsi="Arial"/>
                <w:sz w:val="14"/>
                <w:szCs w:val="14"/>
                <w:color w:val="auto"/>
              </w:rPr>
              <w:t>Active  or</w:t>
            </w:r>
          </w:p>
        </w:tc>
        <w:tc>
          <w:tcPr>
            <w:tcW w:w="100" w:type="dxa"/>
            <w:vAlign w:val="bottom"/>
          </w:tcPr>
          <w:p>
            <w:pPr>
              <w:spacing w:after="0"/>
              <w:rPr>
                <w:sz w:val="15"/>
                <w:szCs w:val="15"/>
                <w:color w:val="auto"/>
              </w:rPr>
            </w:pPr>
          </w:p>
        </w:tc>
        <w:tc>
          <w:tcPr>
            <w:tcW w:w="1540" w:type="dxa"/>
            <w:vAlign w:val="bottom"/>
            <w:shd w:val="clear" w:color="auto" w:fill="F2F2F2"/>
          </w:tcPr>
          <w:p>
            <w:pPr>
              <w:ind w:left="60"/>
              <w:spacing w:after="0"/>
              <w:rPr>
                <w:sz w:val="20"/>
                <w:szCs w:val="20"/>
                <w:color w:val="auto"/>
              </w:rPr>
            </w:pPr>
            <w:r>
              <w:rPr>
                <w:rFonts w:ascii="Arial" w:cs="Arial" w:eastAsia="Arial" w:hAnsi="Arial"/>
                <w:sz w:val="14"/>
                <w:szCs w:val="14"/>
                <w:color w:val="auto"/>
              </w:rPr>
              <w:t>Active  or</w:t>
            </w:r>
          </w:p>
        </w:tc>
        <w:tc>
          <w:tcPr>
            <w:tcW w:w="100" w:type="dxa"/>
            <w:vAlign w:val="bottom"/>
          </w:tcPr>
          <w:p>
            <w:pPr>
              <w:spacing w:after="0"/>
              <w:rPr>
                <w:sz w:val="15"/>
                <w:szCs w:val="15"/>
                <w:color w:val="auto"/>
              </w:rPr>
            </w:pPr>
          </w:p>
        </w:tc>
        <w:tc>
          <w:tcPr>
            <w:tcW w:w="1540" w:type="dxa"/>
            <w:vAlign w:val="bottom"/>
            <w:shd w:val="clear" w:color="auto" w:fill="F2F2F2"/>
          </w:tcPr>
          <w:p>
            <w:pPr>
              <w:ind w:left="60"/>
              <w:spacing w:after="0"/>
              <w:rPr>
                <w:sz w:val="20"/>
                <w:szCs w:val="20"/>
                <w:color w:val="auto"/>
              </w:rPr>
            </w:pPr>
            <w:r>
              <w:rPr>
                <w:rFonts w:ascii="Arial" w:cs="Arial" w:eastAsia="Arial" w:hAnsi="Arial"/>
                <w:sz w:val="14"/>
                <w:szCs w:val="14"/>
                <w:color w:val="auto"/>
              </w:rPr>
              <w:t>Active  or</w:t>
            </w:r>
          </w:p>
        </w:tc>
        <w:tc>
          <w:tcPr>
            <w:tcW w:w="80" w:type="dxa"/>
            <w:vAlign w:val="bottom"/>
          </w:tcPr>
          <w:p>
            <w:pPr>
              <w:spacing w:after="0"/>
              <w:rPr>
                <w:sz w:val="15"/>
                <w:szCs w:val="15"/>
                <w:color w:val="auto"/>
              </w:rPr>
            </w:pPr>
          </w:p>
        </w:tc>
        <w:tc>
          <w:tcPr>
            <w:tcW w:w="1540" w:type="dxa"/>
            <w:vAlign w:val="bottom"/>
            <w:shd w:val="clear" w:color="auto" w:fill="F2F2F2"/>
          </w:tcPr>
          <w:p>
            <w:pPr>
              <w:ind w:left="60"/>
              <w:spacing w:after="0"/>
              <w:rPr>
                <w:sz w:val="20"/>
                <w:szCs w:val="20"/>
                <w:color w:val="auto"/>
              </w:rPr>
            </w:pPr>
            <w:r>
              <w:rPr>
                <w:rFonts w:ascii="Arial" w:cs="Arial" w:eastAsia="Arial" w:hAnsi="Arial"/>
                <w:sz w:val="14"/>
                <w:szCs w:val="14"/>
                <w:color w:val="auto"/>
              </w:rPr>
              <w:t>Air,  travel  and</w:t>
            </w:r>
          </w:p>
        </w:tc>
      </w:tr>
      <w:tr>
        <w:trPr>
          <w:trHeight w:val="175"/>
        </w:trPr>
        <w:tc>
          <w:tcPr>
            <w:tcW w:w="1560" w:type="dxa"/>
            <w:vAlign w:val="bottom"/>
            <w:shd w:val="clear" w:color="auto" w:fill="F2F2F2"/>
          </w:tcPr>
          <w:p>
            <w:pPr>
              <w:ind w:left="60"/>
              <w:spacing w:after="0"/>
              <w:rPr>
                <w:sz w:val="20"/>
                <w:szCs w:val="20"/>
                <w:color w:val="auto"/>
              </w:rPr>
            </w:pPr>
            <w:r>
              <w:rPr>
                <w:rFonts w:ascii="Arial" w:cs="Arial" w:eastAsia="Arial" w:hAnsi="Arial"/>
                <w:sz w:val="14"/>
                <w:szCs w:val="14"/>
                <w:color w:val="auto"/>
              </w:rPr>
              <w:t>former  C-Suite</w:t>
            </w:r>
          </w:p>
        </w:tc>
        <w:tc>
          <w:tcPr>
            <w:tcW w:w="100" w:type="dxa"/>
            <w:vAlign w:val="bottom"/>
          </w:tcPr>
          <w:p>
            <w:pPr>
              <w:spacing w:after="0"/>
              <w:rPr>
                <w:sz w:val="15"/>
                <w:szCs w:val="15"/>
                <w:color w:val="auto"/>
              </w:rPr>
            </w:pPr>
          </w:p>
        </w:tc>
        <w:tc>
          <w:tcPr>
            <w:tcW w:w="1520" w:type="dxa"/>
            <w:vAlign w:val="bottom"/>
            <w:shd w:val="clear" w:color="auto" w:fill="F2F2F2"/>
          </w:tcPr>
          <w:p>
            <w:pPr>
              <w:ind w:left="60"/>
              <w:spacing w:after="0"/>
              <w:rPr>
                <w:sz w:val="20"/>
                <w:szCs w:val="20"/>
                <w:color w:val="auto"/>
              </w:rPr>
            </w:pPr>
            <w:r>
              <w:rPr>
                <w:rFonts w:ascii="Arial" w:cs="Arial" w:eastAsia="Arial" w:hAnsi="Arial"/>
                <w:sz w:val="14"/>
                <w:szCs w:val="14"/>
                <w:color w:val="auto"/>
              </w:rPr>
              <w:t>transportation</w:t>
            </w:r>
          </w:p>
        </w:tc>
        <w:tc>
          <w:tcPr>
            <w:tcW w:w="100" w:type="dxa"/>
            <w:vAlign w:val="bottom"/>
          </w:tcPr>
          <w:p>
            <w:pPr>
              <w:spacing w:after="0"/>
              <w:rPr>
                <w:sz w:val="15"/>
                <w:szCs w:val="15"/>
                <w:color w:val="auto"/>
              </w:rPr>
            </w:pPr>
          </w:p>
        </w:tc>
        <w:tc>
          <w:tcPr>
            <w:tcW w:w="1540" w:type="dxa"/>
            <w:vAlign w:val="bottom"/>
            <w:shd w:val="clear" w:color="auto" w:fill="F2F2F2"/>
          </w:tcPr>
          <w:p>
            <w:pPr>
              <w:ind w:left="60"/>
              <w:spacing w:after="0"/>
              <w:rPr>
                <w:sz w:val="20"/>
                <w:szCs w:val="20"/>
                <w:color w:val="auto"/>
              </w:rPr>
            </w:pPr>
            <w:r>
              <w:rPr>
                <w:rFonts w:ascii="Arial" w:cs="Arial" w:eastAsia="Arial" w:hAnsi="Arial"/>
                <w:sz w:val="14"/>
                <w:szCs w:val="14"/>
                <w:color w:val="auto"/>
              </w:rPr>
              <w:t>former  C-Suite</w:t>
            </w:r>
          </w:p>
        </w:tc>
        <w:tc>
          <w:tcPr>
            <w:tcW w:w="100" w:type="dxa"/>
            <w:vAlign w:val="bottom"/>
          </w:tcPr>
          <w:p>
            <w:pPr>
              <w:spacing w:after="0"/>
              <w:rPr>
                <w:sz w:val="15"/>
                <w:szCs w:val="15"/>
                <w:color w:val="auto"/>
              </w:rPr>
            </w:pPr>
          </w:p>
        </w:tc>
        <w:tc>
          <w:tcPr>
            <w:tcW w:w="1540" w:type="dxa"/>
            <w:vAlign w:val="bottom"/>
            <w:shd w:val="clear" w:color="auto" w:fill="F2F2F2"/>
          </w:tcPr>
          <w:p>
            <w:pPr>
              <w:ind w:left="60"/>
              <w:spacing w:after="0"/>
              <w:rPr>
                <w:sz w:val="20"/>
                <w:szCs w:val="20"/>
                <w:color w:val="auto"/>
              </w:rPr>
            </w:pPr>
            <w:r>
              <w:rPr>
                <w:rFonts w:ascii="Arial" w:cs="Arial" w:eastAsia="Arial" w:hAnsi="Arial"/>
                <w:sz w:val="14"/>
                <w:szCs w:val="14"/>
                <w:color w:val="auto"/>
              </w:rPr>
              <w:t>former  C-Suite</w:t>
            </w:r>
          </w:p>
        </w:tc>
        <w:tc>
          <w:tcPr>
            <w:tcW w:w="100" w:type="dxa"/>
            <w:vAlign w:val="bottom"/>
          </w:tcPr>
          <w:p>
            <w:pPr>
              <w:spacing w:after="0"/>
              <w:rPr>
                <w:sz w:val="15"/>
                <w:szCs w:val="15"/>
                <w:color w:val="auto"/>
              </w:rPr>
            </w:pPr>
          </w:p>
        </w:tc>
        <w:tc>
          <w:tcPr>
            <w:tcW w:w="1540" w:type="dxa"/>
            <w:vAlign w:val="bottom"/>
            <w:shd w:val="clear" w:color="auto" w:fill="F2F2F2"/>
          </w:tcPr>
          <w:p>
            <w:pPr>
              <w:ind w:left="60"/>
              <w:spacing w:after="0"/>
              <w:rPr>
                <w:sz w:val="20"/>
                <w:szCs w:val="20"/>
                <w:color w:val="auto"/>
              </w:rPr>
            </w:pPr>
            <w:r>
              <w:rPr>
                <w:rFonts w:ascii="Arial" w:cs="Arial" w:eastAsia="Arial" w:hAnsi="Arial"/>
                <w:sz w:val="14"/>
                <w:szCs w:val="14"/>
                <w:color w:val="auto"/>
              </w:rPr>
              <w:t>former  C-Suite</w:t>
            </w:r>
          </w:p>
        </w:tc>
        <w:tc>
          <w:tcPr>
            <w:tcW w:w="80" w:type="dxa"/>
            <w:vAlign w:val="bottom"/>
          </w:tcPr>
          <w:p>
            <w:pPr>
              <w:spacing w:after="0"/>
              <w:rPr>
                <w:sz w:val="15"/>
                <w:szCs w:val="15"/>
                <w:color w:val="auto"/>
              </w:rPr>
            </w:pPr>
          </w:p>
        </w:tc>
        <w:tc>
          <w:tcPr>
            <w:tcW w:w="1540" w:type="dxa"/>
            <w:vAlign w:val="bottom"/>
            <w:shd w:val="clear" w:color="auto" w:fill="F2F2F2"/>
          </w:tcPr>
          <w:p>
            <w:pPr>
              <w:ind w:left="60"/>
              <w:spacing w:after="0"/>
              <w:rPr>
                <w:sz w:val="20"/>
                <w:szCs w:val="20"/>
                <w:color w:val="auto"/>
              </w:rPr>
            </w:pPr>
            <w:r>
              <w:rPr>
                <w:rFonts w:ascii="Arial" w:cs="Arial" w:eastAsia="Arial" w:hAnsi="Arial"/>
                <w:sz w:val="14"/>
                <w:szCs w:val="14"/>
                <w:color w:val="auto"/>
              </w:rPr>
              <w:t>transportation</w:t>
            </w:r>
          </w:p>
        </w:tc>
      </w:tr>
      <w:tr>
        <w:trPr>
          <w:trHeight w:val="175"/>
        </w:trPr>
        <w:tc>
          <w:tcPr>
            <w:tcW w:w="1560" w:type="dxa"/>
            <w:vAlign w:val="bottom"/>
            <w:shd w:val="clear" w:color="auto" w:fill="F2F2F2"/>
          </w:tcPr>
          <w:p>
            <w:pPr>
              <w:ind w:left="60"/>
              <w:spacing w:after="0"/>
              <w:rPr>
                <w:sz w:val="20"/>
                <w:szCs w:val="20"/>
                <w:color w:val="auto"/>
              </w:rPr>
            </w:pPr>
            <w:r>
              <w:rPr>
                <w:rFonts w:ascii="Arial" w:cs="Arial" w:eastAsia="Arial" w:hAnsi="Arial"/>
                <w:sz w:val="14"/>
                <w:szCs w:val="14"/>
                <w:color w:val="auto"/>
              </w:rPr>
              <w:t>executive,  corporate</w:t>
            </w:r>
          </w:p>
        </w:tc>
        <w:tc>
          <w:tcPr>
            <w:tcW w:w="100" w:type="dxa"/>
            <w:vAlign w:val="bottom"/>
          </w:tcPr>
          <w:p>
            <w:pPr>
              <w:spacing w:after="0"/>
              <w:rPr>
                <w:sz w:val="15"/>
                <w:szCs w:val="15"/>
                <w:color w:val="auto"/>
              </w:rPr>
            </w:pPr>
          </w:p>
        </w:tc>
        <w:tc>
          <w:tcPr>
            <w:tcW w:w="1520" w:type="dxa"/>
            <w:vAlign w:val="bottom"/>
            <w:shd w:val="clear" w:color="auto" w:fill="F2F2F2"/>
          </w:tcPr>
          <w:p>
            <w:pPr>
              <w:ind w:left="60"/>
              <w:spacing w:after="0"/>
              <w:rPr>
                <w:sz w:val="20"/>
                <w:szCs w:val="20"/>
                <w:color w:val="auto"/>
              </w:rPr>
            </w:pPr>
            <w:r>
              <w:rPr>
                <w:rFonts w:ascii="Arial" w:cs="Arial" w:eastAsia="Arial" w:hAnsi="Arial"/>
                <w:sz w:val="14"/>
                <w:szCs w:val="14"/>
                <w:color w:val="auto"/>
              </w:rPr>
              <w:t>and  human</w:t>
            </w:r>
          </w:p>
        </w:tc>
        <w:tc>
          <w:tcPr>
            <w:tcW w:w="100" w:type="dxa"/>
            <w:vAlign w:val="bottom"/>
          </w:tcPr>
          <w:p>
            <w:pPr>
              <w:spacing w:after="0"/>
              <w:rPr>
                <w:sz w:val="15"/>
                <w:szCs w:val="15"/>
                <w:color w:val="auto"/>
              </w:rPr>
            </w:pPr>
          </w:p>
        </w:tc>
        <w:tc>
          <w:tcPr>
            <w:tcW w:w="1540" w:type="dxa"/>
            <w:vAlign w:val="bottom"/>
            <w:shd w:val="clear" w:color="auto" w:fill="F2F2F2"/>
          </w:tcPr>
          <w:p>
            <w:pPr>
              <w:ind w:left="60"/>
              <w:spacing w:after="0"/>
              <w:rPr>
                <w:sz w:val="20"/>
                <w:szCs w:val="20"/>
                <w:color w:val="auto"/>
              </w:rPr>
            </w:pPr>
            <w:r>
              <w:rPr>
                <w:rFonts w:ascii="Arial" w:cs="Arial" w:eastAsia="Arial" w:hAnsi="Arial"/>
                <w:sz w:val="14"/>
                <w:szCs w:val="14"/>
                <w:color w:val="auto"/>
              </w:rPr>
              <w:t>executive,</w:t>
            </w:r>
          </w:p>
        </w:tc>
        <w:tc>
          <w:tcPr>
            <w:tcW w:w="100" w:type="dxa"/>
            <w:vAlign w:val="bottom"/>
          </w:tcPr>
          <w:p>
            <w:pPr>
              <w:spacing w:after="0"/>
              <w:rPr>
                <w:sz w:val="15"/>
                <w:szCs w:val="15"/>
                <w:color w:val="auto"/>
              </w:rPr>
            </w:pPr>
          </w:p>
        </w:tc>
        <w:tc>
          <w:tcPr>
            <w:tcW w:w="1540" w:type="dxa"/>
            <w:vAlign w:val="bottom"/>
            <w:shd w:val="clear" w:color="auto" w:fill="F2F2F2"/>
          </w:tcPr>
          <w:p>
            <w:pPr>
              <w:ind w:left="60"/>
              <w:spacing w:after="0"/>
              <w:rPr>
                <w:sz w:val="20"/>
                <w:szCs w:val="20"/>
                <w:color w:val="auto"/>
              </w:rPr>
            </w:pPr>
            <w:r>
              <w:rPr>
                <w:rFonts w:ascii="Arial" w:cs="Arial" w:eastAsia="Arial" w:hAnsi="Arial"/>
                <w:sz w:val="14"/>
                <w:szCs w:val="14"/>
                <w:color w:val="auto"/>
              </w:rPr>
              <w:t>executive,  corporate</w:t>
            </w:r>
          </w:p>
        </w:tc>
        <w:tc>
          <w:tcPr>
            <w:tcW w:w="100" w:type="dxa"/>
            <w:vAlign w:val="bottom"/>
          </w:tcPr>
          <w:p>
            <w:pPr>
              <w:spacing w:after="0"/>
              <w:rPr>
                <w:sz w:val="15"/>
                <w:szCs w:val="15"/>
                <w:color w:val="auto"/>
              </w:rPr>
            </w:pPr>
          </w:p>
        </w:tc>
        <w:tc>
          <w:tcPr>
            <w:tcW w:w="1540" w:type="dxa"/>
            <w:vAlign w:val="bottom"/>
            <w:shd w:val="clear" w:color="auto" w:fill="F2F2F2"/>
          </w:tcPr>
          <w:p>
            <w:pPr>
              <w:ind w:left="60"/>
              <w:spacing w:after="0"/>
              <w:rPr>
                <w:sz w:val="20"/>
                <w:szCs w:val="20"/>
                <w:color w:val="auto"/>
              </w:rPr>
            </w:pPr>
            <w:r>
              <w:rPr>
                <w:rFonts w:ascii="Arial" w:cs="Arial" w:eastAsia="Arial" w:hAnsi="Arial"/>
                <w:sz w:val="14"/>
                <w:szCs w:val="14"/>
                <w:color w:val="auto"/>
              </w:rPr>
              <w:t>executive,  as  well</w:t>
            </w:r>
          </w:p>
        </w:tc>
        <w:tc>
          <w:tcPr>
            <w:tcW w:w="80" w:type="dxa"/>
            <w:vAlign w:val="bottom"/>
          </w:tcPr>
          <w:p>
            <w:pPr>
              <w:spacing w:after="0"/>
              <w:rPr>
                <w:sz w:val="15"/>
                <w:szCs w:val="15"/>
                <w:color w:val="auto"/>
              </w:rPr>
            </w:pPr>
          </w:p>
        </w:tc>
        <w:tc>
          <w:tcPr>
            <w:tcW w:w="1540" w:type="dxa"/>
            <w:vAlign w:val="bottom"/>
            <w:shd w:val="clear" w:color="auto" w:fill="F2F2F2"/>
          </w:tcPr>
          <w:p>
            <w:pPr>
              <w:ind w:left="60"/>
              <w:spacing w:after="0"/>
              <w:rPr>
                <w:sz w:val="20"/>
                <w:szCs w:val="20"/>
                <w:color w:val="auto"/>
              </w:rPr>
            </w:pPr>
            <w:r>
              <w:rPr>
                <w:rFonts w:ascii="Arial" w:cs="Arial" w:eastAsia="Arial" w:hAnsi="Arial"/>
                <w:sz w:val="14"/>
                <w:szCs w:val="14"/>
                <w:color w:val="auto"/>
              </w:rPr>
              <w:t>and  human</w:t>
            </w:r>
          </w:p>
        </w:tc>
      </w:tr>
      <w:tr>
        <w:trPr>
          <w:trHeight w:val="162"/>
        </w:trPr>
        <w:tc>
          <w:tcPr>
            <w:tcW w:w="1560" w:type="dxa"/>
            <w:vAlign w:val="bottom"/>
            <w:shd w:val="clear" w:color="auto" w:fill="F2F2F2"/>
          </w:tcPr>
          <w:p>
            <w:pPr>
              <w:ind w:left="60"/>
              <w:spacing w:after="0"/>
              <w:rPr>
                <w:sz w:val="20"/>
                <w:szCs w:val="20"/>
                <w:color w:val="auto"/>
              </w:rPr>
            </w:pPr>
            <w:r>
              <w:rPr>
                <w:rFonts w:ascii="Arial" w:cs="Arial" w:eastAsia="Arial" w:hAnsi="Arial"/>
                <w:sz w:val="14"/>
                <w:szCs w:val="14"/>
                <w:color w:val="auto"/>
              </w:rPr>
              <w:t>governance</w:t>
            </w:r>
          </w:p>
        </w:tc>
        <w:tc>
          <w:tcPr>
            <w:tcW w:w="100" w:type="dxa"/>
            <w:vAlign w:val="bottom"/>
          </w:tcPr>
          <w:p>
            <w:pPr>
              <w:spacing w:after="0"/>
              <w:rPr>
                <w:sz w:val="14"/>
                <w:szCs w:val="14"/>
                <w:color w:val="auto"/>
              </w:rPr>
            </w:pPr>
          </w:p>
        </w:tc>
        <w:tc>
          <w:tcPr>
            <w:tcW w:w="1520" w:type="dxa"/>
            <w:vAlign w:val="bottom"/>
            <w:shd w:val="clear" w:color="auto" w:fill="F2F2F2"/>
          </w:tcPr>
          <w:p>
            <w:pPr>
              <w:ind w:left="60"/>
              <w:spacing w:after="0"/>
              <w:rPr>
                <w:sz w:val="20"/>
                <w:szCs w:val="20"/>
                <w:color w:val="auto"/>
              </w:rPr>
            </w:pPr>
            <w:r>
              <w:rPr>
                <w:rFonts w:ascii="Arial" w:cs="Arial" w:eastAsia="Arial" w:hAnsi="Arial"/>
                <w:sz w:val="14"/>
                <w:szCs w:val="14"/>
                <w:color w:val="auto"/>
              </w:rPr>
              <w:t>capital</w:t>
            </w:r>
          </w:p>
        </w:tc>
        <w:tc>
          <w:tcPr>
            <w:tcW w:w="100" w:type="dxa"/>
            <w:vAlign w:val="bottom"/>
          </w:tcPr>
          <w:p>
            <w:pPr>
              <w:spacing w:after="0"/>
              <w:rPr>
                <w:sz w:val="14"/>
                <w:szCs w:val="14"/>
                <w:color w:val="auto"/>
              </w:rPr>
            </w:pPr>
          </w:p>
        </w:tc>
        <w:tc>
          <w:tcPr>
            <w:tcW w:w="1540" w:type="dxa"/>
            <w:vAlign w:val="bottom"/>
            <w:shd w:val="clear" w:color="auto" w:fill="F2F2F2"/>
          </w:tcPr>
          <w:p>
            <w:pPr>
              <w:ind w:left="60"/>
              <w:spacing w:after="0"/>
              <w:rPr>
                <w:sz w:val="20"/>
                <w:szCs w:val="20"/>
                <w:color w:val="auto"/>
              </w:rPr>
            </w:pPr>
            <w:r>
              <w:rPr>
                <w:rFonts w:ascii="Arial" w:cs="Arial" w:eastAsia="Arial" w:hAnsi="Arial"/>
                <w:sz w:val="14"/>
                <w:szCs w:val="14"/>
                <w:color w:val="auto"/>
              </w:rPr>
              <w:t>as  well  as  global</w:t>
            </w:r>
          </w:p>
        </w:tc>
        <w:tc>
          <w:tcPr>
            <w:tcW w:w="100" w:type="dxa"/>
            <w:vAlign w:val="bottom"/>
          </w:tcPr>
          <w:p>
            <w:pPr>
              <w:spacing w:after="0"/>
              <w:rPr>
                <w:sz w:val="14"/>
                <w:szCs w:val="14"/>
                <w:color w:val="auto"/>
              </w:rPr>
            </w:pPr>
          </w:p>
        </w:tc>
        <w:tc>
          <w:tcPr>
            <w:tcW w:w="1540" w:type="dxa"/>
            <w:vAlign w:val="bottom"/>
            <w:shd w:val="clear" w:color="auto" w:fill="F2F2F2"/>
          </w:tcPr>
          <w:p>
            <w:pPr>
              <w:ind w:left="60"/>
              <w:spacing w:after="0"/>
              <w:rPr>
                <w:sz w:val="20"/>
                <w:szCs w:val="20"/>
                <w:color w:val="auto"/>
              </w:rPr>
            </w:pPr>
            <w:r>
              <w:rPr>
                <w:rFonts w:ascii="Arial" w:cs="Arial" w:eastAsia="Arial" w:hAnsi="Arial"/>
                <w:sz w:val="14"/>
                <w:szCs w:val="14"/>
                <w:color w:val="auto"/>
              </w:rPr>
              <w:t>governance</w:t>
            </w:r>
          </w:p>
        </w:tc>
        <w:tc>
          <w:tcPr>
            <w:tcW w:w="100" w:type="dxa"/>
            <w:vAlign w:val="bottom"/>
          </w:tcPr>
          <w:p>
            <w:pPr>
              <w:spacing w:after="0"/>
              <w:rPr>
                <w:sz w:val="14"/>
                <w:szCs w:val="14"/>
                <w:color w:val="auto"/>
              </w:rPr>
            </w:pPr>
          </w:p>
        </w:tc>
        <w:tc>
          <w:tcPr>
            <w:tcW w:w="1540" w:type="dxa"/>
            <w:vAlign w:val="bottom"/>
            <w:shd w:val="clear" w:color="auto" w:fill="F2F2F2"/>
          </w:tcPr>
          <w:p>
            <w:pPr>
              <w:ind w:left="60"/>
              <w:spacing w:after="0"/>
              <w:rPr>
                <w:sz w:val="20"/>
                <w:szCs w:val="20"/>
                <w:color w:val="auto"/>
              </w:rPr>
            </w:pPr>
            <w:r>
              <w:rPr>
                <w:rFonts w:ascii="Arial" w:cs="Arial" w:eastAsia="Arial" w:hAnsi="Arial"/>
                <w:sz w:val="14"/>
                <w:szCs w:val="14"/>
                <w:color w:val="auto"/>
              </w:rPr>
              <w:t>as  global</w:t>
            </w:r>
          </w:p>
        </w:tc>
        <w:tc>
          <w:tcPr>
            <w:tcW w:w="80" w:type="dxa"/>
            <w:vAlign w:val="bottom"/>
          </w:tcPr>
          <w:p>
            <w:pPr>
              <w:spacing w:after="0"/>
              <w:rPr>
                <w:sz w:val="14"/>
                <w:szCs w:val="14"/>
                <w:color w:val="auto"/>
              </w:rPr>
            </w:pPr>
          </w:p>
        </w:tc>
        <w:tc>
          <w:tcPr>
            <w:tcW w:w="1540" w:type="dxa"/>
            <w:vAlign w:val="bottom"/>
            <w:shd w:val="clear" w:color="auto" w:fill="F2F2F2"/>
          </w:tcPr>
          <w:p>
            <w:pPr>
              <w:ind w:left="60"/>
              <w:spacing w:after="0"/>
              <w:rPr>
                <w:sz w:val="20"/>
                <w:szCs w:val="20"/>
                <w:color w:val="auto"/>
              </w:rPr>
            </w:pPr>
            <w:r>
              <w:rPr>
                <w:rFonts w:ascii="Arial" w:cs="Arial" w:eastAsia="Arial" w:hAnsi="Arial"/>
                <w:sz w:val="14"/>
                <w:szCs w:val="14"/>
                <w:color w:val="auto"/>
              </w:rPr>
              <w:t>capital</w:t>
            </w:r>
          </w:p>
        </w:tc>
      </w:tr>
      <w:tr>
        <w:trPr>
          <w:trHeight w:val="175"/>
        </w:trPr>
        <w:tc>
          <w:tcPr>
            <w:tcW w:w="1560" w:type="dxa"/>
            <w:vAlign w:val="bottom"/>
            <w:shd w:val="clear" w:color="auto" w:fill="F2F2F2"/>
          </w:tcPr>
          <w:p>
            <w:pPr>
              <w:ind w:left="60"/>
              <w:spacing w:after="0"/>
              <w:rPr>
                <w:sz w:val="20"/>
                <w:szCs w:val="20"/>
                <w:color w:val="auto"/>
              </w:rPr>
            </w:pPr>
            <w:r>
              <w:rPr>
                <w:rFonts w:ascii="Arial" w:cs="Arial" w:eastAsia="Arial" w:hAnsi="Arial"/>
                <w:sz w:val="14"/>
                <w:szCs w:val="14"/>
                <w:color w:val="auto"/>
              </w:rPr>
              <w:t>expertise  and</w:t>
            </w:r>
          </w:p>
        </w:tc>
        <w:tc>
          <w:tcPr>
            <w:tcW w:w="100" w:type="dxa"/>
            <w:vAlign w:val="bottom"/>
          </w:tcPr>
          <w:p>
            <w:pPr>
              <w:spacing w:after="0"/>
              <w:rPr>
                <w:sz w:val="15"/>
                <w:szCs w:val="15"/>
                <w:color w:val="auto"/>
              </w:rPr>
            </w:pPr>
          </w:p>
        </w:tc>
        <w:tc>
          <w:tcPr>
            <w:tcW w:w="1520" w:type="dxa"/>
            <w:vAlign w:val="bottom"/>
            <w:shd w:val="clear" w:color="auto" w:fill="F2F2F2"/>
          </w:tcPr>
          <w:p>
            <w:pPr>
              <w:ind w:left="60"/>
              <w:spacing w:after="0"/>
              <w:rPr>
                <w:sz w:val="20"/>
                <w:szCs w:val="20"/>
                <w:color w:val="auto"/>
              </w:rPr>
            </w:pPr>
            <w:r>
              <w:rPr>
                <w:rFonts w:ascii="Arial" w:cs="Arial" w:eastAsia="Arial" w:hAnsi="Arial"/>
                <w:sz w:val="14"/>
                <w:szCs w:val="14"/>
                <w:color w:val="auto"/>
              </w:rPr>
              <w:t>management/</w:t>
            </w:r>
          </w:p>
        </w:tc>
        <w:tc>
          <w:tcPr>
            <w:tcW w:w="100" w:type="dxa"/>
            <w:vAlign w:val="bottom"/>
          </w:tcPr>
          <w:p>
            <w:pPr>
              <w:spacing w:after="0"/>
              <w:rPr>
                <w:sz w:val="15"/>
                <w:szCs w:val="15"/>
                <w:color w:val="auto"/>
              </w:rPr>
            </w:pPr>
          </w:p>
        </w:tc>
        <w:tc>
          <w:tcPr>
            <w:tcW w:w="1540" w:type="dxa"/>
            <w:vAlign w:val="bottom"/>
            <w:shd w:val="clear" w:color="auto" w:fill="F2F2F2"/>
          </w:tcPr>
          <w:p>
            <w:pPr>
              <w:ind w:left="60"/>
              <w:spacing w:after="0"/>
              <w:rPr>
                <w:sz w:val="20"/>
                <w:szCs w:val="20"/>
                <w:color w:val="auto"/>
              </w:rPr>
            </w:pPr>
            <w:r>
              <w:rPr>
                <w:rFonts w:ascii="Arial" w:cs="Arial" w:eastAsia="Arial" w:hAnsi="Arial"/>
                <w:sz w:val="14"/>
                <w:szCs w:val="14"/>
                <w:color w:val="auto"/>
              </w:rPr>
              <w:t>operations,</w:t>
            </w:r>
          </w:p>
        </w:tc>
        <w:tc>
          <w:tcPr>
            <w:tcW w:w="100" w:type="dxa"/>
            <w:vAlign w:val="bottom"/>
          </w:tcPr>
          <w:p>
            <w:pPr>
              <w:spacing w:after="0"/>
              <w:rPr>
                <w:sz w:val="15"/>
                <w:szCs w:val="15"/>
                <w:color w:val="auto"/>
              </w:rPr>
            </w:pPr>
          </w:p>
        </w:tc>
        <w:tc>
          <w:tcPr>
            <w:tcW w:w="1540" w:type="dxa"/>
            <w:vAlign w:val="bottom"/>
            <w:shd w:val="clear" w:color="auto" w:fill="F2F2F2"/>
          </w:tcPr>
          <w:p>
            <w:pPr>
              <w:ind w:left="60"/>
              <w:spacing w:after="0"/>
              <w:rPr>
                <w:sz w:val="20"/>
                <w:szCs w:val="20"/>
                <w:color w:val="auto"/>
              </w:rPr>
            </w:pPr>
            <w:r>
              <w:rPr>
                <w:rFonts w:ascii="Arial" w:cs="Arial" w:eastAsia="Arial" w:hAnsi="Arial"/>
                <w:sz w:val="14"/>
                <w:szCs w:val="14"/>
                <w:color w:val="auto"/>
              </w:rPr>
              <w:t>expertise  and</w:t>
            </w:r>
          </w:p>
        </w:tc>
        <w:tc>
          <w:tcPr>
            <w:tcW w:w="100" w:type="dxa"/>
            <w:vAlign w:val="bottom"/>
          </w:tcPr>
          <w:p>
            <w:pPr>
              <w:spacing w:after="0"/>
              <w:rPr>
                <w:sz w:val="15"/>
                <w:szCs w:val="15"/>
                <w:color w:val="auto"/>
              </w:rPr>
            </w:pPr>
          </w:p>
        </w:tc>
        <w:tc>
          <w:tcPr>
            <w:tcW w:w="1540" w:type="dxa"/>
            <w:vAlign w:val="bottom"/>
            <w:shd w:val="clear" w:color="auto" w:fill="F2F2F2"/>
          </w:tcPr>
          <w:p>
            <w:pPr>
              <w:ind w:left="60"/>
              <w:spacing w:after="0"/>
              <w:rPr>
                <w:sz w:val="20"/>
                <w:szCs w:val="20"/>
                <w:color w:val="auto"/>
              </w:rPr>
            </w:pPr>
            <w:r>
              <w:rPr>
                <w:rFonts w:ascii="Arial" w:cs="Arial" w:eastAsia="Arial" w:hAnsi="Arial"/>
                <w:sz w:val="14"/>
                <w:szCs w:val="14"/>
                <w:color w:val="auto"/>
              </w:rPr>
              <w:t>operations  and</w:t>
            </w:r>
          </w:p>
        </w:tc>
        <w:tc>
          <w:tcPr>
            <w:tcW w:w="80" w:type="dxa"/>
            <w:vAlign w:val="bottom"/>
          </w:tcPr>
          <w:p>
            <w:pPr>
              <w:spacing w:after="0"/>
              <w:rPr>
                <w:sz w:val="15"/>
                <w:szCs w:val="15"/>
                <w:color w:val="auto"/>
              </w:rPr>
            </w:pPr>
          </w:p>
        </w:tc>
        <w:tc>
          <w:tcPr>
            <w:tcW w:w="1540" w:type="dxa"/>
            <w:vAlign w:val="bottom"/>
            <w:shd w:val="clear" w:color="auto" w:fill="F2F2F2"/>
          </w:tcPr>
          <w:p>
            <w:pPr>
              <w:ind w:left="60"/>
              <w:spacing w:after="0"/>
              <w:rPr>
                <w:sz w:val="20"/>
                <w:szCs w:val="20"/>
                <w:color w:val="auto"/>
              </w:rPr>
            </w:pPr>
            <w:r>
              <w:rPr>
                <w:rFonts w:ascii="Arial" w:cs="Arial" w:eastAsia="Arial" w:hAnsi="Arial"/>
                <w:sz w:val="14"/>
                <w:szCs w:val="14"/>
                <w:color w:val="auto"/>
              </w:rPr>
              <w:t>management/</w:t>
            </w:r>
          </w:p>
        </w:tc>
      </w:tr>
      <w:tr>
        <w:trPr>
          <w:trHeight w:val="175"/>
        </w:trPr>
        <w:tc>
          <w:tcPr>
            <w:tcW w:w="1560" w:type="dxa"/>
            <w:vAlign w:val="bottom"/>
            <w:shd w:val="clear" w:color="auto" w:fill="F2F2F2"/>
          </w:tcPr>
          <w:p>
            <w:pPr>
              <w:ind w:left="60"/>
              <w:spacing w:after="0"/>
              <w:rPr>
                <w:sz w:val="20"/>
                <w:szCs w:val="20"/>
                <w:color w:val="auto"/>
              </w:rPr>
            </w:pPr>
            <w:r>
              <w:rPr>
                <w:rFonts w:ascii="Arial" w:cs="Arial" w:eastAsia="Arial" w:hAnsi="Arial"/>
                <w:sz w:val="14"/>
                <w:szCs w:val="14"/>
                <w:color w:val="auto"/>
              </w:rPr>
              <w:t>current  or</w:t>
            </w:r>
          </w:p>
        </w:tc>
        <w:tc>
          <w:tcPr>
            <w:tcW w:w="100" w:type="dxa"/>
            <w:vAlign w:val="bottom"/>
          </w:tcPr>
          <w:p>
            <w:pPr>
              <w:spacing w:after="0"/>
              <w:rPr>
                <w:sz w:val="15"/>
                <w:szCs w:val="15"/>
                <w:color w:val="auto"/>
              </w:rPr>
            </w:pPr>
          </w:p>
        </w:tc>
        <w:tc>
          <w:tcPr>
            <w:tcW w:w="1520" w:type="dxa"/>
            <w:vAlign w:val="bottom"/>
            <w:shd w:val="clear" w:color="auto" w:fill="F2F2F2"/>
          </w:tcPr>
          <w:p>
            <w:pPr>
              <w:ind w:left="60"/>
              <w:spacing w:after="0"/>
              <w:rPr>
                <w:sz w:val="20"/>
                <w:szCs w:val="20"/>
                <w:color w:val="auto"/>
              </w:rPr>
            </w:pPr>
            <w:r>
              <w:rPr>
                <w:rFonts w:ascii="Arial" w:cs="Arial" w:eastAsia="Arial" w:hAnsi="Arial"/>
                <w:sz w:val="14"/>
                <w:szCs w:val="14"/>
                <w:color w:val="auto"/>
              </w:rPr>
              <w:t>union  relations</w:t>
            </w:r>
          </w:p>
        </w:tc>
        <w:tc>
          <w:tcPr>
            <w:tcW w:w="100" w:type="dxa"/>
            <w:vAlign w:val="bottom"/>
          </w:tcPr>
          <w:p>
            <w:pPr>
              <w:spacing w:after="0"/>
              <w:rPr>
                <w:sz w:val="15"/>
                <w:szCs w:val="15"/>
                <w:color w:val="auto"/>
              </w:rPr>
            </w:pPr>
          </w:p>
        </w:tc>
        <w:tc>
          <w:tcPr>
            <w:tcW w:w="1540" w:type="dxa"/>
            <w:vAlign w:val="bottom"/>
            <w:shd w:val="clear" w:color="auto" w:fill="F2F2F2"/>
          </w:tcPr>
          <w:p>
            <w:pPr>
              <w:ind w:left="60"/>
              <w:spacing w:after="0"/>
              <w:rPr>
                <w:sz w:val="20"/>
                <w:szCs w:val="20"/>
                <w:color w:val="auto"/>
              </w:rPr>
            </w:pPr>
            <w:r>
              <w:rPr>
                <w:rFonts w:ascii="Arial" w:cs="Arial" w:eastAsia="Arial" w:hAnsi="Arial"/>
                <w:sz w:val="14"/>
                <w:szCs w:val="14"/>
                <w:color w:val="auto"/>
              </w:rPr>
              <w:t>fnancial/</w:t>
            </w:r>
          </w:p>
        </w:tc>
        <w:tc>
          <w:tcPr>
            <w:tcW w:w="100" w:type="dxa"/>
            <w:vAlign w:val="bottom"/>
          </w:tcPr>
          <w:p>
            <w:pPr>
              <w:spacing w:after="0"/>
              <w:rPr>
                <w:sz w:val="15"/>
                <w:szCs w:val="15"/>
                <w:color w:val="auto"/>
              </w:rPr>
            </w:pPr>
          </w:p>
        </w:tc>
        <w:tc>
          <w:tcPr>
            <w:tcW w:w="1540" w:type="dxa"/>
            <w:vAlign w:val="bottom"/>
            <w:shd w:val="clear" w:color="auto" w:fill="F2F2F2"/>
          </w:tcPr>
          <w:p>
            <w:pPr>
              <w:ind w:left="60"/>
              <w:spacing w:after="0"/>
              <w:rPr>
                <w:sz w:val="20"/>
                <w:szCs w:val="20"/>
                <w:color w:val="auto"/>
              </w:rPr>
            </w:pPr>
            <w:r>
              <w:rPr>
                <w:rFonts w:ascii="Arial" w:cs="Arial" w:eastAsia="Arial" w:hAnsi="Arial"/>
                <w:sz w:val="14"/>
                <w:szCs w:val="14"/>
                <w:color w:val="auto"/>
              </w:rPr>
              <w:t>current  or</w:t>
            </w:r>
          </w:p>
        </w:tc>
        <w:tc>
          <w:tcPr>
            <w:tcW w:w="100" w:type="dxa"/>
            <w:vAlign w:val="bottom"/>
          </w:tcPr>
          <w:p>
            <w:pPr>
              <w:spacing w:after="0"/>
              <w:rPr>
                <w:sz w:val="15"/>
                <w:szCs w:val="15"/>
                <w:color w:val="auto"/>
              </w:rPr>
            </w:pPr>
          </w:p>
        </w:tc>
        <w:tc>
          <w:tcPr>
            <w:tcW w:w="1540" w:type="dxa"/>
            <w:vAlign w:val="bottom"/>
            <w:shd w:val="clear" w:color="auto" w:fill="F2F2F2"/>
          </w:tcPr>
          <w:p>
            <w:pPr>
              <w:ind w:left="60"/>
              <w:spacing w:after="0"/>
              <w:rPr>
                <w:sz w:val="20"/>
                <w:szCs w:val="20"/>
                <w:color w:val="auto"/>
              </w:rPr>
            </w:pPr>
            <w:r>
              <w:rPr>
                <w:rFonts w:ascii="Arial" w:cs="Arial" w:eastAsia="Arial" w:hAnsi="Arial"/>
                <w:sz w:val="14"/>
                <w:szCs w:val="14"/>
                <w:color w:val="auto"/>
              </w:rPr>
              <w:t>retail/brand</w:t>
            </w:r>
          </w:p>
        </w:tc>
        <w:tc>
          <w:tcPr>
            <w:tcW w:w="80" w:type="dxa"/>
            <w:vAlign w:val="bottom"/>
          </w:tcPr>
          <w:p>
            <w:pPr>
              <w:spacing w:after="0"/>
              <w:rPr>
                <w:sz w:val="15"/>
                <w:szCs w:val="15"/>
                <w:color w:val="auto"/>
              </w:rPr>
            </w:pPr>
          </w:p>
        </w:tc>
        <w:tc>
          <w:tcPr>
            <w:tcW w:w="1540" w:type="dxa"/>
            <w:vAlign w:val="bottom"/>
            <w:shd w:val="clear" w:color="auto" w:fill="F2F2F2"/>
          </w:tcPr>
          <w:p>
            <w:pPr>
              <w:ind w:left="60"/>
              <w:spacing w:after="0"/>
              <w:rPr>
                <w:sz w:val="20"/>
                <w:szCs w:val="20"/>
                <w:color w:val="auto"/>
              </w:rPr>
            </w:pPr>
            <w:r>
              <w:rPr>
                <w:rFonts w:ascii="Arial" w:cs="Arial" w:eastAsia="Arial" w:hAnsi="Arial"/>
                <w:sz w:val="14"/>
                <w:szCs w:val="14"/>
                <w:color w:val="auto"/>
              </w:rPr>
              <w:t>union  relations</w:t>
            </w:r>
          </w:p>
        </w:tc>
      </w:tr>
      <w:tr>
        <w:trPr>
          <w:trHeight w:val="162"/>
        </w:trPr>
        <w:tc>
          <w:tcPr>
            <w:tcW w:w="1560" w:type="dxa"/>
            <w:vAlign w:val="bottom"/>
            <w:shd w:val="clear" w:color="auto" w:fill="F2F2F2"/>
          </w:tcPr>
          <w:p>
            <w:pPr>
              <w:ind w:left="60"/>
              <w:spacing w:after="0"/>
              <w:rPr>
                <w:sz w:val="20"/>
                <w:szCs w:val="20"/>
                <w:color w:val="auto"/>
              </w:rPr>
            </w:pPr>
            <w:r>
              <w:rPr>
                <w:rFonts w:ascii="Arial" w:cs="Arial" w:eastAsia="Arial" w:hAnsi="Arial"/>
                <w:sz w:val="14"/>
                <w:szCs w:val="14"/>
                <w:color w:val="auto"/>
              </w:rPr>
              <w:t>former  public</w:t>
            </w:r>
          </w:p>
        </w:tc>
        <w:tc>
          <w:tcPr>
            <w:tcW w:w="100" w:type="dxa"/>
            <w:vAlign w:val="bottom"/>
          </w:tcPr>
          <w:p>
            <w:pPr>
              <w:spacing w:after="0"/>
              <w:rPr>
                <w:sz w:val="14"/>
                <w:szCs w:val="14"/>
                <w:color w:val="auto"/>
              </w:rPr>
            </w:pPr>
          </w:p>
        </w:tc>
        <w:tc>
          <w:tcPr>
            <w:tcW w:w="1520" w:type="dxa"/>
            <w:vAlign w:val="bottom"/>
            <w:shd w:val="clear" w:color="auto" w:fill="F2F2F2"/>
          </w:tcPr>
          <w:p>
            <w:pPr>
              <w:ind w:left="60"/>
              <w:spacing w:after="0"/>
              <w:rPr>
                <w:sz w:val="20"/>
                <w:szCs w:val="20"/>
                <w:color w:val="auto"/>
              </w:rPr>
            </w:pPr>
            <w:r>
              <w:rPr>
                <w:rFonts w:ascii="Arial" w:cs="Arial" w:eastAsia="Arial" w:hAnsi="Arial"/>
                <w:sz w:val="14"/>
                <w:szCs w:val="14"/>
                <w:color w:val="auto"/>
              </w:rPr>
              <w:t>expertise.</w:t>
            </w:r>
          </w:p>
        </w:tc>
        <w:tc>
          <w:tcPr>
            <w:tcW w:w="100" w:type="dxa"/>
            <w:vAlign w:val="bottom"/>
          </w:tcPr>
          <w:p>
            <w:pPr>
              <w:spacing w:after="0"/>
              <w:rPr>
                <w:sz w:val="14"/>
                <w:szCs w:val="14"/>
                <w:color w:val="auto"/>
              </w:rPr>
            </w:pPr>
          </w:p>
        </w:tc>
        <w:tc>
          <w:tcPr>
            <w:tcW w:w="1540" w:type="dxa"/>
            <w:vAlign w:val="bottom"/>
            <w:shd w:val="clear" w:color="auto" w:fill="F2F2F2"/>
          </w:tcPr>
          <w:p>
            <w:pPr>
              <w:ind w:left="60"/>
              <w:spacing w:after="0"/>
              <w:rPr>
                <w:sz w:val="20"/>
                <w:szCs w:val="20"/>
                <w:color w:val="auto"/>
              </w:rPr>
            </w:pPr>
            <w:r>
              <w:rPr>
                <w:rFonts w:ascii="Arial" w:cs="Arial" w:eastAsia="Arial" w:hAnsi="Arial"/>
                <w:sz w:val="14"/>
                <w:szCs w:val="14"/>
                <w:color w:val="auto"/>
              </w:rPr>
              <w:t>accounting/  capital</w:t>
            </w:r>
          </w:p>
        </w:tc>
        <w:tc>
          <w:tcPr>
            <w:tcW w:w="100" w:type="dxa"/>
            <w:vAlign w:val="bottom"/>
          </w:tcPr>
          <w:p>
            <w:pPr>
              <w:spacing w:after="0"/>
              <w:rPr>
                <w:sz w:val="14"/>
                <w:szCs w:val="14"/>
                <w:color w:val="auto"/>
              </w:rPr>
            </w:pPr>
          </w:p>
        </w:tc>
        <w:tc>
          <w:tcPr>
            <w:tcW w:w="1540" w:type="dxa"/>
            <w:vAlign w:val="bottom"/>
            <w:shd w:val="clear" w:color="auto" w:fill="F2F2F2"/>
          </w:tcPr>
          <w:p>
            <w:pPr>
              <w:ind w:left="60"/>
              <w:spacing w:after="0"/>
              <w:rPr>
                <w:sz w:val="20"/>
                <w:szCs w:val="20"/>
                <w:color w:val="auto"/>
              </w:rPr>
            </w:pPr>
            <w:r>
              <w:rPr>
                <w:rFonts w:ascii="Arial" w:cs="Arial" w:eastAsia="Arial" w:hAnsi="Arial"/>
                <w:sz w:val="14"/>
                <w:szCs w:val="14"/>
                <w:color w:val="auto"/>
              </w:rPr>
              <w:t>former  public</w:t>
            </w:r>
          </w:p>
        </w:tc>
        <w:tc>
          <w:tcPr>
            <w:tcW w:w="100" w:type="dxa"/>
            <w:vAlign w:val="bottom"/>
          </w:tcPr>
          <w:p>
            <w:pPr>
              <w:spacing w:after="0"/>
              <w:rPr>
                <w:sz w:val="14"/>
                <w:szCs w:val="14"/>
                <w:color w:val="auto"/>
              </w:rPr>
            </w:pPr>
          </w:p>
        </w:tc>
        <w:tc>
          <w:tcPr>
            <w:tcW w:w="1540" w:type="dxa"/>
            <w:vAlign w:val="bottom"/>
            <w:shd w:val="clear" w:color="auto" w:fill="F2F2F2"/>
          </w:tcPr>
          <w:p>
            <w:pPr>
              <w:ind w:left="60"/>
              <w:spacing w:after="0"/>
              <w:rPr>
                <w:sz w:val="20"/>
                <w:szCs w:val="20"/>
                <w:color w:val="auto"/>
              </w:rPr>
            </w:pPr>
            <w:r>
              <w:rPr>
                <w:rFonts w:ascii="Arial" w:cs="Arial" w:eastAsia="Arial" w:hAnsi="Arial"/>
                <w:sz w:val="14"/>
                <w:szCs w:val="14"/>
                <w:color w:val="auto"/>
              </w:rPr>
              <w:t>management</w:t>
            </w:r>
          </w:p>
        </w:tc>
        <w:tc>
          <w:tcPr>
            <w:tcW w:w="80" w:type="dxa"/>
            <w:vAlign w:val="bottom"/>
          </w:tcPr>
          <w:p>
            <w:pPr>
              <w:spacing w:after="0"/>
              <w:rPr>
                <w:sz w:val="14"/>
                <w:szCs w:val="14"/>
                <w:color w:val="auto"/>
              </w:rPr>
            </w:pPr>
          </w:p>
        </w:tc>
        <w:tc>
          <w:tcPr>
            <w:tcW w:w="1540" w:type="dxa"/>
            <w:vAlign w:val="bottom"/>
            <w:shd w:val="clear" w:color="auto" w:fill="F2F2F2"/>
          </w:tcPr>
          <w:p>
            <w:pPr>
              <w:ind w:left="60"/>
              <w:spacing w:after="0"/>
              <w:rPr>
                <w:sz w:val="20"/>
                <w:szCs w:val="20"/>
                <w:color w:val="auto"/>
              </w:rPr>
            </w:pPr>
            <w:r>
              <w:rPr>
                <w:rFonts w:ascii="Arial" w:cs="Arial" w:eastAsia="Arial" w:hAnsi="Arial"/>
                <w:sz w:val="14"/>
                <w:szCs w:val="14"/>
                <w:color w:val="auto"/>
              </w:rPr>
              <w:t>expertise.</w:t>
            </w:r>
          </w:p>
        </w:tc>
      </w:tr>
      <w:tr>
        <w:trPr>
          <w:trHeight w:val="175"/>
        </w:trPr>
        <w:tc>
          <w:tcPr>
            <w:tcW w:w="1560" w:type="dxa"/>
            <w:vAlign w:val="bottom"/>
            <w:shd w:val="clear" w:color="auto" w:fill="F2F2F2"/>
          </w:tcPr>
          <w:p>
            <w:pPr>
              <w:ind w:left="60"/>
              <w:spacing w:after="0"/>
              <w:rPr>
                <w:sz w:val="20"/>
                <w:szCs w:val="20"/>
                <w:color w:val="auto"/>
              </w:rPr>
            </w:pPr>
            <w:r>
              <w:rPr>
                <w:rFonts w:ascii="Arial" w:cs="Arial" w:eastAsia="Arial" w:hAnsi="Arial"/>
                <w:sz w:val="14"/>
                <w:szCs w:val="14"/>
                <w:color w:val="auto"/>
              </w:rPr>
              <w:t>company  Board</w:t>
            </w:r>
          </w:p>
        </w:tc>
        <w:tc>
          <w:tcPr>
            <w:tcW w:w="100" w:type="dxa"/>
            <w:vAlign w:val="bottom"/>
          </w:tcPr>
          <w:p>
            <w:pPr>
              <w:spacing w:after="0"/>
              <w:rPr>
                <w:sz w:val="15"/>
                <w:szCs w:val="15"/>
                <w:color w:val="auto"/>
              </w:rPr>
            </w:pPr>
          </w:p>
        </w:tc>
        <w:tc>
          <w:tcPr>
            <w:tcW w:w="1520" w:type="dxa"/>
            <w:vAlign w:val="bottom"/>
            <w:shd w:val="clear" w:color="auto" w:fill="F2F2F2"/>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shd w:val="clear" w:color="auto" w:fill="F2F2F2"/>
          </w:tcPr>
          <w:p>
            <w:pPr>
              <w:ind w:left="60"/>
              <w:spacing w:after="0"/>
              <w:rPr>
                <w:sz w:val="20"/>
                <w:szCs w:val="20"/>
                <w:color w:val="auto"/>
              </w:rPr>
            </w:pPr>
            <w:r>
              <w:rPr>
                <w:rFonts w:ascii="Arial" w:cs="Arial" w:eastAsia="Arial" w:hAnsi="Arial"/>
                <w:sz w:val="14"/>
                <w:szCs w:val="14"/>
                <w:color w:val="auto"/>
              </w:rPr>
              <w:t>allocation,</w:t>
            </w:r>
          </w:p>
        </w:tc>
        <w:tc>
          <w:tcPr>
            <w:tcW w:w="100" w:type="dxa"/>
            <w:vAlign w:val="bottom"/>
          </w:tcPr>
          <w:p>
            <w:pPr>
              <w:spacing w:after="0"/>
              <w:rPr>
                <w:sz w:val="15"/>
                <w:szCs w:val="15"/>
                <w:color w:val="auto"/>
              </w:rPr>
            </w:pPr>
          </w:p>
        </w:tc>
        <w:tc>
          <w:tcPr>
            <w:tcW w:w="1540" w:type="dxa"/>
            <w:vAlign w:val="bottom"/>
            <w:shd w:val="clear" w:color="auto" w:fill="F2F2F2"/>
          </w:tcPr>
          <w:p>
            <w:pPr>
              <w:ind w:left="60"/>
              <w:spacing w:after="0"/>
              <w:rPr>
                <w:sz w:val="20"/>
                <w:szCs w:val="20"/>
                <w:color w:val="auto"/>
              </w:rPr>
            </w:pPr>
            <w:r>
              <w:rPr>
                <w:rFonts w:ascii="Arial" w:cs="Arial" w:eastAsia="Arial" w:hAnsi="Arial"/>
                <w:sz w:val="14"/>
                <w:szCs w:val="14"/>
                <w:color w:val="auto"/>
              </w:rPr>
              <w:t>company  Board</w:t>
            </w:r>
          </w:p>
        </w:tc>
        <w:tc>
          <w:tcPr>
            <w:tcW w:w="100" w:type="dxa"/>
            <w:vAlign w:val="bottom"/>
          </w:tcPr>
          <w:p>
            <w:pPr>
              <w:spacing w:after="0"/>
              <w:rPr>
                <w:sz w:val="15"/>
                <w:szCs w:val="15"/>
                <w:color w:val="auto"/>
              </w:rPr>
            </w:pPr>
          </w:p>
        </w:tc>
        <w:tc>
          <w:tcPr>
            <w:tcW w:w="1540" w:type="dxa"/>
            <w:vAlign w:val="bottom"/>
            <w:shd w:val="clear" w:color="auto" w:fill="F2F2F2"/>
          </w:tcPr>
          <w:p>
            <w:pPr>
              <w:ind w:left="60"/>
              <w:spacing w:after="0"/>
              <w:rPr>
                <w:sz w:val="20"/>
                <w:szCs w:val="20"/>
                <w:color w:val="auto"/>
              </w:rPr>
            </w:pPr>
            <w:r>
              <w:rPr>
                <w:rFonts w:ascii="Arial" w:cs="Arial" w:eastAsia="Arial" w:hAnsi="Arial"/>
                <w:sz w:val="14"/>
                <w:szCs w:val="14"/>
                <w:color w:val="auto"/>
              </w:rPr>
              <w:t>expertise.</w:t>
            </w:r>
          </w:p>
        </w:tc>
        <w:tc>
          <w:tcPr>
            <w:tcW w:w="80" w:type="dxa"/>
            <w:vAlign w:val="bottom"/>
          </w:tcPr>
          <w:p>
            <w:pPr>
              <w:spacing w:after="0"/>
              <w:rPr>
                <w:sz w:val="15"/>
                <w:szCs w:val="15"/>
                <w:color w:val="auto"/>
              </w:rPr>
            </w:pPr>
          </w:p>
        </w:tc>
        <w:tc>
          <w:tcPr>
            <w:tcW w:w="1540" w:type="dxa"/>
            <w:vAlign w:val="bottom"/>
            <w:shd w:val="clear" w:color="auto" w:fill="F2F2F2"/>
          </w:tcPr>
          <w:p>
            <w:pPr>
              <w:spacing w:after="0"/>
              <w:rPr>
                <w:sz w:val="15"/>
                <w:szCs w:val="15"/>
                <w:color w:val="auto"/>
              </w:rPr>
            </w:pPr>
          </w:p>
        </w:tc>
      </w:tr>
      <w:tr>
        <w:trPr>
          <w:trHeight w:val="175"/>
        </w:trPr>
        <w:tc>
          <w:tcPr>
            <w:tcW w:w="1560" w:type="dxa"/>
            <w:vAlign w:val="bottom"/>
            <w:shd w:val="clear" w:color="auto" w:fill="F2F2F2"/>
          </w:tcPr>
          <w:p>
            <w:pPr>
              <w:ind w:left="60"/>
              <w:spacing w:after="0"/>
              <w:rPr>
                <w:sz w:val="20"/>
                <w:szCs w:val="20"/>
                <w:color w:val="auto"/>
              </w:rPr>
            </w:pPr>
            <w:r>
              <w:rPr>
                <w:rFonts w:ascii="Arial" w:cs="Arial" w:eastAsia="Arial" w:hAnsi="Arial"/>
                <w:sz w:val="14"/>
                <w:szCs w:val="14"/>
                <w:color w:val="auto"/>
              </w:rPr>
              <w:t>member,  as  well</w:t>
            </w:r>
          </w:p>
        </w:tc>
        <w:tc>
          <w:tcPr>
            <w:tcW w:w="100" w:type="dxa"/>
            <w:vAlign w:val="bottom"/>
          </w:tcPr>
          <w:p>
            <w:pPr>
              <w:spacing w:after="0"/>
              <w:rPr>
                <w:sz w:val="15"/>
                <w:szCs w:val="15"/>
                <w:color w:val="auto"/>
              </w:rPr>
            </w:pPr>
          </w:p>
        </w:tc>
        <w:tc>
          <w:tcPr>
            <w:tcW w:w="1520" w:type="dxa"/>
            <w:vAlign w:val="bottom"/>
            <w:shd w:val="clear" w:color="auto" w:fill="F2F2F2"/>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shd w:val="clear" w:color="auto" w:fill="F2F2F2"/>
          </w:tcPr>
          <w:p>
            <w:pPr>
              <w:ind w:left="60"/>
              <w:spacing w:after="0"/>
              <w:rPr>
                <w:sz w:val="20"/>
                <w:szCs w:val="20"/>
                <w:color w:val="auto"/>
              </w:rPr>
            </w:pPr>
            <w:r>
              <w:rPr>
                <w:rFonts w:ascii="Arial" w:cs="Arial" w:eastAsia="Arial" w:hAnsi="Arial"/>
                <w:sz w:val="14"/>
                <w:szCs w:val="14"/>
                <w:color w:val="auto"/>
              </w:rPr>
              <w:t>retail/brand</w:t>
            </w:r>
          </w:p>
        </w:tc>
        <w:tc>
          <w:tcPr>
            <w:tcW w:w="100" w:type="dxa"/>
            <w:vAlign w:val="bottom"/>
          </w:tcPr>
          <w:p>
            <w:pPr>
              <w:spacing w:after="0"/>
              <w:rPr>
                <w:sz w:val="15"/>
                <w:szCs w:val="15"/>
                <w:color w:val="auto"/>
              </w:rPr>
            </w:pPr>
          </w:p>
        </w:tc>
        <w:tc>
          <w:tcPr>
            <w:tcW w:w="1540" w:type="dxa"/>
            <w:vAlign w:val="bottom"/>
            <w:shd w:val="clear" w:color="auto" w:fill="F2F2F2"/>
          </w:tcPr>
          <w:p>
            <w:pPr>
              <w:ind w:left="60"/>
              <w:spacing w:after="0"/>
              <w:rPr>
                <w:sz w:val="20"/>
                <w:szCs w:val="20"/>
                <w:color w:val="auto"/>
              </w:rPr>
            </w:pPr>
            <w:r>
              <w:rPr>
                <w:rFonts w:ascii="Arial" w:cs="Arial" w:eastAsia="Arial" w:hAnsi="Arial"/>
                <w:sz w:val="14"/>
                <w:szCs w:val="14"/>
                <w:color w:val="auto"/>
              </w:rPr>
              <w:t>member,</w:t>
            </w:r>
          </w:p>
        </w:tc>
        <w:tc>
          <w:tcPr>
            <w:tcW w:w="100" w:type="dxa"/>
            <w:vAlign w:val="bottom"/>
          </w:tcPr>
          <w:p>
            <w:pPr>
              <w:spacing w:after="0"/>
              <w:rPr>
                <w:sz w:val="15"/>
                <w:szCs w:val="15"/>
                <w:color w:val="auto"/>
              </w:rPr>
            </w:pPr>
          </w:p>
        </w:tc>
        <w:tc>
          <w:tcPr>
            <w:tcW w:w="1540" w:type="dxa"/>
            <w:vAlign w:val="bottom"/>
            <w:shd w:val="clear" w:color="auto" w:fill="F2F2F2"/>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shd w:val="clear" w:color="auto" w:fill="F2F2F2"/>
          </w:tcPr>
          <w:p>
            <w:pPr>
              <w:spacing w:after="0"/>
              <w:rPr>
                <w:sz w:val="15"/>
                <w:szCs w:val="15"/>
                <w:color w:val="auto"/>
              </w:rPr>
            </w:pPr>
          </w:p>
        </w:tc>
      </w:tr>
      <w:tr>
        <w:trPr>
          <w:trHeight w:val="162"/>
        </w:trPr>
        <w:tc>
          <w:tcPr>
            <w:tcW w:w="1560" w:type="dxa"/>
            <w:vAlign w:val="bottom"/>
            <w:shd w:val="clear" w:color="auto" w:fill="F2F2F2"/>
          </w:tcPr>
          <w:p>
            <w:pPr>
              <w:ind w:left="60"/>
              <w:spacing w:after="0"/>
              <w:rPr>
                <w:sz w:val="20"/>
                <w:szCs w:val="20"/>
                <w:color w:val="auto"/>
              </w:rPr>
            </w:pPr>
            <w:r>
              <w:rPr>
                <w:rFonts w:ascii="Arial" w:cs="Arial" w:eastAsia="Arial" w:hAnsi="Arial"/>
                <w:sz w:val="14"/>
                <w:szCs w:val="14"/>
                <w:color w:val="auto"/>
              </w:rPr>
              <w:t>as  fnancial/</w:t>
            </w:r>
          </w:p>
        </w:tc>
        <w:tc>
          <w:tcPr>
            <w:tcW w:w="100" w:type="dxa"/>
            <w:vAlign w:val="bottom"/>
          </w:tcPr>
          <w:p>
            <w:pPr>
              <w:spacing w:after="0"/>
              <w:rPr>
                <w:sz w:val="14"/>
                <w:szCs w:val="14"/>
                <w:color w:val="auto"/>
              </w:rPr>
            </w:pPr>
          </w:p>
        </w:tc>
        <w:tc>
          <w:tcPr>
            <w:tcW w:w="1520" w:type="dxa"/>
            <w:vAlign w:val="bottom"/>
            <w:shd w:val="clear" w:color="auto" w:fill="F2F2F2"/>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shd w:val="clear" w:color="auto" w:fill="F2F2F2"/>
          </w:tcPr>
          <w:p>
            <w:pPr>
              <w:ind w:left="60"/>
              <w:spacing w:after="0"/>
              <w:rPr>
                <w:sz w:val="20"/>
                <w:szCs w:val="20"/>
                <w:color w:val="auto"/>
              </w:rPr>
            </w:pPr>
            <w:r>
              <w:rPr>
                <w:rFonts w:ascii="Arial" w:cs="Arial" w:eastAsia="Arial" w:hAnsi="Arial"/>
                <w:sz w:val="14"/>
                <w:szCs w:val="14"/>
                <w:color w:val="auto"/>
              </w:rPr>
              <w:t>management,</w:t>
            </w:r>
          </w:p>
        </w:tc>
        <w:tc>
          <w:tcPr>
            <w:tcW w:w="100" w:type="dxa"/>
            <w:vAlign w:val="bottom"/>
          </w:tcPr>
          <w:p>
            <w:pPr>
              <w:spacing w:after="0"/>
              <w:rPr>
                <w:sz w:val="14"/>
                <w:szCs w:val="14"/>
                <w:color w:val="auto"/>
              </w:rPr>
            </w:pPr>
          </w:p>
        </w:tc>
        <w:tc>
          <w:tcPr>
            <w:tcW w:w="1540" w:type="dxa"/>
            <w:vAlign w:val="bottom"/>
            <w:shd w:val="clear" w:color="auto" w:fill="F2F2F2"/>
          </w:tcPr>
          <w:p>
            <w:pPr>
              <w:ind w:left="60"/>
              <w:spacing w:after="0"/>
              <w:rPr>
                <w:sz w:val="20"/>
                <w:szCs w:val="20"/>
                <w:color w:val="auto"/>
              </w:rPr>
            </w:pPr>
            <w:r>
              <w:rPr>
                <w:rFonts w:ascii="Arial" w:cs="Arial" w:eastAsia="Arial" w:hAnsi="Arial"/>
                <w:sz w:val="14"/>
                <w:szCs w:val="14"/>
                <w:color w:val="auto"/>
              </w:rPr>
              <w:t>as  well  as  global</w:t>
            </w:r>
          </w:p>
        </w:tc>
        <w:tc>
          <w:tcPr>
            <w:tcW w:w="100" w:type="dxa"/>
            <w:vAlign w:val="bottom"/>
          </w:tcPr>
          <w:p>
            <w:pPr>
              <w:spacing w:after="0"/>
              <w:rPr>
                <w:sz w:val="14"/>
                <w:szCs w:val="14"/>
                <w:color w:val="auto"/>
              </w:rPr>
            </w:pPr>
          </w:p>
        </w:tc>
        <w:tc>
          <w:tcPr>
            <w:tcW w:w="1540" w:type="dxa"/>
            <w:vAlign w:val="bottom"/>
            <w:shd w:val="clear" w:color="auto" w:fill="F2F2F2"/>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shd w:val="clear" w:color="auto" w:fill="F2F2F2"/>
          </w:tcPr>
          <w:p>
            <w:pPr>
              <w:spacing w:after="0"/>
              <w:rPr>
                <w:sz w:val="14"/>
                <w:szCs w:val="14"/>
                <w:color w:val="auto"/>
              </w:rPr>
            </w:pPr>
          </w:p>
        </w:tc>
      </w:tr>
      <w:tr>
        <w:trPr>
          <w:trHeight w:val="175"/>
        </w:trPr>
        <w:tc>
          <w:tcPr>
            <w:tcW w:w="1560" w:type="dxa"/>
            <w:vAlign w:val="bottom"/>
            <w:shd w:val="clear" w:color="auto" w:fill="F2F2F2"/>
          </w:tcPr>
          <w:p>
            <w:pPr>
              <w:ind w:left="60"/>
              <w:spacing w:after="0"/>
              <w:rPr>
                <w:sz w:val="20"/>
                <w:szCs w:val="20"/>
                <w:color w:val="auto"/>
              </w:rPr>
            </w:pPr>
            <w:r>
              <w:rPr>
                <w:rFonts w:ascii="Arial" w:cs="Arial" w:eastAsia="Arial" w:hAnsi="Arial"/>
                <w:sz w:val="14"/>
                <w:szCs w:val="14"/>
                <w:color w:val="auto"/>
              </w:rPr>
              <w:t>accounting/  capital</w:t>
            </w:r>
          </w:p>
        </w:tc>
        <w:tc>
          <w:tcPr>
            <w:tcW w:w="100" w:type="dxa"/>
            <w:vAlign w:val="bottom"/>
          </w:tcPr>
          <w:p>
            <w:pPr>
              <w:spacing w:after="0"/>
              <w:rPr>
                <w:sz w:val="15"/>
                <w:szCs w:val="15"/>
                <w:color w:val="auto"/>
              </w:rPr>
            </w:pPr>
          </w:p>
        </w:tc>
        <w:tc>
          <w:tcPr>
            <w:tcW w:w="1520" w:type="dxa"/>
            <w:vAlign w:val="bottom"/>
            <w:shd w:val="clear" w:color="auto" w:fill="F2F2F2"/>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shd w:val="clear" w:color="auto" w:fill="F2F2F2"/>
          </w:tcPr>
          <w:p>
            <w:pPr>
              <w:ind w:left="60"/>
              <w:spacing w:after="0"/>
              <w:rPr>
                <w:sz w:val="20"/>
                <w:szCs w:val="20"/>
                <w:color w:val="auto"/>
              </w:rPr>
            </w:pPr>
            <w:r>
              <w:rPr>
                <w:rFonts w:ascii="Arial" w:cs="Arial" w:eastAsia="Arial" w:hAnsi="Arial"/>
                <w:sz w:val="14"/>
                <w:szCs w:val="14"/>
                <w:color w:val="auto"/>
              </w:rPr>
              <w:t>risk</w:t>
            </w:r>
          </w:p>
        </w:tc>
        <w:tc>
          <w:tcPr>
            <w:tcW w:w="100" w:type="dxa"/>
            <w:vAlign w:val="bottom"/>
          </w:tcPr>
          <w:p>
            <w:pPr>
              <w:spacing w:after="0"/>
              <w:rPr>
                <w:sz w:val="15"/>
                <w:szCs w:val="15"/>
                <w:color w:val="auto"/>
              </w:rPr>
            </w:pPr>
          </w:p>
        </w:tc>
        <w:tc>
          <w:tcPr>
            <w:tcW w:w="1540" w:type="dxa"/>
            <w:vAlign w:val="bottom"/>
            <w:shd w:val="clear" w:color="auto" w:fill="F2F2F2"/>
          </w:tcPr>
          <w:p>
            <w:pPr>
              <w:ind w:left="60"/>
              <w:spacing w:after="0"/>
              <w:rPr>
                <w:sz w:val="20"/>
                <w:szCs w:val="20"/>
                <w:color w:val="auto"/>
              </w:rPr>
            </w:pPr>
            <w:r>
              <w:rPr>
                <w:rFonts w:ascii="Arial" w:cs="Arial" w:eastAsia="Arial" w:hAnsi="Arial"/>
                <w:sz w:val="14"/>
                <w:szCs w:val="14"/>
                <w:color w:val="auto"/>
              </w:rPr>
              <w:t>operations,</w:t>
            </w:r>
          </w:p>
        </w:tc>
        <w:tc>
          <w:tcPr>
            <w:tcW w:w="100" w:type="dxa"/>
            <w:vAlign w:val="bottom"/>
          </w:tcPr>
          <w:p>
            <w:pPr>
              <w:spacing w:after="0"/>
              <w:rPr>
                <w:sz w:val="15"/>
                <w:szCs w:val="15"/>
                <w:color w:val="auto"/>
              </w:rPr>
            </w:pPr>
          </w:p>
        </w:tc>
        <w:tc>
          <w:tcPr>
            <w:tcW w:w="1540" w:type="dxa"/>
            <w:vAlign w:val="bottom"/>
            <w:shd w:val="clear" w:color="auto" w:fill="F2F2F2"/>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shd w:val="clear" w:color="auto" w:fill="F2F2F2"/>
          </w:tcPr>
          <w:p>
            <w:pPr>
              <w:spacing w:after="0"/>
              <w:rPr>
                <w:sz w:val="15"/>
                <w:szCs w:val="15"/>
                <w:color w:val="auto"/>
              </w:rPr>
            </w:pPr>
          </w:p>
        </w:tc>
      </w:tr>
      <w:tr>
        <w:trPr>
          <w:trHeight w:val="175"/>
        </w:trPr>
        <w:tc>
          <w:tcPr>
            <w:tcW w:w="1560" w:type="dxa"/>
            <w:vAlign w:val="bottom"/>
            <w:shd w:val="clear" w:color="auto" w:fill="F2F2F2"/>
          </w:tcPr>
          <w:p>
            <w:pPr>
              <w:ind w:left="60"/>
              <w:spacing w:after="0"/>
              <w:rPr>
                <w:sz w:val="20"/>
                <w:szCs w:val="20"/>
                <w:color w:val="auto"/>
              </w:rPr>
            </w:pPr>
            <w:r>
              <w:rPr>
                <w:rFonts w:ascii="Arial" w:cs="Arial" w:eastAsia="Arial" w:hAnsi="Arial"/>
                <w:sz w:val="14"/>
                <w:szCs w:val="14"/>
                <w:color w:val="auto"/>
              </w:rPr>
              <w:t>allocation,  human</w:t>
            </w:r>
          </w:p>
        </w:tc>
        <w:tc>
          <w:tcPr>
            <w:tcW w:w="100" w:type="dxa"/>
            <w:vAlign w:val="bottom"/>
          </w:tcPr>
          <w:p>
            <w:pPr>
              <w:spacing w:after="0"/>
              <w:rPr>
                <w:sz w:val="15"/>
                <w:szCs w:val="15"/>
                <w:color w:val="auto"/>
              </w:rPr>
            </w:pPr>
          </w:p>
        </w:tc>
        <w:tc>
          <w:tcPr>
            <w:tcW w:w="1520" w:type="dxa"/>
            <w:vAlign w:val="bottom"/>
            <w:shd w:val="clear" w:color="auto" w:fill="F2F2F2"/>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shd w:val="clear" w:color="auto" w:fill="F2F2F2"/>
          </w:tcPr>
          <w:p>
            <w:pPr>
              <w:ind w:left="60"/>
              <w:spacing w:after="0"/>
              <w:rPr>
                <w:sz w:val="20"/>
                <w:szCs w:val="20"/>
                <w:color w:val="auto"/>
              </w:rPr>
            </w:pPr>
            <w:r>
              <w:rPr>
                <w:rFonts w:ascii="Arial" w:cs="Arial" w:eastAsia="Arial" w:hAnsi="Arial"/>
                <w:sz w:val="14"/>
                <w:szCs w:val="14"/>
                <w:color w:val="auto"/>
              </w:rPr>
              <w:t>management  and</w:t>
            </w:r>
          </w:p>
        </w:tc>
        <w:tc>
          <w:tcPr>
            <w:tcW w:w="100" w:type="dxa"/>
            <w:vAlign w:val="bottom"/>
          </w:tcPr>
          <w:p>
            <w:pPr>
              <w:spacing w:after="0"/>
              <w:rPr>
                <w:sz w:val="15"/>
                <w:szCs w:val="15"/>
                <w:color w:val="auto"/>
              </w:rPr>
            </w:pPr>
          </w:p>
        </w:tc>
        <w:tc>
          <w:tcPr>
            <w:tcW w:w="1540" w:type="dxa"/>
            <w:vAlign w:val="bottom"/>
            <w:shd w:val="clear" w:color="auto" w:fill="F2F2F2"/>
          </w:tcPr>
          <w:p>
            <w:pPr>
              <w:ind w:left="60"/>
              <w:spacing w:after="0"/>
              <w:rPr>
                <w:sz w:val="20"/>
                <w:szCs w:val="20"/>
                <w:color w:val="auto"/>
              </w:rPr>
            </w:pPr>
            <w:r>
              <w:rPr>
                <w:rFonts w:ascii="Arial" w:cs="Arial" w:eastAsia="Arial" w:hAnsi="Arial"/>
                <w:sz w:val="14"/>
                <w:szCs w:val="14"/>
                <w:color w:val="auto"/>
              </w:rPr>
              <w:t>fnancial/</w:t>
            </w:r>
          </w:p>
        </w:tc>
        <w:tc>
          <w:tcPr>
            <w:tcW w:w="100" w:type="dxa"/>
            <w:vAlign w:val="bottom"/>
          </w:tcPr>
          <w:p>
            <w:pPr>
              <w:spacing w:after="0"/>
              <w:rPr>
                <w:sz w:val="15"/>
                <w:szCs w:val="15"/>
                <w:color w:val="auto"/>
              </w:rPr>
            </w:pPr>
          </w:p>
        </w:tc>
        <w:tc>
          <w:tcPr>
            <w:tcW w:w="1540" w:type="dxa"/>
            <w:vAlign w:val="bottom"/>
            <w:shd w:val="clear" w:color="auto" w:fill="F2F2F2"/>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shd w:val="clear" w:color="auto" w:fill="F2F2F2"/>
          </w:tcPr>
          <w:p>
            <w:pPr>
              <w:spacing w:after="0"/>
              <w:rPr>
                <w:sz w:val="15"/>
                <w:szCs w:val="15"/>
                <w:color w:val="auto"/>
              </w:rPr>
            </w:pPr>
          </w:p>
        </w:tc>
      </w:tr>
      <w:tr>
        <w:trPr>
          <w:trHeight w:val="162"/>
        </w:trPr>
        <w:tc>
          <w:tcPr>
            <w:tcW w:w="1560" w:type="dxa"/>
            <w:vAlign w:val="bottom"/>
            <w:shd w:val="clear" w:color="auto" w:fill="F2F2F2"/>
          </w:tcPr>
          <w:p>
            <w:pPr>
              <w:ind w:left="60"/>
              <w:spacing w:after="0"/>
              <w:rPr>
                <w:sz w:val="20"/>
                <w:szCs w:val="20"/>
                <w:color w:val="auto"/>
              </w:rPr>
            </w:pPr>
            <w:r>
              <w:rPr>
                <w:rFonts w:ascii="Arial" w:cs="Arial" w:eastAsia="Arial" w:hAnsi="Arial"/>
                <w:sz w:val="14"/>
                <w:szCs w:val="14"/>
                <w:color w:val="auto"/>
              </w:rPr>
              <w:t>capital</w:t>
            </w:r>
          </w:p>
        </w:tc>
        <w:tc>
          <w:tcPr>
            <w:tcW w:w="100" w:type="dxa"/>
            <w:vAlign w:val="bottom"/>
          </w:tcPr>
          <w:p>
            <w:pPr>
              <w:spacing w:after="0"/>
              <w:rPr>
                <w:sz w:val="14"/>
                <w:szCs w:val="14"/>
                <w:color w:val="auto"/>
              </w:rPr>
            </w:pPr>
          </w:p>
        </w:tc>
        <w:tc>
          <w:tcPr>
            <w:tcW w:w="1520" w:type="dxa"/>
            <w:vAlign w:val="bottom"/>
            <w:shd w:val="clear" w:color="auto" w:fill="F2F2F2"/>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shd w:val="clear" w:color="auto" w:fill="F2F2F2"/>
          </w:tcPr>
          <w:p>
            <w:pPr>
              <w:ind w:left="60"/>
              <w:spacing w:after="0"/>
              <w:rPr>
                <w:sz w:val="20"/>
                <w:szCs w:val="20"/>
                <w:color w:val="auto"/>
              </w:rPr>
            </w:pPr>
            <w:r>
              <w:rPr>
                <w:rFonts w:ascii="Arial" w:cs="Arial" w:eastAsia="Arial" w:hAnsi="Arial"/>
                <w:sz w:val="14"/>
                <w:szCs w:val="14"/>
                <w:color w:val="auto"/>
              </w:rPr>
              <w:t>technology/</w:t>
            </w:r>
          </w:p>
        </w:tc>
        <w:tc>
          <w:tcPr>
            <w:tcW w:w="100" w:type="dxa"/>
            <w:vAlign w:val="bottom"/>
          </w:tcPr>
          <w:p>
            <w:pPr>
              <w:spacing w:after="0"/>
              <w:rPr>
                <w:sz w:val="14"/>
                <w:szCs w:val="14"/>
                <w:color w:val="auto"/>
              </w:rPr>
            </w:pPr>
          </w:p>
        </w:tc>
        <w:tc>
          <w:tcPr>
            <w:tcW w:w="1540" w:type="dxa"/>
            <w:vAlign w:val="bottom"/>
            <w:shd w:val="clear" w:color="auto" w:fill="F2F2F2"/>
          </w:tcPr>
          <w:p>
            <w:pPr>
              <w:ind w:left="60"/>
              <w:spacing w:after="0"/>
              <w:rPr>
                <w:sz w:val="20"/>
                <w:szCs w:val="20"/>
                <w:color w:val="auto"/>
              </w:rPr>
            </w:pPr>
            <w:r>
              <w:rPr>
                <w:rFonts w:ascii="Arial" w:cs="Arial" w:eastAsia="Arial" w:hAnsi="Arial"/>
                <w:sz w:val="14"/>
                <w:szCs w:val="14"/>
                <w:color w:val="auto"/>
              </w:rPr>
              <w:t>accounting/</w:t>
            </w:r>
          </w:p>
        </w:tc>
        <w:tc>
          <w:tcPr>
            <w:tcW w:w="100" w:type="dxa"/>
            <w:vAlign w:val="bottom"/>
          </w:tcPr>
          <w:p>
            <w:pPr>
              <w:spacing w:after="0"/>
              <w:rPr>
                <w:sz w:val="14"/>
                <w:szCs w:val="14"/>
                <w:color w:val="auto"/>
              </w:rPr>
            </w:pPr>
          </w:p>
        </w:tc>
        <w:tc>
          <w:tcPr>
            <w:tcW w:w="1540" w:type="dxa"/>
            <w:vAlign w:val="bottom"/>
            <w:shd w:val="clear" w:color="auto" w:fill="F2F2F2"/>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shd w:val="clear" w:color="auto" w:fill="F2F2F2"/>
          </w:tcPr>
          <w:p>
            <w:pPr>
              <w:spacing w:after="0"/>
              <w:rPr>
                <w:sz w:val="14"/>
                <w:szCs w:val="14"/>
                <w:color w:val="auto"/>
              </w:rPr>
            </w:pPr>
          </w:p>
        </w:tc>
      </w:tr>
      <w:tr>
        <w:trPr>
          <w:trHeight w:val="175"/>
        </w:trPr>
        <w:tc>
          <w:tcPr>
            <w:tcW w:w="1560" w:type="dxa"/>
            <w:vAlign w:val="bottom"/>
            <w:shd w:val="clear" w:color="auto" w:fill="F2F2F2"/>
          </w:tcPr>
          <w:p>
            <w:pPr>
              <w:ind w:left="60"/>
              <w:spacing w:after="0"/>
              <w:rPr>
                <w:sz w:val="20"/>
                <w:szCs w:val="20"/>
                <w:color w:val="auto"/>
              </w:rPr>
            </w:pPr>
            <w:r>
              <w:rPr>
                <w:rFonts w:ascii="Arial" w:cs="Arial" w:eastAsia="Arial" w:hAnsi="Arial"/>
                <w:sz w:val="14"/>
                <w:szCs w:val="14"/>
                <w:color w:val="auto"/>
              </w:rPr>
              <w:t>management/</w:t>
            </w:r>
          </w:p>
        </w:tc>
        <w:tc>
          <w:tcPr>
            <w:tcW w:w="100" w:type="dxa"/>
            <w:vAlign w:val="bottom"/>
          </w:tcPr>
          <w:p>
            <w:pPr>
              <w:spacing w:after="0"/>
              <w:rPr>
                <w:sz w:val="15"/>
                <w:szCs w:val="15"/>
                <w:color w:val="auto"/>
              </w:rPr>
            </w:pPr>
          </w:p>
        </w:tc>
        <w:tc>
          <w:tcPr>
            <w:tcW w:w="1520" w:type="dxa"/>
            <w:vAlign w:val="bottom"/>
            <w:shd w:val="clear" w:color="auto" w:fill="F2F2F2"/>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shd w:val="clear" w:color="auto" w:fill="F2F2F2"/>
          </w:tcPr>
          <w:p>
            <w:pPr>
              <w:ind w:left="60"/>
              <w:spacing w:after="0"/>
              <w:rPr>
                <w:sz w:val="20"/>
                <w:szCs w:val="20"/>
                <w:color w:val="auto"/>
              </w:rPr>
            </w:pPr>
            <w:r>
              <w:rPr>
                <w:rFonts w:ascii="Arial" w:cs="Arial" w:eastAsia="Arial" w:hAnsi="Arial"/>
                <w:sz w:val="14"/>
                <w:szCs w:val="14"/>
                <w:color w:val="auto"/>
              </w:rPr>
              <w:t>cybersecurity</w:t>
            </w:r>
          </w:p>
        </w:tc>
        <w:tc>
          <w:tcPr>
            <w:tcW w:w="100" w:type="dxa"/>
            <w:vAlign w:val="bottom"/>
          </w:tcPr>
          <w:p>
            <w:pPr>
              <w:spacing w:after="0"/>
              <w:rPr>
                <w:sz w:val="15"/>
                <w:szCs w:val="15"/>
                <w:color w:val="auto"/>
              </w:rPr>
            </w:pPr>
          </w:p>
        </w:tc>
        <w:tc>
          <w:tcPr>
            <w:tcW w:w="1540" w:type="dxa"/>
            <w:vAlign w:val="bottom"/>
            <w:shd w:val="clear" w:color="auto" w:fill="F2F2F2"/>
          </w:tcPr>
          <w:p>
            <w:pPr>
              <w:ind w:left="60"/>
              <w:spacing w:after="0"/>
              <w:rPr>
                <w:sz w:val="20"/>
                <w:szCs w:val="20"/>
                <w:color w:val="auto"/>
              </w:rPr>
            </w:pPr>
            <w:r>
              <w:rPr>
                <w:rFonts w:ascii="Arial" w:cs="Arial" w:eastAsia="Arial" w:hAnsi="Arial"/>
                <w:sz w:val="14"/>
                <w:szCs w:val="14"/>
                <w:color w:val="auto"/>
              </w:rPr>
              <w:t>capital  allocation,</w:t>
            </w:r>
          </w:p>
        </w:tc>
        <w:tc>
          <w:tcPr>
            <w:tcW w:w="100" w:type="dxa"/>
            <w:vAlign w:val="bottom"/>
          </w:tcPr>
          <w:p>
            <w:pPr>
              <w:spacing w:after="0"/>
              <w:rPr>
                <w:sz w:val="15"/>
                <w:szCs w:val="15"/>
                <w:color w:val="auto"/>
              </w:rPr>
            </w:pPr>
          </w:p>
        </w:tc>
        <w:tc>
          <w:tcPr>
            <w:tcW w:w="1540" w:type="dxa"/>
            <w:vAlign w:val="bottom"/>
            <w:shd w:val="clear" w:color="auto" w:fill="F2F2F2"/>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shd w:val="clear" w:color="auto" w:fill="F2F2F2"/>
          </w:tcPr>
          <w:p>
            <w:pPr>
              <w:spacing w:after="0"/>
              <w:rPr>
                <w:sz w:val="15"/>
                <w:szCs w:val="15"/>
                <w:color w:val="auto"/>
              </w:rPr>
            </w:pPr>
          </w:p>
        </w:tc>
      </w:tr>
      <w:tr>
        <w:trPr>
          <w:trHeight w:val="175"/>
        </w:trPr>
        <w:tc>
          <w:tcPr>
            <w:tcW w:w="1560" w:type="dxa"/>
            <w:vAlign w:val="bottom"/>
            <w:shd w:val="clear" w:color="auto" w:fill="F2F2F2"/>
          </w:tcPr>
          <w:p>
            <w:pPr>
              <w:ind w:left="60"/>
              <w:spacing w:after="0"/>
              <w:rPr>
                <w:sz w:val="20"/>
                <w:szCs w:val="20"/>
                <w:color w:val="auto"/>
              </w:rPr>
            </w:pPr>
            <w:r>
              <w:rPr>
                <w:rFonts w:ascii="Arial" w:cs="Arial" w:eastAsia="Arial" w:hAnsi="Arial"/>
                <w:sz w:val="14"/>
                <w:szCs w:val="14"/>
                <w:color w:val="auto"/>
              </w:rPr>
              <w:t>union  relations</w:t>
            </w:r>
          </w:p>
        </w:tc>
        <w:tc>
          <w:tcPr>
            <w:tcW w:w="100" w:type="dxa"/>
            <w:vAlign w:val="bottom"/>
          </w:tcPr>
          <w:p>
            <w:pPr>
              <w:spacing w:after="0"/>
              <w:rPr>
                <w:sz w:val="15"/>
                <w:szCs w:val="15"/>
                <w:color w:val="auto"/>
              </w:rPr>
            </w:pPr>
          </w:p>
        </w:tc>
        <w:tc>
          <w:tcPr>
            <w:tcW w:w="1520" w:type="dxa"/>
            <w:vAlign w:val="bottom"/>
            <w:shd w:val="clear" w:color="auto" w:fill="F2F2F2"/>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shd w:val="clear" w:color="auto" w:fill="F2F2F2"/>
          </w:tcPr>
          <w:p>
            <w:pPr>
              <w:ind w:left="60"/>
              <w:spacing w:after="0"/>
              <w:rPr>
                <w:sz w:val="20"/>
                <w:szCs w:val="20"/>
                <w:color w:val="auto"/>
              </w:rPr>
            </w:pPr>
            <w:r>
              <w:rPr>
                <w:rFonts w:ascii="Arial" w:cs="Arial" w:eastAsia="Arial" w:hAnsi="Arial"/>
                <w:sz w:val="14"/>
                <w:szCs w:val="14"/>
                <w:color w:val="auto"/>
              </w:rPr>
              <w:t>expertise.</w:t>
            </w:r>
          </w:p>
        </w:tc>
        <w:tc>
          <w:tcPr>
            <w:tcW w:w="100" w:type="dxa"/>
            <w:vAlign w:val="bottom"/>
          </w:tcPr>
          <w:p>
            <w:pPr>
              <w:spacing w:after="0"/>
              <w:rPr>
                <w:sz w:val="15"/>
                <w:szCs w:val="15"/>
                <w:color w:val="auto"/>
              </w:rPr>
            </w:pPr>
          </w:p>
        </w:tc>
        <w:tc>
          <w:tcPr>
            <w:tcW w:w="1540" w:type="dxa"/>
            <w:vAlign w:val="bottom"/>
            <w:shd w:val="clear" w:color="auto" w:fill="F2F2F2"/>
          </w:tcPr>
          <w:p>
            <w:pPr>
              <w:ind w:left="60"/>
              <w:spacing w:after="0"/>
              <w:rPr>
                <w:sz w:val="20"/>
                <w:szCs w:val="20"/>
                <w:color w:val="auto"/>
              </w:rPr>
            </w:pPr>
            <w:r>
              <w:rPr>
                <w:rFonts w:ascii="Arial" w:cs="Arial" w:eastAsia="Arial" w:hAnsi="Arial"/>
                <w:sz w:val="14"/>
                <w:szCs w:val="14"/>
                <w:color w:val="auto"/>
              </w:rPr>
              <w:t>retail/brand</w:t>
            </w:r>
          </w:p>
        </w:tc>
        <w:tc>
          <w:tcPr>
            <w:tcW w:w="100" w:type="dxa"/>
            <w:vAlign w:val="bottom"/>
          </w:tcPr>
          <w:p>
            <w:pPr>
              <w:spacing w:after="0"/>
              <w:rPr>
                <w:sz w:val="15"/>
                <w:szCs w:val="15"/>
                <w:color w:val="auto"/>
              </w:rPr>
            </w:pPr>
          </w:p>
        </w:tc>
        <w:tc>
          <w:tcPr>
            <w:tcW w:w="1540" w:type="dxa"/>
            <w:vAlign w:val="bottom"/>
            <w:shd w:val="clear" w:color="auto" w:fill="F2F2F2"/>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shd w:val="clear" w:color="auto" w:fill="F2F2F2"/>
          </w:tcPr>
          <w:p>
            <w:pPr>
              <w:spacing w:after="0"/>
              <w:rPr>
                <w:sz w:val="15"/>
                <w:szCs w:val="15"/>
                <w:color w:val="auto"/>
              </w:rPr>
            </w:pPr>
          </w:p>
        </w:tc>
      </w:tr>
      <w:tr>
        <w:trPr>
          <w:trHeight w:val="162"/>
        </w:trPr>
        <w:tc>
          <w:tcPr>
            <w:tcW w:w="1560" w:type="dxa"/>
            <w:vAlign w:val="bottom"/>
            <w:shd w:val="clear" w:color="auto" w:fill="F2F2F2"/>
          </w:tcPr>
          <w:p>
            <w:pPr>
              <w:ind w:left="60"/>
              <w:spacing w:after="0"/>
              <w:rPr>
                <w:sz w:val="20"/>
                <w:szCs w:val="20"/>
                <w:color w:val="auto"/>
              </w:rPr>
            </w:pPr>
            <w:r>
              <w:rPr>
                <w:rFonts w:ascii="Arial" w:cs="Arial" w:eastAsia="Arial" w:hAnsi="Arial"/>
                <w:sz w:val="14"/>
                <w:szCs w:val="14"/>
                <w:color w:val="auto"/>
              </w:rPr>
              <w:t>and  retail/brand</w:t>
            </w:r>
          </w:p>
        </w:tc>
        <w:tc>
          <w:tcPr>
            <w:tcW w:w="100" w:type="dxa"/>
            <w:vAlign w:val="bottom"/>
          </w:tcPr>
          <w:p>
            <w:pPr>
              <w:spacing w:after="0"/>
              <w:rPr>
                <w:sz w:val="14"/>
                <w:szCs w:val="14"/>
                <w:color w:val="auto"/>
              </w:rPr>
            </w:pPr>
          </w:p>
        </w:tc>
        <w:tc>
          <w:tcPr>
            <w:tcW w:w="1520" w:type="dxa"/>
            <w:vAlign w:val="bottom"/>
            <w:shd w:val="clear" w:color="auto" w:fill="F2F2F2"/>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shd w:val="clear" w:color="auto" w:fill="F2F2F2"/>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shd w:val="clear" w:color="auto" w:fill="F2F2F2"/>
          </w:tcPr>
          <w:p>
            <w:pPr>
              <w:ind w:left="60"/>
              <w:spacing w:after="0"/>
              <w:rPr>
                <w:sz w:val="20"/>
                <w:szCs w:val="20"/>
                <w:color w:val="auto"/>
              </w:rPr>
            </w:pPr>
            <w:r>
              <w:rPr>
                <w:rFonts w:ascii="Arial" w:cs="Arial" w:eastAsia="Arial" w:hAnsi="Arial"/>
                <w:sz w:val="14"/>
                <w:szCs w:val="14"/>
                <w:color w:val="auto"/>
              </w:rPr>
              <w:t>management,</w:t>
            </w:r>
          </w:p>
        </w:tc>
        <w:tc>
          <w:tcPr>
            <w:tcW w:w="100" w:type="dxa"/>
            <w:vAlign w:val="bottom"/>
          </w:tcPr>
          <w:p>
            <w:pPr>
              <w:spacing w:after="0"/>
              <w:rPr>
                <w:sz w:val="14"/>
                <w:szCs w:val="14"/>
                <w:color w:val="auto"/>
              </w:rPr>
            </w:pPr>
          </w:p>
        </w:tc>
        <w:tc>
          <w:tcPr>
            <w:tcW w:w="1540" w:type="dxa"/>
            <w:vAlign w:val="bottom"/>
            <w:shd w:val="clear" w:color="auto" w:fill="F2F2F2"/>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shd w:val="clear" w:color="auto" w:fill="F2F2F2"/>
          </w:tcPr>
          <w:p>
            <w:pPr>
              <w:spacing w:after="0"/>
              <w:rPr>
                <w:sz w:val="14"/>
                <w:szCs w:val="14"/>
                <w:color w:val="auto"/>
              </w:rPr>
            </w:pPr>
          </w:p>
        </w:tc>
      </w:tr>
      <w:tr>
        <w:trPr>
          <w:trHeight w:val="175"/>
        </w:trPr>
        <w:tc>
          <w:tcPr>
            <w:tcW w:w="1560" w:type="dxa"/>
            <w:vAlign w:val="bottom"/>
            <w:shd w:val="clear" w:color="auto" w:fill="F2F2F2"/>
          </w:tcPr>
          <w:p>
            <w:pPr>
              <w:ind w:left="60"/>
              <w:spacing w:after="0"/>
              <w:rPr>
                <w:sz w:val="20"/>
                <w:szCs w:val="20"/>
                <w:color w:val="auto"/>
              </w:rPr>
            </w:pPr>
            <w:r>
              <w:rPr>
                <w:rFonts w:ascii="Arial" w:cs="Arial" w:eastAsia="Arial" w:hAnsi="Arial"/>
                <w:sz w:val="14"/>
                <w:szCs w:val="14"/>
                <w:color w:val="auto"/>
              </w:rPr>
              <w:t>management</w:t>
            </w:r>
          </w:p>
        </w:tc>
        <w:tc>
          <w:tcPr>
            <w:tcW w:w="100" w:type="dxa"/>
            <w:vAlign w:val="bottom"/>
          </w:tcPr>
          <w:p>
            <w:pPr>
              <w:spacing w:after="0"/>
              <w:rPr>
                <w:sz w:val="15"/>
                <w:szCs w:val="15"/>
                <w:color w:val="auto"/>
              </w:rPr>
            </w:pPr>
          </w:p>
        </w:tc>
        <w:tc>
          <w:tcPr>
            <w:tcW w:w="1520" w:type="dxa"/>
            <w:vAlign w:val="bottom"/>
            <w:shd w:val="clear" w:color="auto" w:fill="F2F2F2"/>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shd w:val="clear" w:color="auto" w:fill="F2F2F2"/>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shd w:val="clear" w:color="auto" w:fill="F2F2F2"/>
          </w:tcPr>
          <w:p>
            <w:pPr>
              <w:ind w:left="60"/>
              <w:spacing w:after="0"/>
              <w:rPr>
                <w:sz w:val="20"/>
                <w:szCs w:val="20"/>
                <w:color w:val="auto"/>
              </w:rPr>
            </w:pPr>
            <w:r>
              <w:rPr>
                <w:rFonts w:ascii="Arial" w:cs="Arial" w:eastAsia="Arial" w:hAnsi="Arial"/>
                <w:sz w:val="14"/>
                <w:szCs w:val="14"/>
                <w:color w:val="auto"/>
              </w:rPr>
              <w:t>and</w:t>
            </w:r>
          </w:p>
        </w:tc>
        <w:tc>
          <w:tcPr>
            <w:tcW w:w="100" w:type="dxa"/>
            <w:vAlign w:val="bottom"/>
          </w:tcPr>
          <w:p>
            <w:pPr>
              <w:spacing w:after="0"/>
              <w:rPr>
                <w:sz w:val="15"/>
                <w:szCs w:val="15"/>
                <w:color w:val="auto"/>
              </w:rPr>
            </w:pPr>
          </w:p>
        </w:tc>
        <w:tc>
          <w:tcPr>
            <w:tcW w:w="1540" w:type="dxa"/>
            <w:vAlign w:val="bottom"/>
            <w:shd w:val="clear" w:color="auto" w:fill="F2F2F2"/>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shd w:val="clear" w:color="auto" w:fill="F2F2F2"/>
          </w:tcPr>
          <w:p>
            <w:pPr>
              <w:spacing w:after="0"/>
              <w:rPr>
                <w:sz w:val="15"/>
                <w:szCs w:val="15"/>
                <w:color w:val="auto"/>
              </w:rPr>
            </w:pPr>
          </w:p>
        </w:tc>
      </w:tr>
      <w:tr>
        <w:trPr>
          <w:trHeight w:val="176"/>
        </w:trPr>
        <w:tc>
          <w:tcPr>
            <w:tcW w:w="1560" w:type="dxa"/>
            <w:vAlign w:val="bottom"/>
            <w:shd w:val="clear" w:color="auto" w:fill="F2F2F2"/>
          </w:tcPr>
          <w:p>
            <w:pPr>
              <w:ind w:left="60"/>
              <w:spacing w:after="0"/>
              <w:rPr>
                <w:sz w:val="20"/>
                <w:szCs w:val="20"/>
                <w:color w:val="auto"/>
              </w:rPr>
            </w:pPr>
            <w:r>
              <w:rPr>
                <w:rFonts w:ascii="Arial" w:cs="Arial" w:eastAsia="Arial" w:hAnsi="Arial"/>
                <w:sz w:val="14"/>
                <w:szCs w:val="14"/>
                <w:color w:val="auto"/>
              </w:rPr>
              <w:t>expertise.</w:t>
            </w:r>
          </w:p>
        </w:tc>
        <w:tc>
          <w:tcPr>
            <w:tcW w:w="100" w:type="dxa"/>
            <w:vAlign w:val="bottom"/>
          </w:tcPr>
          <w:p>
            <w:pPr>
              <w:spacing w:after="0"/>
              <w:rPr>
                <w:sz w:val="15"/>
                <w:szCs w:val="15"/>
                <w:color w:val="auto"/>
              </w:rPr>
            </w:pPr>
          </w:p>
        </w:tc>
        <w:tc>
          <w:tcPr>
            <w:tcW w:w="1520" w:type="dxa"/>
            <w:vAlign w:val="bottom"/>
            <w:shd w:val="clear" w:color="auto" w:fill="F2F2F2"/>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shd w:val="clear" w:color="auto" w:fill="F2F2F2"/>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shd w:val="clear" w:color="auto" w:fill="F2F2F2"/>
          </w:tcPr>
          <w:p>
            <w:pPr>
              <w:ind w:left="60"/>
              <w:spacing w:after="0"/>
              <w:rPr>
                <w:sz w:val="20"/>
                <w:szCs w:val="20"/>
                <w:color w:val="auto"/>
              </w:rPr>
            </w:pPr>
            <w:r>
              <w:rPr>
                <w:rFonts w:ascii="Arial" w:cs="Arial" w:eastAsia="Arial" w:hAnsi="Arial"/>
                <w:sz w:val="14"/>
                <w:szCs w:val="14"/>
                <w:color w:val="auto"/>
              </w:rPr>
              <w:t>technology/</w:t>
            </w:r>
          </w:p>
        </w:tc>
        <w:tc>
          <w:tcPr>
            <w:tcW w:w="100" w:type="dxa"/>
            <w:vAlign w:val="bottom"/>
          </w:tcPr>
          <w:p>
            <w:pPr>
              <w:spacing w:after="0"/>
              <w:rPr>
                <w:sz w:val="15"/>
                <w:szCs w:val="15"/>
                <w:color w:val="auto"/>
              </w:rPr>
            </w:pPr>
          </w:p>
        </w:tc>
        <w:tc>
          <w:tcPr>
            <w:tcW w:w="1540" w:type="dxa"/>
            <w:vAlign w:val="bottom"/>
            <w:shd w:val="clear" w:color="auto" w:fill="F2F2F2"/>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shd w:val="clear" w:color="auto" w:fill="F2F2F2"/>
          </w:tcPr>
          <w:p>
            <w:pPr>
              <w:spacing w:after="0"/>
              <w:rPr>
                <w:sz w:val="15"/>
                <w:szCs w:val="15"/>
                <w:color w:val="auto"/>
              </w:rPr>
            </w:pPr>
          </w:p>
        </w:tc>
      </w:tr>
      <w:tr>
        <w:trPr>
          <w:trHeight w:val="175"/>
        </w:trPr>
        <w:tc>
          <w:tcPr>
            <w:tcW w:w="1560" w:type="dxa"/>
            <w:vAlign w:val="bottom"/>
            <w:shd w:val="clear" w:color="auto" w:fill="F2F2F2"/>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shd w:val="clear" w:color="auto" w:fill="F2F2F2"/>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shd w:val="clear" w:color="auto" w:fill="F2F2F2"/>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shd w:val="clear" w:color="auto" w:fill="F2F2F2"/>
          </w:tcPr>
          <w:p>
            <w:pPr>
              <w:ind w:left="60"/>
              <w:spacing w:after="0"/>
              <w:rPr>
                <w:sz w:val="20"/>
                <w:szCs w:val="20"/>
                <w:color w:val="auto"/>
              </w:rPr>
            </w:pPr>
            <w:r>
              <w:rPr>
                <w:rFonts w:ascii="Arial" w:cs="Arial" w:eastAsia="Arial" w:hAnsi="Arial"/>
                <w:sz w:val="14"/>
                <w:szCs w:val="14"/>
                <w:color w:val="auto"/>
              </w:rPr>
              <w:t>cybersecurity</w:t>
            </w:r>
          </w:p>
        </w:tc>
        <w:tc>
          <w:tcPr>
            <w:tcW w:w="100" w:type="dxa"/>
            <w:vAlign w:val="bottom"/>
          </w:tcPr>
          <w:p>
            <w:pPr>
              <w:spacing w:after="0"/>
              <w:rPr>
                <w:sz w:val="15"/>
                <w:szCs w:val="15"/>
                <w:color w:val="auto"/>
              </w:rPr>
            </w:pPr>
          </w:p>
        </w:tc>
        <w:tc>
          <w:tcPr>
            <w:tcW w:w="1540" w:type="dxa"/>
            <w:vAlign w:val="bottom"/>
            <w:shd w:val="clear" w:color="auto" w:fill="F2F2F2"/>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shd w:val="clear" w:color="auto" w:fill="F2F2F2"/>
          </w:tcPr>
          <w:p>
            <w:pPr>
              <w:spacing w:after="0"/>
              <w:rPr>
                <w:sz w:val="15"/>
                <w:szCs w:val="15"/>
                <w:color w:val="auto"/>
              </w:rPr>
            </w:pPr>
          </w:p>
        </w:tc>
      </w:tr>
      <w:tr>
        <w:trPr>
          <w:trHeight w:val="181"/>
        </w:trPr>
        <w:tc>
          <w:tcPr>
            <w:tcW w:w="1560" w:type="dxa"/>
            <w:vAlign w:val="bottom"/>
            <w:shd w:val="clear" w:color="auto" w:fill="F2F2F2"/>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shd w:val="clear" w:color="auto" w:fill="F2F2F2"/>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shd w:val="clear" w:color="auto" w:fill="F2F2F2"/>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shd w:val="clear" w:color="auto" w:fill="F2F2F2"/>
          </w:tcPr>
          <w:p>
            <w:pPr>
              <w:ind w:left="60"/>
              <w:spacing w:after="0"/>
              <w:rPr>
                <w:sz w:val="20"/>
                <w:szCs w:val="20"/>
                <w:color w:val="auto"/>
              </w:rPr>
            </w:pPr>
            <w:r>
              <w:rPr>
                <w:rFonts w:ascii="Arial" w:cs="Arial" w:eastAsia="Arial" w:hAnsi="Arial"/>
                <w:sz w:val="14"/>
                <w:szCs w:val="14"/>
                <w:color w:val="auto"/>
              </w:rPr>
              <w:t>expertise.</w:t>
            </w:r>
          </w:p>
        </w:tc>
        <w:tc>
          <w:tcPr>
            <w:tcW w:w="100" w:type="dxa"/>
            <w:vAlign w:val="bottom"/>
          </w:tcPr>
          <w:p>
            <w:pPr>
              <w:spacing w:after="0"/>
              <w:rPr>
                <w:sz w:val="15"/>
                <w:szCs w:val="15"/>
                <w:color w:val="auto"/>
              </w:rPr>
            </w:pPr>
          </w:p>
        </w:tc>
        <w:tc>
          <w:tcPr>
            <w:tcW w:w="1540" w:type="dxa"/>
            <w:vAlign w:val="bottom"/>
            <w:shd w:val="clear" w:color="auto" w:fill="F2F2F2"/>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shd w:val="clear" w:color="auto" w:fill="F2F2F2"/>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2026  Proxy  Statement</w:t>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1414D2"/>
        </w:rPr>
        <w:t>19</w:t>
      </w:r>
    </w:p>
    <w:p>
      <w:pPr>
        <w:sectPr>
          <w:pgSz w:w="11900" w:h="16838" w:orient="portrait"/>
          <w:cols w:equalWidth="0" w:num="1">
            <w:col w:w="9720"/>
          </w:cols>
          <w:pgMar w:left="1080" w:top="695" w:right="109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6D6F71"/>
        </w:rPr>
        <w:t>Item  1  -  Election  of  Directors</w:t>
      </w:r>
    </w:p>
    <w:p>
      <w:pPr>
        <w:spacing w:after="0" w:line="223" w:lineRule="exact"/>
        <w:rPr>
          <w:sz w:val="20"/>
          <w:szCs w:val="20"/>
          <w:color w:val="auto"/>
        </w:rPr>
      </w:pPr>
    </w:p>
    <w:p>
      <w:pPr>
        <w:spacing w:after="0"/>
        <w:rPr>
          <w:sz w:val="20"/>
          <w:szCs w:val="20"/>
          <w:color w:val="auto"/>
        </w:rPr>
      </w:pPr>
      <w:r>
        <w:rPr>
          <w:rFonts w:ascii="Arial" w:cs="Arial" w:eastAsia="Arial" w:hAnsi="Arial"/>
          <w:sz w:val="25"/>
          <w:szCs w:val="25"/>
          <w:b w:val="1"/>
          <w:bCs w:val="1"/>
          <w:color w:val="1414D2"/>
        </w:rPr>
        <w:t>Director Biographical Information</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auto"/>
        </w:rPr>
        <w:t>Set  forth  on  the  following  pages  is  certain  biographical  information  about  each  director  nominee,  including  key  experience,</w:t>
      </w:r>
    </w:p>
    <w:p>
      <w:pPr>
        <w:spacing w:after="0" w:line="19" w:lineRule="exact"/>
        <w:rPr>
          <w:sz w:val="20"/>
          <w:szCs w:val="20"/>
          <w:color w:val="auto"/>
        </w:rPr>
      </w:pPr>
    </w:p>
    <w:p>
      <w:pPr>
        <w:ind w:right="820"/>
        <w:spacing w:after="0" w:line="313" w:lineRule="auto"/>
        <w:rPr>
          <w:sz w:val="20"/>
          <w:szCs w:val="20"/>
          <w:color w:val="auto"/>
        </w:rPr>
      </w:pPr>
      <w:r>
        <w:rPr>
          <w:rFonts w:ascii="Arial" w:cs="Arial" w:eastAsia="Arial" w:hAnsi="Arial"/>
          <w:sz w:val="16"/>
          <w:szCs w:val="16"/>
          <w:color w:val="auto"/>
        </w:rPr>
        <w:t>qualifcations and skills that led the Board to conclude that each nominee should serve as a director. The biographical information presented below is based on voluntary self-identifcation by each nominee.</w:t>
      </w:r>
    </w:p>
    <w:p>
      <w:pPr>
        <w:spacing w:after="0" w:line="6" w:lineRule="exact"/>
        <w:rPr>
          <w:sz w:val="20"/>
          <w:szCs w:val="20"/>
          <w:color w:val="auto"/>
        </w:rPr>
      </w:pPr>
    </w:p>
    <w:p>
      <w:pPr>
        <w:ind w:right="520"/>
        <w:spacing w:after="0" w:line="313" w:lineRule="auto"/>
        <w:rPr>
          <w:sz w:val="20"/>
          <w:szCs w:val="20"/>
          <w:color w:val="auto"/>
        </w:rPr>
      </w:pPr>
      <w:r>
        <w:rPr>
          <w:rFonts w:ascii="Arial" w:cs="Arial" w:eastAsia="Arial" w:hAnsi="Arial"/>
          <w:sz w:val="16"/>
          <w:szCs w:val="16"/>
          <w:color w:val="auto"/>
        </w:rPr>
        <w:t>The ages indicated are as of the date of the 2026 Annual Meeting and the other information is as of the date of this Proxy Statement.</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DIRECTORS TO BE ELECTED BY THE HOLDERS OF COMMON STOCK</w:t>
      </w:r>
    </w:p>
    <w:p>
      <w:pPr>
        <w:spacing w:after="0" w:line="113" w:lineRule="exact"/>
        <w:rPr>
          <w:sz w:val="20"/>
          <w:szCs w:val="20"/>
          <w:color w:val="auto"/>
        </w:rPr>
      </w:pPr>
    </w:p>
    <w:p>
      <w:pPr>
        <w:spacing w:after="0" w:line="313" w:lineRule="auto"/>
        <w:rPr>
          <w:sz w:val="20"/>
          <w:szCs w:val="20"/>
          <w:color w:val="auto"/>
        </w:rPr>
      </w:pPr>
      <w:r>
        <w:rPr>
          <w:rFonts w:ascii="Arial" w:cs="Arial" w:eastAsia="Arial" w:hAnsi="Arial"/>
          <w:sz w:val="16"/>
          <w:szCs w:val="16"/>
          <w:color w:val="auto"/>
        </w:rPr>
        <w:t>Eleven directors are to be elected by the holders of Common Stock. Each current director has served continuously since the date of his or her appointment.</w:t>
      </w:r>
    </w:p>
    <w:p>
      <w:pPr>
        <w:sectPr>
          <w:pgSz w:w="11900" w:h="16838" w:orient="portrait"/>
          <w:cols w:equalWidth="0" w:num="1">
            <w:col w:w="9720"/>
          </w:cols>
          <w:pgMar w:left="1080" w:top="695"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ind w:right="7720"/>
        <w:spacing w:after="0"/>
        <w:rPr>
          <w:sz w:val="20"/>
          <w:szCs w:val="20"/>
          <w:color w:val="auto"/>
        </w:rPr>
      </w:pPr>
      <w:r>
        <w:rPr>
          <w:rFonts w:ascii="Arial" w:cs="Arial" w:eastAsia="Arial" w:hAnsi="Arial"/>
          <w:sz w:val="16"/>
          <w:szCs w:val="16"/>
          <w:color w:val="auto"/>
        </w:rPr>
        <w:t>​​2026​  Proxy</w:t>
      </w:r>
    </w:p>
    <w:p>
      <w:pPr>
        <w:spacing w:after="0" w:line="5" w:lineRule="exact"/>
        <w:rPr>
          <w:sz w:val="20"/>
          <w:szCs w:val="20"/>
          <w:color w:val="auto"/>
        </w:rPr>
      </w:pPr>
    </w:p>
    <w:p>
      <w:pPr>
        <w:ind w:left="660" w:hanging="656"/>
        <w:spacing w:after="0"/>
        <w:tabs>
          <w:tab w:leader="none" w:pos="660" w:val="left"/>
        </w:tabs>
        <w:numPr>
          <w:ilvl w:val="0"/>
          <w:numId w:val="28"/>
        </w:numPr>
        <w:rPr>
          <w:rFonts w:ascii="Arial" w:cs="Arial" w:eastAsia="Arial" w:hAnsi="Arial"/>
          <w:sz w:val="16"/>
          <w:szCs w:val="16"/>
          <w:b w:val="1"/>
          <w:bCs w:val="1"/>
          <w:color w:val="1414D2"/>
        </w:rPr>
      </w:pPr>
      <w:r>
        <w:rPr>
          <w:rFonts w:ascii="Arial" w:cs="Arial" w:eastAsia="Arial" w:hAnsi="Arial"/>
          <w:sz w:val="16"/>
          <w:szCs w:val="16"/>
          <w:color w:val="auto"/>
        </w:rPr>
        <w:t>Statement</w:t>
      </w:r>
    </w:p>
    <w:p>
      <w:pPr>
        <w:sectPr>
          <w:pgSz w:w="11900" w:h="16838" w:orient="portrait"/>
          <w:cols w:equalWidth="0" w:num="1">
            <w:col w:w="9720"/>
          </w:cols>
          <w:pgMar w:left="1080" w:top="695" w:right="109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27" w:lineRule="exact"/>
        <w:rPr>
          <w:sz w:val="20"/>
          <w:szCs w:val="20"/>
          <w:color w:val="auto"/>
        </w:rPr>
      </w:pPr>
    </w:p>
    <w:p>
      <w:pPr>
        <w:jc w:val="right"/>
        <w:spacing w:after="0"/>
        <w:rPr>
          <w:sz w:val="20"/>
          <w:szCs w:val="20"/>
          <w:color w:val="auto"/>
        </w:rPr>
      </w:pPr>
      <w:r>
        <w:rPr>
          <w:rFonts w:ascii="Arial" w:cs="Arial" w:eastAsia="Arial" w:hAnsi="Arial"/>
          <w:sz w:val="14"/>
          <w:szCs w:val="14"/>
          <w:color w:val="6D6F71"/>
        </w:rPr>
        <w:t>Item  1  -  Election  of  Directors</w:t>
      </w:r>
    </w:p>
    <w:p>
      <w:pPr>
        <w:spacing w:after="0" w:line="319"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ROSALIND BREWER-</w:t>
      </w:r>
      <w:r>
        <w:rPr>
          <w:rFonts w:ascii="Arial" w:cs="Arial" w:eastAsia="Arial" w:hAnsi="Arial"/>
          <w:sz w:val="16"/>
          <w:szCs w:val="16"/>
          <w:color w:val="auto"/>
        </w:rPr>
        <w:t>Independent  Director</w:t>
      </w:r>
    </w:p>
    <w:p>
      <w:pPr>
        <w:sectPr>
          <w:pgSz w:w="11900" w:h="16838" w:orient="portrait"/>
          <w:cols w:equalWidth="0" w:num="1">
            <w:col w:w="9720"/>
          </w:cols>
          <w:pgMar w:left="1080" w:top="695"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00"/>
        <w:spacing w:after="0"/>
        <w:rPr>
          <w:sz w:val="20"/>
          <w:szCs w:val="20"/>
          <w:color w:val="auto"/>
        </w:rPr>
      </w:pPr>
      <w:r>
        <w:rPr>
          <w:rFonts w:ascii="Arial" w:cs="Arial" w:eastAsia="Arial" w:hAnsi="Arial"/>
          <w:sz w:val="16"/>
          <w:szCs w:val="16"/>
          <w:b w:val="1"/>
          <w:bCs w:val="1"/>
          <w:i w:val="1"/>
          <w:iCs w:val="1"/>
          <w:color w:val="1414D2"/>
        </w:rPr>
        <w:t>Director Since</w:t>
      </w:r>
      <w:r>
        <w:rPr>
          <w:rFonts w:ascii="Arial" w:cs="Arial" w:eastAsia="Arial" w:hAnsi="Arial"/>
          <w:sz w:val="16"/>
          <w:szCs w:val="16"/>
          <w:color w:val="1414D2"/>
        </w:rPr>
        <w:t>:</w:t>
      </w:r>
      <w:r>
        <w:rPr>
          <w:rFonts w:ascii="Arial" w:cs="Arial" w:eastAsia="Arial" w:hAnsi="Arial"/>
          <w:sz w:val="16"/>
          <w:szCs w:val="16"/>
          <w:b w:val="1"/>
          <w:bCs w:val="1"/>
          <w:i w:val="1"/>
          <w:iCs w:val="1"/>
          <w:color w:val="1414D2"/>
        </w:rPr>
        <w:t xml:space="preserve">  </w:t>
      </w:r>
      <w:r>
        <w:rPr>
          <w:rFonts w:ascii="Arial" w:cs="Arial" w:eastAsia="Arial" w:hAnsi="Arial"/>
          <w:sz w:val="16"/>
          <w:szCs w:val="16"/>
          <w:color w:val="000000"/>
        </w:rPr>
        <w:t>2024</w:t>
      </w:r>
    </w:p>
    <w:p>
      <w:pPr>
        <w:spacing w:after="0" w:line="113" w:lineRule="exact"/>
        <w:rPr>
          <w:sz w:val="20"/>
          <w:szCs w:val="20"/>
          <w:color w:val="auto"/>
        </w:rPr>
      </w:pPr>
    </w:p>
    <w:p>
      <w:pPr>
        <w:ind w:left="100"/>
        <w:spacing w:after="0"/>
        <w:rPr>
          <w:sz w:val="20"/>
          <w:szCs w:val="20"/>
          <w:color w:val="auto"/>
        </w:rPr>
      </w:pPr>
      <w:r>
        <w:rPr>
          <w:rFonts w:ascii="Arial" w:cs="Arial" w:eastAsia="Arial" w:hAnsi="Arial"/>
          <w:sz w:val="16"/>
          <w:szCs w:val="16"/>
          <w:b w:val="1"/>
          <w:bCs w:val="1"/>
          <w:i w:val="1"/>
          <w:iCs w:val="1"/>
          <w:color w:val="1414D2"/>
        </w:rPr>
        <w:t>Age</w:t>
      </w:r>
      <w:r>
        <w:rPr>
          <w:rFonts w:ascii="Arial" w:cs="Arial" w:eastAsia="Arial" w:hAnsi="Arial"/>
          <w:sz w:val="16"/>
          <w:szCs w:val="16"/>
          <w:color w:val="1414D2"/>
        </w:rPr>
        <w:t>:</w:t>
      </w:r>
      <w:r>
        <w:rPr>
          <w:rFonts w:ascii="Arial" w:cs="Arial" w:eastAsia="Arial" w:hAnsi="Arial"/>
          <w:sz w:val="16"/>
          <w:szCs w:val="16"/>
          <w:b w:val="1"/>
          <w:bCs w:val="1"/>
          <w:i w:val="1"/>
          <w:iCs w:val="1"/>
          <w:color w:val="1414D2"/>
        </w:rPr>
        <w:t xml:space="preserve">  </w:t>
      </w:r>
      <w:r>
        <w:rPr>
          <w:rFonts w:ascii="Arial" w:cs="Arial" w:eastAsia="Arial" w:hAnsi="Arial"/>
          <w:sz w:val="16"/>
          <w:szCs w:val="16"/>
          <w:color w:val="000000"/>
        </w:rPr>
        <w:t>63</w:t>
      </w:r>
    </w:p>
    <w:p>
      <w:pPr>
        <w:spacing w:after="0" w:line="127" w:lineRule="exact"/>
        <w:rPr>
          <w:sz w:val="20"/>
          <w:szCs w:val="20"/>
          <w:color w:val="auto"/>
        </w:rPr>
      </w:pPr>
    </w:p>
    <w:p>
      <w:pPr>
        <w:ind w:left="100"/>
        <w:spacing w:after="0"/>
        <w:rPr>
          <w:sz w:val="20"/>
          <w:szCs w:val="20"/>
          <w:color w:val="auto"/>
        </w:rPr>
      </w:pPr>
      <w:r>
        <w:rPr>
          <w:rFonts w:ascii="Arial" w:cs="Arial" w:eastAsia="Arial" w:hAnsi="Arial"/>
          <w:sz w:val="16"/>
          <w:szCs w:val="16"/>
          <w:b w:val="1"/>
          <w:bCs w:val="1"/>
          <w:i w:val="1"/>
          <w:iCs w:val="1"/>
          <w:color w:val="1414D2"/>
        </w:rPr>
        <w:t>Committees</w:t>
      </w:r>
      <w:r>
        <w:rPr>
          <w:rFonts w:ascii="Arial" w:cs="Arial" w:eastAsia="Arial" w:hAnsi="Arial"/>
          <w:sz w:val="16"/>
          <w:szCs w:val="16"/>
          <w:color w:val="1414D2"/>
        </w:rPr>
        <w:t>:</w:t>
      </w:r>
    </w:p>
    <w:p>
      <w:pPr>
        <w:spacing w:after="0" w:line="11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Compensation</w:t>
      </w:r>
    </w:p>
    <w:p>
      <w:pPr>
        <w:spacing w:after="0" w:line="113" w:lineRule="exact"/>
        <w:rPr>
          <w:sz w:val="20"/>
          <w:szCs w:val="20"/>
          <w:color w:val="auto"/>
        </w:rPr>
      </w:pPr>
    </w:p>
    <w:p>
      <w:pPr>
        <w:ind w:left="100"/>
        <w:spacing w:after="0"/>
        <w:rPr>
          <w:sz w:val="20"/>
          <w:szCs w:val="20"/>
          <w:color w:val="auto"/>
        </w:rPr>
      </w:pPr>
      <w:r>
        <w:rPr>
          <w:rFonts w:ascii="Arial" w:cs="Arial" w:eastAsia="Arial" w:hAnsi="Arial"/>
          <w:sz w:val="16"/>
          <w:szCs w:val="16"/>
          <w:color w:val="auto"/>
        </w:rPr>
        <w:t>Finance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414D2"/>
        </w:rPr>
        <w:t>Skills and Qualifcations:</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EXPERIENCE</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414D2"/>
        </w:rPr>
        <w:t xml:space="preserve">Spelman College </w:t>
      </w:r>
      <w:r>
        <w:rPr>
          <w:rFonts w:ascii="Arial" w:cs="Arial" w:eastAsia="Arial" w:hAnsi="Arial"/>
          <w:sz w:val="16"/>
          <w:szCs w:val="16"/>
          <w:color w:val="000000"/>
        </w:rPr>
        <w:t>(university)</w:t>
      </w:r>
    </w:p>
    <w:p>
      <w:pPr>
        <w:spacing w:after="0" w:line="12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Interim  President  (2024-present)</w:t>
      </w:r>
    </w:p>
    <w:p>
      <w:pPr>
        <w:spacing w:after="0" w:line="111" w:lineRule="exact"/>
        <w:rPr>
          <w:sz w:val="20"/>
          <w:szCs w:val="20"/>
          <w:color w:val="auto"/>
        </w:rPr>
      </w:pPr>
    </w:p>
    <w:p>
      <w:pPr>
        <w:ind w:right="60"/>
        <w:spacing w:after="0" w:line="315" w:lineRule="auto"/>
        <w:rPr>
          <w:sz w:val="20"/>
          <w:szCs w:val="20"/>
          <w:color w:val="auto"/>
        </w:rPr>
      </w:pPr>
      <w:r>
        <w:rPr>
          <w:rFonts w:ascii="Arial" w:cs="Arial" w:eastAsia="Arial" w:hAnsi="Arial"/>
          <w:sz w:val="16"/>
          <w:szCs w:val="16"/>
          <w:b w:val="1"/>
          <w:bCs w:val="1"/>
          <w:i w:val="1"/>
          <w:iCs w:val="1"/>
          <w:color w:val="1414D2"/>
        </w:rPr>
        <w:t xml:space="preserve">Walgreens Boots Alliance, Inc. </w:t>
      </w:r>
      <w:r>
        <w:rPr>
          <w:rFonts w:ascii="Arial" w:cs="Arial" w:eastAsia="Arial" w:hAnsi="Arial"/>
          <w:sz w:val="16"/>
          <w:szCs w:val="16"/>
          <w:color w:val="000000"/>
        </w:rPr>
        <w:t>(retail pharmacy</w:t>
      </w:r>
      <w:r>
        <w:rPr>
          <w:rFonts w:ascii="Arial" w:cs="Arial" w:eastAsia="Arial" w:hAnsi="Arial"/>
          <w:sz w:val="16"/>
          <w:szCs w:val="16"/>
          <w:b w:val="1"/>
          <w:bCs w:val="1"/>
          <w:i w:val="1"/>
          <w:iCs w:val="1"/>
          <w:color w:val="1414D2"/>
        </w:rPr>
        <w:t xml:space="preserve"> </w:t>
      </w:r>
      <w:r>
        <w:rPr>
          <w:rFonts w:ascii="Arial" w:cs="Arial" w:eastAsia="Arial" w:hAnsi="Arial"/>
          <w:sz w:val="16"/>
          <w:szCs w:val="16"/>
          <w:color w:val="000000"/>
        </w:rPr>
        <w:t>and health care company)</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Special  Advisor  (2023-2025)</w:t>
      </w:r>
    </w:p>
    <w:p>
      <w:pPr>
        <w:spacing w:after="0" w:line="12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Chief  Executive  Ofcer  (2021-2023)</w:t>
      </w:r>
    </w:p>
    <w:p>
      <w:pPr>
        <w:spacing w:after="0" w:line="111" w:lineRule="exact"/>
        <w:rPr>
          <w:sz w:val="20"/>
          <w:szCs w:val="20"/>
          <w:color w:val="auto"/>
        </w:rPr>
      </w:pPr>
    </w:p>
    <w:p>
      <w:pPr>
        <w:ind w:right="380"/>
        <w:spacing w:after="0" w:line="315" w:lineRule="auto"/>
        <w:rPr>
          <w:sz w:val="20"/>
          <w:szCs w:val="20"/>
          <w:color w:val="auto"/>
        </w:rPr>
      </w:pPr>
      <w:r>
        <w:rPr>
          <w:rFonts w:ascii="Arial" w:cs="Arial" w:eastAsia="Arial" w:hAnsi="Arial"/>
          <w:sz w:val="16"/>
          <w:szCs w:val="16"/>
          <w:b w:val="1"/>
          <w:bCs w:val="1"/>
          <w:i w:val="1"/>
          <w:iCs w:val="1"/>
          <w:color w:val="1414D2"/>
        </w:rPr>
        <w:t xml:space="preserve">Starbucks Corporation </w:t>
      </w:r>
      <w:r>
        <w:rPr>
          <w:rFonts w:ascii="Arial" w:cs="Arial" w:eastAsia="Arial" w:hAnsi="Arial"/>
          <w:sz w:val="16"/>
          <w:szCs w:val="16"/>
          <w:color w:val="000000"/>
        </w:rPr>
        <w:t>(beverage retailing</w:t>
      </w:r>
      <w:r>
        <w:rPr>
          <w:rFonts w:ascii="Arial" w:cs="Arial" w:eastAsia="Arial" w:hAnsi="Arial"/>
          <w:sz w:val="16"/>
          <w:szCs w:val="16"/>
          <w:b w:val="1"/>
          <w:bCs w:val="1"/>
          <w:i w:val="1"/>
          <w:iCs w:val="1"/>
          <w:color w:val="1414D2"/>
        </w:rPr>
        <w:t xml:space="preserve"> </w:t>
      </w:r>
      <w:r>
        <w:rPr>
          <w:rFonts w:ascii="Arial" w:cs="Arial" w:eastAsia="Arial" w:hAnsi="Arial"/>
          <w:sz w:val="16"/>
          <w:szCs w:val="16"/>
          <w:color w:val="000000"/>
        </w:rPr>
        <w:t>company)</w:t>
      </w:r>
    </w:p>
    <w:p>
      <w:pPr>
        <w:spacing w:after="0" w:line="5" w:lineRule="exact"/>
        <w:rPr>
          <w:sz w:val="20"/>
          <w:szCs w:val="20"/>
          <w:color w:val="auto"/>
        </w:rPr>
      </w:pPr>
    </w:p>
    <w:p>
      <w:pPr>
        <w:ind w:left="200" w:right="460"/>
        <w:spacing w:after="0" w:line="324" w:lineRule="auto"/>
        <w:rPr>
          <w:sz w:val="20"/>
          <w:szCs w:val="20"/>
          <w:color w:val="auto"/>
        </w:rPr>
      </w:pPr>
      <w:r>
        <w:rPr>
          <w:rFonts w:ascii="Arial" w:cs="Arial" w:eastAsia="Arial" w:hAnsi="Arial"/>
          <w:sz w:val="16"/>
          <w:szCs w:val="16"/>
          <w:color w:val="auto"/>
        </w:rPr>
        <w:t>Group President and Chief Operating Ofcer (2017-2021)</w:t>
      </w:r>
    </w:p>
    <w:p>
      <w:pPr>
        <w:spacing w:after="0" w:line="1" w:lineRule="exact"/>
        <w:rPr>
          <w:sz w:val="20"/>
          <w:szCs w:val="20"/>
          <w:color w:val="auto"/>
        </w:rPr>
      </w:pPr>
    </w:p>
    <w:p>
      <w:pPr>
        <w:ind w:right="820"/>
        <w:spacing w:after="0" w:line="315" w:lineRule="auto"/>
        <w:rPr>
          <w:sz w:val="20"/>
          <w:szCs w:val="20"/>
          <w:color w:val="auto"/>
        </w:rPr>
      </w:pPr>
      <w:r>
        <w:rPr>
          <w:rFonts w:ascii="Arial" w:cs="Arial" w:eastAsia="Arial" w:hAnsi="Arial"/>
          <w:sz w:val="16"/>
          <w:szCs w:val="16"/>
          <w:b w:val="1"/>
          <w:bCs w:val="1"/>
          <w:i w:val="1"/>
          <w:iCs w:val="1"/>
          <w:color w:val="1414D2"/>
        </w:rPr>
        <w:t>Sam</w:t>
      </w:r>
      <w:r>
        <w:rPr>
          <w:rFonts w:ascii="Arial" w:cs="Arial" w:eastAsia="Arial" w:hAnsi="Arial"/>
          <w:sz w:val="16"/>
          <w:szCs w:val="16"/>
          <w:i w:val="1"/>
          <w:iCs w:val="1"/>
          <w:color w:val="1414D2"/>
        </w:rPr>
        <w:t>’</w:t>
      </w:r>
      <w:r>
        <w:rPr>
          <w:rFonts w:ascii="Arial" w:cs="Arial" w:eastAsia="Arial" w:hAnsi="Arial"/>
          <w:sz w:val="16"/>
          <w:szCs w:val="16"/>
          <w:b w:val="1"/>
          <w:bCs w:val="1"/>
          <w:i w:val="1"/>
          <w:iCs w:val="1"/>
          <w:color w:val="1414D2"/>
        </w:rPr>
        <w:t xml:space="preserve">s Club </w:t>
      </w:r>
      <w:r>
        <w:rPr>
          <w:rFonts w:ascii="Arial" w:cs="Arial" w:eastAsia="Arial" w:hAnsi="Arial"/>
          <w:sz w:val="16"/>
          <w:szCs w:val="16"/>
          <w:color w:val="000000"/>
        </w:rPr>
        <w:t>(membership-only retail</w:t>
      </w:r>
      <w:r>
        <w:rPr>
          <w:rFonts w:ascii="Arial" w:cs="Arial" w:eastAsia="Arial" w:hAnsi="Arial"/>
          <w:sz w:val="16"/>
          <w:szCs w:val="16"/>
          <w:b w:val="1"/>
          <w:bCs w:val="1"/>
          <w:i w:val="1"/>
          <w:iCs w:val="1"/>
          <w:color w:val="1414D2"/>
        </w:rPr>
        <w:t xml:space="preserve"> </w:t>
      </w:r>
      <w:r>
        <w:rPr>
          <w:rFonts w:ascii="Arial" w:cs="Arial" w:eastAsia="Arial" w:hAnsi="Arial"/>
          <w:sz w:val="16"/>
          <w:szCs w:val="16"/>
          <w:color w:val="000000"/>
        </w:rPr>
        <w:t>warehouse club)</w:t>
      </w:r>
    </w:p>
    <w:p>
      <w:pPr>
        <w:spacing w:after="0" w:line="19" w:lineRule="exact"/>
        <w:rPr>
          <w:sz w:val="20"/>
          <w:szCs w:val="20"/>
          <w:color w:val="auto"/>
        </w:rPr>
      </w:pPr>
    </w:p>
    <w:p>
      <w:pPr>
        <w:ind w:left="200" w:right="480"/>
        <w:spacing w:after="0" w:line="313" w:lineRule="auto"/>
        <w:rPr>
          <w:sz w:val="20"/>
          <w:szCs w:val="20"/>
          <w:color w:val="auto"/>
        </w:rPr>
      </w:pPr>
      <w:r>
        <w:rPr>
          <w:rFonts w:ascii="Arial" w:cs="Arial" w:eastAsia="Arial" w:hAnsi="Arial"/>
          <w:sz w:val="16"/>
          <w:szCs w:val="16"/>
          <w:color w:val="auto"/>
        </w:rPr>
        <w:t>President and Chief Executive Ofcer (2012-2017)</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414D2"/>
        </w:rPr>
        <w:t xml:space="preserve">Walmart Inc. </w:t>
      </w:r>
      <w:r>
        <w:rPr>
          <w:rFonts w:ascii="Arial" w:cs="Arial" w:eastAsia="Arial" w:hAnsi="Arial"/>
          <w:sz w:val="16"/>
          <w:szCs w:val="16"/>
          <w:color w:val="000000"/>
        </w:rPr>
        <w:t>(retail  company)</w:t>
      </w:r>
    </w:p>
    <w:p>
      <w:pPr>
        <w:spacing w:after="0" w:line="11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Multiple  roles  (2006-2012),  including</w:t>
      </w:r>
    </w:p>
    <w:p>
      <w:pPr>
        <w:spacing w:after="0" w:line="19" w:lineRule="exact"/>
        <w:rPr>
          <w:sz w:val="20"/>
          <w:szCs w:val="20"/>
          <w:color w:val="auto"/>
        </w:rPr>
      </w:pPr>
    </w:p>
    <w:p>
      <w:pPr>
        <w:ind w:left="200"/>
        <w:spacing w:after="0" w:line="313" w:lineRule="auto"/>
        <w:rPr>
          <w:sz w:val="20"/>
          <w:szCs w:val="20"/>
          <w:color w:val="auto"/>
        </w:rPr>
      </w:pPr>
      <w:r>
        <w:rPr>
          <w:rFonts w:ascii="Arial" w:cs="Arial" w:eastAsia="Arial" w:hAnsi="Arial"/>
          <w:sz w:val="16"/>
          <w:szCs w:val="16"/>
          <w:color w:val="auto"/>
        </w:rPr>
        <w:t>Executive Vice President, Operations (2007-2008)</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ind w:right="120"/>
        <w:spacing w:after="0" w:line="396" w:lineRule="auto"/>
        <w:rPr>
          <w:sz w:val="20"/>
          <w:szCs w:val="20"/>
          <w:color w:val="auto"/>
        </w:rPr>
      </w:pPr>
      <w:r>
        <w:rPr>
          <w:rFonts w:ascii="Arial" w:cs="Arial" w:eastAsia="Arial" w:hAnsi="Arial"/>
          <w:sz w:val="16"/>
          <w:szCs w:val="16"/>
          <w:b w:val="1"/>
          <w:bCs w:val="1"/>
          <w:color w:val="auto"/>
        </w:rPr>
        <w:t xml:space="preserve">OTHER PUBLIC COMPANY DIRECTORSHIPS </w:t>
      </w:r>
      <w:r>
        <w:rPr>
          <w:rFonts w:ascii="Arial" w:cs="Arial" w:eastAsia="Arial" w:hAnsi="Arial"/>
          <w:sz w:val="16"/>
          <w:szCs w:val="16"/>
          <w:color w:val="auto"/>
        </w:rPr>
        <w:t>None</w:t>
      </w:r>
    </w:p>
    <w:p>
      <w:pPr>
        <w:ind w:right="320"/>
        <w:spacing w:after="0" w:line="279" w:lineRule="auto"/>
        <w:rPr>
          <w:sz w:val="20"/>
          <w:szCs w:val="20"/>
          <w:color w:val="auto"/>
        </w:rPr>
      </w:pPr>
      <w:r>
        <w:rPr>
          <w:rFonts w:ascii="Arial" w:cs="Arial" w:eastAsia="Arial" w:hAnsi="Arial"/>
          <w:sz w:val="16"/>
          <w:szCs w:val="16"/>
          <w:b w:val="1"/>
          <w:bCs w:val="1"/>
          <w:color w:val="auto"/>
        </w:rPr>
        <w:t>FORMER PUBLIC COMPANY DIRECTORSHIPS HELD IN THE PAST FIVE YEARS</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414D2"/>
        </w:rPr>
        <w:t>Walgreens Boots Alliance,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(2021-2023)</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414D2"/>
        </w:rPr>
        <w:t>Amazon.com, Inc.</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(2019-2021)</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414D2"/>
        </w:rPr>
        <w:t>Starbucks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(2019-2021)</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EDUCATION</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414D2"/>
        </w:rPr>
        <w:t xml:space="preserve">Spelman College, </w:t>
      </w:r>
      <w:r>
        <w:rPr>
          <w:rFonts w:ascii="Arial" w:cs="Arial" w:eastAsia="Arial" w:hAnsi="Arial"/>
          <w:sz w:val="16"/>
          <w:szCs w:val="16"/>
          <w:color w:val="000000"/>
        </w:rPr>
        <w:t>BS,  Chemistry</w:t>
      </w:r>
    </w:p>
    <w:p>
      <w:pPr>
        <w:spacing w:after="0" w:line="2091" w:lineRule="exact"/>
        <w:rPr>
          <w:sz w:val="20"/>
          <w:szCs w:val="20"/>
          <w:color w:val="auto"/>
        </w:rPr>
      </w:pPr>
    </w:p>
    <w:p>
      <w:pPr>
        <w:sectPr>
          <w:pgSz w:w="11900" w:h="16838" w:orient="portrait"/>
          <w:cols w:equalWidth="0" w:num="3">
            <w:col w:w="1760" w:space="500"/>
            <w:col w:w="3480" w:space="520"/>
            <w:col w:w="3460"/>
          </w:cols>
          <w:pgMar w:left="1080" w:top="695" w:right="1099" w:bottom="1440" w:gutter="0" w:footer="0" w:header="0"/>
          <w:type w:val="continuous"/>
        </w:sectPr>
      </w:pPr>
    </w:p>
    <w:p>
      <w:pPr>
        <w:spacing w:after="0" w:line="89" w:lineRule="exact"/>
        <w:rPr>
          <w:sz w:val="20"/>
          <w:szCs w:val="20"/>
          <w:color w:val="auto"/>
        </w:rPr>
      </w:pPr>
    </w:p>
    <w:p>
      <w:pPr>
        <w:ind w:left="780" w:right="620"/>
        <w:spacing w:after="0" w:line="255" w:lineRule="auto"/>
        <w:rPr>
          <w:sz w:val="20"/>
          <w:szCs w:val="20"/>
          <w:color w:val="auto"/>
        </w:rPr>
      </w:pPr>
      <w:r>
        <w:rPr>
          <w:rFonts w:ascii="Arial" w:cs="Arial" w:eastAsia="Arial" w:hAnsi="Arial"/>
          <w:sz w:val="16"/>
          <w:szCs w:val="16"/>
          <w:b w:val="1"/>
          <w:bCs w:val="1"/>
          <w:color w:val="auto"/>
        </w:rPr>
        <w:t>Active or Former C-Suite Executive</w:t>
      </w:r>
      <w:r>
        <w:rPr>
          <w:rFonts w:ascii="Arial" w:cs="Arial" w:eastAsia="Arial" w:hAnsi="Arial"/>
          <w:sz w:val="16"/>
          <w:szCs w:val="16"/>
          <w:color w:val="auto"/>
        </w:rPr>
        <w:t>: Ms. Brewer has extensive executive leadership experience through her</w:t>
      </w:r>
      <w:r>
        <w:rPr>
          <w:rFonts w:ascii="Arial" w:cs="Arial" w:eastAsia="Arial" w:hAnsi="Arial"/>
          <w:sz w:val="16"/>
          <w:szCs w:val="16"/>
          <w:b w:val="1"/>
          <w:bCs w:val="1"/>
          <w:color w:val="auto"/>
        </w:rPr>
        <w:t xml:space="preserve"> </w:t>
      </w:r>
      <w:r>
        <w:rPr>
          <w:rFonts w:ascii="Arial" w:cs="Arial" w:eastAsia="Arial" w:hAnsi="Arial"/>
          <w:sz w:val="16"/>
          <w:szCs w:val="16"/>
          <w:color w:val="auto"/>
        </w:rPr>
        <w:t>positions as Chief Executive Ofcer of Walgreens Boots Alliance, Inc. (“Walgreens”), Group President and Chief</w:t>
      </w:r>
    </w:p>
    <w:p>
      <w:pPr>
        <w:spacing w:after="0" w:line="1" w:lineRule="exact"/>
        <w:rPr>
          <w:sz w:val="20"/>
          <w:szCs w:val="20"/>
          <w:color w:val="auto"/>
        </w:rPr>
      </w:pPr>
    </w:p>
    <w:p>
      <w:pPr>
        <w:ind w:left="780" w:right="780"/>
        <w:spacing w:after="0" w:line="313" w:lineRule="auto"/>
        <w:rPr>
          <w:sz w:val="20"/>
          <w:szCs w:val="20"/>
          <w:color w:val="auto"/>
        </w:rPr>
      </w:pPr>
      <w:r>
        <w:rPr>
          <w:rFonts w:ascii="Arial" w:cs="Arial" w:eastAsia="Arial" w:hAnsi="Arial"/>
          <w:sz w:val="16"/>
          <w:szCs w:val="16"/>
          <w:color w:val="auto"/>
        </w:rPr>
        <w:t>Operating Ofcer at Starbucks Corporation, President and Chief Executive Ofcer of Sam’s Club and Interim President of Spelman College.</w:t>
      </w:r>
    </w:p>
    <w:p>
      <w:pPr>
        <w:spacing w:after="0" w:line="114" w:lineRule="exact"/>
        <w:rPr>
          <w:sz w:val="20"/>
          <w:szCs w:val="20"/>
          <w:color w:val="auto"/>
        </w:rPr>
      </w:pPr>
    </w:p>
    <w:p>
      <w:pPr>
        <w:ind w:left="780" w:right="220"/>
        <w:spacing w:after="0" w:line="255" w:lineRule="auto"/>
        <w:rPr>
          <w:sz w:val="20"/>
          <w:szCs w:val="20"/>
          <w:color w:val="auto"/>
        </w:rPr>
      </w:pPr>
      <w:r>
        <w:rPr>
          <w:rFonts w:ascii="Arial" w:cs="Arial" w:eastAsia="Arial" w:hAnsi="Arial"/>
          <w:sz w:val="16"/>
          <w:szCs w:val="16"/>
          <w:b w:val="1"/>
          <w:bCs w:val="1"/>
          <w:color w:val="auto"/>
        </w:rPr>
        <w:t xml:space="preserve">Governance and Current or Former Public Company Board: </w:t>
      </w:r>
      <w:r>
        <w:rPr>
          <w:rFonts w:ascii="Arial" w:cs="Arial" w:eastAsia="Arial" w:hAnsi="Arial"/>
          <w:sz w:val="16"/>
          <w:szCs w:val="16"/>
          <w:color w:val="auto"/>
        </w:rPr>
        <w:t>Ms. Brewer brings the beneft of her previous public</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board experience, having served on the boards of directors of Walgreens, Amazon.com, Inc., Starbucks</w:t>
      </w:r>
    </w:p>
    <w:p>
      <w:pPr>
        <w:spacing w:after="0" w:line="1" w:lineRule="exact"/>
        <w:rPr>
          <w:sz w:val="20"/>
          <w:szCs w:val="20"/>
          <w:color w:val="auto"/>
        </w:rPr>
      </w:pPr>
    </w:p>
    <w:p>
      <w:pPr>
        <w:ind w:left="780"/>
        <w:spacing w:after="0"/>
        <w:rPr>
          <w:sz w:val="20"/>
          <w:szCs w:val="20"/>
          <w:color w:val="auto"/>
        </w:rPr>
      </w:pPr>
      <w:r>
        <w:rPr>
          <w:rFonts w:ascii="Arial" w:cs="Arial" w:eastAsia="Arial" w:hAnsi="Arial"/>
          <w:sz w:val="16"/>
          <w:szCs w:val="16"/>
          <w:color w:val="auto"/>
        </w:rPr>
        <w:t>Corporation  and  Lockheed  Martin  Corporation.</w:t>
      </w:r>
    </w:p>
    <w:p>
      <w:pPr>
        <w:spacing w:after="0" w:line="221" w:lineRule="exact"/>
        <w:rPr>
          <w:sz w:val="20"/>
          <w:szCs w:val="20"/>
          <w:color w:val="auto"/>
        </w:rPr>
      </w:pPr>
    </w:p>
    <w:p>
      <w:pPr>
        <w:ind w:left="780" w:right="300"/>
        <w:spacing w:after="0" w:line="255" w:lineRule="auto"/>
        <w:rPr>
          <w:sz w:val="20"/>
          <w:szCs w:val="20"/>
          <w:color w:val="auto"/>
        </w:rPr>
      </w:pPr>
      <w:r>
        <w:rPr>
          <w:rFonts w:ascii="Arial" w:cs="Arial" w:eastAsia="Arial" w:hAnsi="Arial"/>
          <w:sz w:val="16"/>
          <w:szCs w:val="16"/>
          <w:b w:val="1"/>
          <w:bCs w:val="1"/>
          <w:color w:val="auto"/>
        </w:rPr>
        <w:t xml:space="preserve">Finance / Accounting / Capital Allocation: </w:t>
      </w:r>
      <w:r>
        <w:rPr>
          <w:rFonts w:ascii="Arial" w:cs="Arial" w:eastAsia="Arial" w:hAnsi="Arial"/>
          <w:sz w:val="16"/>
          <w:szCs w:val="16"/>
          <w:color w:val="auto"/>
        </w:rPr>
        <w:t>Through her extensive senior executive experience, including as chief</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ofcer and chief operating ofcer of various companies, Ms. Brewer has gained a broad base of</w:t>
      </w:r>
    </w:p>
    <w:p>
      <w:pPr>
        <w:spacing w:after="0" w:line="1" w:lineRule="exact"/>
        <w:rPr>
          <w:sz w:val="20"/>
          <w:szCs w:val="20"/>
          <w:color w:val="auto"/>
        </w:rPr>
      </w:pPr>
    </w:p>
    <w:p>
      <w:pPr>
        <w:ind w:left="780"/>
        <w:spacing w:after="0"/>
        <w:rPr>
          <w:sz w:val="20"/>
          <w:szCs w:val="20"/>
          <w:color w:val="auto"/>
        </w:rPr>
      </w:pPr>
      <w:r>
        <w:rPr>
          <w:rFonts w:ascii="Arial" w:cs="Arial" w:eastAsia="Arial" w:hAnsi="Arial"/>
          <w:sz w:val="16"/>
          <w:szCs w:val="16"/>
          <w:color w:val="auto"/>
        </w:rPr>
        <w:t>knowledge  regarding  fnancial  statements  and  fnancial  strategy.</w:t>
      </w:r>
    </w:p>
    <w:p>
      <w:pPr>
        <w:spacing w:after="0" w:line="221" w:lineRule="exact"/>
        <w:rPr>
          <w:sz w:val="20"/>
          <w:szCs w:val="20"/>
          <w:color w:val="auto"/>
        </w:rPr>
      </w:pPr>
    </w:p>
    <w:p>
      <w:pPr>
        <w:ind w:left="780" w:right="440"/>
        <w:spacing w:after="0" w:line="313" w:lineRule="auto"/>
        <w:rPr>
          <w:sz w:val="20"/>
          <w:szCs w:val="20"/>
          <w:color w:val="auto"/>
        </w:rPr>
      </w:pPr>
      <w:r>
        <w:rPr>
          <w:rFonts w:ascii="Arial" w:cs="Arial" w:eastAsia="Arial" w:hAnsi="Arial"/>
          <w:sz w:val="16"/>
          <w:szCs w:val="16"/>
          <w:b w:val="1"/>
          <w:bCs w:val="1"/>
          <w:color w:val="auto"/>
        </w:rPr>
        <w:t>Global Operations</w:t>
      </w:r>
      <w:r>
        <w:rPr>
          <w:rFonts w:ascii="Arial" w:cs="Arial" w:eastAsia="Arial" w:hAnsi="Arial"/>
          <w:sz w:val="16"/>
          <w:szCs w:val="16"/>
          <w:color w:val="auto"/>
        </w:rPr>
        <w:t>: Ms. Brewer has senior executive experience as well as experience being a board member of</w:t>
      </w:r>
      <w:r>
        <w:rPr>
          <w:rFonts w:ascii="Arial" w:cs="Arial" w:eastAsia="Arial" w:hAnsi="Arial"/>
          <w:sz w:val="16"/>
          <w:szCs w:val="16"/>
          <w:b w:val="1"/>
          <w:bCs w:val="1"/>
          <w:color w:val="auto"/>
        </w:rPr>
        <w:t xml:space="preserve"> </w:t>
      </w:r>
      <w:r>
        <w:rPr>
          <w:rFonts w:ascii="Arial" w:cs="Arial" w:eastAsia="Arial" w:hAnsi="Arial"/>
          <w:sz w:val="16"/>
          <w:szCs w:val="16"/>
          <w:color w:val="auto"/>
        </w:rPr>
        <w:t>various large companies with global operations.</w:t>
      </w:r>
    </w:p>
    <w:p>
      <w:pPr>
        <w:spacing w:after="0" w:line="128" w:lineRule="exact"/>
        <w:rPr>
          <w:sz w:val="20"/>
          <w:szCs w:val="20"/>
          <w:color w:val="auto"/>
        </w:rPr>
      </w:pPr>
    </w:p>
    <w:p>
      <w:pPr>
        <w:ind w:left="780" w:right="420"/>
        <w:spacing w:after="0" w:line="313" w:lineRule="auto"/>
        <w:rPr>
          <w:sz w:val="20"/>
          <w:szCs w:val="20"/>
          <w:color w:val="auto"/>
        </w:rPr>
      </w:pPr>
      <w:r>
        <w:rPr>
          <w:rFonts w:ascii="Arial" w:cs="Arial" w:eastAsia="Arial" w:hAnsi="Arial"/>
          <w:sz w:val="16"/>
          <w:szCs w:val="16"/>
          <w:b w:val="1"/>
          <w:bCs w:val="1"/>
          <w:color w:val="auto"/>
        </w:rPr>
        <w:t xml:space="preserve">Retail / Brand Management: </w:t>
      </w:r>
      <w:r>
        <w:rPr>
          <w:rFonts w:ascii="Arial" w:cs="Arial" w:eastAsia="Arial" w:hAnsi="Arial"/>
          <w:sz w:val="16"/>
          <w:szCs w:val="16"/>
          <w:color w:val="auto"/>
        </w:rPr>
        <w:t>Having experience at Walgreens, Starbucks Corporation, Sam’s Club and Walmart,</w:t>
      </w:r>
      <w:r>
        <w:rPr>
          <w:rFonts w:ascii="Arial" w:cs="Arial" w:eastAsia="Arial" w:hAnsi="Arial"/>
          <w:sz w:val="16"/>
          <w:szCs w:val="16"/>
          <w:b w:val="1"/>
          <w:bCs w:val="1"/>
          <w:color w:val="auto"/>
        </w:rPr>
        <w:t xml:space="preserve"> </w:t>
      </w:r>
      <w:r>
        <w:rPr>
          <w:rFonts w:ascii="Arial" w:cs="Arial" w:eastAsia="Arial" w:hAnsi="Arial"/>
          <w:sz w:val="16"/>
          <w:szCs w:val="16"/>
          <w:color w:val="auto"/>
        </w:rPr>
        <w:t>Inc., Ms. Brewer has a wide base of experience with consumer facing brands.</w:t>
      </w:r>
    </w:p>
    <w:p>
      <w:pPr>
        <w:spacing w:after="0" w:line="128" w:lineRule="exact"/>
        <w:rPr>
          <w:sz w:val="20"/>
          <w:szCs w:val="20"/>
          <w:color w:val="auto"/>
        </w:rPr>
      </w:pPr>
    </w:p>
    <w:p>
      <w:pPr>
        <w:ind w:left="780" w:right="360"/>
        <w:spacing w:after="0" w:line="255" w:lineRule="auto"/>
        <w:rPr>
          <w:sz w:val="20"/>
          <w:szCs w:val="20"/>
          <w:color w:val="auto"/>
        </w:rPr>
      </w:pPr>
      <w:r>
        <w:rPr>
          <w:rFonts w:ascii="Arial" w:cs="Arial" w:eastAsia="Arial" w:hAnsi="Arial"/>
          <w:sz w:val="16"/>
          <w:szCs w:val="16"/>
          <w:b w:val="1"/>
          <w:bCs w:val="1"/>
          <w:color w:val="auto"/>
        </w:rPr>
        <w:t xml:space="preserve">Technology / Cybersecurity: </w:t>
      </w:r>
      <w:r>
        <w:rPr>
          <w:rFonts w:ascii="Arial" w:cs="Arial" w:eastAsia="Arial" w:hAnsi="Arial"/>
          <w:sz w:val="16"/>
          <w:szCs w:val="16"/>
          <w:color w:val="auto"/>
        </w:rPr>
        <w:t>During her time as Chief Executive Ofcer of Walgreens, Group President and Chief</w:t>
      </w:r>
      <w:r>
        <w:rPr>
          <w:rFonts w:ascii="Arial" w:cs="Arial" w:eastAsia="Arial" w:hAnsi="Arial"/>
          <w:sz w:val="16"/>
          <w:szCs w:val="16"/>
          <w:b w:val="1"/>
          <w:bCs w:val="1"/>
          <w:color w:val="auto"/>
        </w:rPr>
        <w:t xml:space="preserve"> </w:t>
      </w:r>
      <w:r>
        <w:rPr>
          <w:rFonts w:ascii="Arial" w:cs="Arial" w:eastAsia="Arial" w:hAnsi="Arial"/>
          <w:sz w:val="16"/>
          <w:szCs w:val="16"/>
          <w:color w:val="auto"/>
        </w:rPr>
        <w:t>Operating Ofcer of Starbucks Corporation and President and Chief Executive Ofcer of Sam’s Club, Ms. Brewer</w:t>
      </w:r>
    </w:p>
    <w:p>
      <w:pPr>
        <w:spacing w:after="0" w:line="1" w:lineRule="exact"/>
        <w:rPr>
          <w:sz w:val="20"/>
          <w:szCs w:val="20"/>
          <w:color w:val="auto"/>
        </w:rPr>
      </w:pPr>
    </w:p>
    <w:p>
      <w:pPr>
        <w:ind w:left="780" w:right="220"/>
        <w:spacing w:after="0" w:line="313" w:lineRule="auto"/>
        <w:rPr>
          <w:sz w:val="20"/>
          <w:szCs w:val="20"/>
          <w:color w:val="auto"/>
        </w:rPr>
      </w:pPr>
      <w:r>
        <w:rPr>
          <w:rFonts w:ascii="Arial" w:cs="Arial" w:eastAsia="Arial" w:hAnsi="Arial"/>
          <w:sz w:val="16"/>
          <w:szCs w:val="16"/>
          <w:color w:val="auto"/>
        </w:rPr>
        <w:t>developed a successful track record of implementing large digital transformations and fostering innovation among leadership with regard to new technologies.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2026  Proxy  Statement</w:t>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1414D2"/>
        </w:rPr>
        <w:t>21</w:t>
      </w:r>
    </w:p>
    <w:p>
      <w:pPr>
        <w:sectPr>
          <w:pgSz w:w="11900" w:h="16838" w:orient="portrait"/>
          <w:cols w:equalWidth="0" w:num="1">
            <w:col w:w="9720"/>
          </w:cols>
          <w:pgMar w:left="1080" w:top="695" w:right="109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27" w:lineRule="exact"/>
        <w:rPr>
          <w:sz w:val="20"/>
          <w:szCs w:val="20"/>
          <w:color w:val="auto"/>
        </w:rPr>
      </w:pPr>
    </w:p>
    <w:p>
      <w:pPr>
        <w:spacing w:after="0"/>
        <w:rPr>
          <w:sz w:val="20"/>
          <w:szCs w:val="20"/>
          <w:color w:val="auto"/>
        </w:rPr>
      </w:pPr>
      <w:r>
        <w:rPr>
          <w:rFonts w:ascii="Arial" w:cs="Arial" w:eastAsia="Arial" w:hAnsi="Arial"/>
          <w:sz w:val="13"/>
          <w:szCs w:val="13"/>
          <w:color w:val="6D6F71"/>
        </w:rPr>
        <w:t>Item  1  -  Election  of  Directors</w:t>
      </w:r>
    </w:p>
    <w:p>
      <w:pPr>
        <w:sectPr>
          <w:pgSz w:w="11900" w:h="16838" w:orient="portrait"/>
          <w:cols w:equalWidth="0" w:num="1">
            <w:col w:w="9600"/>
          </w:cols>
          <w:pgMar w:left="1080" w:top="695" w:right="1219" w:bottom="1440" w:gutter="0" w:footer="0" w:header="0"/>
        </w:sectPr>
      </w:pPr>
    </w:p>
    <w:p>
      <w:pPr>
        <w:spacing w:after="0" w:line="331"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MICHELLE FREYRE-</w:t>
      </w:r>
      <w:r>
        <w:rPr>
          <w:rFonts w:ascii="Arial" w:cs="Arial" w:eastAsia="Arial" w:hAnsi="Arial"/>
          <w:sz w:val="16"/>
          <w:szCs w:val="16"/>
          <w:color w:val="auto"/>
        </w:rPr>
        <w:t>Independent  Director</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020" w:type="dxa"/>
            <w:vAlign w:val="bottom"/>
          </w:tcPr>
          <w:p>
            <w:pPr>
              <w:spacing w:after="0"/>
              <w:rPr>
                <w:sz w:val="20"/>
                <w:szCs w:val="20"/>
                <w:color w:val="auto"/>
              </w:rPr>
            </w:pPr>
          </w:p>
        </w:tc>
        <w:tc>
          <w:tcPr>
            <w:tcW w:w="3760" w:type="dxa"/>
            <w:vAlign w:val="bottom"/>
          </w:tcPr>
          <w:p>
            <w:pPr>
              <w:ind w:left="240"/>
              <w:spacing w:after="0"/>
              <w:rPr>
                <w:sz w:val="20"/>
                <w:szCs w:val="20"/>
                <w:color w:val="auto"/>
              </w:rPr>
            </w:pPr>
            <w:r>
              <w:rPr>
                <w:rFonts w:ascii="Arial" w:cs="Arial" w:eastAsia="Arial" w:hAnsi="Arial"/>
                <w:sz w:val="16"/>
                <w:szCs w:val="16"/>
                <w:b w:val="1"/>
                <w:bCs w:val="1"/>
                <w:color w:val="auto"/>
              </w:rPr>
              <w:t>EXPERIENCE</w:t>
            </w:r>
          </w:p>
        </w:tc>
        <w:tc>
          <w:tcPr>
            <w:tcW w:w="0" w:type="dxa"/>
            <w:vAlign w:val="bottom"/>
          </w:tcPr>
          <w:p>
            <w:pPr>
              <w:spacing w:after="0"/>
              <w:rPr>
                <w:sz w:val="1"/>
                <w:szCs w:val="1"/>
                <w:color w:val="auto"/>
              </w:rPr>
            </w:pPr>
          </w:p>
        </w:tc>
      </w:tr>
      <w:tr>
        <w:trPr>
          <w:trHeight w:val="264"/>
        </w:trPr>
        <w:tc>
          <w:tcPr>
            <w:tcW w:w="2020" w:type="dxa"/>
            <w:vAlign w:val="bottom"/>
          </w:tcPr>
          <w:p>
            <w:pPr>
              <w:spacing w:after="0"/>
              <w:rPr>
                <w:sz w:val="22"/>
                <w:szCs w:val="22"/>
                <w:color w:val="auto"/>
              </w:rPr>
            </w:pPr>
          </w:p>
        </w:tc>
        <w:tc>
          <w:tcPr>
            <w:tcW w:w="3760" w:type="dxa"/>
            <w:vAlign w:val="bottom"/>
          </w:tcPr>
          <w:p>
            <w:pPr>
              <w:ind w:left="240"/>
              <w:spacing w:after="0"/>
              <w:rPr>
                <w:sz w:val="20"/>
                <w:szCs w:val="20"/>
                <w:color w:val="auto"/>
              </w:rPr>
            </w:pPr>
            <w:r>
              <w:rPr>
                <w:rFonts w:ascii="Arial" w:cs="Arial" w:eastAsia="Arial" w:hAnsi="Arial"/>
                <w:sz w:val="16"/>
                <w:szCs w:val="16"/>
                <w:b w:val="1"/>
                <w:bCs w:val="1"/>
                <w:i w:val="1"/>
                <w:iCs w:val="1"/>
                <w:color w:val="1414D2"/>
              </w:rPr>
              <w:t>The Est</w:t>
            </w:r>
            <w:r>
              <w:rPr>
                <w:rFonts w:ascii="Arial" w:cs="Arial" w:eastAsia="Arial" w:hAnsi="Arial"/>
                <w:sz w:val="16"/>
                <w:szCs w:val="16"/>
                <w:i w:val="1"/>
                <w:iCs w:val="1"/>
                <w:color w:val="1414D2"/>
              </w:rPr>
              <w:t>é</w:t>
            </w:r>
            <w:r>
              <w:rPr>
                <w:rFonts w:ascii="Arial" w:cs="Arial" w:eastAsia="Arial" w:hAnsi="Arial"/>
                <w:sz w:val="16"/>
                <w:szCs w:val="16"/>
                <w:b w:val="1"/>
                <w:bCs w:val="1"/>
                <w:i w:val="1"/>
                <w:iCs w:val="1"/>
                <w:color w:val="1414D2"/>
              </w:rPr>
              <w:t xml:space="preserve">e Lauder Companies, Inc. </w:t>
            </w:r>
            <w:r>
              <w:rPr>
                <w:rFonts w:ascii="Arial" w:cs="Arial" w:eastAsia="Arial" w:hAnsi="Arial"/>
                <w:sz w:val="16"/>
                <w:szCs w:val="16"/>
                <w:color w:val="000000"/>
              </w:rPr>
              <w:t>(cosmetics</w:t>
            </w:r>
          </w:p>
        </w:tc>
        <w:tc>
          <w:tcPr>
            <w:tcW w:w="0" w:type="dxa"/>
            <w:vAlign w:val="bottom"/>
          </w:tcPr>
          <w:p>
            <w:pPr>
              <w:spacing w:after="0"/>
              <w:rPr>
                <w:sz w:val="1"/>
                <w:szCs w:val="1"/>
                <w:color w:val="auto"/>
              </w:rPr>
            </w:pPr>
          </w:p>
        </w:tc>
      </w:tr>
      <w:tr>
        <w:trPr>
          <w:trHeight w:val="235"/>
        </w:trPr>
        <w:tc>
          <w:tcPr>
            <w:tcW w:w="2020" w:type="dxa"/>
            <w:vAlign w:val="bottom"/>
          </w:tcPr>
          <w:p>
            <w:pPr>
              <w:spacing w:after="0"/>
              <w:rPr>
                <w:sz w:val="20"/>
                <w:szCs w:val="20"/>
                <w:color w:val="auto"/>
              </w:rPr>
            </w:pPr>
          </w:p>
        </w:tc>
        <w:tc>
          <w:tcPr>
            <w:tcW w:w="3760" w:type="dxa"/>
            <w:vAlign w:val="bottom"/>
          </w:tcPr>
          <w:p>
            <w:pPr>
              <w:ind w:left="240"/>
              <w:spacing w:after="0"/>
              <w:rPr>
                <w:sz w:val="20"/>
                <w:szCs w:val="20"/>
                <w:color w:val="auto"/>
              </w:rPr>
            </w:pPr>
            <w:r>
              <w:rPr>
                <w:rFonts w:ascii="Arial" w:cs="Arial" w:eastAsia="Arial" w:hAnsi="Arial"/>
                <w:sz w:val="16"/>
                <w:szCs w:val="16"/>
                <w:color w:val="auto"/>
              </w:rPr>
              <w:t>company)</w:t>
            </w:r>
          </w:p>
        </w:tc>
        <w:tc>
          <w:tcPr>
            <w:tcW w:w="0" w:type="dxa"/>
            <w:vAlign w:val="bottom"/>
          </w:tcPr>
          <w:p>
            <w:pPr>
              <w:spacing w:after="0"/>
              <w:rPr>
                <w:sz w:val="1"/>
                <w:szCs w:val="1"/>
                <w:color w:val="auto"/>
              </w:rPr>
            </w:pPr>
          </w:p>
        </w:tc>
      </w:tr>
      <w:tr>
        <w:trPr>
          <w:trHeight w:val="251"/>
        </w:trPr>
        <w:tc>
          <w:tcPr>
            <w:tcW w:w="2020" w:type="dxa"/>
            <w:vAlign w:val="bottom"/>
          </w:tcPr>
          <w:p>
            <w:pPr>
              <w:spacing w:after="0"/>
              <w:rPr>
                <w:sz w:val="21"/>
                <w:szCs w:val="21"/>
                <w:color w:val="auto"/>
              </w:rPr>
            </w:pPr>
          </w:p>
        </w:tc>
        <w:tc>
          <w:tcPr>
            <w:tcW w:w="3760" w:type="dxa"/>
            <w:vAlign w:val="bottom"/>
          </w:tcPr>
          <w:p>
            <w:pPr>
              <w:ind w:left="440"/>
              <w:spacing w:after="0"/>
              <w:rPr>
                <w:sz w:val="20"/>
                <w:szCs w:val="20"/>
                <w:color w:val="auto"/>
              </w:rPr>
            </w:pPr>
            <w:r>
              <w:rPr>
                <w:rFonts w:ascii="Arial" w:cs="Arial" w:eastAsia="Arial" w:hAnsi="Arial"/>
                <w:sz w:val="16"/>
                <w:szCs w:val="16"/>
                <w:color w:val="auto"/>
              </w:rPr>
              <w:t>Global  Brand  President,  Clinique  and</w:t>
            </w:r>
          </w:p>
        </w:tc>
        <w:tc>
          <w:tcPr>
            <w:tcW w:w="0" w:type="dxa"/>
            <w:vAlign w:val="bottom"/>
          </w:tcPr>
          <w:p>
            <w:pPr>
              <w:spacing w:after="0"/>
              <w:rPr>
                <w:sz w:val="1"/>
                <w:szCs w:val="1"/>
                <w:color w:val="auto"/>
              </w:rPr>
            </w:pPr>
          </w:p>
        </w:tc>
      </w:tr>
      <w:tr>
        <w:trPr>
          <w:trHeight w:val="235"/>
        </w:trPr>
        <w:tc>
          <w:tcPr>
            <w:tcW w:w="2020" w:type="dxa"/>
            <w:vAlign w:val="bottom"/>
          </w:tcPr>
          <w:p>
            <w:pPr>
              <w:spacing w:after="0"/>
              <w:rPr>
                <w:sz w:val="20"/>
                <w:szCs w:val="20"/>
                <w:color w:val="auto"/>
              </w:rPr>
            </w:pPr>
          </w:p>
        </w:tc>
        <w:tc>
          <w:tcPr>
            <w:tcW w:w="3760" w:type="dxa"/>
            <w:vAlign w:val="bottom"/>
          </w:tcPr>
          <w:p>
            <w:pPr>
              <w:ind w:left="440"/>
              <w:spacing w:after="0"/>
              <w:rPr>
                <w:sz w:val="20"/>
                <w:szCs w:val="20"/>
                <w:color w:val="auto"/>
              </w:rPr>
            </w:pPr>
            <w:r>
              <w:rPr>
                <w:rFonts w:ascii="Arial" w:cs="Arial" w:eastAsia="Arial" w:hAnsi="Arial"/>
                <w:sz w:val="16"/>
                <w:szCs w:val="16"/>
                <w:color w:val="auto"/>
              </w:rPr>
              <w:t>Dermatological  Brands  (2025-present)</w:t>
            </w:r>
          </w:p>
        </w:tc>
        <w:tc>
          <w:tcPr>
            <w:tcW w:w="0" w:type="dxa"/>
            <w:vAlign w:val="bottom"/>
          </w:tcPr>
          <w:p>
            <w:pPr>
              <w:spacing w:after="0"/>
              <w:rPr>
                <w:sz w:val="1"/>
                <w:szCs w:val="1"/>
                <w:color w:val="auto"/>
              </w:rPr>
            </w:pPr>
          </w:p>
        </w:tc>
      </w:tr>
      <w:tr>
        <w:trPr>
          <w:trHeight w:val="264"/>
        </w:trPr>
        <w:tc>
          <w:tcPr>
            <w:tcW w:w="2020" w:type="dxa"/>
            <w:vAlign w:val="bottom"/>
          </w:tcPr>
          <w:p>
            <w:pPr>
              <w:spacing w:after="0"/>
              <w:rPr>
                <w:sz w:val="22"/>
                <w:szCs w:val="22"/>
                <w:color w:val="auto"/>
              </w:rPr>
            </w:pPr>
          </w:p>
        </w:tc>
        <w:tc>
          <w:tcPr>
            <w:tcW w:w="3760" w:type="dxa"/>
            <w:vAlign w:val="bottom"/>
          </w:tcPr>
          <w:p>
            <w:pPr>
              <w:ind w:left="440"/>
              <w:spacing w:after="0"/>
              <w:rPr>
                <w:sz w:val="20"/>
                <w:szCs w:val="20"/>
                <w:color w:val="auto"/>
              </w:rPr>
            </w:pPr>
            <w:r>
              <w:rPr>
                <w:rFonts w:ascii="Arial" w:cs="Arial" w:eastAsia="Arial" w:hAnsi="Arial"/>
                <w:sz w:val="16"/>
                <w:szCs w:val="16"/>
                <w:color w:val="auto"/>
              </w:rPr>
              <w:t>Global  Brand  President,  Clinique  and</w:t>
            </w:r>
          </w:p>
        </w:tc>
        <w:tc>
          <w:tcPr>
            <w:tcW w:w="0" w:type="dxa"/>
            <w:vAlign w:val="bottom"/>
          </w:tcPr>
          <w:p>
            <w:pPr>
              <w:spacing w:after="0"/>
              <w:rPr>
                <w:sz w:val="1"/>
                <w:szCs w:val="1"/>
                <w:color w:val="auto"/>
              </w:rPr>
            </w:pPr>
          </w:p>
        </w:tc>
      </w:tr>
      <w:tr>
        <w:trPr>
          <w:trHeight w:val="235"/>
        </w:trPr>
        <w:tc>
          <w:tcPr>
            <w:tcW w:w="2020" w:type="dxa"/>
            <w:vAlign w:val="bottom"/>
          </w:tcPr>
          <w:p>
            <w:pPr>
              <w:spacing w:after="0"/>
              <w:rPr>
                <w:sz w:val="20"/>
                <w:szCs w:val="20"/>
                <w:color w:val="auto"/>
              </w:rPr>
            </w:pPr>
          </w:p>
        </w:tc>
        <w:tc>
          <w:tcPr>
            <w:tcW w:w="3760" w:type="dxa"/>
            <w:vAlign w:val="bottom"/>
          </w:tcPr>
          <w:p>
            <w:pPr>
              <w:ind w:left="440"/>
              <w:spacing w:after="0"/>
              <w:rPr>
                <w:sz w:val="20"/>
                <w:szCs w:val="20"/>
                <w:color w:val="auto"/>
              </w:rPr>
            </w:pPr>
            <w:r>
              <w:rPr>
                <w:rFonts w:ascii="Arial" w:cs="Arial" w:eastAsia="Arial" w:hAnsi="Arial"/>
                <w:sz w:val="16"/>
                <w:szCs w:val="16"/>
                <w:color w:val="auto"/>
              </w:rPr>
              <w:t>Origins  (2022-2025)</w:t>
            </w:r>
          </w:p>
        </w:tc>
        <w:tc>
          <w:tcPr>
            <w:tcW w:w="0" w:type="dxa"/>
            <w:vAlign w:val="bottom"/>
          </w:tcPr>
          <w:p>
            <w:pPr>
              <w:spacing w:after="0"/>
              <w:rPr>
                <w:sz w:val="1"/>
                <w:szCs w:val="1"/>
                <w:color w:val="auto"/>
              </w:rPr>
            </w:pPr>
          </w:p>
        </w:tc>
      </w:tr>
      <w:tr>
        <w:trPr>
          <w:trHeight w:val="276"/>
        </w:trPr>
        <w:tc>
          <w:tcPr>
            <w:tcW w:w="2020" w:type="dxa"/>
            <w:vAlign w:val="bottom"/>
          </w:tcPr>
          <w:p>
            <w:pPr>
              <w:ind w:left="100"/>
              <w:spacing w:after="0"/>
              <w:rPr>
                <w:sz w:val="20"/>
                <w:szCs w:val="20"/>
                <w:color w:val="auto"/>
              </w:rPr>
            </w:pPr>
            <w:r>
              <w:rPr>
                <w:rFonts w:ascii="Arial" w:cs="Arial" w:eastAsia="Arial" w:hAnsi="Arial"/>
                <w:sz w:val="16"/>
                <w:szCs w:val="16"/>
                <w:b w:val="1"/>
                <w:bCs w:val="1"/>
                <w:i w:val="1"/>
                <w:iCs w:val="1"/>
                <w:color w:val="1414D2"/>
              </w:rPr>
              <w:t>Director Since</w:t>
            </w:r>
            <w:r>
              <w:rPr>
                <w:rFonts w:ascii="Arial" w:cs="Arial" w:eastAsia="Arial" w:hAnsi="Arial"/>
                <w:sz w:val="16"/>
                <w:szCs w:val="16"/>
                <w:color w:val="1414D2"/>
              </w:rPr>
              <w:t>:</w:t>
            </w:r>
            <w:r>
              <w:rPr>
                <w:rFonts w:ascii="Arial" w:cs="Arial" w:eastAsia="Arial" w:hAnsi="Arial"/>
                <w:sz w:val="16"/>
                <w:szCs w:val="16"/>
                <w:b w:val="1"/>
                <w:bCs w:val="1"/>
                <w:i w:val="1"/>
                <w:iCs w:val="1"/>
                <w:color w:val="1414D2"/>
              </w:rPr>
              <w:t xml:space="preserve">  </w:t>
            </w:r>
            <w:r>
              <w:rPr>
                <w:rFonts w:ascii="Arial" w:cs="Arial" w:eastAsia="Arial" w:hAnsi="Arial"/>
                <w:sz w:val="16"/>
                <w:szCs w:val="16"/>
                <w:color w:val="000000"/>
              </w:rPr>
              <w:t>2024</w:t>
            </w:r>
          </w:p>
        </w:tc>
        <w:tc>
          <w:tcPr>
            <w:tcW w:w="3760" w:type="dxa"/>
            <w:vAlign w:val="bottom"/>
          </w:tcPr>
          <w:p>
            <w:pPr>
              <w:ind w:left="440"/>
              <w:spacing w:after="0"/>
              <w:rPr>
                <w:sz w:val="20"/>
                <w:szCs w:val="20"/>
                <w:color w:val="auto"/>
              </w:rPr>
            </w:pPr>
            <w:r>
              <w:rPr>
                <w:rFonts w:ascii="Arial" w:cs="Arial" w:eastAsia="Arial" w:hAnsi="Arial"/>
                <w:sz w:val="16"/>
                <w:szCs w:val="16"/>
                <w:color w:val="auto"/>
              </w:rPr>
              <w:t>Global  Brand  President,  Clinique  (2021-</w:t>
            </w:r>
          </w:p>
        </w:tc>
        <w:tc>
          <w:tcPr>
            <w:tcW w:w="0" w:type="dxa"/>
            <w:vAlign w:val="bottom"/>
          </w:tcPr>
          <w:p>
            <w:pPr>
              <w:spacing w:after="0"/>
              <w:rPr>
                <w:sz w:val="1"/>
                <w:szCs w:val="1"/>
                <w:color w:val="auto"/>
              </w:rPr>
            </w:pPr>
          </w:p>
        </w:tc>
      </w:tr>
      <w:tr>
        <w:trPr>
          <w:trHeight w:val="235"/>
        </w:trPr>
        <w:tc>
          <w:tcPr>
            <w:tcW w:w="2020" w:type="dxa"/>
            <w:vAlign w:val="bottom"/>
            <w:vMerge w:val="restart"/>
          </w:tcPr>
          <w:p>
            <w:pPr>
              <w:ind w:left="100"/>
              <w:spacing w:after="0"/>
              <w:rPr>
                <w:sz w:val="20"/>
                <w:szCs w:val="20"/>
                <w:color w:val="auto"/>
              </w:rPr>
            </w:pPr>
            <w:r>
              <w:rPr>
                <w:rFonts w:ascii="Arial" w:cs="Arial" w:eastAsia="Arial" w:hAnsi="Arial"/>
                <w:sz w:val="16"/>
                <w:szCs w:val="16"/>
                <w:b w:val="1"/>
                <w:bCs w:val="1"/>
                <w:i w:val="1"/>
                <w:iCs w:val="1"/>
                <w:color w:val="1414D2"/>
              </w:rPr>
              <w:t>Age</w:t>
            </w:r>
            <w:r>
              <w:rPr>
                <w:rFonts w:ascii="Arial" w:cs="Arial" w:eastAsia="Arial" w:hAnsi="Arial"/>
                <w:sz w:val="16"/>
                <w:szCs w:val="16"/>
                <w:color w:val="1414D2"/>
              </w:rPr>
              <w:t>:</w:t>
            </w:r>
            <w:r>
              <w:rPr>
                <w:rFonts w:ascii="Arial" w:cs="Arial" w:eastAsia="Arial" w:hAnsi="Arial"/>
                <w:sz w:val="16"/>
                <w:szCs w:val="16"/>
                <w:b w:val="1"/>
                <w:bCs w:val="1"/>
                <w:i w:val="1"/>
                <w:iCs w:val="1"/>
                <w:color w:val="1414D2"/>
              </w:rPr>
              <w:t xml:space="preserve">  </w:t>
            </w:r>
            <w:r>
              <w:rPr>
                <w:rFonts w:ascii="Arial" w:cs="Arial" w:eastAsia="Arial" w:hAnsi="Arial"/>
                <w:sz w:val="16"/>
                <w:szCs w:val="16"/>
                <w:color w:val="000000"/>
              </w:rPr>
              <w:t>55</w:t>
            </w:r>
          </w:p>
        </w:tc>
        <w:tc>
          <w:tcPr>
            <w:tcW w:w="3760" w:type="dxa"/>
            <w:vAlign w:val="bottom"/>
          </w:tcPr>
          <w:p>
            <w:pPr>
              <w:ind w:left="440"/>
              <w:spacing w:after="0"/>
              <w:rPr>
                <w:sz w:val="20"/>
                <w:szCs w:val="20"/>
                <w:color w:val="auto"/>
              </w:rPr>
            </w:pPr>
            <w:r>
              <w:rPr>
                <w:rFonts w:ascii="Arial" w:cs="Arial" w:eastAsia="Arial" w:hAnsi="Arial"/>
                <w:sz w:val="16"/>
                <w:szCs w:val="16"/>
                <w:color w:val="auto"/>
              </w:rPr>
              <w:t>2022)</w:t>
            </w:r>
          </w:p>
        </w:tc>
        <w:tc>
          <w:tcPr>
            <w:tcW w:w="0" w:type="dxa"/>
            <w:vAlign w:val="bottom"/>
          </w:tcPr>
          <w:p>
            <w:pPr>
              <w:spacing w:after="0"/>
              <w:rPr>
                <w:sz w:val="1"/>
                <w:szCs w:val="1"/>
                <w:color w:val="auto"/>
              </w:rPr>
            </w:pPr>
          </w:p>
        </w:tc>
      </w:tr>
      <w:tr>
        <w:trPr>
          <w:trHeight w:val="124"/>
        </w:trPr>
        <w:tc>
          <w:tcPr>
            <w:tcW w:w="2020" w:type="dxa"/>
            <w:vAlign w:val="bottom"/>
            <w:vMerge w:val="continue"/>
          </w:tcPr>
          <w:p>
            <w:pPr>
              <w:spacing w:after="0"/>
              <w:rPr>
                <w:sz w:val="10"/>
                <w:szCs w:val="10"/>
                <w:color w:val="auto"/>
              </w:rPr>
            </w:pPr>
          </w:p>
        </w:tc>
        <w:tc>
          <w:tcPr>
            <w:tcW w:w="3760" w:type="dxa"/>
            <w:vAlign w:val="bottom"/>
            <w:vMerge w:val="restart"/>
          </w:tcPr>
          <w:p>
            <w:pPr>
              <w:ind w:left="440"/>
              <w:spacing w:after="0"/>
              <w:rPr>
                <w:sz w:val="20"/>
                <w:szCs w:val="20"/>
                <w:color w:val="auto"/>
              </w:rPr>
            </w:pPr>
            <w:r>
              <w:rPr>
                <w:rFonts w:ascii="Arial" w:cs="Arial" w:eastAsia="Arial" w:hAnsi="Arial"/>
                <w:sz w:val="16"/>
                <w:szCs w:val="16"/>
                <w:color w:val="auto"/>
              </w:rPr>
              <w:t>Senior  Vice  President,  Global  General</w:t>
            </w:r>
          </w:p>
        </w:tc>
        <w:tc>
          <w:tcPr>
            <w:tcW w:w="0" w:type="dxa"/>
            <w:vAlign w:val="bottom"/>
          </w:tcPr>
          <w:p>
            <w:pPr>
              <w:spacing w:after="0"/>
              <w:rPr>
                <w:sz w:val="1"/>
                <w:szCs w:val="1"/>
                <w:color w:val="auto"/>
              </w:rPr>
            </w:pPr>
          </w:p>
        </w:tc>
      </w:tr>
      <w:tr>
        <w:trPr>
          <w:trHeight w:val="116"/>
        </w:trPr>
        <w:tc>
          <w:tcPr>
            <w:tcW w:w="2020" w:type="dxa"/>
            <w:vAlign w:val="bottom"/>
            <w:vMerge w:val="restart"/>
          </w:tcPr>
          <w:p>
            <w:pPr>
              <w:ind w:left="100"/>
              <w:spacing w:after="0"/>
              <w:rPr>
                <w:sz w:val="20"/>
                <w:szCs w:val="20"/>
                <w:color w:val="auto"/>
              </w:rPr>
            </w:pPr>
            <w:r>
              <w:rPr>
                <w:rFonts w:ascii="Arial" w:cs="Arial" w:eastAsia="Arial" w:hAnsi="Arial"/>
                <w:sz w:val="16"/>
                <w:szCs w:val="16"/>
                <w:b w:val="1"/>
                <w:bCs w:val="1"/>
                <w:i w:val="1"/>
                <w:iCs w:val="1"/>
                <w:color w:val="1414D2"/>
              </w:rPr>
              <w:t>Committees</w:t>
            </w:r>
            <w:r>
              <w:rPr>
                <w:rFonts w:ascii="Arial" w:cs="Arial" w:eastAsia="Arial" w:hAnsi="Arial"/>
                <w:sz w:val="16"/>
                <w:szCs w:val="16"/>
                <w:color w:val="1414D2"/>
              </w:rPr>
              <w:t>:</w:t>
            </w:r>
          </w:p>
        </w:tc>
        <w:tc>
          <w:tcPr>
            <w:tcW w:w="3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5"/>
        </w:trPr>
        <w:tc>
          <w:tcPr>
            <w:tcW w:w="2020" w:type="dxa"/>
            <w:vAlign w:val="bottom"/>
            <w:vMerge w:val="continue"/>
          </w:tcPr>
          <w:p>
            <w:pPr>
              <w:spacing w:after="0"/>
              <w:rPr>
                <w:sz w:val="20"/>
                <w:szCs w:val="20"/>
                <w:color w:val="auto"/>
              </w:rPr>
            </w:pPr>
          </w:p>
        </w:tc>
        <w:tc>
          <w:tcPr>
            <w:tcW w:w="3760" w:type="dxa"/>
            <w:vAlign w:val="bottom"/>
          </w:tcPr>
          <w:p>
            <w:pPr>
              <w:ind w:left="440"/>
              <w:spacing w:after="0"/>
              <w:rPr>
                <w:sz w:val="20"/>
                <w:szCs w:val="20"/>
                <w:color w:val="auto"/>
              </w:rPr>
            </w:pPr>
            <w:r>
              <w:rPr>
                <w:rFonts w:ascii="Arial" w:cs="Arial" w:eastAsia="Arial" w:hAnsi="Arial"/>
                <w:sz w:val="16"/>
                <w:szCs w:val="16"/>
                <w:color w:val="auto"/>
              </w:rPr>
              <w:t>Manager  (2020-2021)</w:t>
            </w:r>
          </w:p>
        </w:tc>
        <w:tc>
          <w:tcPr>
            <w:tcW w:w="0" w:type="dxa"/>
            <w:vAlign w:val="bottom"/>
          </w:tcPr>
          <w:p>
            <w:pPr>
              <w:spacing w:after="0"/>
              <w:rPr>
                <w:sz w:val="1"/>
                <w:szCs w:val="1"/>
                <w:color w:val="auto"/>
              </w:rPr>
            </w:pPr>
          </w:p>
        </w:tc>
      </w:tr>
      <w:tr>
        <w:trPr>
          <w:trHeight w:val="251"/>
        </w:trPr>
        <w:tc>
          <w:tcPr>
            <w:tcW w:w="2020" w:type="dxa"/>
            <w:vAlign w:val="bottom"/>
          </w:tcPr>
          <w:p>
            <w:pPr>
              <w:ind w:left="100"/>
              <w:spacing w:after="0"/>
              <w:rPr>
                <w:sz w:val="20"/>
                <w:szCs w:val="20"/>
                <w:color w:val="auto"/>
              </w:rPr>
            </w:pPr>
            <w:r>
              <w:rPr>
                <w:rFonts w:ascii="Arial" w:cs="Arial" w:eastAsia="Arial" w:hAnsi="Arial"/>
                <w:sz w:val="16"/>
                <w:szCs w:val="16"/>
                <w:color w:val="auto"/>
              </w:rPr>
              <w:t>Finance</w:t>
            </w:r>
          </w:p>
        </w:tc>
        <w:tc>
          <w:tcPr>
            <w:tcW w:w="3760" w:type="dxa"/>
            <w:vAlign w:val="bottom"/>
          </w:tcPr>
          <w:p>
            <w:pPr>
              <w:ind w:left="240"/>
              <w:spacing w:after="0"/>
              <w:rPr>
                <w:sz w:val="20"/>
                <w:szCs w:val="20"/>
                <w:color w:val="auto"/>
              </w:rPr>
            </w:pPr>
            <w:r>
              <w:rPr>
                <w:rFonts w:ascii="Arial" w:cs="Arial" w:eastAsia="Arial" w:hAnsi="Arial"/>
                <w:sz w:val="16"/>
                <w:szCs w:val="16"/>
                <w:b w:val="1"/>
                <w:bCs w:val="1"/>
                <w:i w:val="1"/>
                <w:iCs w:val="1"/>
                <w:color w:val="1414D2"/>
              </w:rPr>
              <w:t xml:space="preserve">Johnson &amp; Johnson </w:t>
            </w:r>
            <w:r>
              <w:rPr>
                <w:rFonts w:ascii="Arial" w:cs="Arial" w:eastAsia="Arial" w:hAnsi="Arial"/>
                <w:sz w:val="16"/>
                <w:szCs w:val="16"/>
                <w:color w:val="000000"/>
              </w:rPr>
              <w:t>(healthcare  products</w:t>
            </w:r>
          </w:p>
        </w:tc>
        <w:tc>
          <w:tcPr>
            <w:tcW w:w="0" w:type="dxa"/>
            <w:vAlign w:val="bottom"/>
          </w:tcPr>
          <w:p>
            <w:pPr>
              <w:spacing w:after="0"/>
              <w:rPr>
                <w:sz w:val="1"/>
                <w:szCs w:val="1"/>
                <w:color w:val="auto"/>
              </w:rPr>
            </w:pPr>
          </w:p>
        </w:tc>
      </w:tr>
      <w:tr>
        <w:trPr>
          <w:trHeight w:val="235"/>
        </w:trPr>
        <w:tc>
          <w:tcPr>
            <w:tcW w:w="2020" w:type="dxa"/>
            <w:vAlign w:val="bottom"/>
            <w:vMerge w:val="restart"/>
          </w:tcPr>
          <w:p>
            <w:pPr>
              <w:ind w:left="100"/>
              <w:spacing w:after="0"/>
              <w:rPr>
                <w:sz w:val="20"/>
                <w:szCs w:val="20"/>
                <w:color w:val="auto"/>
              </w:rPr>
            </w:pPr>
            <w:r>
              <w:rPr>
                <w:rFonts w:ascii="Arial" w:cs="Arial" w:eastAsia="Arial" w:hAnsi="Arial"/>
                <w:sz w:val="16"/>
                <w:szCs w:val="16"/>
                <w:color w:val="auto"/>
              </w:rPr>
              <w:t>Public  Responsibility</w:t>
            </w:r>
          </w:p>
        </w:tc>
        <w:tc>
          <w:tcPr>
            <w:tcW w:w="3760" w:type="dxa"/>
            <w:vAlign w:val="bottom"/>
          </w:tcPr>
          <w:p>
            <w:pPr>
              <w:ind w:left="240"/>
              <w:spacing w:after="0"/>
              <w:rPr>
                <w:sz w:val="20"/>
                <w:szCs w:val="20"/>
                <w:color w:val="auto"/>
              </w:rPr>
            </w:pPr>
            <w:r>
              <w:rPr>
                <w:rFonts w:ascii="Arial" w:cs="Arial" w:eastAsia="Arial" w:hAnsi="Arial"/>
                <w:sz w:val="16"/>
                <w:szCs w:val="16"/>
                <w:color w:val="auto"/>
              </w:rPr>
              <w:t>company)</w:t>
            </w:r>
          </w:p>
        </w:tc>
        <w:tc>
          <w:tcPr>
            <w:tcW w:w="0" w:type="dxa"/>
            <w:vAlign w:val="bottom"/>
          </w:tcPr>
          <w:p>
            <w:pPr>
              <w:spacing w:after="0"/>
              <w:rPr>
                <w:sz w:val="1"/>
                <w:szCs w:val="1"/>
                <w:color w:val="auto"/>
              </w:rPr>
            </w:pPr>
          </w:p>
        </w:tc>
      </w:tr>
      <w:tr>
        <w:trPr>
          <w:trHeight w:val="68"/>
        </w:trPr>
        <w:tc>
          <w:tcPr>
            <w:tcW w:w="2020" w:type="dxa"/>
            <w:vAlign w:val="bottom"/>
            <w:vMerge w:val="continue"/>
          </w:tcPr>
          <w:p>
            <w:pPr>
              <w:spacing w:after="0"/>
              <w:rPr>
                <w:sz w:val="5"/>
                <w:szCs w:val="5"/>
                <w:color w:val="auto"/>
              </w:rPr>
            </w:pPr>
          </w:p>
        </w:tc>
        <w:tc>
          <w:tcPr>
            <w:tcW w:w="3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2020" w:type="dxa"/>
            <w:vAlign w:val="bottom"/>
          </w:tcPr>
          <w:p>
            <w:pPr>
              <w:spacing w:after="0"/>
              <w:rPr>
                <w:sz w:val="17"/>
                <w:szCs w:val="17"/>
                <w:color w:val="auto"/>
              </w:rPr>
            </w:pPr>
          </w:p>
        </w:tc>
        <w:tc>
          <w:tcPr>
            <w:tcW w:w="3760" w:type="dxa"/>
            <w:vAlign w:val="bottom"/>
          </w:tcPr>
          <w:p>
            <w:pPr>
              <w:ind w:left="440"/>
              <w:spacing w:after="0"/>
              <w:rPr>
                <w:sz w:val="20"/>
                <w:szCs w:val="20"/>
                <w:color w:val="auto"/>
              </w:rPr>
            </w:pPr>
            <w:r>
              <w:rPr>
                <w:rFonts w:ascii="Arial" w:cs="Arial" w:eastAsia="Arial" w:hAnsi="Arial"/>
                <w:sz w:val="16"/>
                <w:szCs w:val="16"/>
                <w:color w:val="auto"/>
              </w:rPr>
              <w:t>President,  U.S.  Beauty,  Consumer  Division</w:t>
            </w:r>
          </w:p>
        </w:tc>
        <w:tc>
          <w:tcPr>
            <w:tcW w:w="0" w:type="dxa"/>
            <w:vAlign w:val="bottom"/>
          </w:tcPr>
          <w:p>
            <w:pPr>
              <w:spacing w:after="0"/>
              <w:rPr>
                <w:sz w:val="1"/>
                <w:szCs w:val="1"/>
                <w:color w:val="auto"/>
              </w:rPr>
            </w:pPr>
          </w:p>
        </w:tc>
      </w:tr>
      <w:tr>
        <w:trPr>
          <w:trHeight w:val="235"/>
        </w:trPr>
        <w:tc>
          <w:tcPr>
            <w:tcW w:w="2020" w:type="dxa"/>
            <w:vAlign w:val="bottom"/>
          </w:tcPr>
          <w:p>
            <w:pPr>
              <w:spacing w:after="0"/>
              <w:rPr>
                <w:sz w:val="20"/>
                <w:szCs w:val="20"/>
                <w:color w:val="auto"/>
              </w:rPr>
            </w:pPr>
          </w:p>
        </w:tc>
        <w:tc>
          <w:tcPr>
            <w:tcW w:w="3760" w:type="dxa"/>
            <w:vAlign w:val="bottom"/>
          </w:tcPr>
          <w:p>
            <w:pPr>
              <w:ind w:left="440"/>
              <w:spacing w:after="0"/>
              <w:rPr>
                <w:sz w:val="20"/>
                <w:szCs w:val="20"/>
                <w:color w:val="auto"/>
              </w:rPr>
            </w:pPr>
            <w:r>
              <w:rPr>
                <w:rFonts w:ascii="Arial" w:cs="Arial" w:eastAsia="Arial" w:hAnsi="Arial"/>
                <w:sz w:val="16"/>
                <w:szCs w:val="16"/>
                <w:color w:val="auto"/>
              </w:rPr>
              <w:t>(2016-2019)</w:t>
            </w:r>
          </w:p>
        </w:tc>
        <w:tc>
          <w:tcPr>
            <w:tcW w:w="0" w:type="dxa"/>
            <w:vAlign w:val="bottom"/>
          </w:tcPr>
          <w:p>
            <w:pPr>
              <w:spacing w:after="0"/>
              <w:rPr>
                <w:sz w:val="1"/>
                <w:szCs w:val="1"/>
                <w:color w:val="auto"/>
              </w:rPr>
            </w:pPr>
          </w:p>
        </w:tc>
      </w:tr>
      <w:tr>
        <w:trPr>
          <w:trHeight w:val="251"/>
        </w:trPr>
        <w:tc>
          <w:tcPr>
            <w:tcW w:w="2020" w:type="dxa"/>
            <w:vAlign w:val="bottom"/>
          </w:tcPr>
          <w:p>
            <w:pPr>
              <w:spacing w:after="0"/>
              <w:rPr>
                <w:sz w:val="21"/>
                <w:szCs w:val="21"/>
                <w:color w:val="auto"/>
              </w:rPr>
            </w:pPr>
          </w:p>
        </w:tc>
        <w:tc>
          <w:tcPr>
            <w:tcW w:w="3760" w:type="dxa"/>
            <w:vAlign w:val="bottom"/>
          </w:tcPr>
          <w:p>
            <w:pPr>
              <w:ind w:left="440"/>
              <w:spacing w:after="0"/>
              <w:rPr>
                <w:sz w:val="20"/>
                <w:szCs w:val="20"/>
                <w:color w:val="auto"/>
              </w:rPr>
            </w:pPr>
            <w:r>
              <w:rPr>
                <w:rFonts w:ascii="Arial" w:cs="Arial" w:eastAsia="Arial" w:hAnsi="Arial"/>
                <w:sz w:val="16"/>
                <w:szCs w:val="16"/>
                <w:color w:val="auto"/>
                <w:w w:val="98"/>
              </w:rPr>
              <w:t>General  Manager,  Neutrogena  Corp.   (2013-</w:t>
            </w:r>
          </w:p>
        </w:tc>
        <w:tc>
          <w:tcPr>
            <w:tcW w:w="0" w:type="dxa"/>
            <w:vAlign w:val="bottom"/>
          </w:tcPr>
          <w:p>
            <w:pPr>
              <w:spacing w:after="0"/>
              <w:rPr>
                <w:sz w:val="1"/>
                <w:szCs w:val="1"/>
                <w:color w:val="auto"/>
              </w:rPr>
            </w:pPr>
          </w:p>
        </w:tc>
      </w:tr>
      <w:tr>
        <w:trPr>
          <w:trHeight w:val="235"/>
        </w:trPr>
        <w:tc>
          <w:tcPr>
            <w:tcW w:w="2020" w:type="dxa"/>
            <w:vAlign w:val="bottom"/>
          </w:tcPr>
          <w:p>
            <w:pPr>
              <w:spacing w:after="0"/>
              <w:rPr>
                <w:sz w:val="20"/>
                <w:szCs w:val="20"/>
                <w:color w:val="auto"/>
              </w:rPr>
            </w:pPr>
          </w:p>
        </w:tc>
        <w:tc>
          <w:tcPr>
            <w:tcW w:w="3760" w:type="dxa"/>
            <w:vAlign w:val="bottom"/>
          </w:tcPr>
          <w:p>
            <w:pPr>
              <w:ind w:left="440"/>
              <w:spacing w:after="0"/>
              <w:rPr>
                <w:sz w:val="20"/>
                <w:szCs w:val="20"/>
                <w:color w:val="auto"/>
              </w:rPr>
            </w:pPr>
            <w:r>
              <w:rPr>
                <w:rFonts w:ascii="Arial" w:cs="Arial" w:eastAsia="Arial" w:hAnsi="Arial"/>
                <w:sz w:val="16"/>
                <w:szCs w:val="16"/>
                <w:color w:val="auto"/>
              </w:rPr>
              <w:t>2016)</w:t>
            </w:r>
          </w:p>
        </w:tc>
        <w:tc>
          <w:tcPr>
            <w:tcW w:w="0" w:type="dxa"/>
            <w:vAlign w:val="bottom"/>
          </w:tcPr>
          <w:p>
            <w:pPr>
              <w:spacing w:after="0"/>
              <w:rPr>
                <w:sz w:val="1"/>
                <w:szCs w:val="1"/>
                <w:color w:val="auto"/>
              </w:rPr>
            </w:pPr>
          </w:p>
        </w:tc>
      </w:tr>
      <w:tr>
        <w:trPr>
          <w:trHeight w:val="264"/>
        </w:trPr>
        <w:tc>
          <w:tcPr>
            <w:tcW w:w="2020" w:type="dxa"/>
            <w:vAlign w:val="bottom"/>
          </w:tcPr>
          <w:p>
            <w:pPr>
              <w:spacing w:after="0"/>
              <w:rPr>
                <w:sz w:val="22"/>
                <w:szCs w:val="22"/>
                <w:color w:val="auto"/>
              </w:rPr>
            </w:pPr>
          </w:p>
        </w:tc>
        <w:tc>
          <w:tcPr>
            <w:tcW w:w="3760" w:type="dxa"/>
            <w:vAlign w:val="bottom"/>
          </w:tcPr>
          <w:p>
            <w:pPr>
              <w:ind w:left="440"/>
              <w:spacing w:after="0"/>
              <w:rPr>
                <w:sz w:val="20"/>
                <w:szCs w:val="20"/>
                <w:color w:val="auto"/>
              </w:rPr>
            </w:pPr>
            <w:r>
              <w:rPr>
                <w:rFonts w:ascii="Arial" w:cs="Arial" w:eastAsia="Arial" w:hAnsi="Arial"/>
                <w:sz w:val="16"/>
                <w:szCs w:val="16"/>
                <w:color w:val="auto"/>
              </w:rPr>
              <w:t>Multiple  roles  (1999-2013),  including</w:t>
            </w:r>
          </w:p>
        </w:tc>
        <w:tc>
          <w:tcPr>
            <w:tcW w:w="0" w:type="dxa"/>
            <w:vAlign w:val="bottom"/>
          </w:tcPr>
          <w:p>
            <w:pPr>
              <w:spacing w:after="0"/>
              <w:rPr>
                <w:sz w:val="1"/>
                <w:szCs w:val="1"/>
                <w:color w:val="auto"/>
              </w:rPr>
            </w:pPr>
          </w:p>
        </w:tc>
      </w:tr>
      <w:tr>
        <w:trPr>
          <w:trHeight w:val="189"/>
        </w:trPr>
        <w:tc>
          <w:tcPr>
            <w:tcW w:w="2020" w:type="dxa"/>
            <w:vAlign w:val="bottom"/>
          </w:tcPr>
          <w:p>
            <w:pPr>
              <w:spacing w:after="0"/>
              <w:rPr>
                <w:sz w:val="16"/>
                <w:szCs w:val="16"/>
                <w:color w:val="auto"/>
              </w:rPr>
            </w:pPr>
          </w:p>
        </w:tc>
        <w:tc>
          <w:tcPr>
            <w:tcW w:w="3760" w:type="dxa"/>
            <w:vAlign w:val="bottom"/>
          </w:tcPr>
          <w:p>
            <w:pPr>
              <w:ind w:left="440"/>
              <w:spacing w:after="0"/>
              <w:rPr>
                <w:sz w:val="20"/>
                <w:szCs w:val="20"/>
                <w:color w:val="auto"/>
              </w:rPr>
            </w:pPr>
            <w:r>
              <w:rPr>
                <w:rFonts w:ascii="Arial" w:cs="Arial" w:eastAsia="Arial" w:hAnsi="Arial"/>
                <w:sz w:val="16"/>
                <w:szCs w:val="16"/>
                <w:color w:val="auto"/>
              </w:rPr>
              <w:t>National  Sales  Director  of  U.S.  Skincare</w:t>
            </w:r>
          </w:p>
        </w:tc>
        <w:tc>
          <w:tcPr>
            <w:tcW w:w="0" w:type="dxa"/>
            <w:vAlign w:val="bottom"/>
          </w:tcPr>
          <w:p>
            <w:pPr>
              <w:spacing w:after="0"/>
              <w:rPr>
                <w:sz w:val="1"/>
                <w:szCs w:val="1"/>
                <w:color w:val="auto"/>
              </w:rPr>
            </w:pPr>
          </w:p>
        </w:tc>
      </w:tr>
      <w:tr>
        <w:trPr>
          <w:trHeight w:val="235"/>
        </w:trPr>
        <w:tc>
          <w:tcPr>
            <w:tcW w:w="2020" w:type="dxa"/>
            <w:vAlign w:val="bottom"/>
          </w:tcPr>
          <w:p>
            <w:pPr>
              <w:spacing w:after="0"/>
              <w:rPr>
                <w:sz w:val="20"/>
                <w:szCs w:val="20"/>
                <w:color w:val="auto"/>
              </w:rPr>
            </w:pPr>
          </w:p>
        </w:tc>
        <w:tc>
          <w:tcPr>
            <w:tcW w:w="3760" w:type="dxa"/>
            <w:vAlign w:val="bottom"/>
          </w:tcPr>
          <w:p>
            <w:pPr>
              <w:ind w:left="440"/>
              <w:spacing w:after="0"/>
              <w:rPr>
                <w:sz w:val="20"/>
                <w:szCs w:val="20"/>
                <w:color w:val="auto"/>
              </w:rPr>
            </w:pPr>
            <w:r>
              <w:rPr>
                <w:rFonts w:ascii="Arial" w:cs="Arial" w:eastAsia="Arial" w:hAnsi="Arial"/>
                <w:sz w:val="16"/>
                <w:szCs w:val="16"/>
                <w:color w:val="auto"/>
              </w:rPr>
              <w:t>Brands  (2011-2013)</w:t>
            </w:r>
          </w:p>
        </w:tc>
        <w:tc>
          <w:tcPr>
            <w:tcW w:w="0" w:type="dxa"/>
            <w:vAlign w:val="bottom"/>
          </w:tcPr>
          <w:p>
            <w:pPr>
              <w:spacing w:after="0"/>
              <w:rPr>
                <w:sz w:val="1"/>
                <w:szCs w:val="1"/>
                <w:color w:val="auto"/>
              </w:rPr>
            </w:pPr>
          </w:p>
        </w:tc>
      </w:tr>
      <w:tr>
        <w:trPr>
          <w:trHeight w:val="297"/>
        </w:trPr>
        <w:tc>
          <w:tcPr>
            <w:tcW w:w="2020" w:type="dxa"/>
            <w:vAlign w:val="bottom"/>
          </w:tcPr>
          <w:p>
            <w:pPr>
              <w:spacing w:after="0"/>
              <w:rPr>
                <w:sz w:val="24"/>
                <w:szCs w:val="24"/>
                <w:color w:val="auto"/>
              </w:rPr>
            </w:pPr>
          </w:p>
        </w:tc>
        <w:tc>
          <w:tcPr>
            <w:tcW w:w="3760" w:type="dxa"/>
            <w:vAlign w:val="bottom"/>
          </w:tcPr>
          <w:p>
            <w:pPr>
              <w:ind w:left="240"/>
              <w:spacing w:after="0"/>
              <w:rPr>
                <w:sz w:val="20"/>
                <w:szCs w:val="20"/>
                <w:color w:val="auto"/>
              </w:rPr>
            </w:pPr>
            <w:r>
              <w:rPr>
                <w:rFonts w:ascii="Arial" w:cs="Arial" w:eastAsia="Arial" w:hAnsi="Arial"/>
                <w:sz w:val="16"/>
                <w:szCs w:val="16"/>
                <w:b w:val="1"/>
                <w:bCs w:val="1"/>
                <w:i w:val="1"/>
                <w:iCs w:val="1"/>
                <w:color w:val="1414D2"/>
              </w:rPr>
              <w:t xml:space="preserve">PepsiCo </w:t>
            </w:r>
            <w:r>
              <w:rPr>
                <w:rFonts w:ascii="Arial" w:cs="Arial" w:eastAsia="Arial" w:hAnsi="Arial"/>
                <w:sz w:val="16"/>
                <w:szCs w:val="16"/>
                <w:color w:val="000000"/>
              </w:rPr>
              <w:t>(food  and  beverage  company)</w:t>
            </w:r>
          </w:p>
        </w:tc>
        <w:tc>
          <w:tcPr>
            <w:tcW w:w="0" w:type="dxa"/>
            <w:vAlign w:val="bottom"/>
          </w:tcPr>
          <w:p>
            <w:pPr>
              <w:spacing w:after="0"/>
              <w:rPr>
                <w:sz w:val="1"/>
                <w:szCs w:val="1"/>
                <w:color w:val="auto"/>
              </w:rPr>
            </w:pPr>
          </w:p>
        </w:tc>
      </w:tr>
      <w:tr>
        <w:trPr>
          <w:trHeight w:val="310"/>
        </w:trPr>
        <w:tc>
          <w:tcPr>
            <w:tcW w:w="2020" w:type="dxa"/>
            <w:vAlign w:val="bottom"/>
          </w:tcPr>
          <w:p>
            <w:pPr>
              <w:spacing w:after="0"/>
              <w:rPr>
                <w:sz w:val="24"/>
                <w:szCs w:val="24"/>
                <w:color w:val="auto"/>
              </w:rPr>
            </w:pPr>
          </w:p>
        </w:tc>
        <w:tc>
          <w:tcPr>
            <w:tcW w:w="3760" w:type="dxa"/>
            <w:vAlign w:val="bottom"/>
          </w:tcPr>
          <w:p>
            <w:pPr>
              <w:ind w:left="440"/>
              <w:spacing w:after="0"/>
              <w:rPr>
                <w:sz w:val="20"/>
                <w:szCs w:val="20"/>
                <w:color w:val="auto"/>
              </w:rPr>
            </w:pPr>
            <w:r>
              <w:rPr>
                <w:rFonts w:ascii="Arial" w:cs="Arial" w:eastAsia="Arial" w:hAnsi="Arial"/>
                <w:sz w:val="16"/>
                <w:szCs w:val="16"/>
                <w:color w:val="auto"/>
              </w:rPr>
              <w:t>Associate  Brand  Manager  (1998-1999)</w:t>
            </w:r>
          </w:p>
        </w:tc>
        <w:tc>
          <w:tcPr>
            <w:tcW w:w="0" w:type="dxa"/>
            <w:vAlign w:val="bottom"/>
          </w:tcPr>
          <w:p>
            <w:pPr>
              <w:spacing w:after="0"/>
              <w:rPr>
                <w:sz w:val="1"/>
                <w:szCs w:val="1"/>
                <w:color w:val="auto"/>
              </w:rPr>
            </w:pPr>
          </w:p>
        </w:tc>
      </w:tr>
      <w:tr>
        <w:trPr>
          <w:trHeight w:val="297"/>
        </w:trPr>
        <w:tc>
          <w:tcPr>
            <w:tcW w:w="2020" w:type="dxa"/>
            <w:vAlign w:val="bottom"/>
          </w:tcPr>
          <w:p>
            <w:pPr>
              <w:spacing w:after="0"/>
              <w:rPr>
                <w:sz w:val="24"/>
                <w:szCs w:val="24"/>
                <w:color w:val="auto"/>
              </w:rPr>
            </w:pPr>
          </w:p>
        </w:tc>
        <w:tc>
          <w:tcPr>
            <w:tcW w:w="3760" w:type="dxa"/>
            <w:vAlign w:val="bottom"/>
          </w:tcPr>
          <w:p>
            <w:pPr>
              <w:ind w:left="440"/>
              <w:spacing w:after="0"/>
              <w:rPr>
                <w:sz w:val="20"/>
                <w:szCs w:val="20"/>
                <w:color w:val="auto"/>
              </w:rPr>
            </w:pPr>
            <w:r>
              <w:rPr>
                <w:rFonts w:ascii="Arial" w:cs="Arial" w:eastAsia="Arial" w:hAnsi="Arial"/>
                <w:sz w:val="16"/>
                <w:szCs w:val="16"/>
                <w:color w:val="auto"/>
              </w:rPr>
              <w:t>Assistant  Brand  Manager  (1997-1998)</w:t>
            </w:r>
          </w:p>
        </w:tc>
        <w:tc>
          <w:tcPr>
            <w:tcW w:w="0" w:type="dxa"/>
            <w:vAlign w:val="bottom"/>
          </w:tcPr>
          <w:p>
            <w:pPr>
              <w:spacing w:after="0"/>
              <w:rPr>
                <w:sz w:val="1"/>
                <w:szCs w:val="1"/>
                <w:color w:val="auto"/>
              </w:rPr>
            </w:pPr>
          </w:p>
        </w:tc>
      </w:tr>
      <w:tr>
        <w:trPr>
          <w:trHeight w:val="310"/>
        </w:trPr>
        <w:tc>
          <w:tcPr>
            <w:tcW w:w="2020" w:type="dxa"/>
            <w:vAlign w:val="bottom"/>
          </w:tcPr>
          <w:p>
            <w:pPr>
              <w:spacing w:after="0"/>
              <w:rPr>
                <w:sz w:val="20"/>
                <w:szCs w:val="20"/>
                <w:color w:val="auto"/>
              </w:rPr>
            </w:pPr>
            <w:r>
              <w:rPr>
                <w:rFonts w:ascii="Arial" w:cs="Arial" w:eastAsia="Arial" w:hAnsi="Arial"/>
                <w:sz w:val="16"/>
                <w:szCs w:val="16"/>
                <w:b w:val="1"/>
                <w:bCs w:val="1"/>
                <w:i w:val="1"/>
                <w:iCs w:val="1"/>
                <w:color w:val="1414D2"/>
              </w:rPr>
              <w:t>Skills and Qualifcations:</w:t>
            </w: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396" w:lineRule="auto"/>
        <w:rPr>
          <w:sz w:val="20"/>
          <w:szCs w:val="20"/>
          <w:color w:val="auto"/>
        </w:rPr>
      </w:pPr>
      <w:r>
        <w:rPr>
          <w:rFonts w:ascii="Arial" w:cs="Arial" w:eastAsia="Arial" w:hAnsi="Arial"/>
          <w:sz w:val="16"/>
          <w:szCs w:val="16"/>
          <w:b w:val="1"/>
          <w:bCs w:val="1"/>
          <w:color w:val="auto"/>
        </w:rPr>
        <w:t xml:space="preserve">OTHER PUBLIC COMPANY DIRECTORSHIPS </w:t>
      </w:r>
      <w:r>
        <w:rPr>
          <w:rFonts w:ascii="Arial" w:cs="Arial" w:eastAsia="Arial" w:hAnsi="Arial"/>
          <w:sz w:val="16"/>
          <w:szCs w:val="16"/>
          <w:color w:val="auto"/>
        </w:rPr>
        <w:t>None</w:t>
      </w:r>
    </w:p>
    <w:p>
      <w:pPr>
        <w:ind w:right="200"/>
        <w:spacing w:after="0" w:line="279" w:lineRule="auto"/>
        <w:rPr>
          <w:sz w:val="20"/>
          <w:szCs w:val="20"/>
          <w:color w:val="auto"/>
        </w:rPr>
      </w:pPr>
      <w:r>
        <w:rPr>
          <w:rFonts w:ascii="Arial" w:cs="Arial" w:eastAsia="Arial" w:hAnsi="Arial"/>
          <w:sz w:val="16"/>
          <w:szCs w:val="16"/>
          <w:b w:val="1"/>
          <w:bCs w:val="1"/>
          <w:color w:val="auto"/>
        </w:rPr>
        <w:t>FORMER PUBLIC COMPANY DIRECTORSHIPS HELD IN THE PAST FIVE YEARS</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EDUCATION</w:t>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414D2"/>
        </w:rPr>
        <w:t>Harvard Business School</w:t>
      </w:r>
      <w:r>
        <w:rPr>
          <w:rFonts w:ascii="Arial" w:cs="Arial" w:eastAsia="Arial" w:hAnsi="Arial"/>
          <w:sz w:val="15"/>
          <w:szCs w:val="15"/>
          <w:color w:val="000000"/>
        </w:rPr>
        <w:t>,  Master  of  Business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Administration</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414D2"/>
        </w:rPr>
        <w:t>Yale University</w:t>
      </w:r>
      <w:r>
        <w:rPr>
          <w:rFonts w:ascii="Arial" w:cs="Arial" w:eastAsia="Arial" w:hAnsi="Arial"/>
          <w:sz w:val="16"/>
          <w:szCs w:val="16"/>
          <w:color w:val="000000"/>
        </w:rPr>
        <w:t>,  BA,  Economics</w:t>
      </w:r>
    </w:p>
    <w:p>
      <w:pPr>
        <w:spacing w:after="0" w:line="3722" w:lineRule="exact"/>
        <w:rPr>
          <w:sz w:val="20"/>
          <w:szCs w:val="20"/>
          <w:color w:val="auto"/>
        </w:rPr>
      </w:pPr>
    </w:p>
    <w:p>
      <w:pPr>
        <w:sectPr>
          <w:pgSz w:w="11900" w:h="16838" w:orient="portrait"/>
          <w:cols w:equalWidth="0" w:num="2">
            <w:col w:w="5780" w:space="480"/>
            <w:col w:w="3340"/>
          </w:cols>
          <w:pgMar w:left="1080" w:top="695" w:right="1219" w:bottom="1440" w:gutter="0" w:footer="0" w:header="0"/>
          <w:type w:val="continuous"/>
        </w:sectPr>
      </w:pPr>
    </w:p>
    <w:p>
      <w:pPr>
        <w:spacing w:after="0" w:line="24" w:lineRule="exact"/>
        <w:rPr>
          <w:sz w:val="20"/>
          <w:szCs w:val="20"/>
          <w:color w:val="auto"/>
        </w:rPr>
      </w:pPr>
    </w:p>
    <w:p>
      <w:pPr>
        <w:jc w:val="both"/>
        <w:ind w:left="860" w:right="160"/>
        <w:spacing w:after="0" w:line="255" w:lineRule="auto"/>
        <w:rPr>
          <w:sz w:val="20"/>
          <w:szCs w:val="20"/>
          <w:color w:val="auto"/>
        </w:rPr>
      </w:pPr>
      <w:r>
        <w:rPr>
          <w:rFonts w:ascii="Arial" w:cs="Arial" w:eastAsia="Arial" w:hAnsi="Arial"/>
          <w:sz w:val="16"/>
          <w:szCs w:val="16"/>
          <w:b w:val="1"/>
          <w:bCs w:val="1"/>
          <w:color w:val="auto"/>
        </w:rPr>
        <w:t>Active or Former C-Suite Executive</w:t>
      </w:r>
      <w:r>
        <w:rPr>
          <w:rFonts w:ascii="Arial" w:cs="Arial" w:eastAsia="Arial" w:hAnsi="Arial"/>
          <w:sz w:val="16"/>
          <w:szCs w:val="16"/>
          <w:color w:val="auto"/>
        </w:rPr>
        <w:t>: Ms. Freyre has extensive senior leadership experience through her position</w:t>
      </w:r>
      <w:r>
        <w:rPr>
          <w:rFonts w:ascii="Arial" w:cs="Arial" w:eastAsia="Arial" w:hAnsi="Arial"/>
          <w:sz w:val="16"/>
          <w:szCs w:val="16"/>
          <w:b w:val="1"/>
          <w:bCs w:val="1"/>
          <w:color w:val="auto"/>
        </w:rPr>
        <w:t xml:space="preserve"> </w:t>
      </w:r>
      <w:r>
        <w:rPr>
          <w:rFonts w:ascii="Arial" w:cs="Arial" w:eastAsia="Arial" w:hAnsi="Arial"/>
          <w:sz w:val="16"/>
          <w:szCs w:val="16"/>
          <w:color w:val="auto"/>
        </w:rPr>
        <w:t>as Global Brand President, Clinique and Dermatological Brands, at The Estée Lauder Companies (“Estée Lauder”),</w:t>
      </w:r>
    </w:p>
    <w:p>
      <w:pPr>
        <w:spacing w:after="0" w:line="1" w:lineRule="exact"/>
        <w:rPr>
          <w:sz w:val="20"/>
          <w:szCs w:val="20"/>
          <w:color w:val="auto"/>
        </w:rPr>
      </w:pPr>
    </w:p>
    <w:p>
      <w:pPr>
        <w:ind w:left="860"/>
        <w:spacing w:after="0" w:line="268" w:lineRule="auto"/>
        <w:rPr>
          <w:sz w:val="20"/>
          <w:szCs w:val="20"/>
          <w:color w:val="auto"/>
        </w:rPr>
      </w:pPr>
      <w:r>
        <w:rPr>
          <w:rFonts w:ascii="Arial" w:cs="Arial" w:eastAsia="Arial" w:hAnsi="Arial"/>
          <w:sz w:val="16"/>
          <w:szCs w:val="16"/>
          <w:color w:val="auto"/>
        </w:rPr>
        <w:t>where she is responsible for guiding the brand’s overall strategic vision, including innovation, product development, marketing and all facets of consumer engagement, as well as through her past experience in various leadership roles within the Consumer Health Products division of Johnson &amp; Johnson, where she most recently served as President of U.S. Beauty.</w:t>
      </w:r>
    </w:p>
    <w:p>
      <w:pPr>
        <w:spacing w:after="0" w:line="164" w:lineRule="exact"/>
        <w:rPr>
          <w:sz w:val="20"/>
          <w:szCs w:val="20"/>
          <w:color w:val="auto"/>
        </w:rPr>
      </w:pPr>
    </w:p>
    <w:p>
      <w:pPr>
        <w:ind w:left="860" w:right="120"/>
        <w:spacing w:after="0" w:line="313" w:lineRule="auto"/>
        <w:rPr>
          <w:sz w:val="20"/>
          <w:szCs w:val="20"/>
          <w:color w:val="auto"/>
        </w:rPr>
      </w:pPr>
      <w:r>
        <w:rPr>
          <w:rFonts w:ascii="Arial" w:cs="Arial" w:eastAsia="Arial" w:hAnsi="Arial"/>
          <w:sz w:val="16"/>
          <w:szCs w:val="16"/>
          <w:b w:val="1"/>
          <w:bCs w:val="1"/>
          <w:color w:val="auto"/>
        </w:rPr>
        <w:t>Global Operations</w:t>
      </w:r>
      <w:r>
        <w:rPr>
          <w:rFonts w:ascii="Arial" w:cs="Arial" w:eastAsia="Arial" w:hAnsi="Arial"/>
          <w:sz w:val="16"/>
          <w:szCs w:val="16"/>
          <w:color w:val="auto"/>
        </w:rPr>
        <w:t>: Ms. Freyre has experience as a senior executive of Estée Lauder and Johnson &amp; Johnson, both</w:t>
      </w:r>
      <w:r>
        <w:rPr>
          <w:rFonts w:ascii="Arial" w:cs="Arial" w:eastAsia="Arial" w:hAnsi="Arial"/>
          <w:sz w:val="16"/>
          <w:szCs w:val="16"/>
          <w:b w:val="1"/>
          <w:bCs w:val="1"/>
          <w:color w:val="auto"/>
        </w:rPr>
        <w:t xml:space="preserve"> </w:t>
      </w:r>
      <w:r>
        <w:rPr>
          <w:rFonts w:ascii="Arial" w:cs="Arial" w:eastAsia="Arial" w:hAnsi="Arial"/>
          <w:sz w:val="16"/>
          <w:szCs w:val="16"/>
          <w:color w:val="auto"/>
        </w:rPr>
        <w:t>of which are large companies with a multinational presence.</w:t>
      </w:r>
    </w:p>
    <w:p>
      <w:pPr>
        <w:spacing w:after="0" w:line="128" w:lineRule="exact"/>
        <w:rPr>
          <w:sz w:val="20"/>
          <w:szCs w:val="20"/>
          <w:color w:val="auto"/>
        </w:rPr>
      </w:pPr>
    </w:p>
    <w:p>
      <w:pPr>
        <w:ind w:left="860" w:right="320"/>
        <w:spacing w:after="0" w:line="255" w:lineRule="auto"/>
        <w:rPr>
          <w:sz w:val="20"/>
          <w:szCs w:val="20"/>
          <w:color w:val="auto"/>
        </w:rPr>
      </w:pPr>
      <w:r>
        <w:rPr>
          <w:rFonts w:ascii="Arial" w:cs="Arial" w:eastAsia="Arial" w:hAnsi="Arial"/>
          <w:sz w:val="16"/>
          <w:szCs w:val="16"/>
          <w:b w:val="1"/>
          <w:bCs w:val="1"/>
          <w:color w:val="auto"/>
        </w:rPr>
        <w:t xml:space="preserve">Retail / Brand Management: </w:t>
      </w:r>
      <w:r>
        <w:rPr>
          <w:rFonts w:ascii="Arial" w:cs="Arial" w:eastAsia="Arial" w:hAnsi="Arial"/>
          <w:sz w:val="16"/>
          <w:szCs w:val="16"/>
          <w:color w:val="auto"/>
        </w:rPr>
        <w:t>Ms. Freyre brings extensive brand management, product development and</w:t>
      </w:r>
      <w:r>
        <w:rPr>
          <w:rFonts w:ascii="Arial" w:cs="Arial" w:eastAsia="Arial" w:hAnsi="Arial"/>
          <w:sz w:val="16"/>
          <w:szCs w:val="16"/>
          <w:b w:val="1"/>
          <w:bCs w:val="1"/>
          <w:color w:val="auto"/>
        </w:rPr>
        <w:t xml:space="preserve"> </w:t>
      </w:r>
      <w:r>
        <w:rPr>
          <w:rFonts w:ascii="Arial" w:cs="Arial" w:eastAsia="Arial" w:hAnsi="Arial"/>
          <w:sz w:val="16"/>
          <w:szCs w:val="16"/>
          <w:color w:val="auto"/>
        </w:rPr>
        <w:t>marketing expertise as Global Brand President, Clinique and Dermatological Brands, of Estée Lauder, as well as</w:t>
      </w:r>
    </w:p>
    <w:p>
      <w:pPr>
        <w:spacing w:after="0" w:line="1" w:lineRule="exact"/>
        <w:rPr>
          <w:sz w:val="20"/>
          <w:szCs w:val="20"/>
          <w:color w:val="auto"/>
        </w:rPr>
      </w:pPr>
    </w:p>
    <w:p>
      <w:pPr>
        <w:ind w:left="860"/>
        <w:spacing w:after="0"/>
        <w:rPr>
          <w:sz w:val="20"/>
          <w:szCs w:val="20"/>
          <w:color w:val="auto"/>
        </w:rPr>
      </w:pPr>
      <w:r>
        <w:rPr>
          <w:rFonts w:ascii="Arial" w:cs="Arial" w:eastAsia="Arial" w:hAnsi="Arial"/>
          <w:sz w:val="16"/>
          <w:szCs w:val="16"/>
          <w:color w:val="auto"/>
        </w:rPr>
        <w:t>through  her  experience  as  President  of  U.S.  Beauty  at  Johnson  &amp;  Johnson.</w:t>
      </w:r>
    </w:p>
    <w:p>
      <w:pPr>
        <w:sectPr>
          <w:pgSz w:w="11900" w:h="16838" w:orient="portrait"/>
          <w:cols w:equalWidth="0" w:num="1">
            <w:col w:w="9600"/>
          </w:cols>
          <w:pgMar w:left="1080" w:top="695" w:right="12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right"/>
        <w:ind w:right="7600"/>
        <w:spacing w:after="0"/>
        <w:rPr>
          <w:sz w:val="20"/>
          <w:szCs w:val="20"/>
          <w:color w:val="auto"/>
        </w:rPr>
      </w:pPr>
      <w:r>
        <w:rPr>
          <w:rFonts w:ascii="Arial" w:cs="Arial" w:eastAsia="Arial" w:hAnsi="Arial"/>
          <w:sz w:val="16"/>
          <w:szCs w:val="16"/>
          <w:color w:val="auto"/>
        </w:rPr>
        <w:t>​​2026​  Proxy</w:t>
      </w:r>
    </w:p>
    <w:p>
      <w:pPr>
        <w:spacing w:after="0" w:line="5" w:lineRule="exact"/>
        <w:rPr>
          <w:sz w:val="20"/>
          <w:szCs w:val="20"/>
          <w:color w:val="auto"/>
        </w:rPr>
      </w:pPr>
    </w:p>
    <w:p>
      <w:pPr>
        <w:ind w:left="660" w:hanging="656"/>
        <w:spacing w:after="0"/>
        <w:tabs>
          <w:tab w:leader="none" w:pos="660" w:val="left"/>
        </w:tabs>
        <w:numPr>
          <w:ilvl w:val="0"/>
          <w:numId w:val="29"/>
        </w:numPr>
        <w:rPr>
          <w:rFonts w:ascii="Arial" w:cs="Arial" w:eastAsia="Arial" w:hAnsi="Arial"/>
          <w:sz w:val="16"/>
          <w:szCs w:val="16"/>
          <w:b w:val="1"/>
          <w:bCs w:val="1"/>
          <w:color w:val="1414D2"/>
        </w:rPr>
      </w:pPr>
      <w:r>
        <w:rPr>
          <w:rFonts w:ascii="Arial" w:cs="Arial" w:eastAsia="Arial" w:hAnsi="Arial"/>
          <w:sz w:val="16"/>
          <w:szCs w:val="16"/>
          <w:color w:val="auto"/>
        </w:rPr>
        <w:t>Statement</w:t>
      </w:r>
    </w:p>
    <w:p>
      <w:pPr>
        <w:sectPr>
          <w:pgSz w:w="11900" w:h="16838" w:orient="portrait"/>
          <w:cols w:equalWidth="0" w:num="1">
            <w:col w:w="9600"/>
          </w:cols>
          <w:pgMar w:left="1080" w:top="695" w:right="121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27" w:lineRule="exact"/>
        <w:rPr>
          <w:sz w:val="20"/>
          <w:szCs w:val="20"/>
          <w:color w:val="auto"/>
        </w:rPr>
      </w:pPr>
    </w:p>
    <w:p>
      <w:pPr>
        <w:jc w:val="right"/>
        <w:spacing w:after="0"/>
        <w:rPr>
          <w:sz w:val="20"/>
          <w:szCs w:val="20"/>
          <w:color w:val="auto"/>
        </w:rPr>
      </w:pPr>
      <w:r>
        <w:rPr>
          <w:rFonts w:ascii="Arial" w:cs="Arial" w:eastAsia="Arial" w:hAnsi="Arial"/>
          <w:sz w:val="14"/>
          <w:szCs w:val="14"/>
          <w:color w:val="6D6F71"/>
        </w:rPr>
        <w:t>Item  1  -  Election  of  Directors</w:t>
      </w:r>
    </w:p>
    <w:p>
      <w:pPr>
        <w:spacing w:after="0" w:line="319"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MATTHEW FRIEND-</w:t>
      </w:r>
      <w:r>
        <w:rPr>
          <w:rFonts w:ascii="Arial" w:cs="Arial" w:eastAsia="Arial" w:hAnsi="Arial"/>
          <w:sz w:val="16"/>
          <w:szCs w:val="16"/>
          <w:color w:val="auto"/>
        </w:rPr>
        <w:t>Independent  Director</w:t>
      </w:r>
    </w:p>
    <w:p>
      <w:pPr>
        <w:sectPr>
          <w:pgSz w:w="11900" w:h="16838" w:orient="portrait"/>
          <w:cols w:equalWidth="0" w:num="1">
            <w:col w:w="9720"/>
          </w:cols>
          <w:pgMar w:left="1080" w:top="695"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00"/>
        <w:spacing w:after="0"/>
        <w:rPr>
          <w:sz w:val="20"/>
          <w:szCs w:val="20"/>
          <w:color w:val="auto"/>
        </w:rPr>
      </w:pPr>
      <w:r>
        <w:rPr>
          <w:rFonts w:ascii="Arial" w:cs="Arial" w:eastAsia="Arial" w:hAnsi="Arial"/>
          <w:sz w:val="16"/>
          <w:szCs w:val="16"/>
          <w:b w:val="1"/>
          <w:bCs w:val="1"/>
          <w:i w:val="1"/>
          <w:iCs w:val="1"/>
          <w:color w:val="1414D2"/>
        </w:rPr>
        <w:t>Director Since</w:t>
      </w:r>
      <w:r>
        <w:rPr>
          <w:rFonts w:ascii="Arial" w:cs="Arial" w:eastAsia="Arial" w:hAnsi="Arial"/>
          <w:sz w:val="16"/>
          <w:szCs w:val="16"/>
          <w:color w:val="1414D2"/>
        </w:rPr>
        <w:t>:</w:t>
      </w:r>
      <w:r>
        <w:rPr>
          <w:rFonts w:ascii="Arial" w:cs="Arial" w:eastAsia="Arial" w:hAnsi="Arial"/>
          <w:sz w:val="16"/>
          <w:szCs w:val="16"/>
          <w:b w:val="1"/>
          <w:bCs w:val="1"/>
          <w:i w:val="1"/>
          <w:iCs w:val="1"/>
          <w:color w:val="1414D2"/>
        </w:rPr>
        <w:t xml:space="preserve">  </w:t>
      </w:r>
      <w:r>
        <w:rPr>
          <w:rFonts w:ascii="Arial" w:cs="Arial" w:eastAsia="Arial" w:hAnsi="Arial"/>
          <w:sz w:val="16"/>
          <w:szCs w:val="16"/>
          <w:color w:val="000000"/>
        </w:rPr>
        <w:t>2021</w:t>
      </w:r>
    </w:p>
    <w:p>
      <w:pPr>
        <w:spacing w:after="0" w:line="113" w:lineRule="exact"/>
        <w:rPr>
          <w:sz w:val="20"/>
          <w:szCs w:val="20"/>
          <w:color w:val="auto"/>
        </w:rPr>
      </w:pPr>
    </w:p>
    <w:p>
      <w:pPr>
        <w:ind w:left="100"/>
        <w:spacing w:after="0"/>
        <w:rPr>
          <w:sz w:val="20"/>
          <w:szCs w:val="20"/>
          <w:color w:val="auto"/>
        </w:rPr>
      </w:pPr>
      <w:r>
        <w:rPr>
          <w:rFonts w:ascii="Arial" w:cs="Arial" w:eastAsia="Arial" w:hAnsi="Arial"/>
          <w:sz w:val="16"/>
          <w:szCs w:val="16"/>
          <w:b w:val="1"/>
          <w:bCs w:val="1"/>
          <w:i w:val="1"/>
          <w:iCs w:val="1"/>
          <w:color w:val="1414D2"/>
        </w:rPr>
        <w:t>Age</w:t>
      </w:r>
      <w:r>
        <w:rPr>
          <w:rFonts w:ascii="Arial" w:cs="Arial" w:eastAsia="Arial" w:hAnsi="Arial"/>
          <w:sz w:val="16"/>
          <w:szCs w:val="16"/>
          <w:color w:val="1414D2"/>
        </w:rPr>
        <w:t>:</w:t>
      </w:r>
      <w:r>
        <w:rPr>
          <w:rFonts w:ascii="Arial" w:cs="Arial" w:eastAsia="Arial" w:hAnsi="Arial"/>
          <w:sz w:val="16"/>
          <w:szCs w:val="16"/>
          <w:b w:val="1"/>
          <w:bCs w:val="1"/>
          <w:i w:val="1"/>
          <w:iCs w:val="1"/>
          <w:color w:val="1414D2"/>
        </w:rPr>
        <w:t xml:space="preserve">  </w:t>
      </w:r>
      <w:r>
        <w:rPr>
          <w:rFonts w:ascii="Arial" w:cs="Arial" w:eastAsia="Arial" w:hAnsi="Arial"/>
          <w:sz w:val="16"/>
          <w:szCs w:val="16"/>
          <w:color w:val="000000"/>
        </w:rPr>
        <w:t>48</w:t>
      </w:r>
    </w:p>
    <w:p>
      <w:pPr>
        <w:spacing w:after="0" w:line="127" w:lineRule="exact"/>
        <w:rPr>
          <w:sz w:val="20"/>
          <w:szCs w:val="20"/>
          <w:color w:val="auto"/>
        </w:rPr>
      </w:pPr>
    </w:p>
    <w:p>
      <w:pPr>
        <w:ind w:left="100"/>
        <w:spacing w:after="0"/>
        <w:rPr>
          <w:sz w:val="20"/>
          <w:szCs w:val="20"/>
          <w:color w:val="auto"/>
        </w:rPr>
      </w:pPr>
      <w:r>
        <w:rPr>
          <w:rFonts w:ascii="Arial" w:cs="Arial" w:eastAsia="Arial" w:hAnsi="Arial"/>
          <w:sz w:val="16"/>
          <w:szCs w:val="16"/>
          <w:b w:val="1"/>
          <w:bCs w:val="1"/>
          <w:i w:val="1"/>
          <w:iCs w:val="1"/>
          <w:color w:val="1414D2"/>
        </w:rPr>
        <w:t>Committees</w:t>
      </w:r>
      <w:r>
        <w:rPr>
          <w:rFonts w:ascii="Arial" w:cs="Arial" w:eastAsia="Arial" w:hAnsi="Arial"/>
          <w:sz w:val="16"/>
          <w:szCs w:val="16"/>
          <w:color w:val="1414D2"/>
        </w:rPr>
        <w:t>:</w:t>
      </w:r>
    </w:p>
    <w:p>
      <w:pPr>
        <w:spacing w:after="0" w:line="11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Audit</w:t>
      </w:r>
    </w:p>
    <w:p>
      <w:pPr>
        <w:spacing w:after="0" w:line="113" w:lineRule="exact"/>
        <w:rPr>
          <w:sz w:val="20"/>
          <w:szCs w:val="20"/>
          <w:color w:val="auto"/>
        </w:rPr>
      </w:pPr>
    </w:p>
    <w:p>
      <w:pPr>
        <w:ind w:left="100"/>
        <w:spacing w:after="0"/>
        <w:rPr>
          <w:sz w:val="20"/>
          <w:szCs w:val="20"/>
          <w:color w:val="auto"/>
        </w:rPr>
      </w:pPr>
      <w:r>
        <w:rPr>
          <w:rFonts w:ascii="Arial" w:cs="Arial" w:eastAsia="Arial" w:hAnsi="Arial"/>
          <w:sz w:val="16"/>
          <w:szCs w:val="16"/>
          <w:color w:val="auto"/>
        </w:rPr>
        <w:t>Compensation</w:t>
      </w:r>
    </w:p>
    <w:p>
      <w:pPr>
        <w:spacing w:after="0" w:line="113" w:lineRule="exact"/>
        <w:rPr>
          <w:sz w:val="20"/>
          <w:szCs w:val="20"/>
          <w:color w:val="auto"/>
        </w:rPr>
      </w:pPr>
    </w:p>
    <w:p>
      <w:pPr>
        <w:ind w:left="100"/>
        <w:spacing w:after="0"/>
        <w:rPr>
          <w:sz w:val="20"/>
          <w:szCs w:val="20"/>
          <w:color w:val="auto"/>
        </w:rPr>
      </w:pPr>
      <w:r>
        <w:rPr>
          <w:rFonts w:ascii="Arial" w:cs="Arial" w:eastAsia="Arial" w:hAnsi="Arial"/>
          <w:sz w:val="16"/>
          <w:szCs w:val="16"/>
          <w:color w:val="auto"/>
        </w:rPr>
        <w:t>Finance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00"/>
        <w:spacing w:after="0"/>
        <w:rPr>
          <w:sz w:val="20"/>
          <w:szCs w:val="20"/>
          <w:color w:val="auto"/>
        </w:rPr>
      </w:pPr>
      <w:r>
        <w:rPr>
          <w:rFonts w:ascii="Arial" w:cs="Arial" w:eastAsia="Arial" w:hAnsi="Arial"/>
          <w:sz w:val="15"/>
          <w:szCs w:val="15"/>
          <w:b w:val="1"/>
          <w:bCs w:val="1"/>
          <w:i w:val="1"/>
          <w:iCs w:val="1"/>
          <w:color w:val="1414D2"/>
        </w:rPr>
        <w:t>Skills and Qualifcations:</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EXPERIENCE</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414D2"/>
        </w:rPr>
        <w:t xml:space="preserve">NIKE, Inc. </w:t>
      </w:r>
      <w:r>
        <w:rPr>
          <w:rFonts w:ascii="Arial" w:cs="Arial" w:eastAsia="Arial" w:hAnsi="Arial"/>
          <w:sz w:val="16"/>
          <w:szCs w:val="16"/>
          <w:color w:val="000000"/>
        </w:rPr>
        <w:t>(apparel  company)</w:t>
      </w:r>
    </w:p>
    <w:p>
      <w:pPr>
        <w:spacing w:after="0" w:line="129" w:lineRule="exact"/>
        <w:rPr>
          <w:sz w:val="20"/>
          <w:szCs w:val="20"/>
          <w:color w:val="auto"/>
        </w:rPr>
      </w:pPr>
    </w:p>
    <w:p>
      <w:pPr>
        <w:ind w:left="200"/>
        <w:spacing w:after="0" w:line="313" w:lineRule="auto"/>
        <w:rPr>
          <w:sz w:val="20"/>
          <w:szCs w:val="20"/>
          <w:color w:val="auto"/>
        </w:rPr>
      </w:pPr>
      <w:r>
        <w:rPr>
          <w:rFonts w:ascii="Arial" w:cs="Arial" w:eastAsia="Arial" w:hAnsi="Arial"/>
          <w:sz w:val="16"/>
          <w:szCs w:val="16"/>
          <w:color w:val="auto"/>
        </w:rPr>
        <w:t>Executive Vice President and Chief Financial Ofcer (2020-present)</w:t>
      </w:r>
    </w:p>
    <w:p>
      <w:pPr>
        <w:spacing w:after="0" w:line="6" w:lineRule="exact"/>
        <w:rPr>
          <w:sz w:val="20"/>
          <w:szCs w:val="20"/>
          <w:color w:val="auto"/>
        </w:rPr>
      </w:pPr>
    </w:p>
    <w:p>
      <w:pPr>
        <w:ind w:left="200" w:right="380"/>
        <w:spacing w:after="0" w:line="255" w:lineRule="auto"/>
        <w:rPr>
          <w:sz w:val="20"/>
          <w:szCs w:val="20"/>
          <w:color w:val="auto"/>
        </w:rPr>
      </w:pPr>
      <w:r>
        <w:rPr>
          <w:rFonts w:ascii="Arial" w:cs="Arial" w:eastAsia="Arial" w:hAnsi="Arial"/>
          <w:sz w:val="16"/>
          <w:szCs w:val="16"/>
          <w:color w:val="auto"/>
        </w:rPr>
        <w:t>Chief Financial Ofcer, Nike Operating Segments and VP of Investor Relations</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(2019-2020)</w:t>
      </w:r>
    </w:p>
    <w:p>
      <w:pPr>
        <w:spacing w:after="0" w:line="113" w:lineRule="exact"/>
        <w:rPr>
          <w:sz w:val="20"/>
          <w:szCs w:val="20"/>
          <w:color w:val="auto"/>
        </w:rPr>
      </w:pPr>
    </w:p>
    <w:p>
      <w:pPr>
        <w:ind w:left="200" w:right="200"/>
        <w:spacing w:after="0" w:line="313" w:lineRule="auto"/>
        <w:rPr>
          <w:sz w:val="20"/>
          <w:szCs w:val="20"/>
          <w:color w:val="auto"/>
        </w:rPr>
      </w:pPr>
      <w:r>
        <w:rPr>
          <w:rFonts w:ascii="Arial" w:cs="Arial" w:eastAsia="Arial" w:hAnsi="Arial"/>
          <w:sz w:val="16"/>
          <w:szCs w:val="16"/>
          <w:color w:val="auto"/>
        </w:rPr>
        <w:t>Vice President and Chief Financial Ofcer, Nike Brand (2017-2019)</w:t>
      </w:r>
    </w:p>
    <w:p>
      <w:pPr>
        <w:spacing w:after="0" w:line="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Vice  President  and  Chief  Financial  Ofcer,</w:t>
      </w:r>
    </w:p>
    <w:p>
      <w:pPr>
        <w:spacing w:after="0" w:line="19" w:lineRule="exact"/>
        <w:rPr>
          <w:sz w:val="20"/>
          <w:szCs w:val="20"/>
          <w:color w:val="auto"/>
        </w:rPr>
      </w:pPr>
    </w:p>
    <w:p>
      <w:pPr>
        <w:ind w:left="200" w:right="240"/>
        <w:spacing w:after="0" w:line="313" w:lineRule="auto"/>
        <w:rPr>
          <w:sz w:val="20"/>
          <w:szCs w:val="20"/>
          <w:color w:val="auto"/>
        </w:rPr>
      </w:pPr>
      <w:r>
        <w:rPr>
          <w:rFonts w:ascii="Arial" w:cs="Arial" w:eastAsia="Arial" w:hAnsi="Arial"/>
          <w:sz w:val="16"/>
          <w:szCs w:val="16"/>
          <w:color w:val="auto"/>
        </w:rPr>
        <w:t>Nike Global Brands and Functions (2016-2017)</w:t>
      </w:r>
    </w:p>
    <w:p>
      <w:pPr>
        <w:spacing w:after="0" w:line="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Multiple  roles  (2009-2016),  including  Vice</w:t>
      </w:r>
    </w:p>
    <w:p>
      <w:pPr>
        <w:spacing w:after="0" w:line="19" w:lineRule="exact"/>
        <w:rPr>
          <w:sz w:val="20"/>
          <w:szCs w:val="20"/>
          <w:color w:val="auto"/>
        </w:rPr>
      </w:pPr>
    </w:p>
    <w:p>
      <w:pPr>
        <w:ind w:left="200" w:right="600"/>
        <w:spacing w:after="0" w:line="313" w:lineRule="auto"/>
        <w:rPr>
          <w:sz w:val="20"/>
          <w:szCs w:val="20"/>
          <w:color w:val="auto"/>
        </w:rPr>
      </w:pPr>
      <w:r>
        <w:rPr>
          <w:rFonts w:ascii="Arial" w:cs="Arial" w:eastAsia="Arial" w:hAnsi="Arial"/>
          <w:sz w:val="16"/>
          <w:szCs w:val="16"/>
          <w:color w:val="auto"/>
        </w:rPr>
        <w:t>President &amp; CFO, Emerging Markets (2011-2014)</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414D2"/>
        </w:rPr>
        <w:t xml:space="preserve">Goldman Sachs </w:t>
      </w:r>
      <w:r>
        <w:rPr>
          <w:rFonts w:ascii="Arial" w:cs="Arial" w:eastAsia="Arial" w:hAnsi="Arial"/>
          <w:sz w:val="16"/>
          <w:szCs w:val="16"/>
          <w:color w:val="000000"/>
        </w:rPr>
        <w:t>(fnancial  institution)</w:t>
      </w:r>
    </w:p>
    <w:p>
      <w:pPr>
        <w:spacing w:after="0" w:line="115" w:lineRule="exact"/>
        <w:rPr>
          <w:sz w:val="20"/>
          <w:szCs w:val="20"/>
          <w:color w:val="auto"/>
        </w:rPr>
      </w:pPr>
    </w:p>
    <w:p>
      <w:pPr>
        <w:ind w:left="200" w:right="60"/>
        <w:spacing w:after="0" w:line="324" w:lineRule="auto"/>
        <w:rPr>
          <w:sz w:val="20"/>
          <w:szCs w:val="20"/>
          <w:color w:val="auto"/>
        </w:rPr>
      </w:pPr>
      <w:r>
        <w:rPr>
          <w:rFonts w:ascii="Arial" w:cs="Arial" w:eastAsia="Arial" w:hAnsi="Arial"/>
          <w:sz w:val="16"/>
          <w:szCs w:val="16"/>
          <w:color w:val="auto"/>
        </w:rPr>
        <w:t>Senior Vice President, Technology, Media &amp; Telecom Group (2005-2009)</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414D2"/>
        </w:rPr>
        <w:t xml:space="preserve">Morgan Stanley </w:t>
      </w:r>
      <w:r>
        <w:rPr>
          <w:rFonts w:ascii="Arial" w:cs="Arial" w:eastAsia="Arial" w:hAnsi="Arial"/>
          <w:sz w:val="16"/>
          <w:szCs w:val="16"/>
          <w:color w:val="000000"/>
        </w:rPr>
        <w:t>(fnancial  institution)</w:t>
      </w:r>
    </w:p>
    <w:p>
      <w:pPr>
        <w:spacing w:after="0" w:line="11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Associate  (2002-2005)</w:t>
      </w:r>
    </w:p>
    <w:p>
      <w:pPr>
        <w:spacing w:after="0" w:line="11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Analyst  (2000-2002)</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ind w:right="120"/>
        <w:spacing w:after="0" w:line="396" w:lineRule="auto"/>
        <w:rPr>
          <w:sz w:val="20"/>
          <w:szCs w:val="20"/>
          <w:color w:val="auto"/>
        </w:rPr>
      </w:pPr>
      <w:r>
        <w:rPr>
          <w:rFonts w:ascii="Arial" w:cs="Arial" w:eastAsia="Arial" w:hAnsi="Arial"/>
          <w:sz w:val="16"/>
          <w:szCs w:val="16"/>
          <w:b w:val="1"/>
          <w:bCs w:val="1"/>
          <w:color w:val="auto"/>
        </w:rPr>
        <w:t xml:space="preserve">OTHER PUBLIC COMPANY DIRECTORSHIPS </w:t>
      </w:r>
      <w:r>
        <w:rPr>
          <w:rFonts w:ascii="Arial" w:cs="Arial" w:eastAsia="Arial" w:hAnsi="Arial"/>
          <w:sz w:val="16"/>
          <w:szCs w:val="16"/>
          <w:color w:val="auto"/>
        </w:rPr>
        <w:t>None</w:t>
      </w:r>
    </w:p>
    <w:p>
      <w:pPr>
        <w:ind w:right="320"/>
        <w:spacing w:after="0" w:line="279" w:lineRule="auto"/>
        <w:rPr>
          <w:sz w:val="20"/>
          <w:szCs w:val="20"/>
          <w:color w:val="auto"/>
        </w:rPr>
      </w:pPr>
      <w:r>
        <w:rPr>
          <w:rFonts w:ascii="Arial" w:cs="Arial" w:eastAsia="Arial" w:hAnsi="Arial"/>
          <w:sz w:val="16"/>
          <w:szCs w:val="16"/>
          <w:b w:val="1"/>
          <w:bCs w:val="1"/>
          <w:color w:val="auto"/>
        </w:rPr>
        <w:t>FORMER PUBLIC COMPANY DIRECTORSHIPS HELD IN THE PAST FIVE YEARS</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EDUCATION</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1414D2"/>
        </w:rPr>
        <w:t>University of California, Berkeley</w:t>
      </w:r>
      <w:r>
        <w:rPr>
          <w:rFonts w:ascii="Arial" w:cs="Arial" w:eastAsia="Arial" w:hAnsi="Arial"/>
          <w:sz w:val="14"/>
          <w:szCs w:val="14"/>
          <w:color w:val="000000"/>
        </w:rPr>
        <w:t>,  BS,  Business</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Administration</w:t>
      </w:r>
    </w:p>
    <w:p>
      <w:pPr>
        <w:spacing w:after="0" w:line="3493" w:lineRule="exact"/>
        <w:rPr>
          <w:sz w:val="20"/>
          <w:szCs w:val="20"/>
          <w:color w:val="auto"/>
        </w:rPr>
      </w:pPr>
    </w:p>
    <w:p>
      <w:pPr>
        <w:sectPr>
          <w:pgSz w:w="11900" w:h="16838" w:orient="portrait"/>
          <w:cols w:equalWidth="0" w:num="3">
            <w:col w:w="1860" w:space="400"/>
            <w:col w:w="3520" w:space="480"/>
            <w:col w:w="3460"/>
          </w:cols>
          <w:pgMar w:left="1080" w:top="695" w:right="1099" w:bottom="1440" w:gutter="0" w:footer="0" w:header="0"/>
          <w:type w:val="continuous"/>
        </w:sectPr>
      </w:pPr>
    </w:p>
    <w:p>
      <w:pPr>
        <w:spacing w:after="0" w:line="35" w:lineRule="exact"/>
        <w:rPr>
          <w:sz w:val="20"/>
          <w:szCs w:val="20"/>
          <w:color w:val="auto"/>
        </w:rPr>
      </w:pPr>
    </w:p>
    <w:p>
      <w:pPr>
        <w:ind w:left="780" w:right="180"/>
        <w:spacing w:after="0" w:line="255" w:lineRule="auto"/>
        <w:rPr>
          <w:sz w:val="20"/>
          <w:szCs w:val="20"/>
          <w:color w:val="auto"/>
        </w:rPr>
      </w:pPr>
      <w:r>
        <w:rPr>
          <w:rFonts w:ascii="Arial" w:cs="Arial" w:eastAsia="Arial" w:hAnsi="Arial"/>
          <w:sz w:val="16"/>
          <w:szCs w:val="16"/>
          <w:b w:val="1"/>
          <w:bCs w:val="1"/>
          <w:color w:val="auto"/>
        </w:rPr>
        <w:t>Active or Former C-Suite Executive</w:t>
      </w:r>
      <w:r>
        <w:rPr>
          <w:rFonts w:ascii="Arial" w:cs="Arial" w:eastAsia="Arial" w:hAnsi="Arial"/>
          <w:sz w:val="16"/>
          <w:szCs w:val="16"/>
          <w:color w:val="auto"/>
        </w:rPr>
        <w:t>: Mr. Friend has senior leadership experience through his position as Chief</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Ofcer of NIKE, Inc. (“NIKE”) and as a member of NIKE’s leadership team, including serving as an executive</w:t>
      </w:r>
    </w:p>
    <w:p>
      <w:pPr>
        <w:spacing w:after="0" w:line="1" w:lineRule="exact"/>
        <w:rPr>
          <w:sz w:val="20"/>
          <w:szCs w:val="20"/>
          <w:color w:val="auto"/>
        </w:rPr>
      </w:pPr>
    </w:p>
    <w:p>
      <w:pPr>
        <w:ind w:left="780"/>
        <w:spacing w:after="0"/>
        <w:rPr>
          <w:sz w:val="20"/>
          <w:szCs w:val="20"/>
          <w:color w:val="auto"/>
        </w:rPr>
      </w:pPr>
      <w:r>
        <w:rPr>
          <w:rFonts w:ascii="Arial" w:cs="Arial" w:eastAsia="Arial" w:hAnsi="Arial"/>
          <w:sz w:val="16"/>
          <w:szCs w:val="16"/>
          <w:color w:val="auto"/>
        </w:rPr>
        <w:t>sponsor  of  the  Black  Employee  Network,  a  Nike  employee  group.</w:t>
      </w:r>
    </w:p>
    <w:p>
      <w:pPr>
        <w:spacing w:after="0" w:line="221" w:lineRule="exact"/>
        <w:rPr>
          <w:sz w:val="20"/>
          <w:szCs w:val="20"/>
          <w:color w:val="auto"/>
        </w:rPr>
      </w:pPr>
    </w:p>
    <w:p>
      <w:pPr>
        <w:ind w:left="780" w:right="180"/>
        <w:spacing w:after="0" w:line="313" w:lineRule="auto"/>
        <w:rPr>
          <w:sz w:val="20"/>
          <w:szCs w:val="20"/>
          <w:color w:val="auto"/>
        </w:rPr>
      </w:pPr>
      <w:r>
        <w:rPr>
          <w:rFonts w:ascii="Arial" w:cs="Arial" w:eastAsia="Arial" w:hAnsi="Arial"/>
          <w:sz w:val="16"/>
          <w:szCs w:val="16"/>
          <w:b w:val="1"/>
          <w:bCs w:val="1"/>
          <w:color w:val="auto"/>
        </w:rPr>
        <w:t xml:space="preserve">Finance / Accounting / Capital Allocation: </w:t>
      </w:r>
      <w:r>
        <w:rPr>
          <w:rFonts w:ascii="Arial" w:cs="Arial" w:eastAsia="Arial" w:hAnsi="Arial"/>
          <w:sz w:val="16"/>
          <w:szCs w:val="16"/>
          <w:color w:val="auto"/>
        </w:rPr>
        <w:t>Mr. Friend brings experience in corporate strategy and development as</w:t>
      </w:r>
      <w:r>
        <w:rPr>
          <w:rFonts w:ascii="Arial" w:cs="Arial" w:eastAsia="Arial" w:hAnsi="Arial"/>
          <w:sz w:val="16"/>
          <w:szCs w:val="16"/>
          <w:b w:val="1"/>
          <w:bCs w:val="1"/>
          <w:color w:val="auto"/>
        </w:rPr>
        <w:t xml:space="preserve"> </w:t>
      </w:r>
      <w:r>
        <w:rPr>
          <w:rFonts w:ascii="Arial" w:cs="Arial" w:eastAsia="Arial" w:hAnsi="Arial"/>
          <w:sz w:val="16"/>
          <w:szCs w:val="16"/>
          <w:color w:val="auto"/>
        </w:rPr>
        <w:t>well as a decade of experience in investment banking and mergers and acquisitions.</w:t>
      </w:r>
    </w:p>
    <w:p>
      <w:pPr>
        <w:spacing w:after="0" w:line="128" w:lineRule="exact"/>
        <w:rPr>
          <w:sz w:val="20"/>
          <w:szCs w:val="20"/>
          <w:color w:val="auto"/>
        </w:rPr>
      </w:pPr>
    </w:p>
    <w:p>
      <w:pPr>
        <w:ind w:left="780" w:right="180"/>
        <w:spacing w:after="0" w:line="313" w:lineRule="auto"/>
        <w:rPr>
          <w:sz w:val="20"/>
          <w:szCs w:val="20"/>
          <w:color w:val="auto"/>
        </w:rPr>
      </w:pPr>
      <w:r>
        <w:rPr>
          <w:rFonts w:ascii="Arial" w:cs="Arial" w:eastAsia="Arial" w:hAnsi="Arial"/>
          <w:sz w:val="16"/>
          <w:szCs w:val="16"/>
          <w:b w:val="1"/>
          <w:bCs w:val="1"/>
          <w:color w:val="auto"/>
        </w:rPr>
        <w:t>Global Operations</w:t>
      </w:r>
      <w:r>
        <w:rPr>
          <w:rFonts w:ascii="Arial" w:cs="Arial" w:eastAsia="Arial" w:hAnsi="Arial"/>
          <w:sz w:val="16"/>
          <w:szCs w:val="16"/>
          <w:color w:val="auto"/>
        </w:rPr>
        <w:t>: During his time as an executive ofcer at NIKE, Mr. Friend gained global operations experience,</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in the Asia Pacifc region, China, Latin America and Europe.</w:t>
      </w:r>
    </w:p>
    <w:p>
      <w:pPr>
        <w:spacing w:after="0" w:line="128" w:lineRule="exact"/>
        <w:rPr>
          <w:sz w:val="20"/>
          <w:szCs w:val="20"/>
          <w:color w:val="auto"/>
        </w:rPr>
      </w:pPr>
    </w:p>
    <w:p>
      <w:pPr>
        <w:ind w:left="780" w:right="260"/>
        <w:spacing w:after="0" w:line="313" w:lineRule="auto"/>
        <w:rPr>
          <w:sz w:val="20"/>
          <w:szCs w:val="20"/>
          <w:color w:val="auto"/>
        </w:rPr>
      </w:pPr>
      <w:r>
        <w:rPr>
          <w:rFonts w:ascii="Arial" w:cs="Arial" w:eastAsia="Arial" w:hAnsi="Arial"/>
          <w:sz w:val="16"/>
          <w:szCs w:val="16"/>
          <w:b w:val="1"/>
          <w:bCs w:val="1"/>
          <w:color w:val="auto"/>
        </w:rPr>
        <w:t xml:space="preserve">Retail / Brand Management: </w:t>
      </w:r>
      <w:r>
        <w:rPr>
          <w:rFonts w:ascii="Arial" w:cs="Arial" w:eastAsia="Arial" w:hAnsi="Arial"/>
          <w:sz w:val="16"/>
          <w:szCs w:val="16"/>
          <w:color w:val="auto"/>
        </w:rPr>
        <w:t>Mr. Friend brings extensive management and direct-to-customer business expertise</w:t>
      </w:r>
      <w:r>
        <w:rPr>
          <w:rFonts w:ascii="Arial" w:cs="Arial" w:eastAsia="Arial" w:hAnsi="Arial"/>
          <w:sz w:val="16"/>
          <w:szCs w:val="16"/>
          <w:b w:val="1"/>
          <w:bCs w:val="1"/>
          <w:color w:val="auto"/>
        </w:rPr>
        <w:t xml:space="preserve"> </w:t>
      </w:r>
      <w:r>
        <w:rPr>
          <w:rFonts w:ascii="Arial" w:cs="Arial" w:eastAsia="Arial" w:hAnsi="Arial"/>
          <w:sz w:val="16"/>
          <w:szCs w:val="16"/>
          <w:color w:val="auto"/>
        </w:rPr>
        <w:t>to the Board as Executive Vice President and Chief Financial Ofcer of NIKE.</w:t>
      </w:r>
    </w:p>
    <w:p>
      <w:pPr>
        <w:spacing w:after="0" w:line="128" w:lineRule="exact"/>
        <w:rPr>
          <w:sz w:val="20"/>
          <w:szCs w:val="20"/>
          <w:color w:val="auto"/>
        </w:rPr>
      </w:pPr>
    </w:p>
    <w:p>
      <w:pPr>
        <w:ind w:left="780" w:right="980"/>
        <w:spacing w:after="0" w:line="313" w:lineRule="auto"/>
        <w:rPr>
          <w:sz w:val="20"/>
          <w:szCs w:val="20"/>
          <w:color w:val="auto"/>
        </w:rPr>
      </w:pPr>
      <w:r>
        <w:rPr>
          <w:rFonts w:ascii="Arial" w:cs="Arial" w:eastAsia="Arial" w:hAnsi="Arial"/>
          <w:sz w:val="16"/>
          <w:szCs w:val="16"/>
          <w:b w:val="1"/>
          <w:bCs w:val="1"/>
          <w:color w:val="auto"/>
        </w:rPr>
        <w:t xml:space="preserve">Risk Management: </w:t>
      </w:r>
      <w:r>
        <w:rPr>
          <w:rFonts w:ascii="Arial" w:cs="Arial" w:eastAsia="Arial" w:hAnsi="Arial"/>
          <w:sz w:val="16"/>
          <w:szCs w:val="16"/>
          <w:color w:val="auto"/>
        </w:rPr>
        <w:t>Mr. Friend brings expertise in identifying, managing and mitigating key strategic and</w:t>
      </w:r>
      <w:r>
        <w:rPr>
          <w:rFonts w:ascii="Arial" w:cs="Arial" w:eastAsia="Arial" w:hAnsi="Arial"/>
          <w:sz w:val="16"/>
          <w:szCs w:val="16"/>
          <w:b w:val="1"/>
          <w:bCs w:val="1"/>
          <w:color w:val="auto"/>
        </w:rPr>
        <w:t xml:space="preserve"> </w:t>
      </w:r>
      <w:r>
        <w:rPr>
          <w:rFonts w:ascii="Arial" w:cs="Arial" w:eastAsia="Arial" w:hAnsi="Arial"/>
          <w:sz w:val="16"/>
          <w:szCs w:val="16"/>
          <w:color w:val="auto"/>
        </w:rPr>
        <w:t>operational risks through his experience as Chief Financial Ofcer of NIKE.</w:t>
      </w:r>
    </w:p>
    <w:p>
      <w:pPr>
        <w:spacing w:after="0" w:line="128" w:lineRule="exact"/>
        <w:rPr>
          <w:sz w:val="20"/>
          <w:szCs w:val="20"/>
          <w:color w:val="auto"/>
        </w:rPr>
      </w:pPr>
    </w:p>
    <w:p>
      <w:pPr>
        <w:ind w:left="780" w:right="620"/>
        <w:spacing w:after="0" w:line="313" w:lineRule="auto"/>
        <w:rPr>
          <w:sz w:val="20"/>
          <w:szCs w:val="20"/>
          <w:color w:val="auto"/>
        </w:rPr>
      </w:pPr>
      <w:r>
        <w:rPr>
          <w:rFonts w:ascii="Arial" w:cs="Arial" w:eastAsia="Arial" w:hAnsi="Arial"/>
          <w:sz w:val="16"/>
          <w:szCs w:val="16"/>
          <w:b w:val="1"/>
          <w:bCs w:val="1"/>
          <w:color w:val="auto"/>
        </w:rPr>
        <w:t xml:space="preserve">Technology / Cybersecurity: </w:t>
      </w:r>
      <w:r>
        <w:rPr>
          <w:rFonts w:ascii="Arial" w:cs="Arial" w:eastAsia="Arial" w:hAnsi="Arial"/>
          <w:sz w:val="16"/>
          <w:szCs w:val="16"/>
          <w:color w:val="auto"/>
        </w:rPr>
        <w:t>As Chief Financial Ofcer, Mr. Friend manages NIKE’s technology risks,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operational resilience, privacy and data protection and cybersecurity.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2026  Proxy  Statement</w:t>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1414D2"/>
        </w:rPr>
        <w:t>23</w:t>
      </w:r>
    </w:p>
    <w:p>
      <w:pPr>
        <w:sectPr>
          <w:pgSz w:w="11900" w:h="16838" w:orient="portrait"/>
          <w:cols w:equalWidth="0" w:num="1">
            <w:col w:w="9720"/>
          </w:cols>
          <w:pgMar w:left="1080" w:top="695" w:right="109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6D6F71"/>
        </w:rPr>
        <w:t>Item  1  -  Election  of  Directors</w:t>
      </w:r>
    </w:p>
    <w:p>
      <w:pPr>
        <w:spacing w:after="0" w:line="319"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BARNEY HARFORD-</w:t>
      </w:r>
      <w:r>
        <w:rPr>
          <w:rFonts w:ascii="Arial" w:cs="Arial" w:eastAsia="Arial" w:hAnsi="Arial"/>
          <w:sz w:val="16"/>
          <w:szCs w:val="16"/>
          <w:color w:val="auto"/>
        </w:rPr>
        <w:t>Independent  Director</w:t>
      </w:r>
    </w:p>
    <w:p>
      <w:pPr>
        <w:sectPr>
          <w:pgSz w:w="11900" w:h="16838" w:orient="portrait"/>
          <w:cols w:equalWidth="0" w:num="1">
            <w:col w:w="9600"/>
          </w:cols>
          <w:pgMar w:left="1080" w:top="695" w:right="1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100"/>
        <w:spacing w:after="0"/>
        <w:rPr>
          <w:sz w:val="20"/>
          <w:szCs w:val="20"/>
          <w:color w:val="auto"/>
        </w:rPr>
      </w:pPr>
      <w:r>
        <w:rPr>
          <w:rFonts w:ascii="Arial" w:cs="Arial" w:eastAsia="Arial" w:hAnsi="Arial"/>
          <w:sz w:val="16"/>
          <w:szCs w:val="16"/>
          <w:b w:val="1"/>
          <w:bCs w:val="1"/>
          <w:i w:val="1"/>
          <w:iCs w:val="1"/>
          <w:color w:val="1414D2"/>
        </w:rPr>
        <w:t>Director Since</w:t>
      </w:r>
      <w:r>
        <w:rPr>
          <w:rFonts w:ascii="Arial" w:cs="Arial" w:eastAsia="Arial" w:hAnsi="Arial"/>
          <w:sz w:val="16"/>
          <w:szCs w:val="16"/>
          <w:color w:val="1414D2"/>
        </w:rPr>
        <w:t>:</w:t>
      </w:r>
      <w:r>
        <w:rPr>
          <w:rFonts w:ascii="Arial" w:cs="Arial" w:eastAsia="Arial" w:hAnsi="Arial"/>
          <w:sz w:val="16"/>
          <w:szCs w:val="16"/>
          <w:b w:val="1"/>
          <w:bCs w:val="1"/>
          <w:i w:val="1"/>
          <w:iCs w:val="1"/>
          <w:color w:val="1414D2"/>
        </w:rPr>
        <w:t xml:space="preserve">  </w:t>
      </w:r>
      <w:r>
        <w:rPr>
          <w:rFonts w:ascii="Arial" w:cs="Arial" w:eastAsia="Arial" w:hAnsi="Arial"/>
          <w:sz w:val="16"/>
          <w:szCs w:val="16"/>
          <w:color w:val="000000"/>
        </w:rPr>
        <w:t>2016</w:t>
      </w:r>
    </w:p>
    <w:p>
      <w:pPr>
        <w:spacing w:after="0" w:line="113" w:lineRule="exact"/>
        <w:rPr>
          <w:sz w:val="20"/>
          <w:szCs w:val="20"/>
          <w:color w:val="auto"/>
        </w:rPr>
      </w:pPr>
    </w:p>
    <w:p>
      <w:pPr>
        <w:ind w:left="100"/>
        <w:spacing w:after="0"/>
        <w:rPr>
          <w:sz w:val="20"/>
          <w:szCs w:val="20"/>
          <w:color w:val="auto"/>
        </w:rPr>
      </w:pPr>
      <w:r>
        <w:rPr>
          <w:rFonts w:ascii="Arial" w:cs="Arial" w:eastAsia="Arial" w:hAnsi="Arial"/>
          <w:sz w:val="16"/>
          <w:szCs w:val="16"/>
          <w:b w:val="1"/>
          <w:bCs w:val="1"/>
          <w:i w:val="1"/>
          <w:iCs w:val="1"/>
          <w:color w:val="1414D2"/>
        </w:rPr>
        <w:t>Age</w:t>
      </w:r>
      <w:r>
        <w:rPr>
          <w:rFonts w:ascii="Arial" w:cs="Arial" w:eastAsia="Arial" w:hAnsi="Arial"/>
          <w:sz w:val="16"/>
          <w:szCs w:val="16"/>
          <w:color w:val="1414D2"/>
        </w:rPr>
        <w:t>:</w:t>
      </w:r>
      <w:r>
        <w:rPr>
          <w:rFonts w:ascii="Arial" w:cs="Arial" w:eastAsia="Arial" w:hAnsi="Arial"/>
          <w:sz w:val="16"/>
          <w:szCs w:val="16"/>
          <w:b w:val="1"/>
          <w:bCs w:val="1"/>
          <w:i w:val="1"/>
          <w:iCs w:val="1"/>
          <w:color w:val="1414D2"/>
        </w:rPr>
        <w:t xml:space="preserve">  </w:t>
      </w:r>
      <w:r>
        <w:rPr>
          <w:rFonts w:ascii="Arial" w:cs="Arial" w:eastAsia="Arial" w:hAnsi="Arial"/>
          <w:sz w:val="16"/>
          <w:szCs w:val="16"/>
          <w:color w:val="000000"/>
        </w:rPr>
        <w:t>54</w:t>
      </w:r>
    </w:p>
    <w:p>
      <w:pPr>
        <w:spacing w:after="0" w:line="127" w:lineRule="exact"/>
        <w:rPr>
          <w:sz w:val="20"/>
          <w:szCs w:val="20"/>
          <w:color w:val="auto"/>
        </w:rPr>
      </w:pPr>
    </w:p>
    <w:p>
      <w:pPr>
        <w:ind w:left="100"/>
        <w:spacing w:after="0"/>
        <w:rPr>
          <w:sz w:val="20"/>
          <w:szCs w:val="20"/>
          <w:color w:val="auto"/>
        </w:rPr>
      </w:pPr>
      <w:r>
        <w:rPr>
          <w:rFonts w:ascii="Arial" w:cs="Arial" w:eastAsia="Arial" w:hAnsi="Arial"/>
          <w:sz w:val="16"/>
          <w:szCs w:val="16"/>
          <w:b w:val="1"/>
          <w:bCs w:val="1"/>
          <w:i w:val="1"/>
          <w:iCs w:val="1"/>
          <w:color w:val="1414D2"/>
        </w:rPr>
        <w:t>Committees</w:t>
      </w:r>
      <w:r>
        <w:rPr>
          <w:rFonts w:ascii="Arial" w:cs="Arial" w:eastAsia="Arial" w:hAnsi="Arial"/>
          <w:sz w:val="16"/>
          <w:szCs w:val="16"/>
          <w:color w:val="1414D2"/>
        </w:rPr>
        <w:t>:</w:t>
      </w:r>
    </w:p>
    <w:p>
      <w:pPr>
        <w:spacing w:after="0" w:line="11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Audit</w:t>
      </w:r>
    </w:p>
    <w:p>
      <w:pPr>
        <w:spacing w:after="0" w:line="113" w:lineRule="exact"/>
        <w:rPr>
          <w:sz w:val="20"/>
          <w:szCs w:val="20"/>
          <w:color w:val="auto"/>
        </w:rPr>
      </w:pPr>
    </w:p>
    <w:p>
      <w:pPr>
        <w:ind w:left="100"/>
        <w:spacing w:after="0"/>
        <w:rPr>
          <w:sz w:val="20"/>
          <w:szCs w:val="20"/>
          <w:color w:val="auto"/>
        </w:rPr>
      </w:pPr>
      <w:r>
        <w:rPr>
          <w:rFonts w:ascii="Arial" w:cs="Arial" w:eastAsia="Arial" w:hAnsi="Arial"/>
          <w:sz w:val="16"/>
          <w:szCs w:val="16"/>
          <w:color w:val="auto"/>
        </w:rPr>
        <w:t>Finance</w:t>
      </w:r>
    </w:p>
    <w:p>
      <w:pPr>
        <w:spacing w:after="0" w:line="113" w:lineRule="exact"/>
        <w:rPr>
          <w:sz w:val="20"/>
          <w:szCs w:val="20"/>
          <w:color w:val="auto"/>
        </w:rPr>
      </w:pPr>
    </w:p>
    <w:p>
      <w:pPr>
        <w:ind w:left="100"/>
        <w:spacing w:after="0"/>
        <w:rPr>
          <w:sz w:val="20"/>
          <w:szCs w:val="20"/>
          <w:color w:val="auto"/>
        </w:rPr>
      </w:pPr>
      <w:r>
        <w:rPr>
          <w:rFonts w:ascii="Arial" w:cs="Arial" w:eastAsia="Arial" w:hAnsi="Arial"/>
          <w:sz w:val="16"/>
          <w:szCs w:val="16"/>
          <w:color w:val="auto"/>
        </w:rPr>
        <w:t>Public  Responsibility</w:t>
      </w:r>
    </w:p>
    <w:p>
      <w:pPr>
        <w:spacing w:after="0" w:line="165" w:lineRule="exact"/>
        <w:rPr>
          <w:sz w:val="20"/>
          <w:szCs w:val="20"/>
          <w:color w:val="auto"/>
        </w:rPr>
      </w:pPr>
    </w:p>
    <w:p>
      <w:pPr>
        <w:ind w:left="100"/>
        <w:spacing w:after="0"/>
        <w:rPr>
          <w:sz w:val="20"/>
          <w:szCs w:val="20"/>
          <w:color w:val="auto"/>
        </w:rPr>
      </w:pPr>
      <w:r>
        <w:rPr>
          <w:rFonts w:ascii="Arial" w:cs="Arial" w:eastAsia="Arial" w:hAnsi="Arial"/>
          <w:sz w:val="15"/>
          <w:szCs w:val="15"/>
          <w:b w:val="1"/>
          <w:bCs w:val="1"/>
          <w:i w:val="1"/>
          <w:iCs w:val="1"/>
          <w:color w:val="1414D2"/>
        </w:rPr>
        <w:t>Skills and Qualifcations:</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EXPERIENCE</w:t>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414D2"/>
        </w:rPr>
        <w:t xml:space="preserve">Uber Technologies, Inc. </w:t>
      </w:r>
      <w:r>
        <w:rPr>
          <w:rFonts w:ascii="Arial" w:cs="Arial" w:eastAsia="Arial" w:hAnsi="Arial"/>
          <w:sz w:val="15"/>
          <w:szCs w:val="15"/>
          <w:color w:val="000000"/>
        </w:rPr>
        <w:t>(ridesharing  and  local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services  company)</w:t>
      </w:r>
    </w:p>
    <w:p>
      <w:pPr>
        <w:spacing w:after="0" w:line="11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Chief  Operating  Ofcer  (2018-2019)</w:t>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414D2"/>
        </w:rPr>
        <w:t xml:space="preserve">Orbitz Worldwide, Inc. </w:t>
      </w:r>
      <w:r>
        <w:rPr>
          <w:rFonts w:ascii="Arial" w:cs="Arial" w:eastAsia="Arial" w:hAnsi="Arial"/>
          <w:sz w:val="15"/>
          <w:szCs w:val="15"/>
          <w:color w:val="000000"/>
        </w:rPr>
        <w:t>(online  travel  company)</w:t>
      </w:r>
    </w:p>
    <w:p>
      <w:pPr>
        <w:spacing w:after="0" w:line="12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Chief  Executive  Ofcer  (2009-2015)</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414D2"/>
        </w:rPr>
        <w:t>Expedia, Inc</w:t>
      </w:r>
      <w:r>
        <w:rPr>
          <w:rFonts w:ascii="Arial" w:cs="Arial" w:eastAsia="Arial" w:hAnsi="Arial"/>
          <w:sz w:val="16"/>
          <w:szCs w:val="16"/>
          <w:b w:val="1"/>
          <w:bCs w:val="1"/>
          <w:i w:val="1"/>
          <w:iCs w:val="1"/>
          <w:color w:val="2E56A5"/>
        </w:rPr>
        <w:t>.</w:t>
      </w:r>
      <w:r>
        <w:rPr>
          <w:rFonts w:ascii="Arial" w:cs="Arial" w:eastAsia="Arial" w:hAnsi="Arial"/>
          <w:sz w:val="16"/>
          <w:szCs w:val="16"/>
          <w:b w:val="1"/>
          <w:bCs w:val="1"/>
          <w:i w:val="1"/>
          <w:iCs w:val="1"/>
          <w:color w:val="1414D2"/>
        </w:rPr>
        <w:t xml:space="preserve"> </w:t>
      </w:r>
      <w:r>
        <w:rPr>
          <w:rFonts w:ascii="Arial" w:cs="Arial" w:eastAsia="Arial" w:hAnsi="Arial"/>
          <w:sz w:val="16"/>
          <w:szCs w:val="16"/>
          <w:color w:val="000000"/>
        </w:rPr>
        <w:t>(online  travel  company)</w:t>
      </w:r>
    </w:p>
    <w:p>
      <w:pPr>
        <w:spacing w:after="0" w:line="115" w:lineRule="exact"/>
        <w:rPr>
          <w:sz w:val="20"/>
          <w:szCs w:val="20"/>
          <w:color w:val="auto"/>
        </w:rPr>
      </w:pPr>
    </w:p>
    <w:p>
      <w:pPr>
        <w:ind w:left="200" w:right="260"/>
        <w:spacing w:after="0" w:line="279" w:lineRule="auto"/>
        <w:rPr>
          <w:sz w:val="20"/>
          <w:szCs w:val="20"/>
          <w:color w:val="auto"/>
        </w:rPr>
      </w:pPr>
      <w:r>
        <w:rPr>
          <w:rFonts w:ascii="Arial" w:cs="Arial" w:eastAsia="Arial" w:hAnsi="Arial"/>
          <w:sz w:val="16"/>
          <w:szCs w:val="16"/>
          <w:color w:val="auto"/>
        </w:rPr>
        <w:t>Multiple roles (1999-2006), including President of Expedia Asia Pacifc (2004-2006)</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line="396" w:lineRule="auto"/>
        <w:rPr>
          <w:sz w:val="20"/>
          <w:szCs w:val="20"/>
          <w:color w:val="auto"/>
        </w:rPr>
      </w:pPr>
      <w:r>
        <w:rPr>
          <w:rFonts w:ascii="Arial" w:cs="Arial" w:eastAsia="Arial" w:hAnsi="Arial"/>
          <w:sz w:val="16"/>
          <w:szCs w:val="16"/>
          <w:b w:val="1"/>
          <w:bCs w:val="1"/>
          <w:color w:val="auto"/>
        </w:rPr>
        <w:t xml:space="preserve">OTHER PUBLIC COMPANY DIRECTORSHIPS </w:t>
      </w:r>
      <w:r>
        <w:rPr>
          <w:rFonts w:ascii="Arial" w:cs="Arial" w:eastAsia="Arial" w:hAnsi="Arial"/>
          <w:sz w:val="16"/>
          <w:szCs w:val="16"/>
          <w:color w:val="auto"/>
        </w:rPr>
        <w:t>None</w:t>
      </w:r>
    </w:p>
    <w:p>
      <w:pPr>
        <w:ind w:right="200"/>
        <w:spacing w:after="0" w:line="279" w:lineRule="auto"/>
        <w:rPr>
          <w:sz w:val="20"/>
          <w:szCs w:val="20"/>
          <w:color w:val="auto"/>
        </w:rPr>
      </w:pPr>
      <w:r>
        <w:rPr>
          <w:rFonts w:ascii="Arial" w:cs="Arial" w:eastAsia="Arial" w:hAnsi="Arial"/>
          <w:sz w:val="16"/>
          <w:szCs w:val="16"/>
          <w:b w:val="1"/>
          <w:bCs w:val="1"/>
          <w:color w:val="auto"/>
        </w:rPr>
        <w:t>FORMER PUBLIC COMPANY DIRECTORSHIPS HELD IN THE PAST FIVE YEARS</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EDUCATION</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414D2"/>
        </w:rPr>
        <w:t>INSEAD</w:t>
      </w:r>
      <w:r>
        <w:rPr>
          <w:rFonts w:ascii="Arial" w:cs="Arial" w:eastAsia="Arial" w:hAnsi="Arial"/>
          <w:sz w:val="16"/>
          <w:szCs w:val="16"/>
          <w:color w:val="000000"/>
        </w:rPr>
        <w:t>,  Master  of  Business  Administration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414D2"/>
        </w:rPr>
        <w:t>University of Cambridge</w:t>
      </w:r>
      <w:r>
        <w:rPr>
          <w:rFonts w:ascii="Arial" w:cs="Arial" w:eastAsia="Arial" w:hAnsi="Arial"/>
          <w:sz w:val="16"/>
          <w:szCs w:val="16"/>
          <w:color w:val="000000"/>
        </w:rPr>
        <w:t>,  BA,  MA  (Cantab),</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Natural  Sciences</w:t>
      </w:r>
    </w:p>
    <w:p>
      <w:pPr>
        <w:spacing w:after="0" w:line="1387" w:lineRule="exact"/>
        <w:rPr>
          <w:sz w:val="20"/>
          <w:szCs w:val="20"/>
          <w:color w:val="auto"/>
        </w:rPr>
      </w:pPr>
    </w:p>
    <w:p>
      <w:pPr>
        <w:sectPr>
          <w:pgSz w:w="11900" w:h="16838" w:orient="portrait"/>
          <w:cols w:equalWidth="0" w:num="3">
            <w:col w:w="1860" w:space="400"/>
            <w:col w:w="3420" w:space="580"/>
            <w:col w:w="3340"/>
          </w:cols>
          <w:pgMar w:left="1080" w:top="695" w:right="1219" w:bottom="1440" w:gutter="0" w:footer="0" w:header="0"/>
          <w:type w:val="continuous"/>
        </w:sectPr>
      </w:pPr>
    </w:p>
    <w:p>
      <w:pPr>
        <w:spacing w:after="0" w:line="35" w:lineRule="exact"/>
        <w:rPr>
          <w:sz w:val="20"/>
          <w:szCs w:val="20"/>
          <w:color w:val="auto"/>
        </w:rPr>
      </w:pPr>
    </w:p>
    <w:p>
      <w:pPr>
        <w:ind w:left="780"/>
        <w:spacing w:after="0"/>
        <w:rPr>
          <w:sz w:val="20"/>
          <w:szCs w:val="20"/>
          <w:color w:val="auto"/>
        </w:rPr>
      </w:pPr>
      <w:r>
        <w:rPr>
          <w:rFonts w:ascii="Arial" w:cs="Arial" w:eastAsia="Arial" w:hAnsi="Arial"/>
          <w:sz w:val="16"/>
          <w:szCs w:val="16"/>
          <w:b w:val="1"/>
          <w:bCs w:val="1"/>
          <w:color w:val="auto"/>
        </w:rPr>
        <w:t xml:space="preserve">Active or Former C-Suite Executive: </w:t>
      </w:r>
      <w:r>
        <w:rPr>
          <w:rFonts w:ascii="Arial" w:cs="Arial" w:eastAsia="Arial" w:hAnsi="Arial"/>
          <w:sz w:val="16"/>
          <w:szCs w:val="16"/>
          <w:color w:val="auto"/>
        </w:rPr>
        <w:t>Mr.  Harford  has  served  in  various  senior  positions  at  Orbitz  Worldwide,  Inc.</w:t>
      </w:r>
    </w:p>
    <w:p>
      <w:pPr>
        <w:spacing w:after="0" w:line="5" w:lineRule="exact"/>
        <w:rPr>
          <w:sz w:val="20"/>
          <w:szCs w:val="20"/>
          <w:color w:val="auto"/>
        </w:rPr>
      </w:pPr>
    </w:p>
    <w:p>
      <w:pPr>
        <w:ind w:left="780"/>
        <w:spacing w:after="0"/>
        <w:rPr>
          <w:sz w:val="20"/>
          <w:szCs w:val="20"/>
          <w:color w:val="auto"/>
        </w:rPr>
      </w:pPr>
      <w:r>
        <w:rPr>
          <w:rFonts w:ascii="Arial" w:cs="Arial" w:eastAsia="Arial" w:hAnsi="Arial"/>
          <w:sz w:val="16"/>
          <w:szCs w:val="16"/>
          <w:color w:val="auto"/>
        </w:rPr>
        <w:t>(“Orbitz”),  Expedia,  Inc.  (“Expedia”)  and  Uber  Technologies,  Inc.  (“Uber”).</w:t>
      </w:r>
    </w:p>
    <w:p>
      <w:pPr>
        <w:spacing w:after="0" w:line="200" w:lineRule="exact"/>
        <w:rPr>
          <w:sz w:val="20"/>
          <w:szCs w:val="20"/>
          <w:color w:val="auto"/>
        </w:rPr>
      </w:pPr>
    </w:p>
    <w:p>
      <w:pPr>
        <w:spacing w:after="0" w:line="291" w:lineRule="exact"/>
        <w:rPr>
          <w:sz w:val="20"/>
          <w:szCs w:val="20"/>
          <w:color w:val="auto"/>
        </w:rPr>
      </w:pPr>
    </w:p>
    <w:p>
      <w:pPr>
        <w:ind w:left="780" w:right="120"/>
        <w:spacing w:after="0" w:line="255" w:lineRule="auto"/>
        <w:rPr>
          <w:sz w:val="20"/>
          <w:szCs w:val="20"/>
          <w:color w:val="auto"/>
        </w:rPr>
      </w:pPr>
      <w:r>
        <w:rPr>
          <w:rFonts w:ascii="Arial" w:cs="Arial" w:eastAsia="Arial" w:hAnsi="Arial"/>
          <w:sz w:val="16"/>
          <w:szCs w:val="16"/>
          <w:b w:val="1"/>
          <w:bCs w:val="1"/>
          <w:color w:val="auto"/>
        </w:rPr>
        <w:t xml:space="preserve">Finance / Accounting / Capital Allocation: </w:t>
      </w:r>
      <w:r>
        <w:rPr>
          <w:rFonts w:ascii="Arial" w:cs="Arial" w:eastAsia="Arial" w:hAnsi="Arial"/>
          <w:sz w:val="16"/>
          <w:szCs w:val="16"/>
          <w:color w:val="auto"/>
        </w:rPr>
        <w:t>Mr. Harford has gained a broad base of knowledge regarding fnancial</w:t>
      </w:r>
      <w:r>
        <w:rPr>
          <w:rFonts w:ascii="Arial" w:cs="Arial" w:eastAsia="Arial" w:hAnsi="Arial"/>
          <w:sz w:val="16"/>
          <w:szCs w:val="16"/>
          <w:b w:val="1"/>
          <w:bCs w:val="1"/>
          <w:color w:val="auto"/>
        </w:rPr>
        <w:t xml:space="preserve"> </w:t>
      </w:r>
      <w:r>
        <w:rPr>
          <w:rFonts w:ascii="Arial" w:cs="Arial" w:eastAsia="Arial" w:hAnsi="Arial"/>
          <w:sz w:val="16"/>
          <w:szCs w:val="16"/>
          <w:color w:val="auto"/>
        </w:rPr>
        <w:t>statements and fnancial strategy through his experience in various leadership roles, including as chief executive</w:t>
      </w:r>
    </w:p>
    <w:p>
      <w:pPr>
        <w:spacing w:after="0" w:line="1" w:lineRule="exact"/>
        <w:rPr>
          <w:sz w:val="20"/>
          <w:szCs w:val="20"/>
          <w:color w:val="auto"/>
        </w:rPr>
      </w:pPr>
    </w:p>
    <w:p>
      <w:pPr>
        <w:ind w:left="780"/>
        <w:spacing w:after="0"/>
        <w:rPr>
          <w:sz w:val="20"/>
          <w:szCs w:val="20"/>
          <w:color w:val="auto"/>
        </w:rPr>
      </w:pPr>
      <w:r>
        <w:rPr>
          <w:rFonts w:ascii="Arial" w:cs="Arial" w:eastAsia="Arial" w:hAnsi="Arial"/>
          <w:sz w:val="16"/>
          <w:szCs w:val="16"/>
          <w:color w:val="auto"/>
        </w:rPr>
        <w:t>ofcer  and  chief  operating  ofcer  of  large  companies.</w:t>
      </w:r>
    </w:p>
    <w:p>
      <w:pPr>
        <w:spacing w:after="0" w:line="221" w:lineRule="exact"/>
        <w:rPr>
          <w:sz w:val="20"/>
          <w:szCs w:val="20"/>
          <w:color w:val="auto"/>
        </w:rPr>
      </w:pPr>
    </w:p>
    <w:p>
      <w:pPr>
        <w:ind w:left="780" w:right="360"/>
        <w:spacing w:after="0" w:line="313" w:lineRule="auto"/>
        <w:rPr>
          <w:sz w:val="20"/>
          <w:szCs w:val="20"/>
          <w:color w:val="auto"/>
        </w:rPr>
      </w:pPr>
      <w:r>
        <w:rPr>
          <w:rFonts w:ascii="Arial" w:cs="Arial" w:eastAsia="Arial" w:hAnsi="Arial"/>
          <w:sz w:val="16"/>
          <w:szCs w:val="16"/>
          <w:b w:val="1"/>
          <w:bCs w:val="1"/>
          <w:color w:val="auto"/>
        </w:rPr>
        <w:t xml:space="preserve">Air / Travel / Transportation: </w:t>
      </w:r>
      <w:r>
        <w:rPr>
          <w:rFonts w:ascii="Arial" w:cs="Arial" w:eastAsia="Arial" w:hAnsi="Arial"/>
          <w:sz w:val="16"/>
          <w:szCs w:val="16"/>
          <w:color w:val="auto"/>
        </w:rPr>
        <w:t>Mr. Harford brings travel industry and ecommerce insight having served as Chief</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Ofcer of Orbitz.</w:t>
      </w:r>
    </w:p>
    <w:p>
      <w:pPr>
        <w:spacing w:after="0" w:line="128" w:lineRule="exact"/>
        <w:rPr>
          <w:sz w:val="20"/>
          <w:szCs w:val="20"/>
          <w:color w:val="auto"/>
        </w:rPr>
      </w:pPr>
    </w:p>
    <w:p>
      <w:pPr>
        <w:ind w:left="780"/>
        <w:spacing w:after="0" w:line="313" w:lineRule="auto"/>
        <w:rPr>
          <w:sz w:val="20"/>
          <w:szCs w:val="20"/>
          <w:color w:val="auto"/>
        </w:rPr>
      </w:pPr>
      <w:r>
        <w:rPr>
          <w:rFonts w:ascii="Arial" w:cs="Arial" w:eastAsia="Arial" w:hAnsi="Arial"/>
          <w:sz w:val="16"/>
          <w:szCs w:val="16"/>
          <w:b w:val="1"/>
          <w:bCs w:val="1"/>
          <w:color w:val="auto"/>
        </w:rPr>
        <w:t xml:space="preserve">Global Operations: </w:t>
      </w:r>
      <w:r>
        <w:rPr>
          <w:rFonts w:ascii="Arial" w:cs="Arial" w:eastAsia="Arial" w:hAnsi="Arial"/>
          <w:sz w:val="16"/>
          <w:szCs w:val="16"/>
          <w:color w:val="auto"/>
        </w:rPr>
        <w:t>Mr. Harford provides experience with international markets, in particular the Asia Pacifc region,</w:t>
      </w:r>
      <w:r>
        <w:rPr>
          <w:rFonts w:ascii="Arial" w:cs="Arial" w:eastAsia="Arial" w:hAnsi="Arial"/>
          <w:sz w:val="16"/>
          <w:szCs w:val="16"/>
          <w:b w:val="1"/>
          <w:bCs w:val="1"/>
          <w:color w:val="auto"/>
        </w:rPr>
        <w:t xml:space="preserve"> </w:t>
      </w:r>
      <w:r>
        <w:rPr>
          <w:rFonts w:ascii="Arial" w:cs="Arial" w:eastAsia="Arial" w:hAnsi="Arial"/>
          <w:sz w:val="16"/>
          <w:szCs w:val="16"/>
          <w:color w:val="auto"/>
        </w:rPr>
        <w:t>having led Expedia’s entry into China, Australia and Japan.</w:t>
      </w:r>
    </w:p>
    <w:p>
      <w:pPr>
        <w:spacing w:after="0" w:line="128" w:lineRule="exact"/>
        <w:rPr>
          <w:sz w:val="20"/>
          <w:szCs w:val="20"/>
          <w:color w:val="auto"/>
        </w:rPr>
      </w:pPr>
    </w:p>
    <w:p>
      <w:pPr>
        <w:ind w:left="780" w:right="560"/>
        <w:spacing w:after="0" w:line="313" w:lineRule="auto"/>
        <w:rPr>
          <w:sz w:val="20"/>
          <w:szCs w:val="20"/>
          <w:color w:val="auto"/>
        </w:rPr>
      </w:pPr>
      <w:r>
        <w:rPr>
          <w:rFonts w:ascii="Arial" w:cs="Arial" w:eastAsia="Arial" w:hAnsi="Arial"/>
          <w:sz w:val="16"/>
          <w:szCs w:val="16"/>
          <w:b w:val="1"/>
          <w:bCs w:val="1"/>
          <w:color w:val="auto"/>
        </w:rPr>
        <w:t xml:space="preserve">Retail / Brand Management: </w:t>
      </w:r>
      <w:r>
        <w:rPr>
          <w:rFonts w:ascii="Arial" w:cs="Arial" w:eastAsia="Arial" w:hAnsi="Arial"/>
          <w:sz w:val="16"/>
          <w:szCs w:val="16"/>
          <w:color w:val="auto"/>
        </w:rPr>
        <w:t>Having experience at Orbitz, Expedia and Uber, Mr. Harford has a wide base of</w:t>
      </w:r>
      <w:r>
        <w:rPr>
          <w:rFonts w:ascii="Arial" w:cs="Arial" w:eastAsia="Arial" w:hAnsi="Arial"/>
          <w:sz w:val="16"/>
          <w:szCs w:val="16"/>
          <w:b w:val="1"/>
          <w:bCs w:val="1"/>
          <w:color w:val="auto"/>
        </w:rPr>
        <w:t xml:space="preserve"> </w:t>
      </w:r>
      <w:r>
        <w:rPr>
          <w:rFonts w:ascii="Arial" w:cs="Arial" w:eastAsia="Arial" w:hAnsi="Arial"/>
          <w:sz w:val="16"/>
          <w:szCs w:val="16"/>
          <w:color w:val="auto"/>
        </w:rPr>
        <w:t>experience with consumer facing brands.</w:t>
      </w:r>
    </w:p>
    <w:p>
      <w:pPr>
        <w:spacing w:after="0" w:line="128" w:lineRule="exact"/>
        <w:rPr>
          <w:sz w:val="20"/>
          <w:szCs w:val="20"/>
          <w:color w:val="auto"/>
        </w:rPr>
      </w:pPr>
    </w:p>
    <w:p>
      <w:pPr>
        <w:ind w:left="780" w:right="280"/>
        <w:spacing w:after="0" w:line="255" w:lineRule="auto"/>
        <w:rPr>
          <w:sz w:val="20"/>
          <w:szCs w:val="20"/>
          <w:color w:val="auto"/>
        </w:rPr>
      </w:pPr>
      <w:r>
        <w:rPr>
          <w:rFonts w:ascii="Arial" w:cs="Arial" w:eastAsia="Arial" w:hAnsi="Arial"/>
          <w:sz w:val="16"/>
          <w:szCs w:val="16"/>
          <w:b w:val="1"/>
          <w:bCs w:val="1"/>
          <w:color w:val="auto"/>
        </w:rPr>
        <w:t xml:space="preserve">Risk Management: </w:t>
      </w:r>
      <w:r>
        <w:rPr>
          <w:rFonts w:ascii="Arial" w:cs="Arial" w:eastAsia="Arial" w:hAnsi="Arial"/>
          <w:sz w:val="16"/>
          <w:szCs w:val="16"/>
          <w:color w:val="auto"/>
        </w:rPr>
        <w:t>Mr. Harford has extensive prior experience and leadership in risk management, including as</w:t>
      </w:r>
      <w:r>
        <w:rPr>
          <w:rFonts w:ascii="Arial" w:cs="Arial" w:eastAsia="Arial" w:hAnsi="Arial"/>
          <w:sz w:val="16"/>
          <w:szCs w:val="16"/>
          <w:b w:val="1"/>
          <w:bCs w:val="1"/>
          <w:color w:val="auto"/>
        </w:rPr>
        <w:t xml:space="preserve"> </w:t>
      </w:r>
      <w:r>
        <w:rPr>
          <w:rFonts w:ascii="Arial" w:cs="Arial" w:eastAsia="Arial" w:hAnsi="Arial"/>
          <w:sz w:val="16"/>
          <w:szCs w:val="16"/>
          <w:color w:val="auto"/>
        </w:rPr>
        <w:t>Chief Executive Ofcer of Orbitz and Chief Operating Ofcer of Uber as well as through his past service on other</w:t>
      </w:r>
    </w:p>
    <w:p>
      <w:pPr>
        <w:spacing w:after="0" w:line="1" w:lineRule="exact"/>
        <w:rPr>
          <w:sz w:val="20"/>
          <w:szCs w:val="20"/>
          <w:color w:val="auto"/>
        </w:rPr>
      </w:pPr>
    </w:p>
    <w:p>
      <w:pPr>
        <w:ind w:left="780"/>
        <w:spacing w:after="0"/>
        <w:rPr>
          <w:sz w:val="20"/>
          <w:szCs w:val="20"/>
          <w:color w:val="auto"/>
        </w:rPr>
      </w:pPr>
      <w:r>
        <w:rPr>
          <w:rFonts w:ascii="Arial" w:cs="Arial" w:eastAsia="Arial" w:hAnsi="Arial"/>
          <w:sz w:val="16"/>
          <w:szCs w:val="16"/>
          <w:color w:val="auto"/>
        </w:rPr>
        <w:t>boards  with  complex  risk  management  profles.</w:t>
      </w:r>
    </w:p>
    <w:p>
      <w:pPr>
        <w:spacing w:after="0" w:line="221" w:lineRule="exact"/>
        <w:rPr>
          <w:sz w:val="20"/>
          <w:szCs w:val="20"/>
          <w:color w:val="auto"/>
        </w:rPr>
      </w:pPr>
    </w:p>
    <w:p>
      <w:pPr>
        <w:ind w:left="780" w:right="160"/>
        <w:spacing w:after="0" w:line="313" w:lineRule="auto"/>
        <w:rPr>
          <w:sz w:val="20"/>
          <w:szCs w:val="20"/>
          <w:color w:val="auto"/>
        </w:rPr>
      </w:pPr>
      <w:r>
        <w:rPr>
          <w:rFonts w:ascii="Arial" w:cs="Arial" w:eastAsia="Arial" w:hAnsi="Arial"/>
          <w:sz w:val="16"/>
          <w:szCs w:val="16"/>
          <w:b w:val="1"/>
          <w:bCs w:val="1"/>
          <w:color w:val="auto"/>
        </w:rPr>
        <w:t xml:space="preserve">Technology / Cybersecurity: </w:t>
      </w:r>
      <w:r>
        <w:rPr>
          <w:rFonts w:ascii="Arial" w:cs="Arial" w:eastAsia="Arial" w:hAnsi="Arial"/>
          <w:sz w:val="16"/>
          <w:szCs w:val="16"/>
          <w:color w:val="auto"/>
        </w:rPr>
        <w:t>During his time at Orbitz, Mr. Harford developed a successful track record deploying</w:t>
      </w:r>
      <w:r>
        <w:rPr>
          <w:rFonts w:ascii="Arial" w:cs="Arial" w:eastAsia="Arial" w:hAnsi="Arial"/>
          <w:sz w:val="16"/>
          <w:szCs w:val="16"/>
          <w:b w:val="1"/>
          <w:bCs w:val="1"/>
          <w:color w:val="auto"/>
        </w:rPr>
        <w:t xml:space="preserve"> </w:t>
      </w:r>
      <w:r>
        <w:rPr>
          <w:rFonts w:ascii="Arial" w:cs="Arial" w:eastAsia="Arial" w:hAnsi="Arial"/>
          <w:sz w:val="16"/>
          <w:szCs w:val="16"/>
          <w:color w:val="auto"/>
        </w:rPr>
        <w:t>large technology teams.</w:t>
      </w:r>
    </w:p>
    <w:p>
      <w:pPr>
        <w:sectPr>
          <w:pgSz w:w="11900" w:h="16838" w:orient="portrait"/>
          <w:cols w:equalWidth="0" w:num="1">
            <w:col w:w="9600"/>
          </w:cols>
          <w:pgMar w:left="1080" w:top="695" w:right="12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right"/>
        <w:ind w:right="7600"/>
        <w:spacing w:after="0"/>
        <w:rPr>
          <w:sz w:val="20"/>
          <w:szCs w:val="20"/>
          <w:color w:val="auto"/>
        </w:rPr>
      </w:pPr>
      <w:r>
        <w:rPr>
          <w:rFonts w:ascii="Arial" w:cs="Arial" w:eastAsia="Arial" w:hAnsi="Arial"/>
          <w:sz w:val="16"/>
          <w:szCs w:val="16"/>
          <w:color w:val="auto"/>
        </w:rPr>
        <w:t>​​2026​  Proxy</w:t>
      </w:r>
    </w:p>
    <w:p>
      <w:pPr>
        <w:spacing w:after="0" w:line="5" w:lineRule="exact"/>
        <w:rPr>
          <w:sz w:val="20"/>
          <w:szCs w:val="20"/>
          <w:color w:val="auto"/>
        </w:rPr>
      </w:pPr>
    </w:p>
    <w:p>
      <w:pPr>
        <w:ind w:left="660" w:hanging="656"/>
        <w:spacing w:after="0"/>
        <w:tabs>
          <w:tab w:leader="none" w:pos="660" w:val="left"/>
        </w:tabs>
        <w:numPr>
          <w:ilvl w:val="0"/>
          <w:numId w:val="30"/>
        </w:numPr>
        <w:rPr>
          <w:rFonts w:ascii="Arial" w:cs="Arial" w:eastAsia="Arial" w:hAnsi="Arial"/>
          <w:sz w:val="16"/>
          <w:szCs w:val="16"/>
          <w:b w:val="1"/>
          <w:bCs w:val="1"/>
          <w:color w:val="1414D2"/>
        </w:rPr>
      </w:pPr>
      <w:r>
        <w:rPr>
          <w:rFonts w:ascii="Arial" w:cs="Arial" w:eastAsia="Arial" w:hAnsi="Arial"/>
          <w:sz w:val="16"/>
          <w:szCs w:val="16"/>
          <w:color w:val="auto"/>
        </w:rPr>
        <w:t>Statement</w:t>
      </w:r>
    </w:p>
    <w:p>
      <w:pPr>
        <w:sectPr>
          <w:pgSz w:w="11900" w:h="16838" w:orient="portrait"/>
          <w:cols w:equalWidth="0" w:num="1">
            <w:col w:w="9600"/>
          </w:cols>
          <w:pgMar w:left="1080" w:top="695" w:right="121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27" w:lineRule="exact"/>
        <w:rPr>
          <w:sz w:val="20"/>
          <w:szCs w:val="20"/>
          <w:color w:val="auto"/>
        </w:rPr>
      </w:pPr>
    </w:p>
    <w:p>
      <w:pPr>
        <w:jc w:val="right"/>
        <w:spacing w:after="0"/>
        <w:rPr>
          <w:sz w:val="20"/>
          <w:szCs w:val="20"/>
          <w:color w:val="auto"/>
        </w:rPr>
      </w:pPr>
      <w:r>
        <w:rPr>
          <w:rFonts w:ascii="Arial" w:cs="Arial" w:eastAsia="Arial" w:hAnsi="Arial"/>
          <w:sz w:val="14"/>
          <w:szCs w:val="14"/>
          <w:color w:val="6D6F71"/>
        </w:rPr>
        <w:t>Item  1  -  Election  of  Directors</w:t>
      </w:r>
    </w:p>
    <w:p>
      <w:pPr>
        <w:spacing w:after="0" w:line="319"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MICHELE J. HOOPER-</w:t>
      </w:r>
      <w:r>
        <w:rPr>
          <w:rFonts w:ascii="Arial" w:cs="Arial" w:eastAsia="Arial" w:hAnsi="Arial"/>
          <w:sz w:val="16"/>
          <w:szCs w:val="16"/>
          <w:color w:val="auto"/>
        </w:rPr>
        <w:t>Independent  Director</w:t>
      </w:r>
    </w:p>
    <w:p>
      <w:pPr>
        <w:sectPr>
          <w:pgSz w:w="11900" w:h="16838" w:orient="portrait"/>
          <w:cols w:equalWidth="0" w:num="1">
            <w:col w:w="9720"/>
          </w:cols>
          <w:pgMar w:left="1080" w:top="695"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100"/>
        <w:spacing w:after="0"/>
        <w:rPr>
          <w:sz w:val="20"/>
          <w:szCs w:val="20"/>
          <w:color w:val="auto"/>
        </w:rPr>
      </w:pPr>
      <w:r>
        <w:rPr>
          <w:rFonts w:ascii="Arial" w:cs="Arial" w:eastAsia="Arial" w:hAnsi="Arial"/>
          <w:sz w:val="16"/>
          <w:szCs w:val="16"/>
          <w:b w:val="1"/>
          <w:bCs w:val="1"/>
          <w:i w:val="1"/>
          <w:iCs w:val="1"/>
          <w:color w:val="1414D2"/>
        </w:rPr>
        <w:t>Director Since</w:t>
      </w:r>
      <w:r>
        <w:rPr>
          <w:rFonts w:ascii="Arial" w:cs="Arial" w:eastAsia="Arial" w:hAnsi="Arial"/>
          <w:sz w:val="16"/>
          <w:szCs w:val="16"/>
          <w:color w:val="1414D2"/>
        </w:rPr>
        <w:t>:</w:t>
      </w:r>
      <w:r>
        <w:rPr>
          <w:rFonts w:ascii="Arial" w:cs="Arial" w:eastAsia="Arial" w:hAnsi="Arial"/>
          <w:sz w:val="16"/>
          <w:szCs w:val="16"/>
          <w:b w:val="1"/>
          <w:bCs w:val="1"/>
          <w:i w:val="1"/>
          <w:iCs w:val="1"/>
          <w:color w:val="1414D2"/>
        </w:rPr>
        <w:t xml:space="preserve">  </w:t>
      </w:r>
      <w:r>
        <w:rPr>
          <w:rFonts w:ascii="Arial" w:cs="Arial" w:eastAsia="Arial" w:hAnsi="Arial"/>
          <w:sz w:val="16"/>
          <w:szCs w:val="16"/>
          <w:color w:val="000000"/>
        </w:rPr>
        <w:t>2018</w:t>
      </w:r>
    </w:p>
    <w:p>
      <w:pPr>
        <w:spacing w:after="0" w:line="113" w:lineRule="exact"/>
        <w:rPr>
          <w:sz w:val="20"/>
          <w:szCs w:val="20"/>
          <w:color w:val="auto"/>
        </w:rPr>
      </w:pPr>
    </w:p>
    <w:p>
      <w:pPr>
        <w:ind w:left="100"/>
        <w:spacing w:after="0"/>
        <w:rPr>
          <w:sz w:val="20"/>
          <w:szCs w:val="20"/>
          <w:color w:val="auto"/>
        </w:rPr>
      </w:pPr>
      <w:r>
        <w:rPr>
          <w:rFonts w:ascii="Arial" w:cs="Arial" w:eastAsia="Arial" w:hAnsi="Arial"/>
          <w:sz w:val="16"/>
          <w:szCs w:val="16"/>
          <w:b w:val="1"/>
          <w:bCs w:val="1"/>
          <w:i w:val="1"/>
          <w:iCs w:val="1"/>
          <w:color w:val="1414D2"/>
        </w:rPr>
        <w:t>Age</w:t>
      </w:r>
      <w:r>
        <w:rPr>
          <w:rFonts w:ascii="Arial" w:cs="Arial" w:eastAsia="Arial" w:hAnsi="Arial"/>
          <w:sz w:val="16"/>
          <w:szCs w:val="16"/>
          <w:color w:val="1414D2"/>
        </w:rPr>
        <w:t>:</w:t>
      </w:r>
      <w:r>
        <w:rPr>
          <w:rFonts w:ascii="Arial" w:cs="Arial" w:eastAsia="Arial" w:hAnsi="Arial"/>
          <w:sz w:val="16"/>
          <w:szCs w:val="16"/>
          <w:b w:val="1"/>
          <w:bCs w:val="1"/>
          <w:i w:val="1"/>
          <w:iCs w:val="1"/>
          <w:color w:val="1414D2"/>
        </w:rPr>
        <w:t xml:space="preserve">  </w:t>
      </w:r>
      <w:r>
        <w:rPr>
          <w:rFonts w:ascii="Arial" w:cs="Arial" w:eastAsia="Arial" w:hAnsi="Arial"/>
          <w:sz w:val="16"/>
          <w:szCs w:val="16"/>
          <w:color w:val="000000"/>
        </w:rPr>
        <w:t>74</w:t>
      </w:r>
    </w:p>
    <w:p>
      <w:pPr>
        <w:spacing w:after="0" w:line="127" w:lineRule="exact"/>
        <w:rPr>
          <w:sz w:val="20"/>
          <w:szCs w:val="20"/>
          <w:color w:val="auto"/>
        </w:rPr>
      </w:pPr>
    </w:p>
    <w:p>
      <w:pPr>
        <w:ind w:left="100"/>
        <w:spacing w:after="0"/>
        <w:rPr>
          <w:sz w:val="20"/>
          <w:szCs w:val="20"/>
          <w:color w:val="auto"/>
        </w:rPr>
      </w:pPr>
      <w:r>
        <w:rPr>
          <w:rFonts w:ascii="Arial" w:cs="Arial" w:eastAsia="Arial" w:hAnsi="Arial"/>
          <w:sz w:val="16"/>
          <w:szCs w:val="16"/>
          <w:b w:val="1"/>
          <w:bCs w:val="1"/>
          <w:i w:val="1"/>
          <w:iCs w:val="1"/>
          <w:color w:val="1414D2"/>
        </w:rPr>
        <w:t>Committees</w:t>
      </w:r>
      <w:r>
        <w:rPr>
          <w:rFonts w:ascii="Arial" w:cs="Arial" w:eastAsia="Arial" w:hAnsi="Arial"/>
          <w:sz w:val="16"/>
          <w:szCs w:val="16"/>
          <w:color w:val="1414D2"/>
        </w:rPr>
        <w:t>:</w:t>
      </w:r>
    </w:p>
    <w:p>
      <w:pPr>
        <w:spacing w:after="0" w:line="11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Audit  (Chair)</w:t>
      </w:r>
    </w:p>
    <w:p>
      <w:pPr>
        <w:spacing w:after="0" w:line="113" w:lineRule="exact"/>
        <w:rPr>
          <w:sz w:val="20"/>
          <w:szCs w:val="20"/>
          <w:color w:val="auto"/>
        </w:rPr>
      </w:pPr>
    </w:p>
    <w:p>
      <w:pPr>
        <w:ind w:left="100"/>
        <w:spacing w:after="0"/>
        <w:rPr>
          <w:sz w:val="20"/>
          <w:szCs w:val="20"/>
          <w:color w:val="auto"/>
        </w:rPr>
      </w:pPr>
      <w:r>
        <w:rPr>
          <w:rFonts w:ascii="Arial" w:cs="Arial" w:eastAsia="Arial" w:hAnsi="Arial"/>
          <w:sz w:val="16"/>
          <w:szCs w:val="16"/>
          <w:color w:val="auto"/>
        </w:rPr>
        <w:t>Executive</w:t>
      </w:r>
    </w:p>
    <w:p>
      <w:pPr>
        <w:spacing w:after="0" w:line="113" w:lineRule="exact"/>
        <w:rPr>
          <w:sz w:val="20"/>
          <w:szCs w:val="20"/>
          <w:color w:val="auto"/>
        </w:rPr>
      </w:pPr>
    </w:p>
    <w:p>
      <w:pPr>
        <w:ind w:left="100"/>
        <w:spacing w:after="0"/>
        <w:rPr>
          <w:sz w:val="20"/>
          <w:szCs w:val="20"/>
          <w:color w:val="auto"/>
        </w:rPr>
      </w:pPr>
      <w:r>
        <w:rPr>
          <w:rFonts w:ascii="Arial" w:cs="Arial" w:eastAsia="Arial" w:hAnsi="Arial"/>
          <w:sz w:val="16"/>
          <w:szCs w:val="16"/>
          <w:color w:val="auto"/>
        </w:rPr>
        <w:t>Nominating/Governance</w:t>
      </w:r>
    </w:p>
    <w:p>
      <w:pPr>
        <w:spacing w:after="0" w:line="165" w:lineRule="exact"/>
        <w:rPr>
          <w:sz w:val="20"/>
          <w:szCs w:val="20"/>
          <w:color w:val="auto"/>
        </w:rPr>
      </w:pPr>
    </w:p>
    <w:p>
      <w:pPr>
        <w:ind w:left="100"/>
        <w:spacing w:after="0"/>
        <w:rPr>
          <w:sz w:val="20"/>
          <w:szCs w:val="20"/>
          <w:color w:val="auto"/>
        </w:rPr>
      </w:pPr>
      <w:r>
        <w:rPr>
          <w:rFonts w:ascii="Arial" w:cs="Arial" w:eastAsia="Arial" w:hAnsi="Arial"/>
          <w:sz w:val="16"/>
          <w:szCs w:val="16"/>
          <w:b w:val="1"/>
          <w:bCs w:val="1"/>
          <w:i w:val="1"/>
          <w:iCs w:val="1"/>
          <w:color w:val="1414D2"/>
        </w:rPr>
        <w:t>Skills and Qualifcations:</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EXPERIENCE</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414D2"/>
        </w:rPr>
        <w:t>The Directors</w:t>
      </w:r>
      <w:r>
        <w:rPr>
          <w:rFonts w:ascii="Arial" w:cs="Arial" w:eastAsia="Arial" w:hAnsi="Arial"/>
          <w:sz w:val="16"/>
          <w:szCs w:val="16"/>
          <w:i w:val="1"/>
          <w:iCs w:val="1"/>
          <w:color w:val="1414D2"/>
        </w:rPr>
        <w:t>’</w:t>
      </w:r>
      <w:r>
        <w:rPr>
          <w:rFonts w:ascii="Arial" w:cs="Arial" w:eastAsia="Arial" w:hAnsi="Arial"/>
          <w:sz w:val="16"/>
          <w:szCs w:val="16"/>
          <w:b w:val="1"/>
          <w:bCs w:val="1"/>
          <w:i w:val="1"/>
          <w:iCs w:val="1"/>
          <w:color w:val="1414D2"/>
        </w:rPr>
        <w:t xml:space="preserve"> Council </w:t>
      </w:r>
      <w:r>
        <w:rPr>
          <w:rFonts w:ascii="Arial" w:cs="Arial" w:eastAsia="Arial" w:hAnsi="Arial"/>
          <w:sz w:val="16"/>
          <w:szCs w:val="16"/>
          <w:color w:val="000000"/>
        </w:rPr>
        <w:t>(consulting  frm)</w:t>
      </w:r>
    </w:p>
    <w:p>
      <w:pPr>
        <w:spacing w:after="0" w:line="129" w:lineRule="exact"/>
        <w:rPr>
          <w:sz w:val="20"/>
          <w:szCs w:val="20"/>
          <w:color w:val="auto"/>
        </w:rPr>
      </w:pPr>
    </w:p>
    <w:p>
      <w:pPr>
        <w:ind w:left="200" w:right="240"/>
        <w:spacing w:after="0" w:line="313" w:lineRule="auto"/>
        <w:rPr>
          <w:sz w:val="20"/>
          <w:szCs w:val="20"/>
          <w:color w:val="auto"/>
        </w:rPr>
      </w:pPr>
      <w:r>
        <w:rPr>
          <w:rFonts w:ascii="Arial" w:cs="Arial" w:eastAsia="Arial" w:hAnsi="Arial"/>
          <w:sz w:val="16"/>
          <w:szCs w:val="16"/>
          <w:color w:val="auto"/>
        </w:rPr>
        <w:t>President and Chief Executive Ofcer (2013-present)</w:t>
      </w:r>
    </w:p>
    <w:p>
      <w:pPr>
        <w:spacing w:after="0" w:line="4" w:lineRule="exact"/>
        <w:rPr>
          <w:sz w:val="20"/>
          <w:szCs w:val="20"/>
          <w:color w:val="auto"/>
        </w:rPr>
      </w:pPr>
    </w:p>
    <w:p>
      <w:pPr>
        <w:ind w:right="300"/>
        <w:spacing w:after="0" w:line="315" w:lineRule="auto"/>
        <w:rPr>
          <w:sz w:val="20"/>
          <w:szCs w:val="20"/>
          <w:color w:val="auto"/>
        </w:rPr>
      </w:pPr>
      <w:r>
        <w:rPr>
          <w:rFonts w:ascii="Arial" w:cs="Arial" w:eastAsia="Arial" w:hAnsi="Arial"/>
          <w:sz w:val="16"/>
          <w:szCs w:val="16"/>
          <w:b w:val="1"/>
          <w:bCs w:val="1"/>
          <w:i w:val="1"/>
          <w:iCs w:val="1"/>
          <w:color w:val="1414D2"/>
        </w:rPr>
        <w:t xml:space="preserve">Voyager Expanded Learning </w:t>
      </w:r>
      <w:r>
        <w:rPr>
          <w:rFonts w:ascii="Arial" w:cs="Arial" w:eastAsia="Arial" w:hAnsi="Arial"/>
          <w:sz w:val="16"/>
          <w:szCs w:val="16"/>
          <w:color w:val="000000"/>
        </w:rPr>
        <w:t>(provider of</w:t>
      </w:r>
      <w:r>
        <w:rPr>
          <w:rFonts w:ascii="Arial" w:cs="Arial" w:eastAsia="Arial" w:hAnsi="Arial"/>
          <w:sz w:val="16"/>
          <w:szCs w:val="16"/>
          <w:b w:val="1"/>
          <w:bCs w:val="1"/>
          <w:i w:val="1"/>
          <w:iCs w:val="1"/>
          <w:color w:val="1414D2"/>
        </w:rPr>
        <w:t xml:space="preserve"> </w:t>
      </w:r>
      <w:r>
        <w:rPr>
          <w:rFonts w:ascii="Arial" w:cs="Arial" w:eastAsia="Arial" w:hAnsi="Arial"/>
          <w:sz w:val="16"/>
          <w:szCs w:val="16"/>
          <w:color w:val="000000"/>
        </w:rPr>
        <w:t>educational training services)</w:t>
      </w:r>
    </w:p>
    <w:p>
      <w:pPr>
        <w:spacing w:after="0" w:line="19" w:lineRule="exact"/>
        <w:rPr>
          <w:sz w:val="20"/>
          <w:szCs w:val="20"/>
          <w:color w:val="auto"/>
        </w:rPr>
      </w:pPr>
    </w:p>
    <w:p>
      <w:pPr>
        <w:ind w:left="200" w:right="240"/>
        <w:spacing w:after="0" w:line="313" w:lineRule="auto"/>
        <w:rPr>
          <w:sz w:val="20"/>
          <w:szCs w:val="20"/>
          <w:color w:val="auto"/>
        </w:rPr>
      </w:pPr>
      <w:r>
        <w:rPr>
          <w:rFonts w:ascii="Arial" w:cs="Arial" w:eastAsia="Arial" w:hAnsi="Arial"/>
          <w:sz w:val="16"/>
          <w:szCs w:val="16"/>
          <w:color w:val="auto"/>
        </w:rPr>
        <w:t>President and Chief Executive Ofcer (1999-2000)</w:t>
      </w:r>
    </w:p>
    <w:p>
      <w:pPr>
        <w:spacing w:after="0" w:line="4" w:lineRule="exact"/>
        <w:rPr>
          <w:sz w:val="20"/>
          <w:szCs w:val="20"/>
          <w:color w:val="auto"/>
        </w:rPr>
      </w:pPr>
    </w:p>
    <w:p>
      <w:pPr>
        <w:spacing w:after="0" w:line="315" w:lineRule="auto"/>
        <w:rPr>
          <w:sz w:val="20"/>
          <w:szCs w:val="20"/>
          <w:color w:val="auto"/>
        </w:rPr>
      </w:pPr>
      <w:r>
        <w:rPr>
          <w:rFonts w:ascii="Arial" w:cs="Arial" w:eastAsia="Arial" w:hAnsi="Arial"/>
          <w:sz w:val="16"/>
          <w:szCs w:val="16"/>
          <w:b w:val="1"/>
          <w:bCs w:val="1"/>
          <w:i w:val="1"/>
          <w:iCs w:val="1"/>
          <w:color w:val="1414D2"/>
        </w:rPr>
        <w:t xml:space="preserve">Stadtlander Drug Company </w:t>
      </w:r>
      <w:r>
        <w:rPr>
          <w:rFonts w:ascii="Arial" w:cs="Arial" w:eastAsia="Arial" w:hAnsi="Arial"/>
          <w:sz w:val="16"/>
          <w:szCs w:val="16"/>
          <w:color w:val="000000"/>
        </w:rPr>
        <w:t>(pharmaceutical</w:t>
      </w:r>
      <w:r>
        <w:rPr>
          <w:rFonts w:ascii="Arial" w:cs="Arial" w:eastAsia="Arial" w:hAnsi="Arial"/>
          <w:sz w:val="16"/>
          <w:szCs w:val="16"/>
          <w:b w:val="1"/>
          <w:bCs w:val="1"/>
          <w:i w:val="1"/>
          <w:iCs w:val="1"/>
          <w:color w:val="1414D2"/>
        </w:rPr>
        <w:t xml:space="preserve"> </w:t>
      </w:r>
      <w:r>
        <w:rPr>
          <w:rFonts w:ascii="Arial" w:cs="Arial" w:eastAsia="Arial" w:hAnsi="Arial"/>
          <w:sz w:val="16"/>
          <w:szCs w:val="16"/>
          <w:color w:val="000000"/>
        </w:rPr>
        <w:t>company)</w:t>
      </w:r>
    </w:p>
    <w:p>
      <w:pPr>
        <w:spacing w:after="0" w:line="19" w:lineRule="exact"/>
        <w:rPr>
          <w:sz w:val="20"/>
          <w:szCs w:val="20"/>
          <w:color w:val="auto"/>
        </w:rPr>
      </w:pPr>
    </w:p>
    <w:p>
      <w:pPr>
        <w:ind w:left="200" w:right="240"/>
        <w:spacing w:after="0" w:line="313" w:lineRule="auto"/>
        <w:rPr>
          <w:sz w:val="20"/>
          <w:szCs w:val="20"/>
          <w:color w:val="auto"/>
        </w:rPr>
      </w:pPr>
      <w:r>
        <w:rPr>
          <w:rFonts w:ascii="Arial" w:cs="Arial" w:eastAsia="Arial" w:hAnsi="Arial"/>
          <w:sz w:val="16"/>
          <w:szCs w:val="16"/>
          <w:color w:val="auto"/>
        </w:rPr>
        <w:t>President and Chief Executive Ofcer (1998-1999)</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PUBLIC COMPANY DIRECTORSHIPS</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414D2"/>
        </w:rPr>
        <w:t>UnitedHealth Group,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(2007-present)</w:t>
      </w:r>
    </w:p>
    <w:p>
      <w:pPr>
        <w:spacing w:after="0" w:line="113" w:lineRule="exact"/>
        <w:rPr>
          <w:sz w:val="20"/>
          <w:szCs w:val="20"/>
          <w:color w:val="auto"/>
        </w:rPr>
      </w:pPr>
    </w:p>
    <w:p>
      <w:pPr>
        <w:ind w:right="300"/>
        <w:spacing w:after="0" w:line="279" w:lineRule="auto"/>
        <w:rPr>
          <w:sz w:val="20"/>
          <w:szCs w:val="20"/>
          <w:color w:val="auto"/>
        </w:rPr>
      </w:pPr>
      <w:r>
        <w:rPr>
          <w:rFonts w:ascii="Arial" w:cs="Arial" w:eastAsia="Arial" w:hAnsi="Arial"/>
          <w:sz w:val="16"/>
          <w:szCs w:val="16"/>
          <w:b w:val="1"/>
          <w:bCs w:val="1"/>
          <w:color w:val="auto"/>
        </w:rPr>
        <w:t>FORMER PUBLIC COMPANY DIRECTORSHIPS HELD IN THE PAST FIVE YEARS</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EDUCATION</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414D2"/>
        </w:rPr>
        <w:t xml:space="preserve">University of Chicago, </w:t>
      </w:r>
      <w:r>
        <w:rPr>
          <w:rFonts w:ascii="Arial" w:cs="Arial" w:eastAsia="Arial" w:hAnsi="Arial"/>
          <w:sz w:val="16"/>
          <w:szCs w:val="16"/>
          <w:color w:val="000000"/>
        </w:rPr>
        <w:t>Master  of  Business</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Administration</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414D2"/>
        </w:rPr>
        <w:t xml:space="preserve">University of Pennsylvania, </w:t>
      </w:r>
      <w:r>
        <w:rPr>
          <w:rFonts w:ascii="Arial" w:cs="Arial" w:eastAsia="Arial" w:hAnsi="Arial"/>
          <w:sz w:val="16"/>
          <w:szCs w:val="16"/>
          <w:color w:val="000000"/>
        </w:rPr>
        <w:t>BS,  Economics</w:t>
      </w:r>
    </w:p>
    <w:p>
      <w:pPr>
        <w:spacing w:after="0" w:line="1199" w:lineRule="exact"/>
        <w:rPr>
          <w:sz w:val="20"/>
          <w:szCs w:val="20"/>
          <w:color w:val="auto"/>
        </w:rPr>
      </w:pPr>
    </w:p>
    <w:p>
      <w:pPr>
        <w:sectPr>
          <w:pgSz w:w="11900" w:h="16838" w:orient="portrait"/>
          <w:cols w:equalWidth="0" w:num="3">
            <w:col w:w="1980" w:space="340"/>
            <w:col w:w="3240" w:space="700"/>
            <w:col w:w="3460"/>
          </w:cols>
          <w:pgMar w:left="1080" w:top="695" w:right="1099" w:bottom="1440" w:gutter="0" w:footer="0" w:header="0"/>
          <w:type w:val="continuous"/>
        </w:sectPr>
      </w:pPr>
    </w:p>
    <w:p>
      <w:pPr>
        <w:spacing w:after="0" w:line="23" w:lineRule="exact"/>
        <w:rPr>
          <w:sz w:val="20"/>
          <w:szCs w:val="20"/>
          <w:color w:val="auto"/>
        </w:rPr>
      </w:pPr>
    </w:p>
    <w:p>
      <w:pPr>
        <w:ind w:left="780" w:right="180"/>
        <w:spacing w:after="0" w:line="313" w:lineRule="auto"/>
        <w:rPr>
          <w:sz w:val="20"/>
          <w:szCs w:val="20"/>
          <w:color w:val="auto"/>
        </w:rPr>
      </w:pPr>
      <w:r>
        <w:rPr>
          <w:rFonts w:ascii="Arial" w:cs="Arial" w:eastAsia="Arial" w:hAnsi="Arial"/>
          <w:sz w:val="16"/>
          <w:szCs w:val="16"/>
          <w:b w:val="1"/>
          <w:bCs w:val="1"/>
          <w:color w:val="auto"/>
        </w:rPr>
        <w:t xml:space="preserve">Active or Former C-Suite Executive: </w:t>
      </w:r>
      <w:r>
        <w:rPr>
          <w:rFonts w:ascii="Arial" w:cs="Arial" w:eastAsia="Arial" w:hAnsi="Arial"/>
          <w:sz w:val="16"/>
          <w:szCs w:val="16"/>
          <w:color w:val="auto"/>
        </w:rPr>
        <w:t>As President and Chief Executive Ofcer of The Directors’</w:t>
      </w:r>
      <w:r>
        <w:rPr>
          <w:rFonts w:ascii="Arial" w:cs="Arial" w:eastAsia="Arial" w:hAnsi="Arial"/>
          <w:sz w:val="16"/>
          <w:szCs w:val="16"/>
          <w:b w:val="1"/>
          <w:bCs w:val="1"/>
          <w:color w:val="auto"/>
        </w:rPr>
        <w:t xml:space="preserve"> </w:t>
      </w:r>
      <w:r>
        <w:rPr>
          <w:rFonts w:ascii="Arial" w:cs="Arial" w:eastAsia="Arial" w:hAnsi="Arial"/>
          <w:sz w:val="16"/>
          <w:szCs w:val="16"/>
          <w:color w:val="auto"/>
        </w:rPr>
        <w:t>Council, Ms. Hooper</w:t>
      </w:r>
      <w:r>
        <w:rPr>
          <w:rFonts w:ascii="Arial" w:cs="Arial" w:eastAsia="Arial" w:hAnsi="Arial"/>
          <w:sz w:val="16"/>
          <w:szCs w:val="16"/>
          <w:b w:val="1"/>
          <w:bCs w:val="1"/>
          <w:color w:val="auto"/>
        </w:rPr>
        <w:t xml:space="preserve"> </w:t>
      </w:r>
      <w:r>
        <w:rPr>
          <w:rFonts w:ascii="Arial" w:cs="Arial" w:eastAsia="Arial" w:hAnsi="Arial"/>
          <w:sz w:val="16"/>
          <w:szCs w:val="16"/>
          <w:color w:val="auto"/>
        </w:rPr>
        <w:t>has consulted with boards of major companies to enhance the efectiveness of their corporate governance.</w:t>
      </w:r>
    </w:p>
    <w:p>
      <w:pPr>
        <w:spacing w:after="0" w:line="128" w:lineRule="exact"/>
        <w:rPr>
          <w:sz w:val="20"/>
          <w:szCs w:val="20"/>
          <w:color w:val="auto"/>
        </w:rPr>
      </w:pPr>
    </w:p>
    <w:p>
      <w:pPr>
        <w:ind w:left="780" w:right="1040"/>
        <w:spacing w:after="0" w:line="255" w:lineRule="auto"/>
        <w:rPr>
          <w:sz w:val="20"/>
          <w:szCs w:val="20"/>
          <w:color w:val="auto"/>
        </w:rPr>
      </w:pPr>
      <w:r>
        <w:rPr>
          <w:rFonts w:ascii="Arial" w:cs="Arial" w:eastAsia="Arial" w:hAnsi="Arial"/>
          <w:sz w:val="16"/>
          <w:szCs w:val="16"/>
          <w:b w:val="1"/>
          <w:bCs w:val="1"/>
          <w:color w:val="auto"/>
        </w:rPr>
        <w:t xml:space="preserve">Governance and Current or Former Public Company Board: </w:t>
      </w:r>
      <w:r>
        <w:rPr>
          <w:rFonts w:ascii="Arial" w:cs="Arial" w:eastAsia="Arial" w:hAnsi="Arial"/>
          <w:sz w:val="16"/>
          <w:szCs w:val="16"/>
          <w:color w:val="auto"/>
        </w:rPr>
        <w:t>Ms. Hooper has been a director of Target</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Corporation, Warner Music Group Corporation and PPG Industries, Inc. and she is currently a director at</w:t>
      </w:r>
    </w:p>
    <w:p>
      <w:pPr>
        <w:spacing w:after="0" w:line="1" w:lineRule="exact"/>
        <w:rPr>
          <w:sz w:val="20"/>
          <w:szCs w:val="20"/>
          <w:color w:val="auto"/>
        </w:rPr>
      </w:pPr>
    </w:p>
    <w:p>
      <w:pPr>
        <w:ind w:left="780"/>
        <w:spacing w:after="0"/>
        <w:rPr>
          <w:sz w:val="20"/>
          <w:szCs w:val="20"/>
          <w:color w:val="auto"/>
        </w:rPr>
      </w:pPr>
      <w:r>
        <w:rPr>
          <w:rFonts w:ascii="Arial" w:cs="Arial" w:eastAsia="Arial" w:hAnsi="Arial"/>
          <w:sz w:val="16"/>
          <w:szCs w:val="16"/>
          <w:color w:val="auto"/>
        </w:rPr>
        <w:t>UnitedHealth  Group,  Inc.</w:t>
      </w:r>
    </w:p>
    <w:p>
      <w:pPr>
        <w:spacing w:after="0" w:line="221" w:lineRule="exact"/>
        <w:rPr>
          <w:sz w:val="20"/>
          <w:szCs w:val="20"/>
          <w:color w:val="auto"/>
        </w:rPr>
      </w:pPr>
    </w:p>
    <w:p>
      <w:pPr>
        <w:ind w:left="780" w:right="160"/>
        <w:spacing w:after="0" w:line="255" w:lineRule="auto"/>
        <w:rPr>
          <w:sz w:val="20"/>
          <w:szCs w:val="20"/>
          <w:color w:val="auto"/>
        </w:rPr>
      </w:pPr>
      <w:r>
        <w:rPr>
          <w:rFonts w:ascii="Arial" w:cs="Arial" w:eastAsia="Arial" w:hAnsi="Arial"/>
          <w:sz w:val="16"/>
          <w:szCs w:val="16"/>
          <w:b w:val="1"/>
          <w:bCs w:val="1"/>
          <w:color w:val="auto"/>
        </w:rPr>
        <w:t xml:space="preserve">Finance / Accounting / Capital Allocation: </w:t>
      </w:r>
      <w:r>
        <w:rPr>
          <w:rFonts w:ascii="Arial" w:cs="Arial" w:eastAsia="Arial" w:hAnsi="Arial"/>
          <w:sz w:val="16"/>
          <w:szCs w:val="16"/>
          <w:color w:val="auto"/>
        </w:rPr>
        <w:t>Through her extensive experience as a chief executive ofcer of various</w:t>
      </w:r>
      <w:r>
        <w:rPr>
          <w:rFonts w:ascii="Arial" w:cs="Arial" w:eastAsia="Arial" w:hAnsi="Arial"/>
          <w:sz w:val="16"/>
          <w:szCs w:val="16"/>
          <w:b w:val="1"/>
          <w:bCs w:val="1"/>
          <w:color w:val="auto"/>
        </w:rPr>
        <w:t xml:space="preserve"> </w:t>
      </w:r>
      <w:r>
        <w:rPr>
          <w:rFonts w:ascii="Arial" w:cs="Arial" w:eastAsia="Arial" w:hAnsi="Arial"/>
          <w:sz w:val="16"/>
          <w:szCs w:val="16"/>
          <w:color w:val="auto"/>
        </w:rPr>
        <w:t>companies, Ms. Hooper has gained a broad base of knowledge regarding fnancial statements and fnancial</w:t>
      </w:r>
    </w:p>
    <w:p>
      <w:pPr>
        <w:spacing w:after="0" w:line="1" w:lineRule="exact"/>
        <w:rPr>
          <w:sz w:val="20"/>
          <w:szCs w:val="20"/>
          <w:color w:val="auto"/>
        </w:rPr>
      </w:pPr>
    </w:p>
    <w:p>
      <w:pPr>
        <w:ind w:left="780"/>
        <w:spacing w:after="0"/>
        <w:rPr>
          <w:sz w:val="20"/>
          <w:szCs w:val="20"/>
          <w:color w:val="auto"/>
        </w:rPr>
      </w:pPr>
      <w:r>
        <w:rPr>
          <w:rFonts w:ascii="Arial" w:cs="Arial" w:eastAsia="Arial" w:hAnsi="Arial"/>
          <w:sz w:val="16"/>
          <w:szCs w:val="16"/>
          <w:color w:val="auto"/>
        </w:rPr>
        <w:t>strategy.</w:t>
      </w:r>
    </w:p>
    <w:p>
      <w:pPr>
        <w:spacing w:after="0" w:line="221" w:lineRule="exact"/>
        <w:rPr>
          <w:sz w:val="20"/>
          <w:szCs w:val="20"/>
          <w:color w:val="auto"/>
        </w:rPr>
      </w:pPr>
    </w:p>
    <w:p>
      <w:pPr>
        <w:ind w:left="780"/>
        <w:spacing w:after="0"/>
        <w:rPr>
          <w:sz w:val="20"/>
          <w:szCs w:val="20"/>
          <w:color w:val="auto"/>
        </w:rPr>
      </w:pPr>
      <w:r>
        <w:rPr>
          <w:rFonts w:ascii="Arial" w:cs="Arial" w:eastAsia="Arial" w:hAnsi="Arial"/>
          <w:sz w:val="16"/>
          <w:szCs w:val="16"/>
          <w:b w:val="1"/>
          <w:bCs w:val="1"/>
          <w:color w:val="auto"/>
        </w:rPr>
        <w:t xml:space="preserve">Global Operations: </w:t>
      </w:r>
      <w:r>
        <w:rPr>
          <w:rFonts w:ascii="Arial" w:cs="Arial" w:eastAsia="Arial" w:hAnsi="Arial"/>
          <w:sz w:val="16"/>
          <w:szCs w:val="16"/>
          <w:color w:val="auto"/>
        </w:rPr>
        <w:t>Ms.  Hooper  has  experience  as  a  board  member  of  large  companies  with  global  operations.</w:t>
      </w:r>
    </w:p>
    <w:p>
      <w:pPr>
        <w:spacing w:after="0" w:line="329" w:lineRule="exact"/>
        <w:rPr>
          <w:sz w:val="20"/>
          <w:szCs w:val="20"/>
          <w:color w:val="auto"/>
        </w:rPr>
      </w:pPr>
    </w:p>
    <w:p>
      <w:pPr>
        <w:ind w:left="780" w:right="780"/>
        <w:spacing w:after="0" w:line="313" w:lineRule="auto"/>
        <w:rPr>
          <w:sz w:val="20"/>
          <w:szCs w:val="20"/>
          <w:color w:val="auto"/>
        </w:rPr>
      </w:pPr>
      <w:r>
        <w:rPr>
          <w:rFonts w:ascii="Arial" w:cs="Arial" w:eastAsia="Arial" w:hAnsi="Arial"/>
          <w:sz w:val="16"/>
          <w:szCs w:val="16"/>
          <w:b w:val="1"/>
          <w:bCs w:val="1"/>
          <w:color w:val="auto"/>
        </w:rPr>
        <w:t xml:space="preserve">Retail / Brand Management: </w:t>
      </w:r>
      <w:r>
        <w:rPr>
          <w:rFonts w:ascii="Arial" w:cs="Arial" w:eastAsia="Arial" w:hAnsi="Arial"/>
          <w:sz w:val="16"/>
          <w:szCs w:val="16"/>
          <w:color w:val="auto"/>
        </w:rPr>
        <w:t>During her time at Target Corporation and Warner Music Group Corporation,</w:t>
      </w:r>
      <w:r>
        <w:rPr>
          <w:rFonts w:ascii="Arial" w:cs="Arial" w:eastAsia="Arial" w:hAnsi="Arial"/>
          <w:sz w:val="16"/>
          <w:szCs w:val="16"/>
          <w:b w:val="1"/>
          <w:bCs w:val="1"/>
          <w:color w:val="auto"/>
        </w:rPr>
        <w:t xml:space="preserve"> </w:t>
      </w:r>
      <w:r>
        <w:rPr>
          <w:rFonts w:ascii="Arial" w:cs="Arial" w:eastAsia="Arial" w:hAnsi="Arial"/>
          <w:sz w:val="16"/>
          <w:szCs w:val="16"/>
          <w:color w:val="auto"/>
        </w:rPr>
        <w:t>Ms. Hooper gained experience with consumer facing businesses.</w:t>
      </w:r>
    </w:p>
    <w:p>
      <w:pPr>
        <w:spacing w:after="0" w:line="128" w:lineRule="exact"/>
        <w:rPr>
          <w:sz w:val="20"/>
          <w:szCs w:val="20"/>
          <w:color w:val="auto"/>
        </w:rPr>
      </w:pPr>
    </w:p>
    <w:p>
      <w:pPr>
        <w:ind w:left="780" w:right="280"/>
        <w:spacing w:after="0" w:line="255" w:lineRule="auto"/>
        <w:rPr>
          <w:sz w:val="20"/>
          <w:szCs w:val="20"/>
          <w:color w:val="auto"/>
        </w:rPr>
      </w:pPr>
      <w:r>
        <w:rPr>
          <w:rFonts w:ascii="Arial" w:cs="Arial" w:eastAsia="Arial" w:hAnsi="Arial"/>
          <w:sz w:val="16"/>
          <w:szCs w:val="16"/>
          <w:b w:val="1"/>
          <w:bCs w:val="1"/>
          <w:color w:val="auto"/>
        </w:rPr>
        <w:t xml:space="preserve">Risk Management: </w:t>
      </w:r>
      <w:r>
        <w:rPr>
          <w:rFonts w:ascii="Arial" w:cs="Arial" w:eastAsia="Arial" w:hAnsi="Arial"/>
          <w:sz w:val="16"/>
          <w:szCs w:val="16"/>
          <w:color w:val="auto"/>
        </w:rPr>
        <w:t>Ms. Hooper has signifcant public company audit committee experience, with over 20 years of</w:t>
      </w:r>
      <w:r>
        <w:rPr>
          <w:rFonts w:ascii="Arial" w:cs="Arial" w:eastAsia="Arial" w:hAnsi="Arial"/>
          <w:sz w:val="16"/>
          <w:szCs w:val="16"/>
          <w:b w:val="1"/>
          <w:bCs w:val="1"/>
          <w:color w:val="auto"/>
        </w:rPr>
        <w:t xml:space="preserve"> </w:t>
      </w:r>
      <w:r>
        <w:rPr>
          <w:rFonts w:ascii="Arial" w:cs="Arial" w:eastAsia="Arial" w:hAnsi="Arial"/>
          <w:sz w:val="16"/>
          <w:szCs w:val="16"/>
          <w:color w:val="auto"/>
        </w:rPr>
        <w:t>experience chairing audit committees at PPG Industries, Inc., AstraZeneca PLC, Warner Music Group Corporation</w:t>
      </w:r>
    </w:p>
    <w:p>
      <w:pPr>
        <w:spacing w:after="0" w:line="1" w:lineRule="exact"/>
        <w:rPr>
          <w:sz w:val="20"/>
          <w:szCs w:val="20"/>
          <w:color w:val="auto"/>
        </w:rPr>
      </w:pPr>
    </w:p>
    <w:p>
      <w:pPr>
        <w:ind w:left="780" w:right="200"/>
        <w:spacing w:after="0" w:line="279" w:lineRule="auto"/>
        <w:rPr>
          <w:sz w:val="20"/>
          <w:szCs w:val="20"/>
          <w:color w:val="auto"/>
        </w:rPr>
      </w:pPr>
      <w:r>
        <w:rPr>
          <w:rFonts w:ascii="Arial" w:cs="Arial" w:eastAsia="Arial" w:hAnsi="Arial"/>
          <w:sz w:val="16"/>
          <w:szCs w:val="16"/>
          <w:color w:val="auto"/>
        </w:rPr>
        <w:t>and Target Corporation. Ms. Hooper’s corporate governance and accounting experience, along with her experience as a senior executive at a range of companies, provides the Board with a unique set of skills that enhances the Board’s leadership, risk management and oversight capabilities.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2026  Proxy  Statement</w:t>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1414D2"/>
        </w:rPr>
        <w:t>25</w:t>
      </w:r>
    </w:p>
    <w:p>
      <w:pPr>
        <w:sectPr>
          <w:pgSz w:w="11900" w:h="16838" w:orient="portrait"/>
          <w:cols w:equalWidth="0" w:num="1">
            <w:col w:w="9720"/>
          </w:cols>
          <w:pgMar w:left="1080" w:top="695" w:right="109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6D6F71"/>
        </w:rPr>
        <w:t>Item  1  -  Election  of  Directors</w:t>
      </w:r>
    </w:p>
    <w:p>
      <w:pPr>
        <w:spacing w:after="0" w:line="319"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WALTER ISAACSON-</w:t>
      </w:r>
      <w:r>
        <w:rPr>
          <w:rFonts w:ascii="Arial" w:cs="Arial" w:eastAsia="Arial" w:hAnsi="Arial"/>
          <w:sz w:val="16"/>
          <w:szCs w:val="16"/>
          <w:color w:val="auto"/>
        </w:rPr>
        <w:t>Independent  Director</w:t>
      </w:r>
    </w:p>
    <w:p>
      <w:pPr>
        <w:sectPr>
          <w:pgSz w:w="11900" w:h="16838" w:orient="portrait"/>
          <w:cols w:equalWidth="0" w:num="1">
            <w:col w:w="9620"/>
          </w:cols>
          <w:pgMar w:left="1080" w:top="695" w:right="1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100"/>
        <w:spacing w:after="0"/>
        <w:rPr>
          <w:sz w:val="20"/>
          <w:szCs w:val="20"/>
          <w:color w:val="auto"/>
        </w:rPr>
      </w:pPr>
      <w:r>
        <w:rPr>
          <w:rFonts w:ascii="Arial" w:cs="Arial" w:eastAsia="Arial" w:hAnsi="Arial"/>
          <w:sz w:val="16"/>
          <w:szCs w:val="16"/>
          <w:b w:val="1"/>
          <w:bCs w:val="1"/>
          <w:i w:val="1"/>
          <w:iCs w:val="1"/>
          <w:color w:val="1414D2"/>
        </w:rPr>
        <w:t>Director Since</w:t>
      </w:r>
      <w:r>
        <w:rPr>
          <w:rFonts w:ascii="Arial" w:cs="Arial" w:eastAsia="Arial" w:hAnsi="Arial"/>
          <w:sz w:val="16"/>
          <w:szCs w:val="16"/>
          <w:color w:val="1414D2"/>
        </w:rPr>
        <w:t>:</w:t>
      </w:r>
      <w:r>
        <w:rPr>
          <w:rFonts w:ascii="Arial" w:cs="Arial" w:eastAsia="Arial" w:hAnsi="Arial"/>
          <w:sz w:val="16"/>
          <w:szCs w:val="16"/>
          <w:b w:val="1"/>
          <w:bCs w:val="1"/>
          <w:i w:val="1"/>
          <w:iCs w:val="1"/>
          <w:color w:val="1414D2"/>
        </w:rPr>
        <w:t xml:space="preserve">  </w:t>
      </w:r>
      <w:r>
        <w:rPr>
          <w:rFonts w:ascii="Arial" w:cs="Arial" w:eastAsia="Arial" w:hAnsi="Arial"/>
          <w:sz w:val="16"/>
          <w:szCs w:val="16"/>
          <w:color w:val="000000"/>
        </w:rPr>
        <w:t>2006</w:t>
      </w:r>
    </w:p>
    <w:p>
      <w:pPr>
        <w:spacing w:after="0" w:line="113" w:lineRule="exact"/>
        <w:rPr>
          <w:sz w:val="20"/>
          <w:szCs w:val="20"/>
          <w:color w:val="auto"/>
        </w:rPr>
      </w:pPr>
    </w:p>
    <w:p>
      <w:pPr>
        <w:ind w:left="100"/>
        <w:spacing w:after="0"/>
        <w:rPr>
          <w:sz w:val="20"/>
          <w:szCs w:val="20"/>
          <w:color w:val="auto"/>
        </w:rPr>
      </w:pPr>
      <w:r>
        <w:rPr>
          <w:rFonts w:ascii="Arial" w:cs="Arial" w:eastAsia="Arial" w:hAnsi="Arial"/>
          <w:sz w:val="16"/>
          <w:szCs w:val="16"/>
          <w:b w:val="1"/>
          <w:bCs w:val="1"/>
          <w:i w:val="1"/>
          <w:iCs w:val="1"/>
          <w:color w:val="1414D2"/>
        </w:rPr>
        <w:t>Age</w:t>
      </w:r>
      <w:r>
        <w:rPr>
          <w:rFonts w:ascii="Arial" w:cs="Arial" w:eastAsia="Arial" w:hAnsi="Arial"/>
          <w:sz w:val="16"/>
          <w:szCs w:val="16"/>
          <w:color w:val="1414D2"/>
        </w:rPr>
        <w:t>:</w:t>
      </w:r>
      <w:r>
        <w:rPr>
          <w:rFonts w:ascii="Arial" w:cs="Arial" w:eastAsia="Arial" w:hAnsi="Arial"/>
          <w:sz w:val="16"/>
          <w:szCs w:val="16"/>
          <w:b w:val="1"/>
          <w:bCs w:val="1"/>
          <w:i w:val="1"/>
          <w:iCs w:val="1"/>
          <w:color w:val="1414D2"/>
        </w:rPr>
        <w:t xml:space="preserve">  </w:t>
      </w:r>
      <w:r>
        <w:rPr>
          <w:rFonts w:ascii="Arial" w:cs="Arial" w:eastAsia="Arial" w:hAnsi="Arial"/>
          <w:sz w:val="16"/>
          <w:szCs w:val="16"/>
          <w:color w:val="000000"/>
        </w:rPr>
        <w:t>73</w:t>
      </w:r>
    </w:p>
    <w:p>
      <w:pPr>
        <w:spacing w:after="0" w:line="127" w:lineRule="exact"/>
        <w:rPr>
          <w:sz w:val="20"/>
          <w:szCs w:val="20"/>
          <w:color w:val="auto"/>
        </w:rPr>
      </w:pPr>
    </w:p>
    <w:p>
      <w:pPr>
        <w:ind w:left="100"/>
        <w:spacing w:after="0"/>
        <w:rPr>
          <w:sz w:val="20"/>
          <w:szCs w:val="20"/>
          <w:color w:val="auto"/>
        </w:rPr>
      </w:pPr>
      <w:r>
        <w:rPr>
          <w:rFonts w:ascii="Arial" w:cs="Arial" w:eastAsia="Arial" w:hAnsi="Arial"/>
          <w:sz w:val="16"/>
          <w:szCs w:val="16"/>
          <w:b w:val="1"/>
          <w:bCs w:val="1"/>
          <w:i w:val="1"/>
          <w:iCs w:val="1"/>
          <w:color w:val="1414D2"/>
        </w:rPr>
        <w:t>Committees</w:t>
      </w:r>
      <w:r>
        <w:rPr>
          <w:rFonts w:ascii="Arial" w:cs="Arial" w:eastAsia="Arial" w:hAnsi="Arial"/>
          <w:sz w:val="16"/>
          <w:szCs w:val="16"/>
          <w:color w:val="1414D2"/>
        </w:rPr>
        <w:t>:</w:t>
      </w:r>
    </w:p>
    <w:p>
      <w:pPr>
        <w:spacing w:after="0" w:line="11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Public</w:t>
      </w:r>
    </w:p>
    <w:p>
      <w:pPr>
        <w:spacing w:after="0" w:line="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Responsibility  (Chair)</w:t>
      </w:r>
    </w:p>
    <w:p>
      <w:pPr>
        <w:spacing w:after="0" w:line="113" w:lineRule="exact"/>
        <w:rPr>
          <w:sz w:val="20"/>
          <w:szCs w:val="20"/>
          <w:color w:val="auto"/>
        </w:rPr>
      </w:pPr>
    </w:p>
    <w:p>
      <w:pPr>
        <w:ind w:left="100"/>
        <w:spacing w:after="0"/>
        <w:rPr>
          <w:sz w:val="20"/>
          <w:szCs w:val="20"/>
          <w:color w:val="auto"/>
        </w:rPr>
      </w:pPr>
      <w:r>
        <w:rPr>
          <w:rFonts w:ascii="Arial" w:cs="Arial" w:eastAsia="Arial" w:hAnsi="Arial"/>
          <w:sz w:val="16"/>
          <w:szCs w:val="16"/>
          <w:color w:val="auto"/>
        </w:rPr>
        <w:t>Executive</w:t>
      </w:r>
    </w:p>
    <w:p>
      <w:pPr>
        <w:spacing w:after="0" w:line="127" w:lineRule="exact"/>
        <w:rPr>
          <w:sz w:val="20"/>
          <w:szCs w:val="20"/>
          <w:color w:val="auto"/>
        </w:rPr>
      </w:pPr>
    </w:p>
    <w:p>
      <w:pPr>
        <w:ind w:left="100"/>
        <w:spacing w:after="0"/>
        <w:rPr>
          <w:sz w:val="20"/>
          <w:szCs w:val="20"/>
          <w:color w:val="auto"/>
        </w:rPr>
      </w:pPr>
      <w:r>
        <w:rPr>
          <w:rFonts w:ascii="Arial" w:cs="Arial" w:eastAsia="Arial" w:hAnsi="Arial"/>
          <w:sz w:val="16"/>
          <w:szCs w:val="16"/>
          <w:color w:val="auto"/>
        </w:rPr>
        <w:t>Nominating/Governance</w:t>
      </w:r>
    </w:p>
    <w:p>
      <w:pPr>
        <w:spacing w:after="0" w:line="152" w:lineRule="exact"/>
        <w:rPr>
          <w:sz w:val="20"/>
          <w:szCs w:val="20"/>
          <w:color w:val="auto"/>
        </w:rPr>
      </w:pPr>
    </w:p>
    <w:p>
      <w:pPr>
        <w:ind w:left="100"/>
        <w:spacing w:after="0"/>
        <w:rPr>
          <w:sz w:val="20"/>
          <w:szCs w:val="20"/>
          <w:color w:val="auto"/>
        </w:rPr>
      </w:pPr>
      <w:r>
        <w:rPr>
          <w:rFonts w:ascii="Arial" w:cs="Arial" w:eastAsia="Arial" w:hAnsi="Arial"/>
          <w:sz w:val="16"/>
          <w:szCs w:val="16"/>
          <w:b w:val="1"/>
          <w:bCs w:val="1"/>
          <w:i w:val="1"/>
          <w:iCs w:val="1"/>
          <w:color w:val="1414D2"/>
        </w:rPr>
        <w:t>Skills and Qualifcations:</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EXPERIENCE</w:t>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414D2"/>
        </w:rPr>
        <w:t xml:space="preserve">Perella Weinberg Partners LP </w:t>
      </w:r>
      <w:r>
        <w:rPr>
          <w:rFonts w:ascii="Arial" w:cs="Arial" w:eastAsia="Arial" w:hAnsi="Arial"/>
          <w:sz w:val="15"/>
          <w:szCs w:val="15"/>
          <w:color w:val="000000"/>
        </w:rPr>
        <w:t>(fnancial  services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frm)</w:t>
      </w:r>
    </w:p>
    <w:p>
      <w:pPr>
        <w:spacing w:after="0" w:line="11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Advisory  Partner  (2017-present)</w:t>
      </w:r>
    </w:p>
    <w:p>
      <w:pPr>
        <w:spacing w:after="0" w:line="111" w:lineRule="exact"/>
        <w:rPr>
          <w:sz w:val="20"/>
          <w:szCs w:val="20"/>
          <w:color w:val="auto"/>
        </w:rPr>
      </w:pPr>
    </w:p>
    <w:p>
      <w:pPr>
        <w:ind w:right="220"/>
        <w:spacing w:after="0" w:line="315" w:lineRule="auto"/>
        <w:rPr>
          <w:sz w:val="20"/>
          <w:szCs w:val="20"/>
          <w:color w:val="auto"/>
        </w:rPr>
      </w:pPr>
      <w:r>
        <w:rPr>
          <w:rFonts w:ascii="Arial" w:cs="Arial" w:eastAsia="Arial" w:hAnsi="Arial"/>
          <w:sz w:val="16"/>
          <w:szCs w:val="16"/>
          <w:b w:val="1"/>
          <w:bCs w:val="1"/>
          <w:i w:val="1"/>
          <w:iCs w:val="1"/>
          <w:color w:val="1414D2"/>
        </w:rPr>
        <w:t xml:space="preserve">The Aspen Institute </w:t>
      </w:r>
      <w:r>
        <w:rPr>
          <w:rFonts w:ascii="Arial" w:cs="Arial" w:eastAsia="Arial" w:hAnsi="Arial"/>
          <w:sz w:val="16"/>
          <w:szCs w:val="16"/>
          <w:color w:val="000000"/>
        </w:rPr>
        <w:t>(international education</w:t>
      </w:r>
      <w:r>
        <w:rPr>
          <w:rFonts w:ascii="Arial" w:cs="Arial" w:eastAsia="Arial" w:hAnsi="Arial"/>
          <w:sz w:val="16"/>
          <w:szCs w:val="16"/>
          <w:b w:val="1"/>
          <w:bCs w:val="1"/>
          <w:i w:val="1"/>
          <w:iCs w:val="1"/>
          <w:color w:val="1414D2"/>
        </w:rPr>
        <w:t xml:space="preserve"> </w:t>
      </w:r>
      <w:r>
        <w:rPr>
          <w:rFonts w:ascii="Arial" w:cs="Arial" w:eastAsia="Arial" w:hAnsi="Arial"/>
          <w:sz w:val="16"/>
          <w:szCs w:val="16"/>
          <w:color w:val="000000"/>
        </w:rPr>
        <w:t>and leadership institute)</w:t>
      </w:r>
    </w:p>
    <w:p>
      <w:pPr>
        <w:spacing w:after="0" w:line="19" w:lineRule="exact"/>
        <w:rPr>
          <w:sz w:val="20"/>
          <w:szCs w:val="20"/>
          <w:color w:val="auto"/>
        </w:rPr>
      </w:pPr>
    </w:p>
    <w:p>
      <w:pPr>
        <w:ind w:left="200" w:right="460"/>
        <w:spacing w:after="0" w:line="313" w:lineRule="auto"/>
        <w:rPr>
          <w:sz w:val="20"/>
          <w:szCs w:val="20"/>
          <w:color w:val="auto"/>
        </w:rPr>
      </w:pPr>
      <w:r>
        <w:rPr>
          <w:rFonts w:ascii="Arial" w:cs="Arial" w:eastAsia="Arial" w:hAnsi="Arial"/>
          <w:sz w:val="16"/>
          <w:szCs w:val="16"/>
          <w:color w:val="auto"/>
        </w:rPr>
        <w:t>President and Chief Executive Ofcer (2003-2018)</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414D2"/>
        </w:rPr>
        <w:t xml:space="preserve">CNN </w:t>
      </w:r>
      <w:r>
        <w:rPr>
          <w:rFonts w:ascii="Arial" w:cs="Arial" w:eastAsia="Arial" w:hAnsi="Arial"/>
          <w:sz w:val="16"/>
          <w:szCs w:val="16"/>
          <w:color w:val="000000"/>
        </w:rPr>
        <w:t>(media  company)</w:t>
      </w:r>
    </w:p>
    <w:p>
      <w:pPr>
        <w:spacing w:after="0" w:line="115" w:lineRule="exact"/>
        <w:rPr>
          <w:sz w:val="20"/>
          <w:szCs w:val="20"/>
          <w:color w:val="auto"/>
        </w:rPr>
      </w:pPr>
    </w:p>
    <w:p>
      <w:pPr>
        <w:ind w:left="200" w:right="440"/>
        <w:spacing w:after="0" w:line="330" w:lineRule="auto"/>
        <w:rPr>
          <w:sz w:val="20"/>
          <w:szCs w:val="20"/>
          <w:color w:val="auto"/>
        </w:rPr>
      </w:pPr>
      <w:r>
        <w:rPr>
          <w:rFonts w:ascii="Arial" w:cs="Arial" w:eastAsia="Arial" w:hAnsi="Arial"/>
          <w:sz w:val="16"/>
          <w:szCs w:val="16"/>
          <w:color w:val="auto"/>
        </w:rPr>
        <w:t>Chairman and Chief Executive Ofcer (2001-2003)</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ind w:right="20"/>
        <w:spacing w:after="0" w:line="396" w:lineRule="auto"/>
        <w:rPr>
          <w:sz w:val="20"/>
          <w:szCs w:val="20"/>
          <w:color w:val="auto"/>
        </w:rPr>
      </w:pPr>
      <w:r>
        <w:rPr>
          <w:rFonts w:ascii="Arial" w:cs="Arial" w:eastAsia="Arial" w:hAnsi="Arial"/>
          <w:sz w:val="16"/>
          <w:szCs w:val="16"/>
          <w:b w:val="1"/>
          <w:bCs w:val="1"/>
          <w:color w:val="auto"/>
        </w:rPr>
        <w:t xml:space="preserve">OTHER PUBLIC COMPANY DIRECTORSHIPS </w:t>
      </w:r>
      <w:r>
        <w:rPr>
          <w:rFonts w:ascii="Arial" w:cs="Arial" w:eastAsia="Arial" w:hAnsi="Arial"/>
          <w:sz w:val="16"/>
          <w:szCs w:val="16"/>
          <w:color w:val="auto"/>
        </w:rPr>
        <w:t>None</w:t>
      </w:r>
    </w:p>
    <w:p>
      <w:pPr>
        <w:ind w:right="220"/>
        <w:spacing w:after="0" w:line="279" w:lineRule="auto"/>
        <w:rPr>
          <w:sz w:val="20"/>
          <w:szCs w:val="20"/>
          <w:color w:val="auto"/>
        </w:rPr>
      </w:pPr>
      <w:r>
        <w:rPr>
          <w:rFonts w:ascii="Arial" w:cs="Arial" w:eastAsia="Arial" w:hAnsi="Arial"/>
          <w:sz w:val="16"/>
          <w:szCs w:val="16"/>
          <w:b w:val="1"/>
          <w:bCs w:val="1"/>
          <w:color w:val="auto"/>
        </w:rPr>
        <w:t>FORMER PUBLIC COMPANY DIRECTORSHIPS HELD IN THE PAST FIVE YEARS</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EDUCATION</w:t>
      </w:r>
    </w:p>
    <w:p>
      <w:pPr>
        <w:spacing w:after="0" w:line="111" w:lineRule="exact"/>
        <w:rPr>
          <w:sz w:val="20"/>
          <w:szCs w:val="20"/>
          <w:color w:val="auto"/>
        </w:rPr>
      </w:pPr>
    </w:p>
    <w:p>
      <w:pPr>
        <w:ind w:right="140"/>
        <w:spacing w:after="0" w:line="315" w:lineRule="auto"/>
        <w:rPr>
          <w:sz w:val="20"/>
          <w:szCs w:val="20"/>
          <w:color w:val="auto"/>
        </w:rPr>
      </w:pPr>
      <w:r>
        <w:rPr>
          <w:rFonts w:ascii="Arial" w:cs="Arial" w:eastAsia="Arial" w:hAnsi="Arial"/>
          <w:sz w:val="16"/>
          <w:szCs w:val="16"/>
          <w:b w:val="1"/>
          <w:bCs w:val="1"/>
          <w:i w:val="1"/>
          <w:iCs w:val="1"/>
          <w:color w:val="1414D2"/>
        </w:rPr>
        <w:t xml:space="preserve">University of Oxford, </w:t>
      </w:r>
      <w:r>
        <w:rPr>
          <w:rFonts w:ascii="Arial" w:cs="Arial" w:eastAsia="Arial" w:hAnsi="Arial"/>
          <w:sz w:val="16"/>
          <w:szCs w:val="16"/>
          <w:color w:val="000000"/>
        </w:rPr>
        <w:t>Pembroke College, BA,</w:t>
      </w:r>
      <w:r>
        <w:rPr>
          <w:rFonts w:ascii="Arial" w:cs="Arial" w:eastAsia="Arial" w:hAnsi="Arial"/>
          <w:sz w:val="16"/>
          <w:szCs w:val="16"/>
          <w:b w:val="1"/>
          <w:bCs w:val="1"/>
          <w:i w:val="1"/>
          <w:iCs w:val="1"/>
          <w:color w:val="1414D2"/>
        </w:rPr>
        <w:t xml:space="preserve"> </w:t>
      </w:r>
      <w:r>
        <w:rPr>
          <w:rFonts w:ascii="Arial" w:cs="Arial" w:eastAsia="Arial" w:hAnsi="Arial"/>
          <w:sz w:val="16"/>
          <w:szCs w:val="16"/>
          <w:color w:val="000000"/>
        </w:rPr>
        <w:t>Philosophy, Politics and Economics</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414D2"/>
        </w:rPr>
        <w:t xml:space="preserve">Harvard University, </w:t>
      </w:r>
      <w:r>
        <w:rPr>
          <w:rFonts w:ascii="Arial" w:cs="Arial" w:eastAsia="Arial" w:hAnsi="Arial"/>
          <w:sz w:val="15"/>
          <w:szCs w:val="15"/>
          <w:color w:val="000000"/>
        </w:rPr>
        <w:t>AB,  History  and  Literature</w:t>
      </w:r>
    </w:p>
    <w:p>
      <w:pPr>
        <w:spacing w:after="0" w:line="1602" w:lineRule="exact"/>
        <w:rPr>
          <w:sz w:val="20"/>
          <w:szCs w:val="20"/>
          <w:color w:val="auto"/>
        </w:rPr>
      </w:pPr>
    </w:p>
    <w:p>
      <w:pPr>
        <w:sectPr>
          <w:pgSz w:w="11900" w:h="16838" w:orient="portrait"/>
          <w:cols w:equalWidth="0" w:num="3">
            <w:col w:w="1980" w:space="340"/>
            <w:col w:w="3460" w:space="480"/>
            <w:col w:w="3360"/>
          </w:cols>
          <w:pgMar w:left="1080" w:top="695" w:right="1199" w:bottom="1440" w:gutter="0" w:footer="0" w:header="0"/>
          <w:type w:val="continuous"/>
        </w:sectPr>
      </w:pPr>
    </w:p>
    <w:p>
      <w:pPr>
        <w:spacing w:after="0" w:line="23" w:lineRule="exact"/>
        <w:rPr>
          <w:sz w:val="20"/>
          <w:szCs w:val="20"/>
          <w:color w:val="auto"/>
        </w:rPr>
      </w:pPr>
    </w:p>
    <w:p>
      <w:pPr>
        <w:ind w:left="780" w:right="20"/>
        <w:spacing w:after="0" w:line="255" w:lineRule="auto"/>
        <w:rPr>
          <w:sz w:val="20"/>
          <w:szCs w:val="20"/>
          <w:color w:val="auto"/>
        </w:rPr>
      </w:pPr>
      <w:r>
        <w:rPr>
          <w:rFonts w:ascii="Arial" w:cs="Arial" w:eastAsia="Arial" w:hAnsi="Arial"/>
          <w:sz w:val="16"/>
          <w:szCs w:val="16"/>
          <w:b w:val="1"/>
          <w:bCs w:val="1"/>
          <w:color w:val="auto"/>
        </w:rPr>
        <w:t xml:space="preserve">Active or Former C-Suite Executive: </w:t>
      </w:r>
      <w:r>
        <w:rPr>
          <w:rFonts w:ascii="Arial" w:cs="Arial" w:eastAsia="Arial" w:hAnsi="Arial"/>
          <w:sz w:val="16"/>
          <w:szCs w:val="16"/>
          <w:color w:val="auto"/>
        </w:rPr>
        <w:t>Mr. Isaacson has extensive senior leadership experience from his time as the</w:t>
      </w:r>
      <w:r>
        <w:rPr>
          <w:rFonts w:ascii="Arial" w:cs="Arial" w:eastAsia="Arial" w:hAnsi="Arial"/>
          <w:sz w:val="16"/>
          <w:szCs w:val="16"/>
          <w:b w:val="1"/>
          <w:bCs w:val="1"/>
          <w:color w:val="auto"/>
        </w:rPr>
        <w:t xml:space="preserve"> </w:t>
      </w:r>
      <w:r>
        <w:rPr>
          <w:rFonts w:ascii="Arial" w:cs="Arial" w:eastAsia="Arial" w:hAnsi="Arial"/>
          <w:sz w:val="16"/>
          <w:szCs w:val="16"/>
          <w:color w:val="auto"/>
        </w:rPr>
        <w:t>chairman of CNN, the editor of TIME magazine, the Chief Executive Ofcer of The Aspen Institute (where he is now a</w:t>
      </w:r>
    </w:p>
    <w:p>
      <w:pPr>
        <w:spacing w:after="0" w:line="1" w:lineRule="exact"/>
        <w:rPr>
          <w:sz w:val="20"/>
          <w:szCs w:val="20"/>
          <w:color w:val="auto"/>
        </w:rPr>
      </w:pPr>
    </w:p>
    <w:p>
      <w:pPr>
        <w:ind w:left="780" w:right="320"/>
        <w:spacing w:after="0" w:line="313" w:lineRule="auto"/>
        <w:rPr>
          <w:sz w:val="20"/>
          <w:szCs w:val="20"/>
          <w:color w:val="auto"/>
        </w:rPr>
      </w:pPr>
      <w:r>
        <w:rPr>
          <w:rFonts w:ascii="Arial" w:cs="Arial" w:eastAsia="Arial" w:hAnsi="Arial"/>
          <w:sz w:val="16"/>
          <w:szCs w:val="16"/>
          <w:color w:val="auto"/>
        </w:rPr>
        <w:t>Distinguished Fellow), an Advisory Partner at Perella Weinberg Partners, the chair emeritus of Teach for America and the chairman of the Broadcasting Board of Governors.</w:t>
      </w:r>
    </w:p>
    <w:p>
      <w:pPr>
        <w:spacing w:after="0" w:line="114" w:lineRule="exact"/>
        <w:rPr>
          <w:sz w:val="20"/>
          <w:szCs w:val="20"/>
          <w:color w:val="auto"/>
        </w:rPr>
      </w:pPr>
    </w:p>
    <w:p>
      <w:pPr>
        <w:ind w:left="780" w:right="20"/>
        <w:spacing w:after="0" w:line="313" w:lineRule="auto"/>
        <w:rPr>
          <w:sz w:val="20"/>
          <w:szCs w:val="20"/>
          <w:color w:val="auto"/>
        </w:rPr>
      </w:pPr>
      <w:r>
        <w:rPr>
          <w:rFonts w:ascii="Arial" w:cs="Arial" w:eastAsia="Arial" w:hAnsi="Arial"/>
          <w:sz w:val="16"/>
          <w:szCs w:val="16"/>
          <w:b w:val="1"/>
          <w:bCs w:val="1"/>
          <w:color w:val="auto"/>
        </w:rPr>
        <w:t xml:space="preserve">Governance and Current or Former Public Company Board: </w:t>
      </w:r>
      <w:r>
        <w:rPr>
          <w:rFonts w:ascii="Arial" w:cs="Arial" w:eastAsia="Arial" w:hAnsi="Arial"/>
          <w:sz w:val="16"/>
          <w:szCs w:val="16"/>
          <w:color w:val="auto"/>
        </w:rPr>
        <w:t>Mr. Isaacson is the previous chairman of the board of</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of CNN.</w:t>
      </w:r>
    </w:p>
    <w:p>
      <w:pPr>
        <w:spacing w:after="0" w:line="128" w:lineRule="exact"/>
        <w:rPr>
          <w:sz w:val="20"/>
          <w:szCs w:val="20"/>
          <w:color w:val="auto"/>
        </w:rPr>
      </w:pPr>
    </w:p>
    <w:p>
      <w:pPr>
        <w:ind w:left="780" w:right="960"/>
        <w:spacing w:after="0" w:line="313" w:lineRule="auto"/>
        <w:rPr>
          <w:sz w:val="20"/>
          <w:szCs w:val="20"/>
          <w:color w:val="auto"/>
        </w:rPr>
      </w:pPr>
      <w:r>
        <w:rPr>
          <w:rFonts w:ascii="Arial" w:cs="Arial" w:eastAsia="Arial" w:hAnsi="Arial"/>
          <w:sz w:val="16"/>
          <w:szCs w:val="16"/>
          <w:b w:val="1"/>
          <w:bCs w:val="1"/>
          <w:color w:val="auto"/>
        </w:rPr>
        <w:t xml:space="preserve">Global Operations: </w:t>
      </w:r>
      <w:r>
        <w:rPr>
          <w:rFonts w:ascii="Arial" w:cs="Arial" w:eastAsia="Arial" w:hAnsi="Arial"/>
          <w:sz w:val="16"/>
          <w:szCs w:val="16"/>
          <w:color w:val="auto"/>
        </w:rPr>
        <w:t>Mr. Isaacson has experience as a former executive ofcer at large companies with a</w:t>
      </w:r>
      <w:r>
        <w:rPr>
          <w:rFonts w:ascii="Arial" w:cs="Arial" w:eastAsia="Arial" w:hAnsi="Arial"/>
          <w:sz w:val="16"/>
          <w:szCs w:val="16"/>
          <w:b w:val="1"/>
          <w:bCs w:val="1"/>
          <w:color w:val="auto"/>
        </w:rPr>
        <w:t xml:space="preserve"> </w:t>
      </w:r>
      <w:r>
        <w:rPr>
          <w:rFonts w:ascii="Arial" w:cs="Arial" w:eastAsia="Arial" w:hAnsi="Arial"/>
          <w:sz w:val="16"/>
          <w:szCs w:val="16"/>
          <w:color w:val="auto"/>
        </w:rPr>
        <w:t>multinational presence.</w:t>
      </w:r>
    </w:p>
    <w:p>
      <w:pPr>
        <w:sectPr>
          <w:pgSz w:w="11900" w:h="16838" w:orient="portrait"/>
          <w:cols w:equalWidth="0" w:num="1">
            <w:col w:w="9620"/>
          </w:cols>
          <w:pgMar w:left="1080" w:top="695" w:right="11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7620"/>
        <w:spacing w:after="0"/>
        <w:rPr>
          <w:sz w:val="20"/>
          <w:szCs w:val="20"/>
          <w:color w:val="auto"/>
        </w:rPr>
      </w:pPr>
      <w:r>
        <w:rPr>
          <w:rFonts w:ascii="Arial" w:cs="Arial" w:eastAsia="Arial" w:hAnsi="Arial"/>
          <w:sz w:val="16"/>
          <w:szCs w:val="16"/>
          <w:color w:val="auto"/>
        </w:rPr>
        <w:t>​​2026​  Proxy</w:t>
      </w:r>
    </w:p>
    <w:p>
      <w:pPr>
        <w:spacing w:after="0" w:line="5" w:lineRule="exact"/>
        <w:rPr>
          <w:sz w:val="20"/>
          <w:szCs w:val="20"/>
          <w:color w:val="auto"/>
        </w:rPr>
      </w:pPr>
    </w:p>
    <w:p>
      <w:pPr>
        <w:ind w:left="660" w:hanging="656"/>
        <w:spacing w:after="0"/>
        <w:tabs>
          <w:tab w:leader="none" w:pos="660" w:val="left"/>
        </w:tabs>
        <w:numPr>
          <w:ilvl w:val="0"/>
          <w:numId w:val="31"/>
        </w:numPr>
        <w:rPr>
          <w:rFonts w:ascii="Arial" w:cs="Arial" w:eastAsia="Arial" w:hAnsi="Arial"/>
          <w:sz w:val="16"/>
          <w:szCs w:val="16"/>
          <w:b w:val="1"/>
          <w:bCs w:val="1"/>
          <w:color w:val="1414D2"/>
        </w:rPr>
      </w:pPr>
      <w:r>
        <w:rPr>
          <w:rFonts w:ascii="Arial" w:cs="Arial" w:eastAsia="Arial" w:hAnsi="Arial"/>
          <w:sz w:val="16"/>
          <w:szCs w:val="16"/>
          <w:color w:val="auto"/>
        </w:rPr>
        <w:t>Statement</w:t>
      </w:r>
    </w:p>
    <w:p>
      <w:pPr>
        <w:sectPr>
          <w:pgSz w:w="11900" w:h="16838" w:orient="portrait"/>
          <w:cols w:equalWidth="0" w:num="1">
            <w:col w:w="9620"/>
          </w:cols>
          <w:pgMar w:left="1080" w:top="695" w:right="119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27" w:lineRule="exact"/>
        <w:rPr>
          <w:sz w:val="20"/>
          <w:szCs w:val="20"/>
          <w:color w:val="auto"/>
        </w:rPr>
      </w:pPr>
    </w:p>
    <w:p>
      <w:pPr>
        <w:jc w:val="right"/>
        <w:spacing w:after="0"/>
        <w:rPr>
          <w:sz w:val="20"/>
          <w:szCs w:val="20"/>
          <w:color w:val="auto"/>
        </w:rPr>
      </w:pPr>
      <w:r>
        <w:rPr>
          <w:rFonts w:ascii="Arial" w:cs="Arial" w:eastAsia="Arial" w:hAnsi="Arial"/>
          <w:sz w:val="14"/>
          <w:szCs w:val="14"/>
          <w:color w:val="6D6F71"/>
        </w:rPr>
        <w:t>Item  1  -  Election  of  Directors</w:t>
      </w:r>
    </w:p>
    <w:p>
      <w:pPr>
        <w:spacing w:after="0" w:line="319"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J. SCOTT KIRBY-</w:t>
      </w:r>
      <w:r>
        <w:rPr>
          <w:rFonts w:ascii="Arial" w:cs="Arial" w:eastAsia="Arial" w:hAnsi="Arial"/>
          <w:sz w:val="16"/>
          <w:szCs w:val="16"/>
          <w:color w:val="auto"/>
        </w:rPr>
        <w:t>Chief  Executive  Ofcer  and  Director</w:t>
      </w:r>
    </w:p>
    <w:p>
      <w:pPr>
        <w:sectPr>
          <w:pgSz w:w="11900" w:h="16838" w:orient="portrait"/>
          <w:cols w:equalWidth="0" w:num="1">
            <w:col w:w="9720"/>
          </w:cols>
          <w:pgMar w:left="1080" w:top="695"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100"/>
        <w:spacing w:after="0"/>
        <w:rPr>
          <w:sz w:val="20"/>
          <w:szCs w:val="20"/>
          <w:color w:val="auto"/>
        </w:rPr>
      </w:pPr>
      <w:r>
        <w:rPr>
          <w:rFonts w:ascii="Arial" w:cs="Arial" w:eastAsia="Arial" w:hAnsi="Arial"/>
          <w:sz w:val="16"/>
          <w:szCs w:val="16"/>
          <w:b w:val="1"/>
          <w:bCs w:val="1"/>
          <w:i w:val="1"/>
          <w:iCs w:val="1"/>
          <w:color w:val="1414D2"/>
        </w:rPr>
        <w:t>Director Since</w:t>
      </w:r>
      <w:r>
        <w:rPr>
          <w:rFonts w:ascii="Arial" w:cs="Arial" w:eastAsia="Arial" w:hAnsi="Arial"/>
          <w:sz w:val="16"/>
          <w:szCs w:val="16"/>
          <w:color w:val="1414D2"/>
        </w:rPr>
        <w:t>:</w:t>
      </w:r>
      <w:r>
        <w:rPr>
          <w:rFonts w:ascii="Arial" w:cs="Arial" w:eastAsia="Arial" w:hAnsi="Arial"/>
          <w:sz w:val="16"/>
          <w:szCs w:val="16"/>
          <w:b w:val="1"/>
          <w:bCs w:val="1"/>
          <w:i w:val="1"/>
          <w:iCs w:val="1"/>
          <w:color w:val="1414D2"/>
        </w:rPr>
        <w:t xml:space="preserve">  </w:t>
      </w:r>
      <w:r>
        <w:rPr>
          <w:rFonts w:ascii="Arial" w:cs="Arial" w:eastAsia="Arial" w:hAnsi="Arial"/>
          <w:sz w:val="16"/>
          <w:szCs w:val="16"/>
          <w:color w:val="000000"/>
        </w:rPr>
        <w:t>2020</w:t>
      </w:r>
    </w:p>
    <w:p>
      <w:pPr>
        <w:spacing w:after="0" w:line="113" w:lineRule="exact"/>
        <w:rPr>
          <w:sz w:val="20"/>
          <w:szCs w:val="20"/>
          <w:color w:val="auto"/>
        </w:rPr>
      </w:pPr>
    </w:p>
    <w:p>
      <w:pPr>
        <w:ind w:left="100"/>
        <w:spacing w:after="0"/>
        <w:rPr>
          <w:sz w:val="20"/>
          <w:szCs w:val="20"/>
          <w:color w:val="auto"/>
        </w:rPr>
      </w:pPr>
      <w:r>
        <w:rPr>
          <w:rFonts w:ascii="Arial" w:cs="Arial" w:eastAsia="Arial" w:hAnsi="Arial"/>
          <w:sz w:val="16"/>
          <w:szCs w:val="16"/>
          <w:b w:val="1"/>
          <w:bCs w:val="1"/>
          <w:i w:val="1"/>
          <w:iCs w:val="1"/>
          <w:color w:val="1414D2"/>
        </w:rPr>
        <w:t>Age</w:t>
      </w:r>
      <w:r>
        <w:rPr>
          <w:rFonts w:ascii="Arial" w:cs="Arial" w:eastAsia="Arial" w:hAnsi="Arial"/>
          <w:sz w:val="16"/>
          <w:szCs w:val="16"/>
          <w:color w:val="1414D2"/>
        </w:rPr>
        <w:t>:</w:t>
      </w:r>
      <w:r>
        <w:rPr>
          <w:rFonts w:ascii="Arial" w:cs="Arial" w:eastAsia="Arial" w:hAnsi="Arial"/>
          <w:sz w:val="16"/>
          <w:szCs w:val="16"/>
          <w:b w:val="1"/>
          <w:bCs w:val="1"/>
          <w:i w:val="1"/>
          <w:iCs w:val="1"/>
          <w:color w:val="1414D2"/>
        </w:rPr>
        <w:t xml:space="preserve">  </w:t>
      </w:r>
      <w:r>
        <w:rPr>
          <w:rFonts w:ascii="Arial" w:cs="Arial" w:eastAsia="Arial" w:hAnsi="Arial"/>
          <w:sz w:val="16"/>
          <w:szCs w:val="16"/>
          <w:color w:val="000000"/>
        </w:rPr>
        <w:t>58</w:t>
      </w:r>
    </w:p>
    <w:p>
      <w:pPr>
        <w:spacing w:after="0" w:line="127" w:lineRule="exact"/>
        <w:rPr>
          <w:sz w:val="20"/>
          <w:szCs w:val="20"/>
          <w:color w:val="auto"/>
        </w:rPr>
      </w:pPr>
    </w:p>
    <w:p>
      <w:pPr>
        <w:ind w:left="100"/>
        <w:spacing w:after="0"/>
        <w:rPr>
          <w:sz w:val="20"/>
          <w:szCs w:val="20"/>
          <w:color w:val="auto"/>
        </w:rPr>
      </w:pPr>
      <w:r>
        <w:rPr>
          <w:rFonts w:ascii="Arial" w:cs="Arial" w:eastAsia="Arial" w:hAnsi="Arial"/>
          <w:sz w:val="16"/>
          <w:szCs w:val="16"/>
          <w:b w:val="1"/>
          <w:bCs w:val="1"/>
          <w:i w:val="1"/>
          <w:iCs w:val="1"/>
          <w:color w:val="1414D2"/>
        </w:rPr>
        <w:t>Committees</w:t>
      </w:r>
      <w:r>
        <w:rPr>
          <w:rFonts w:ascii="Arial" w:cs="Arial" w:eastAsia="Arial" w:hAnsi="Arial"/>
          <w:sz w:val="16"/>
          <w:szCs w:val="16"/>
          <w:color w:val="1414D2"/>
        </w:rPr>
        <w:t>:</w:t>
      </w:r>
    </w:p>
    <w:p>
      <w:pPr>
        <w:spacing w:after="0" w:line="11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Executive</w:t>
      </w:r>
    </w:p>
    <w:p>
      <w:pPr>
        <w:spacing w:after="0" w:line="113" w:lineRule="exact"/>
        <w:rPr>
          <w:sz w:val="20"/>
          <w:szCs w:val="20"/>
          <w:color w:val="auto"/>
        </w:rPr>
      </w:pPr>
    </w:p>
    <w:p>
      <w:pPr>
        <w:ind w:left="100"/>
        <w:spacing w:after="0"/>
        <w:rPr>
          <w:sz w:val="20"/>
          <w:szCs w:val="20"/>
          <w:color w:val="auto"/>
        </w:rPr>
      </w:pPr>
      <w:r>
        <w:rPr>
          <w:rFonts w:ascii="Arial" w:cs="Arial" w:eastAsia="Arial" w:hAnsi="Arial"/>
          <w:sz w:val="16"/>
          <w:szCs w:val="16"/>
          <w:color w:val="auto"/>
        </w:rPr>
        <w:t>Finance</w:t>
      </w:r>
    </w:p>
    <w:p>
      <w:pPr>
        <w:spacing w:after="0" w:line="152" w:lineRule="exact"/>
        <w:rPr>
          <w:sz w:val="20"/>
          <w:szCs w:val="20"/>
          <w:color w:val="auto"/>
        </w:rPr>
      </w:pPr>
    </w:p>
    <w:p>
      <w:pPr>
        <w:ind w:left="100"/>
        <w:spacing w:after="0"/>
        <w:rPr>
          <w:sz w:val="20"/>
          <w:szCs w:val="20"/>
          <w:color w:val="auto"/>
        </w:rPr>
      </w:pPr>
      <w:r>
        <w:rPr>
          <w:rFonts w:ascii="Arial" w:cs="Arial" w:eastAsia="Arial" w:hAnsi="Arial"/>
          <w:sz w:val="15"/>
          <w:szCs w:val="15"/>
          <w:b w:val="1"/>
          <w:bCs w:val="1"/>
          <w:i w:val="1"/>
          <w:iCs w:val="1"/>
          <w:color w:val="1414D2"/>
        </w:rPr>
        <w:t>Skills and Qualifcations:</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EXPERIENCE</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414D2"/>
        </w:rPr>
        <w:t>United Airlines Holdings, Inc.</w:t>
      </w:r>
    </w:p>
    <w:p>
      <w:pPr>
        <w:spacing w:after="0" w:line="12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Chief  Executive  Ofcer  (2020-present)</w:t>
      </w:r>
    </w:p>
    <w:p>
      <w:pPr>
        <w:spacing w:after="0" w:line="11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President  (2016-2020)</w:t>
      </w:r>
    </w:p>
    <w:p>
      <w:pPr>
        <w:spacing w:after="0" w:line="111" w:lineRule="exact"/>
        <w:rPr>
          <w:sz w:val="20"/>
          <w:szCs w:val="20"/>
          <w:color w:val="auto"/>
        </w:rPr>
      </w:pPr>
    </w:p>
    <w:p>
      <w:pPr>
        <w:ind w:right="480"/>
        <w:spacing w:after="0" w:line="373" w:lineRule="auto"/>
        <w:rPr>
          <w:sz w:val="20"/>
          <w:szCs w:val="20"/>
          <w:color w:val="auto"/>
        </w:rPr>
      </w:pPr>
      <w:r>
        <w:rPr>
          <w:rFonts w:ascii="Arial" w:cs="Arial" w:eastAsia="Arial" w:hAnsi="Arial"/>
          <w:sz w:val="14"/>
          <w:szCs w:val="14"/>
          <w:b w:val="1"/>
          <w:bCs w:val="1"/>
          <w:i w:val="1"/>
          <w:iCs w:val="1"/>
          <w:color w:val="1414D2"/>
        </w:rPr>
        <w:t xml:space="preserve">American Airlines Group and American Airlines, Inc. </w:t>
      </w:r>
      <w:r>
        <w:rPr>
          <w:rFonts w:ascii="Arial" w:cs="Arial" w:eastAsia="Arial" w:hAnsi="Arial"/>
          <w:sz w:val="14"/>
          <w:szCs w:val="14"/>
          <w:color w:val="000000"/>
        </w:rPr>
        <w:t>(airline company)</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President  (2013-2016)</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414D2"/>
        </w:rPr>
        <w:t xml:space="preserve">US Airways </w:t>
      </w:r>
      <w:r>
        <w:rPr>
          <w:rFonts w:ascii="Arial" w:cs="Arial" w:eastAsia="Arial" w:hAnsi="Arial"/>
          <w:sz w:val="16"/>
          <w:szCs w:val="16"/>
          <w:color w:val="000000"/>
        </w:rPr>
        <w:t>(airline  company)</w:t>
      </w:r>
    </w:p>
    <w:p>
      <w:pPr>
        <w:spacing w:after="0" w:line="11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President  (2006-2013)</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PUBLIC COMPANY DIRECTORSHIPS</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414D2"/>
        </w:rPr>
        <w:t>CVS Health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(2023-present)</w:t>
      </w:r>
    </w:p>
    <w:p>
      <w:pPr>
        <w:spacing w:after="0" w:line="113" w:lineRule="exact"/>
        <w:rPr>
          <w:sz w:val="20"/>
          <w:szCs w:val="20"/>
          <w:color w:val="auto"/>
        </w:rPr>
      </w:pPr>
    </w:p>
    <w:p>
      <w:pPr>
        <w:ind w:right="320"/>
        <w:spacing w:after="0" w:line="279" w:lineRule="auto"/>
        <w:rPr>
          <w:sz w:val="20"/>
          <w:szCs w:val="20"/>
          <w:color w:val="auto"/>
        </w:rPr>
      </w:pPr>
      <w:r>
        <w:rPr>
          <w:rFonts w:ascii="Arial" w:cs="Arial" w:eastAsia="Arial" w:hAnsi="Arial"/>
          <w:sz w:val="16"/>
          <w:szCs w:val="16"/>
          <w:b w:val="1"/>
          <w:bCs w:val="1"/>
          <w:color w:val="auto"/>
        </w:rPr>
        <w:t>FORMER PUBLIC COMPANY DIRECTORSHIPS HELD IN THE PAST FIVE YEARS</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EDUCATION</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414D2"/>
        </w:rPr>
        <w:t>The George Washington University</w:t>
      </w:r>
      <w:r>
        <w:rPr>
          <w:rFonts w:ascii="Arial" w:cs="Arial" w:eastAsia="Arial" w:hAnsi="Arial"/>
          <w:sz w:val="16"/>
          <w:szCs w:val="16"/>
          <w:color w:val="1414D2"/>
        </w:rPr>
        <w:t>,</w:t>
      </w:r>
      <w:r>
        <w:rPr>
          <w:rFonts w:ascii="Arial" w:cs="Arial" w:eastAsia="Arial" w:hAnsi="Arial"/>
          <w:sz w:val="16"/>
          <w:szCs w:val="16"/>
          <w:b w:val="1"/>
          <w:bCs w:val="1"/>
          <w:i w:val="1"/>
          <w:iCs w:val="1"/>
          <w:color w:val="1414D2"/>
        </w:rPr>
        <w:t xml:space="preserve">  </w:t>
      </w:r>
      <w:r>
        <w:rPr>
          <w:rFonts w:ascii="Arial" w:cs="Arial" w:eastAsia="Arial" w:hAnsi="Arial"/>
          <w:sz w:val="16"/>
          <w:szCs w:val="16"/>
          <w:color w:val="000000"/>
        </w:rPr>
        <w:t>MS,</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Operations  Research</w:t>
      </w:r>
    </w:p>
    <w:p>
      <w:pPr>
        <w:spacing w:after="0" w:line="125" w:lineRule="exact"/>
        <w:rPr>
          <w:sz w:val="20"/>
          <w:szCs w:val="20"/>
          <w:color w:val="auto"/>
        </w:rPr>
      </w:pPr>
    </w:p>
    <w:p>
      <w:pPr>
        <w:ind w:right="140"/>
        <w:spacing w:after="0" w:line="315" w:lineRule="auto"/>
        <w:rPr>
          <w:sz w:val="20"/>
          <w:szCs w:val="20"/>
          <w:color w:val="auto"/>
        </w:rPr>
      </w:pPr>
      <w:r>
        <w:rPr>
          <w:rFonts w:ascii="Arial" w:cs="Arial" w:eastAsia="Arial" w:hAnsi="Arial"/>
          <w:sz w:val="16"/>
          <w:szCs w:val="16"/>
          <w:b w:val="1"/>
          <w:bCs w:val="1"/>
          <w:i w:val="1"/>
          <w:iCs w:val="1"/>
          <w:color w:val="1414D2"/>
        </w:rPr>
        <w:t xml:space="preserve">United States Air Force Academy, </w:t>
      </w:r>
      <w:r>
        <w:rPr>
          <w:rFonts w:ascii="Arial" w:cs="Arial" w:eastAsia="Arial" w:hAnsi="Arial"/>
          <w:sz w:val="16"/>
          <w:szCs w:val="16"/>
          <w:color w:val="000000"/>
        </w:rPr>
        <w:t>BS,</w:t>
      </w:r>
      <w:r>
        <w:rPr>
          <w:rFonts w:ascii="Arial" w:cs="Arial" w:eastAsia="Arial" w:hAnsi="Arial"/>
          <w:sz w:val="16"/>
          <w:szCs w:val="16"/>
          <w:b w:val="1"/>
          <w:bCs w:val="1"/>
          <w:i w:val="1"/>
          <w:iCs w:val="1"/>
          <w:color w:val="1414D2"/>
        </w:rPr>
        <w:t xml:space="preserve"> </w:t>
      </w:r>
      <w:r>
        <w:rPr>
          <w:rFonts w:ascii="Arial" w:cs="Arial" w:eastAsia="Arial" w:hAnsi="Arial"/>
          <w:sz w:val="16"/>
          <w:szCs w:val="16"/>
          <w:color w:val="000000"/>
        </w:rPr>
        <w:t>Computer Science and Operations Research</w:t>
      </w:r>
    </w:p>
    <w:p>
      <w:pPr>
        <w:spacing w:after="0" w:line="578" w:lineRule="exact"/>
        <w:rPr>
          <w:sz w:val="20"/>
          <w:szCs w:val="20"/>
          <w:color w:val="auto"/>
        </w:rPr>
      </w:pPr>
    </w:p>
    <w:p>
      <w:pPr>
        <w:sectPr>
          <w:pgSz w:w="11900" w:h="16838" w:orient="portrait"/>
          <w:cols w:equalWidth="0" w:num="3">
            <w:col w:w="1860" w:space="400"/>
            <w:col w:w="3280" w:space="720"/>
            <w:col w:w="3460"/>
          </w:cols>
          <w:pgMar w:left="1080" w:top="695" w:right="1099" w:bottom="1440" w:gutter="0" w:footer="0" w:header="0"/>
          <w:type w:val="continuous"/>
        </w:sectPr>
      </w:pPr>
    </w:p>
    <w:p>
      <w:pPr>
        <w:spacing w:after="0" w:line="35" w:lineRule="exact"/>
        <w:rPr>
          <w:sz w:val="20"/>
          <w:szCs w:val="20"/>
          <w:color w:val="auto"/>
        </w:rPr>
      </w:pPr>
    </w:p>
    <w:p>
      <w:pPr>
        <w:ind w:left="780" w:right="260"/>
        <w:spacing w:after="0" w:line="255" w:lineRule="auto"/>
        <w:rPr>
          <w:sz w:val="20"/>
          <w:szCs w:val="20"/>
          <w:color w:val="auto"/>
        </w:rPr>
      </w:pPr>
      <w:r>
        <w:rPr>
          <w:rFonts w:ascii="Arial" w:cs="Arial" w:eastAsia="Arial" w:hAnsi="Arial"/>
          <w:sz w:val="16"/>
          <w:szCs w:val="16"/>
          <w:b w:val="1"/>
          <w:bCs w:val="1"/>
          <w:color w:val="auto"/>
        </w:rPr>
        <w:t xml:space="preserve">Active or Former C-Suite Executive: </w:t>
      </w:r>
      <w:r>
        <w:rPr>
          <w:rFonts w:ascii="Arial" w:cs="Arial" w:eastAsia="Arial" w:hAnsi="Arial"/>
          <w:sz w:val="16"/>
          <w:szCs w:val="16"/>
          <w:color w:val="auto"/>
        </w:rPr>
        <w:t>As our Chief Executive Ofcer, Mr. Kirby is responsible for the Company’s</w:t>
      </w:r>
      <w:r>
        <w:rPr>
          <w:rFonts w:ascii="Arial" w:cs="Arial" w:eastAsia="Arial" w:hAnsi="Arial"/>
          <w:sz w:val="16"/>
          <w:szCs w:val="16"/>
          <w:b w:val="1"/>
          <w:bCs w:val="1"/>
          <w:color w:val="auto"/>
        </w:rPr>
        <w:t xml:space="preserve"> </w:t>
      </w:r>
      <w:r>
        <w:rPr>
          <w:rFonts w:ascii="Arial" w:cs="Arial" w:eastAsia="Arial" w:hAnsi="Arial"/>
          <w:sz w:val="16"/>
          <w:szCs w:val="16"/>
          <w:color w:val="auto"/>
        </w:rPr>
        <w:t>business and ongoing operations and management’s eforts to implement the strategic priorities identifed by the</w:t>
      </w:r>
    </w:p>
    <w:p>
      <w:pPr>
        <w:spacing w:after="0" w:line="1" w:lineRule="exact"/>
        <w:rPr>
          <w:sz w:val="20"/>
          <w:szCs w:val="20"/>
          <w:color w:val="auto"/>
        </w:rPr>
      </w:pPr>
    </w:p>
    <w:p>
      <w:pPr>
        <w:ind w:left="780"/>
        <w:spacing w:after="0"/>
        <w:rPr>
          <w:sz w:val="20"/>
          <w:szCs w:val="20"/>
          <w:color w:val="auto"/>
        </w:rPr>
      </w:pPr>
      <w:r>
        <w:rPr>
          <w:rFonts w:ascii="Arial" w:cs="Arial" w:eastAsia="Arial" w:hAnsi="Arial"/>
          <w:sz w:val="16"/>
          <w:szCs w:val="16"/>
          <w:color w:val="auto"/>
        </w:rPr>
        <w:t>Board.</w:t>
      </w:r>
    </w:p>
    <w:p>
      <w:pPr>
        <w:spacing w:after="0" w:line="221" w:lineRule="exact"/>
        <w:rPr>
          <w:sz w:val="20"/>
          <w:szCs w:val="20"/>
          <w:color w:val="auto"/>
        </w:rPr>
      </w:pPr>
    </w:p>
    <w:p>
      <w:pPr>
        <w:ind w:left="780" w:right="280"/>
        <w:spacing w:after="0" w:line="313" w:lineRule="auto"/>
        <w:rPr>
          <w:sz w:val="20"/>
          <w:szCs w:val="20"/>
          <w:color w:val="auto"/>
        </w:rPr>
      </w:pPr>
      <w:r>
        <w:rPr>
          <w:rFonts w:ascii="Arial" w:cs="Arial" w:eastAsia="Arial" w:hAnsi="Arial"/>
          <w:sz w:val="16"/>
          <w:szCs w:val="16"/>
          <w:b w:val="1"/>
          <w:bCs w:val="1"/>
          <w:color w:val="auto"/>
        </w:rPr>
        <w:t xml:space="preserve">Air / Travel / Transportation: </w:t>
      </w:r>
      <w:r>
        <w:rPr>
          <w:rFonts w:ascii="Arial" w:cs="Arial" w:eastAsia="Arial" w:hAnsi="Arial"/>
          <w:sz w:val="16"/>
          <w:szCs w:val="16"/>
          <w:color w:val="auto"/>
        </w:rPr>
        <w:t>Through his time at US Airways, American Airlines, Inc. and now with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Mr. Kirby has extensive and valuable experience in the airline industry.</w:t>
      </w:r>
    </w:p>
    <w:p>
      <w:pPr>
        <w:spacing w:after="0" w:line="128" w:lineRule="exact"/>
        <w:rPr>
          <w:sz w:val="20"/>
          <w:szCs w:val="20"/>
          <w:color w:val="auto"/>
        </w:rPr>
      </w:pPr>
    </w:p>
    <w:p>
      <w:pPr>
        <w:ind w:left="780" w:right="100"/>
        <w:spacing w:after="0" w:line="313" w:lineRule="auto"/>
        <w:rPr>
          <w:sz w:val="20"/>
          <w:szCs w:val="20"/>
          <w:color w:val="auto"/>
        </w:rPr>
      </w:pPr>
      <w:r>
        <w:rPr>
          <w:rFonts w:ascii="Arial" w:cs="Arial" w:eastAsia="Arial" w:hAnsi="Arial"/>
          <w:sz w:val="16"/>
          <w:szCs w:val="16"/>
          <w:b w:val="1"/>
          <w:bCs w:val="1"/>
          <w:color w:val="auto"/>
        </w:rPr>
        <w:t xml:space="preserve">Governance and Current or Former Public Company Board: </w:t>
      </w:r>
      <w:r>
        <w:rPr>
          <w:rFonts w:ascii="Arial" w:cs="Arial" w:eastAsia="Arial" w:hAnsi="Arial"/>
          <w:sz w:val="16"/>
          <w:szCs w:val="16"/>
          <w:color w:val="auto"/>
        </w:rPr>
        <w:t>Mr. Kirby currently serves on the board of directors of</w:t>
      </w:r>
      <w:r>
        <w:rPr>
          <w:rFonts w:ascii="Arial" w:cs="Arial" w:eastAsia="Arial" w:hAnsi="Arial"/>
          <w:sz w:val="16"/>
          <w:szCs w:val="16"/>
          <w:b w:val="1"/>
          <w:bCs w:val="1"/>
          <w:color w:val="auto"/>
        </w:rPr>
        <w:t xml:space="preserve"> </w:t>
      </w:r>
      <w:r>
        <w:rPr>
          <w:rFonts w:ascii="Arial" w:cs="Arial" w:eastAsia="Arial" w:hAnsi="Arial"/>
          <w:sz w:val="16"/>
          <w:szCs w:val="16"/>
          <w:color w:val="auto"/>
        </w:rPr>
        <w:t>CVS Health Corporation.</w:t>
      </w:r>
    </w:p>
    <w:p>
      <w:pPr>
        <w:spacing w:after="0" w:line="128" w:lineRule="exact"/>
        <w:rPr>
          <w:sz w:val="20"/>
          <w:szCs w:val="20"/>
          <w:color w:val="auto"/>
        </w:rPr>
      </w:pPr>
    </w:p>
    <w:p>
      <w:pPr>
        <w:ind w:left="780" w:right="520"/>
        <w:spacing w:after="0" w:line="255" w:lineRule="auto"/>
        <w:rPr>
          <w:sz w:val="20"/>
          <w:szCs w:val="20"/>
          <w:color w:val="auto"/>
        </w:rPr>
      </w:pPr>
      <w:r>
        <w:rPr>
          <w:rFonts w:ascii="Arial" w:cs="Arial" w:eastAsia="Arial" w:hAnsi="Arial"/>
          <w:sz w:val="16"/>
          <w:szCs w:val="16"/>
          <w:b w:val="1"/>
          <w:bCs w:val="1"/>
          <w:color w:val="auto"/>
        </w:rPr>
        <w:t xml:space="preserve">Finance / Accounting / Capital Allocation: </w:t>
      </w:r>
      <w:r>
        <w:rPr>
          <w:rFonts w:ascii="Arial" w:cs="Arial" w:eastAsia="Arial" w:hAnsi="Arial"/>
          <w:sz w:val="16"/>
          <w:szCs w:val="16"/>
          <w:color w:val="auto"/>
        </w:rPr>
        <w:t>Mr. Kirby brings to the Board valuable expertise based on his</w:t>
      </w:r>
      <w:r>
        <w:rPr>
          <w:rFonts w:ascii="Arial" w:cs="Arial" w:eastAsia="Arial" w:hAnsi="Arial"/>
          <w:sz w:val="16"/>
          <w:szCs w:val="16"/>
          <w:b w:val="1"/>
          <w:bCs w:val="1"/>
          <w:color w:val="auto"/>
        </w:rPr>
        <w:t xml:space="preserve"> </w:t>
      </w:r>
      <w:r>
        <w:rPr>
          <w:rFonts w:ascii="Arial" w:cs="Arial" w:eastAsia="Arial" w:hAnsi="Arial"/>
          <w:sz w:val="16"/>
          <w:szCs w:val="16"/>
          <w:color w:val="auto"/>
        </w:rPr>
        <w:t>development and implementation of the Company’s strategic growth plans, including its fnancial strategies, in</w:t>
      </w:r>
    </w:p>
    <w:p>
      <w:pPr>
        <w:spacing w:after="0" w:line="1" w:lineRule="exact"/>
        <w:rPr>
          <w:sz w:val="20"/>
          <w:szCs w:val="20"/>
          <w:color w:val="auto"/>
        </w:rPr>
      </w:pPr>
    </w:p>
    <w:p>
      <w:pPr>
        <w:ind w:left="780"/>
        <w:spacing w:after="0"/>
        <w:rPr>
          <w:sz w:val="20"/>
          <w:szCs w:val="20"/>
          <w:color w:val="auto"/>
        </w:rPr>
      </w:pPr>
      <w:r>
        <w:rPr>
          <w:rFonts w:ascii="Arial" w:cs="Arial" w:eastAsia="Arial" w:hAnsi="Arial"/>
          <w:sz w:val="16"/>
          <w:szCs w:val="16"/>
          <w:color w:val="auto"/>
        </w:rPr>
        <w:t>connection  with  his  role  as  Chief  Executive  Ofcer  and  President  of  the  Company.</w:t>
      </w:r>
    </w:p>
    <w:p>
      <w:pPr>
        <w:spacing w:after="0" w:line="221" w:lineRule="exact"/>
        <w:rPr>
          <w:sz w:val="20"/>
          <w:szCs w:val="20"/>
          <w:color w:val="auto"/>
        </w:rPr>
      </w:pPr>
    </w:p>
    <w:p>
      <w:pPr>
        <w:ind w:left="780"/>
        <w:spacing w:after="0"/>
        <w:rPr>
          <w:sz w:val="20"/>
          <w:szCs w:val="20"/>
          <w:color w:val="auto"/>
        </w:rPr>
      </w:pPr>
      <w:r>
        <w:rPr>
          <w:rFonts w:ascii="Arial" w:cs="Arial" w:eastAsia="Arial" w:hAnsi="Arial"/>
          <w:sz w:val="16"/>
          <w:szCs w:val="16"/>
          <w:b w:val="1"/>
          <w:bCs w:val="1"/>
          <w:color w:val="auto"/>
        </w:rPr>
        <w:t>Global Operations</w:t>
      </w:r>
      <w:r>
        <w:rPr>
          <w:rFonts w:ascii="Arial" w:cs="Arial" w:eastAsia="Arial" w:hAnsi="Arial"/>
          <w:sz w:val="16"/>
          <w:szCs w:val="16"/>
          <w:color w:val="auto"/>
        </w:rPr>
        <w:t>:  Mr.  Kirby  has  key  expertise  in  the  Company’s  domestic  and  international  operations.</w:t>
      </w:r>
    </w:p>
    <w:p>
      <w:pPr>
        <w:spacing w:after="0" w:line="329" w:lineRule="exact"/>
        <w:rPr>
          <w:sz w:val="20"/>
          <w:szCs w:val="20"/>
          <w:color w:val="auto"/>
        </w:rPr>
      </w:pPr>
    </w:p>
    <w:p>
      <w:pPr>
        <w:ind w:left="780" w:right="220"/>
        <w:spacing w:after="0" w:line="313" w:lineRule="auto"/>
        <w:rPr>
          <w:sz w:val="20"/>
          <w:szCs w:val="20"/>
          <w:color w:val="auto"/>
        </w:rPr>
      </w:pPr>
      <w:r>
        <w:rPr>
          <w:rFonts w:ascii="Arial" w:cs="Arial" w:eastAsia="Arial" w:hAnsi="Arial"/>
          <w:sz w:val="16"/>
          <w:szCs w:val="16"/>
          <w:b w:val="1"/>
          <w:bCs w:val="1"/>
          <w:color w:val="auto"/>
        </w:rPr>
        <w:t xml:space="preserve">Retail / Brand Management: </w:t>
      </w:r>
      <w:r>
        <w:rPr>
          <w:rFonts w:ascii="Arial" w:cs="Arial" w:eastAsia="Arial" w:hAnsi="Arial"/>
          <w:sz w:val="16"/>
          <w:szCs w:val="16"/>
          <w:color w:val="auto"/>
        </w:rPr>
        <w:t>Mr. Kirby brings valuable expertise to the Board from his experience with marketing,</w:t>
      </w:r>
      <w:r>
        <w:rPr>
          <w:rFonts w:ascii="Arial" w:cs="Arial" w:eastAsia="Arial" w:hAnsi="Arial"/>
          <w:sz w:val="16"/>
          <w:szCs w:val="16"/>
          <w:b w:val="1"/>
          <w:bCs w:val="1"/>
          <w:color w:val="auto"/>
        </w:rPr>
        <w:t xml:space="preserve"> </w:t>
      </w:r>
      <w:r>
        <w:rPr>
          <w:rFonts w:ascii="Arial" w:cs="Arial" w:eastAsia="Arial" w:hAnsi="Arial"/>
          <w:sz w:val="16"/>
          <w:szCs w:val="16"/>
          <w:color w:val="auto"/>
        </w:rPr>
        <w:t>sales, alliances and network planning at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2026  Proxy  Statement</w:t>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1414D2"/>
        </w:rPr>
        <w:t>27</w:t>
      </w:r>
    </w:p>
    <w:p>
      <w:pPr>
        <w:sectPr>
          <w:pgSz w:w="11900" w:h="16838" w:orient="portrait"/>
          <w:cols w:equalWidth="0" w:num="1">
            <w:col w:w="9720"/>
          </w:cols>
          <w:pgMar w:left="1080" w:top="695" w:right="109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6D6F71"/>
        </w:rPr>
        <w:t>Item  1  -  Election  of  Directors</w:t>
      </w:r>
    </w:p>
    <w:p>
      <w:pPr>
        <w:spacing w:after="0" w:line="319"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EDWARD M. PHILIP-</w:t>
      </w:r>
      <w:r>
        <w:rPr>
          <w:rFonts w:ascii="Arial" w:cs="Arial" w:eastAsia="Arial" w:hAnsi="Arial"/>
          <w:sz w:val="16"/>
          <w:szCs w:val="16"/>
          <w:color w:val="auto"/>
        </w:rPr>
        <w:t>Chairman  of  the  Board  and  Independent  Director</w:t>
      </w:r>
    </w:p>
    <w:p>
      <w:pPr>
        <w:sectPr>
          <w:pgSz w:w="11900" w:h="16838" w:orient="portrait"/>
          <w:cols w:equalWidth="0" w:num="1">
            <w:col w:w="9600"/>
          </w:cols>
          <w:pgMar w:left="1080" w:top="695" w:right="1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00"/>
        <w:spacing w:after="0"/>
        <w:rPr>
          <w:sz w:val="20"/>
          <w:szCs w:val="20"/>
          <w:color w:val="auto"/>
        </w:rPr>
      </w:pPr>
      <w:r>
        <w:rPr>
          <w:rFonts w:ascii="Arial" w:cs="Arial" w:eastAsia="Arial" w:hAnsi="Arial"/>
          <w:sz w:val="16"/>
          <w:szCs w:val="16"/>
          <w:b w:val="1"/>
          <w:bCs w:val="1"/>
          <w:i w:val="1"/>
          <w:iCs w:val="1"/>
          <w:color w:val="1414D2"/>
        </w:rPr>
        <w:t>Director Since</w:t>
      </w:r>
      <w:r>
        <w:rPr>
          <w:rFonts w:ascii="Arial" w:cs="Arial" w:eastAsia="Arial" w:hAnsi="Arial"/>
          <w:sz w:val="16"/>
          <w:szCs w:val="16"/>
          <w:color w:val="1414D2"/>
        </w:rPr>
        <w:t>:</w:t>
      </w:r>
      <w:r>
        <w:rPr>
          <w:rFonts w:ascii="Arial" w:cs="Arial" w:eastAsia="Arial" w:hAnsi="Arial"/>
          <w:sz w:val="16"/>
          <w:szCs w:val="16"/>
          <w:b w:val="1"/>
          <w:bCs w:val="1"/>
          <w:i w:val="1"/>
          <w:iCs w:val="1"/>
          <w:color w:val="1414D2"/>
        </w:rPr>
        <w:t xml:space="preserve">  </w:t>
      </w:r>
      <w:r>
        <w:rPr>
          <w:rFonts w:ascii="Arial" w:cs="Arial" w:eastAsia="Arial" w:hAnsi="Arial"/>
          <w:sz w:val="16"/>
          <w:szCs w:val="16"/>
          <w:color w:val="000000"/>
        </w:rPr>
        <w:t>2016</w:t>
      </w:r>
    </w:p>
    <w:p>
      <w:pPr>
        <w:spacing w:after="0" w:line="113" w:lineRule="exact"/>
        <w:rPr>
          <w:sz w:val="20"/>
          <w:szCs w:val="20"/>
          <w:color w:val="auto"/>
        </w:rPr>
      </w:pPr>
    </w:p>
    <w:p>
      <w:pPr>
        <w:ind w:left="100"/>
        <w:spacing w:after="0"/>
        <w:rPr>
          <w:sz w:val="20"/>
          <w:szCs w:val="20"/>
          <w:color w:val="auto"/>
        </w:rPr>
      </w:pPr>
      <w:r>
        <w:rPr>
          <w:rFonts w:ascii="Arial" w:cs="Arial" w:eastAsia="Arial" w:hAnsi="Arial"/>
          <w:sz w:val="16"/>
          <w:szCs w:val="16"/>
          <w:b w:val="1"/>
          <w:bCs w:val="1"/>
          <w:i w:val="1"/>
          <w:iCs w:val="1"/>
          <w:color w:val="1414D2"/>
        </w:rPr>
        <w:t>Age</w:t>
      </w:r>
      <w:r>
        <w:rPr>
          <w:rFonts w:ascii="Arial" w:cs="Arial" w:eastAsia="Arial" w:hAnsi="Arial"/>
          <w:sz w:val="16"/>
          <w:szCs w:val="16"/>
          <w:color w:val="1414D2"/>
        </w:rPr>
        <w:t>:</w:t>
      </w:r>
      <w:r>
        <w:rPr>
          <w:rFonts w:ascii="Arial" w:cs="Arial" w:eastAsia="Arial" w:hAnsi="Arial"/>
          <w:sz w:val="16"/>
          <w:szCs w:val="16"/>
          <w:b w:val="1"/>
          <w:bCs w:val="1"/>
          <w:i w:val="1"/>
          <w:iCs w:val="1"/>
          <w:color w:val="1414D2"/>
        </w:rPr>
        <w:t xml:space="preserve">  </w:t>
      </w:r>
      <w:r>
        <w:rPr>
          <w:rFonts w:ascii="Arial" w:cs="Arial" w:eastAsia="Arial" w:hAnsi="Arial"/>
          <w:sz w:val="16"/>
          <w:szCs w:val="16"/>
          <w:color w:val="000000"/>
        </w:rPr>
        <w:t>61</w:t>
      </w:r>
    </w:p>
    <w:p>
      <w:pPr>
        <w:spacing w:after="0" w:line="127" w:lineRule="exact"/>
        <w:rPr>
          <w:sz w:val="20"/>
          <w:szCs w:val="20"/>
          <w:color w:val="auto"/>
        </w:rPr>
      </w:pPr>
    </w:p>
    <w:p>
      <w:pPr>
        <w:ind w:left="100"/>
        <w:spacing w:after="0"/>
        <w:rPr>
          <w:sz w:val="20"/>
          <w:szCs w:val="20"/>
          <w:color w:val="auto"/>
        </w:rPr>
      </w:pPr>
      <w:r>
        <w:rPr>
          <w:rFonts w:ascii="Arial" w:cs="Arial" w:eastAsia="Arial" w:hAnsi="Arial"/>
          <w:sz w:val="16"/>
          <w:szCs w:val="16"/>
          <w:b w:val="1"/>
          <w:bCs w:val="1"/>
          <w:i w:val="1"/>
          <w:iCs w:val="1"/>
          <w:color w:val="1414D2"/>
        </w:rPr>
        <w:t>Committees</w:t>
      </w:r>
      <w:r>
        <w:rPr>
          <w:rFonts w:ascii="Arial" w:cs="Arial" w:eastAsia="Arial" w:hAnsi="Arial"/>
          <w:sz w:val="16"/>
          <w:szCs w:val="16"/>
          <w:color w:val="1414D2"/>
        </w:rPr>
        <w:t>:</w:t>
      </w:r>
    </w:p>
    <w:p>
      <w:pPr>
        <w:spacing w:after="0" w:line="11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Executive  (Chair)</w:t>
      </w:r>
    </w:p>
    <w:p>
      <w:pPr>
        <w:spacing w:after="0" w:line="113" w:lineRule="exact"/>
        <w:rPr>
          <w:sz w:val="20"/>
          <w:szCs w:val="20"/>
          <w:color w:val="auto"/>
        </w:rPr>
      </w:pPr>
    </w:p>
    <w:p>
      <w:pPr>
        <w:ind w:left="100"/>
        <w:spacing w:after="0"/>
        <w:rPr>
          <w:sz w:val="20"/>
          <w:szCs w:val="20"/>
          <w:color w:val="auto"/>
        </w:rPr>
      </w:pPr>
      <w:r>
        <w:rPr>
          <w:rFonts w:ascii="Arial" w:cs="Arial" w:eastAsia="Arial" w:hAnsi="Arial"/>
          <w:sz w:val="16"/>
          <w:szCs w:val="16"/>
          <w:color w:val="auto"/>
        </w:rPr>
        <w:t>Nominating/</w:t>
      </w:r>
    </w:p>
    <w:p>
      <w:pPr>
        <w:spacing w:after="0" w:line="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Governance  (Chair)</w:t>
      </w:r>
    </w:p>
    <w:p>
      <w:pPr>
        <w:spacing w:after="0" w:line="127" w:lineRule="exact"/>
        <w:rPr>
          <w:sz w:val="20"/>
          <w:szCs w:val="20"/>
          <w:color w:val="auto"/>
        </w:rPr>
      </w:pPr>
    </w:p>
    <w:p>
      <w:pPr>
        <w:ind w:left="100"/>
        <w:spacing w:after="0"/>
        <w:rPr>
          <w:sz w:val="20"/>
          <w:szCs w:val="20"/>
          <w:color w:val="auto"/>
        </w:rPr>
      </w:pPr>
      <w:r>
        <w:rPr>
          <w:rFonts w:ascii="Arial" w:cs="Arial" w:eastAsia="Arial" w:hAnsi="Arial"/>
          <w:sz w:val="16"/>
          <w:szCs w:val="16"/>
          <w:color w:val="auto"/>
        </w:rPr>
        <w:t>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00"/>
        <w:spacing w:after="0"/>
        <w:rPr>
          <w:sz w:val="20"/>
          <w:szCs w:val="20"/>
          <w:color w:val="auto"/>
        </w:rPr>
      </w:pPr>
      <w:r>
        <w:rPr>
          <w:rFonts w:ascii="Arial" w:cs="Arial" w:eastAsia="Arial" w:hAnsi="Arial"/>
          <w:sz w:val="15"/>
          <w:szCs w:val="15"/>
          <w:b w:val="1"/>
          <w:bCs w:val="1"/>
          <w:i w:val="1"/>
          <w:iCs w:val="1"/>
          <w:color w:val="1414D2"/>
        </w:rPr>
        <w:t>Skills and Qualifcations:</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EXPERIENCE</w:t>
      </w:r>
    </w:p>
    <w:p>
      <w:pPr>
        <w:spacing w:after="0" w:line="111" w:lineRule="exact"/>
        <w:rPr>
          <w:sz w:val="20"/>
          <w:szCs w:val="20"/>
          <w:color w:val="auto"/>
        </w:rPr>
      </w:pPr>
    </w:p>
    <w:p>
      <w:pPr>
        <w:ind w:right="500"/>
        <w:spacing w:after="0" w:line="327" w:lineRule="auto"/>
        <w:rPr>
          <w:sz w:val="20"/>
          <w:szCs w:val="20"/>
          <w:color w:val="auto"/>
        </w:rPr>
      </w:pPr>
      <w:r>
        <w:rPr>
          <w:rFonts w:ascii="Arial" w:cs="Arial" w:eastAsia="Arial" w:hAnsi="Arial"/>
          <w:sz w:val="16"/>
          <w:szCs w:val="16"/>
          <w:b w:val="1"/>
          <w:bCs w:val="1"/>
          <w:i w:val="1"/>
          <w:iCs w:val="1"/>
          <w:color w:val="1414D2"/>
        </w:rPr>
        <w:t xml:space="preserve">Partners in Health </w:t>
      </w:r>
      <w:r>
        <w:rPr>
          <w:rFonts w:ascii="Arial" w:cs="Arial" w:eastAsia="Arial" w:hAnsi="Arial"/>
          <w:sz w:val="16"/>
          <w:szCs w:val="16"/>
          <w:color w:val="000000"/>
        </w:rPr>
        <w:t>(non-proft healthcare</w:t>
      </w:r>
      <w:r>
        <w:rPr>
          <w:rFonts w:ascii="Arial" w:cs="Arial" w:eastAsia="Arial" w:hAnsi="Arial"/>
          <w:sz w:val="16"/>
          <w:szCs w:val="16"/>
          <w:b w:val="1"/>
          <w:bCs w:val="1"/>
          <w:i w:val="1"/>
          <w:iCs w:val="1"/>
          <w:color w:val="1414D2"/>
        </w:rPr>
        <w:t xml:space="preserve"> </w:t>
      </w:r>
      <w:r>
        <w:rPr>
          <w:rFonts w:ascii="Arial" w:cs="Arial" w:eastAsia="Arial" w:hAnsi="Arial"/>
          <w:sz w:val="16"/>
          <w:szCs w:val="16"/>
          <w:color w:val="000000"/>
        </w:rPr>
        <w:t>organization)</w:t>
      </w:r>
    </w:p>
    <w:p>
      <w:pPr>
        <w:ind w:left="200"/>
        <w:spacing w:after="0"/>
        <w:rPr>
          <w:sz w:val="20"/>
          <w:szCs w:val="20"/>
          <w:color w:val="auto"/>
        </w:rPr>
      </w:pPr>
      <w:r>
        <w:rPr>
          <w:rFonts w:ascii="Arial" w:cs="Arial" w:eastAsia="Arial" w:hAnsi="Arial"/>
          <w:sz w:val="16"/>
          <w:szCs w:val="16"/>
          <w:color w:val="auto"/>
        </w:rPr>
        <w:t>Chief  Operating  Ofcer  (2013-2017)</w:t>
      </w:r>
    </w:p>
    <w:p>
      <w:pPr>
        <w:spacing w:after="0" w:line="111" w:lineRule="exact"/>
        <w:rPr>
          <w:sz w:val="20"/>
          <w:szCs w:val="20"/>
          <w:color w:val="auto"/>
        </w:rPr>
      </w:pPr>
    </w:p>
    <w:p>
      <w:pPr>
        <w:ind w:right="540"/>
        <w:spacing w:after="0" w:line="315" w:lineRule="auto"/>
        <w:rPr>
          <w:sz w:val="20"/>
          <w:szCs w:val="20"/>
          <w:color w:val="auto"/>
        </w:rPr>
      </w:pPr>
      <w:r>
        <w:rPr>
          <w:rFonts w:ascii="Arial" w:cs="Arial" w:eastAsia="Arial" w:hAnsi="Arial"/>
          <w:sz w:val="16"/>
          <w:szCs w:val="16"/>
          <w:b w:val="1"/>
          <w:bCs w:val="1"/>
          <w:i w:val="1"/>
          <w:iCs w:val="1"/>
          <w:color w:val="1414D2"/>
        </w:rPr>
        <w:t xml:space="preserve">Highland Consumer Fund </w:t>
      </w:r>
      <w:r>
        <w:rPr>
          <w:rFonts w:ascii="Arial" w:cs="Arial" w:eastAsia="Arial" w:hAnsi="Arial"/>
          <w:sz w:val="16"/>
          <w:szCs w:val="16"/>
          <w:color w:val="000000"/>
        </w:rPr>
        <w:t>(private equity</w:t>
      </w:r>
      <w:r>
        <w:rPr>
          <w:rFonts w:ascii="Arial" w:cs="Arial" w:eastAsia="Arial" w:hAnsi="Arial"/>
          <w:sz w:val="16"/>
          <w:szCs w:val="16"/>
          <w:b w:val="1"/>
          <w:bCs w:val="1"/>
          <w:i w:val="1"/>
          <w:iCs w:val="1"/>
          <w:color w:val="1414D2"/>
        </w:rPr>
        <w:t xml:space="preserve"> </w:t>
      </w:r>
      <w:r>
        <w:rPr>
          <w:rFonts w:ascii="Arial" w:cs="Arial" w:eastAsia="Arial" w:hAnsi="Arial"/>
          <w:sz w:val="16"/>
          <w:szCs w:val="16"/>
          <w:color w:val="000000"/>
        </w:rPr>
        <w:t>company)</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Special  Partner  (2013-2017)</w:t>
      </w:r>
    </w:p>
    <w:p>
      <w:pPr>
        <w:spacing w:after="0" w:line="113" w:lineRule="exact"/>
        <w:rPr>
          <w:sz w:val="20"/>
          <w:szCs w:val="20"/>
          <w:color w:val="auto"/>
        </w:rPr>
      </w:pPr>
    </w:p>
    <w:p>
      <w:pPr>
        <w:ind w:left="200" w:right="20"/>
        <w:spacing w:after="0" w:line="313" w:lineRule="auto"/>
        <w:rPr>
          <w:sz w:val="20"/>
          <w:szCs w:val="20"/>
          <w:color w:val="auto"/>
        </w:rPr>
      </w:pPr>
      <w:r>
        <w:rPr>
          <w:rFonts w:ascii="Arial" w:cs="Arial" w:eastAsia="Arial" w:hAnsi="Arial"/>
          <w:sz w:val="16"/>
          <w:szCs w:val="16"/>
          <w:color w:val="auto"/>
        </w:rPr>
        <w:t>Co-Founder and Managing General Partner (2006-2013)</w:t>
      </w:r>
    </w:p>
    <w:p>
      <w:pPr>
        <w:spacing w:after="0" w:line="4" w:lineRule="exact"/>
        <w:rPr>
          <w:sz w:val="20"/>
          <w:szCs w:val="20"/>
          <w:color w:val="auto"/>
        </w:rPr>
      </w:pPr>
    </w:p>
    <w:p>
      <w:pPr>
        <w:spacing w:after="0" w:line="327" w:lineRule="auto"/>
        <w:rPr>
          <w:sz w:val="20"/>
          <w:szCs w:val="20"/>
          <w:color w:val="auto"/>
        </w:rPr>
      </w:pPr>
      <w:r>
        <w:rPr>
          <w:rFonts w:ascii="Arial" w:cs="Arial" w:eastAsia="Arial" w:hAnsi="Arial"/>
          <w:sz w:val="16"/>
          <w:szCs w:val="16"/>
          <w:b w:val="1"/>
          <w:bCs w:val="1"/>
          <w:i w:val="1"/>
          <w:iCs w:val="1"/>
          <w:color w:val="1414D2"/>
        </w:rPr>
        <w:t xml:space="preserve">Decision Matrix Group </w:t>
      </w:r>
      <w:r>
        <w:rPr>
          <w:rFonts w:ascii="Arial" w:cs="Arial" w:eastAsia="Arial" w:hAnsi="Arial"/>
          <w:sz w:val="16"/>
          <w:szCs w:val="16"/>
          <w:color w:val="000000"/>
        </w:rPr>
        <w:t>(research and consulting</w:t>
      </w:r>
      <w:r>
        <w:rPr>
          <w:rFonts w:ascii="Arial" w:cs="Arial" w:eastAsia="Arial" w:hAnsi="Arial"/>
          <w:sz w:val="16"/>
          <w:szCs w:val="16"/>
          <w:b w:val="1"/>
          <w:bCs w:val="1"/>
          <w:i w:val="1"/>
          <w:iCs w:val="1"/>
          <w:color w:val="1414D2"/>
        </w:rPr>
        <w:t xml:space="preserve"> </w:t>
      </w:r>
      <w:r>
        <w:rPr>
          <w:rFonts w:ascii="Arial" w:cs="Arial" w:eastAsia="Arial" w:hAnsi="Arial"/>
          <w:sz w:val="16"/>
          <w:szCs w:val="16"/>
          <w:color w:val="000000"/>
        </w:rPr>
        <w:t>frm)</w:t>
      </w:r>
    </w:p>
    <w:p>
      <w:pPr>
        <w:ind w:left="200"/>
        <w:spacing w:after="0" w:line="313" w:lineRule="auto"/>
        <w:rPr>
          <w:sz w:val="20"/>
          <w:szCs w:val="20"/>
          <w:color w:val="auto"/>
        </w:rPr>
      </w:pPr>
      <w:r>
        <w:rPr>
          <w:rFonts w:ascii="Arial" w:cs="Arial" w:eastAsia="Arial" w:hAnsi="Arial"/>
          <w:sz w:val="16"/>
          <w:szCs w:val="16"/>
          <w:color w:val="auto"/>
        </w:rPr>
        <w:t>President and Chief Executive Ofcer (2004-2005)</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414D2"/>
        </w:rPr>
        <w:t xml:space="preserve">Lycos, Inc. </w:t>
      </w:r>
      <w:r>
        <w:rPr>
          <w:rFonts w:ascii="Arial" w:cs="Arial" w:eastAsia="Arial" w:hAnsi="Arial"/>
          <w:sz w:val="16"/>
          <w:szCs w:val="16"/>
          <w:color w:val="000000"/>
        </w:rPr>
        <w:t>(internet  search  company)</w:t>
      </w:r>
    </w:p>
    <w:p>
      <w:pPr>
        <w:spacing w:after="0" w:line="115" w:lineRule="exact"/>
        <w:rPr>
          <w:sz w:val="20"/>
          <w:szCs w:val="20"/>
          <w:color w:val="auto"/>
        </w:rPr>
      </w:pPr>
    </w:p>
    <w:p>
      <w:pPr>
        <w:ind w:left="200" w:right="420"/>
        <w:spacing w:after="0" w:line="313" w:lineRule="auto"/>
        <w:rPr>
          <w:sz w:val="20"/>
          <w:szCs w:val="20"/>
          <w:color w:val="auto"/>
        </w:rPr>
      </w:pPr>
      <w:r>
        <w:rPr>
          <w:rFonts w:ascii="Arial" w:cs="Arial" w:eastAsia="Arial" w:hAnsi="Arial"/>
          <w:sz w:val="16"/>
          <w:szCs w:val="16"/>
          <w:color w:val="auto"/>
        </w:rPr>
        <w:t>President, Chief Operating Ofcer and Chief Financial Ofcer (1996-2000)</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414D2"/>
        </w:rPr>
        <w:t xml:space="preserve">The Walt Disney Company </w:t>
      </w:r>
      <w:r>
        <w:rPr>
          <w:rFonts w:ascii="Arial" w:cs="Arial" w:eastAsia="Arial" w:hAnsi="Arial"/>
          <w:sz w:val="16"/>
          <w:szCs w:val="16"/>
          <w:color w:val="000000"/>
        </w:rPr>
        <w:t>(entertainment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company)</w:t>
      </w:r>
    </w:p>
    <w:p>
      <w:pPr>
        <w:spacing w:after="0" w:line="11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Vice  President  of  Finance  (1991-1995)</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PUBLIC COMPANY DIRECTORSHIPS</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414D2"/>
        </w:rPr>
        <w:t>BRP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(2005-present)</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414D2"/>
        </w:rPr>
        <w:t>Strata Critical Medical, Inc.</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(2019-present)</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FORMER PUBLIC COMPANY</w:t>
      </w:r>
    </w:p>
    <w:p>
      <w:pPr>
        <w:spacing w:after="0" w:line="19" w:lineRule="exact"/>
        <w:rPr>
          <w:sz w:val="20"/>
          <w:szCs w:val="20"/>
          <w:color w:val="auto"/>
        </w:rPr>
      </w:pPr>
    </w:p>
    <w:p>
      <w:pPr>
        <w:ind w:right="200"/>
        <w:spacing w:after="0" w:line="313" w:lineRule="auto"/>
        <w:rPr>
          <w:sz w:val="20"/>
          <w:szCs w:val="20"/>
          <w:color w:val="auto"/>
        </w:rPr>
      </w:pPr>
      <w:r>
        <w:rPr>
          <w:rFonts w:ascii="Arial" w:cs="Arial" w:eastAsia="Arial" w:hAnsi="Arial"/>
          <w:sz w:val="16"/>
          <w:szCs w:val="16"/>
          <w:b w:val="1"/>
          <w:bCs w:val="1"/>
          <w:color w:val="auto"/>
        </w:rPr>
        <w:t>DIRECTORSHIPS HELD IN THE PAST FIVE YEARS</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414D2"/>
        </w:rPr>
        <w:t>Hasbro, Inc.</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(2002-2023)</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EDUCATION</w:t>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414D2"/>
        </w:rPr>
        <w:t>Harvard Business School</w:t>
      </w:r>
      <w:r>
        <w:rPr>
          <w:rFonts w:ascii="Arial" w:cs="Arial" w:eastAsia="Arial" w:hAnsi="Arial"/>
          <w:sz w:val="15"/>
          <w:szCs w:val="15"/>
          <w:color w:val="1414D2"/>
        </w:rPr>
        <w:t>,</w:t>
      </w:r>
      <w:r>
        <w:rPr>
          <w:rFonts w:ascii="Arial" w:cs="Arial" w:eastAsia="Arial" w:hAnsi="Arial"/>
          <w:sz w:val="15"/>
          <w:szCs w:val="15"/>
          <w:b w:val="1"/>
          <w:bCs w:val="1"/>
          <w:i w:val="1"/>
          <w:iCs w:val="1"/>
          <w:color w:val="1414D2"/>
        </w:rPr>
        <w:t xml:space="preserve">  </w:t>
      </w:r>
      <w:r>
        <w:rPr>
          <w:rFonts w:ascii="Arial" w:cs="Arial" w:eastAsia="Arial" w:hAnsi="Arial"/>
          <w:sz w:val="15"/>
          <w:szCs w:val="15"/>
          <w:color w:val="000000"/>
        </w:rPr>
        <w:t>Master  of  Business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Administration</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414D2"/>
        </w:rPr>
        <w:t>Vanderbilt University</w:t>
      </w:r>
      <w:r>
        <w:rPr>
          <w:rFonts w:ascii="Arial" w:cs="Arial" w:eastAsia="Arial" w:hAnsi="Arial"/>
          <w:sz w:val="16"/>
          <w:szCs w:val="16"/>
          <w:color w:val="1414D2"/>
        </w:rPr>
        <w:t>,</w:t>
      </w:r>
      <w:r>
        <w:rPr>
          <w:rFonts w:ascii="Arial" w:cs="Arial" w:eastAsia="Arial" w:hAnsi="Arial"/>
          <w:sz w:val="16"/>
          <w:szCs w:val="16"/>
          <w:b w:val="1"/>
          <w:bCs w:val="1"/>
          <w:i w:val="1"/>
          <w:iCs w:val="1"/>
          <w:color w:val="1414D2"/>
        </w:rPr>
        <w:t xml:space="preserve">  </w:t>
      </w:r>
      <w:r>
        <w:rPr>
          <w:rFonts w:ascii="Arial" w:cs="Arial" w:eastAsia="Arial" w:hAnsi="Arial"/>
          <w:sz w:val="16"/>
          <w:szCs w:val="16"/>
          <w:color w:val="000000"/>
        </w:rPr>
        <w:t>BS,  Math  and</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Economics</w:t>
      </w:r>
    </w:p>
    <w:p>
      <w:pPr>
        <w:spacing w:after="0" w:line="1725" w:lineRule="exact"/>
        <w:rPr>
          <w:sz w:val="20"/>
          <w:szCs w:val="20"/>
          <w:color w:val="auto"/>
        </w:rPr>
      </w:pPr>
    </w:p>
    <w:p>
      <w:pPr>
        <w:sectPr>
          <w:pgSz w:w="11900" w:h="16838" w:orient="portrait"/>
          <w:cols w:equalWidth="0" w:num="3">
            <w:col w:w="1860" w:space="400"/>
            <w:col w:w="3520" w:space="480"/>
            <w:col w:w="3340"/>
          </w:cols>
          <w:pgMar w:left="1080" w:top="695" w:right="1219" w:bottom="1440" w:gutter="0" w:footer="0" w:header="0"/>
          <w:type w:val="continuous"/>
        </w:sectPr>
      </w:pPr>
    </w:p>
    <w:p>
      <w:pPr>
        <w:spacing w:after="0" w:line="35" w:lineRule="exact"/>
        <w:rPr>
          <w:sz w:val="20"/>
          <w:szCs w:val="20"/>
          <w:color w:val="auto"/>
        </w:rPr>
      </w:pPr>
    </w:p>
    <w:p>
      <w:pPr>
        <w:ind w:left="780" w:right="260"/>
        <w:spacing w:after="0" w:line="313" w:lineRule="auto"/>
        <w:rPr>
          <w:sz w:val="20"/>
          <w:szCs w:val="20"/>
          <w:color w:val="auto"/>
        </w:rPr>
      </w:pPr>
      <w:r>
        <w:rPr>
          <w:rFonts w:ascii="Arial" w:cs="Arial" w:eastAsia="Arial" w:hAnsi="Arial"/>
          <w:sz w:val="16"/>
          <w:szCs w:val="16"/>
          <w:b w:val="1"/>
          <w:bCs w:val="1"/>
          <w:color w:val="auto"/>
        </w:rPr>
        <w:t>Active or Former C-Suite Executive</w:t>
      </w:r>
      <w:r>
        <w:rPr>
          <w:rFonts w:ascii="Arial" w:cs="Arial" w:eastAsia="Arial" w:hAnsi="Arial"/>
          <w:sz w:val="16"/>
          <w:szCs w:val="16"/>
          <w:color w:val="auto"/>
        </w:rPr>
        <w:t>: Mr. Philip has served in multiple senior executive and director roles at large</w:t>
      </w:r>
      <w:r>
        <w:rPr>
          <w:rFonts w:ascii="Arial" w:cs="Arial" w:eastAsia="Arial" w:hAnsi="Arial"/>
          <w:sz w:val="16"/>
          <w:szCs w:val="16"/>
          <w:b w:val="1"/>
          <w:bCs w:val="1"/>
          <w:color w:val="auto"/>
        </w:rPr>
        <w:t xml:space="preserve"> </w:t>
      </w:r>
      <w:r>
        <w:rPr>
          <w:rFonts w:ascii="Arial" w:cs="Arial" w:eastAsia="Arial" w:hAnsi="Arial"/>
          <w:sz w:val="16"/>
          <w:szCs w:val="16"/>
          <w:color w:val="auto"/>
        </w:rPr>
        <w:t>multinational companies.</w:t>
      </w:r>
    </w:p>
    <w:p>
      <w:pPr>
        <w:spacing w:after="0" w:line="128" w:lineRule="exact"/>
        <w:rPr>
          <w:sz w:val="20"/>
          <w:szCs w:val="20"/>
          <w:color w:val="auto"/>
        </w:rPr>
      </w:pPr>
    </w:p>
    <w:p>
      <w:pPr>
        <w:ind w:left="780" w:right="20"/>
        <w:spacing w:after="0" w:line="313" w:lineRule="auto"/>
        <w:rPr>
          <w:sz w:val="20"/>
          <w:szCs w:val="20"/>
          <w:color w:val="auto"/>
        </w:rPr>
      </w:pPr>
      <w:r>
        <w:rPr>
          <w:rFonts w:ascii="Arial" w:cs="Arial" w:eastAsia="Arial" w:hAnsi="Arial"/>
          <w:sz w:val="16"/>
          <w:szCs w:val="16"/>
          <w:b w:val="1"/>
          <w:bCs w:val="1"/>
          <w:color w:val="auto"/>
        </w:rPr>
        <w:t xml:space="preserve">Governance and Current or Former Public Company Board: </w:t>
      </w:r>
      <w:r>
        <w:rPr>
          <w:rFonts w:ascii="Arial" w:cs="Arial" w:eastAsia="Arial" w:hAnsi="Arial"/>
          <w:sz w:val="16"/>
          <w:szCs w:val="16"/>
          <w:color w:val="auto"/>
        </w:rPr>
        <w:t>Mr. Philip served on the board of directors of Hasbro,</w:t>
      </w:r>
      <w:r>
        <w:rPr>
          <w:rFonts w:ascii="Arial" w:cs="Arial" w:eastAsia="Arial" w:hAnsi="Arial"/>
          <w:sz w:val="16"/>
          <w:szCs w:val="16"/>
          <w:b w:val="1"/>
          <w:bCs w:val="1"/>
          <w:color w:val="auto"/>
        </w:rPr>
        <w:t xml:space="preserve"> </w:t>
      </w:r>
      <w:r>
        <w:rPr>
          <w:rFonts w:ascii="Arial" w:cs="Arial" w:eastAsia="Arial" w:hAnsi="Arial"/>
          <w:sz w:val="16"/>
          <w:szCs w:val="16"/>
          <w:color w:val="auto"/>
        </w:rPr>
        <w:t>Inc. and currently serves on the board of directors of BRP Inc. and Strata Critical Medical, Inc.</w:t>
      </w:r>
    </w:p>
    <w:p>
      <w:pPr>
        <w:spacing w:after="0" w:line="128" w:lineRule="exact"/>
        <w:rPr>
          <w:sz w:val="20"/>
          <w:szCs w:val="20"/>
          <w:color w:val="auto"/>
        </w:rPr>
      </w:pPr>
    </w:p>
    <w:p>
      <w:pPr>
        <w:ind w:left="780" w:right="20"/>
        <w:spacing w:after="0" w:line="313" w:lineRule="auto"/>
        <w:rPr>
          <w:sz w:val="20"/>
          <w:szCs w:val="20"/>
          <w:color w:val="auto"/>
        </w:rPr>
      </w:pPr>
      <w:r>
        <w:rPr>
          <w:rFonts w:ascii="Arial" w:cs="Arial" w:eastAsia="Arial" w:hAnsi="Arial"/>
          <w:sz w:val="16"/>
          <w:szCs w:val="16"/>
          <w:b w:val="1"/>
          <w:bCs w:val="1"/>
          <w:color w:val="auto"/>
        </w:rPr>
        <w:t xml:space="preserve">Finance / Accounting / Capital Allocation: </w:t>
      </w:r>
      <w:r>
        <w:rPr>
          <w:rFonts w:ascii="Arial" w:cs="Arial" w:eastAsia="Arial" w:hAnsi="Arial"/>
          <w:sz w:val="16"/>
          <w:szCs w:val="16"/>
          <w:color w:val="auto"/>
        </w:rPr>
        <w:t>Mr. Philip brings to the Board valuable experience in fnancial strategies</w:t>
      </w:r>
      <w:r>
        <w:rPr>
          <w:rFonts w:ascii="Arial" w:cs="Arial" w:eastAsia="Arial" w:hAnsi="Arial"/>
          <w:sz w:val="16"/>
          <w:szCs w:val="16"/>
          <w:b w:val="1"/>
          <w:bCs w:val="1"/>
          <w:color w:val="auto"/>
        </w:rPr>
        <w:t xml:space="preserve"> </w:t>
      </w:r>
      <w:r>
        <w:rPr>
          <w:rFonts w:ascii="Arial" w:cs="Arial" w:eastAsia="Arial" w:hAnsi="Arial"/>
          <w:sz w:val="16"/>
          <w:szCs w:val="16"/>
          <w:color w:val="auto"/>
        </w:rPr>
        <w:t>from his time as Chief Financial Ofcer at Lycos, Inc. and Vice President of Finance at The Walt Disney Company.</w:t>
      </w:r>
    </w:p>
    <w:p>
      <w:pPr>
        <w:spacing w:after="0" w:line="128" w:lineRule="exact"/>
        <w:rPr>
          <w:sz w:val="20"/>
          <w:szCs w:val="20"/>
          <w:color w:val="auto"/>
        </w:rPr>
      </w:pPr>
    </w:p>
    <w:p>
      <w:pPr>
        <w:ind w:left="780"/>
        <w:spacing w:after="0"/>
        <w:rPr>
          <w:sz w:val="20"/>
          <w:szCs w:val="20"/>
          <w:color w:val="auto"/>
        </w:rPr>
      </w:pPr>
      <w:r>
        <w:rPr>
          <w:rFonts w:ascii="Arial" w:cs="Arial" w:eastAsia="Arial" w:hAnsi="Arial"/>
          <w:sz w:val="16"/>
          <w:szCs w:val="16"/>
          <w:b w:val="1"/>
          <w:bCs w:val="1"/>
          <w:color w:val="auto"/>
        </w:rPr>
        <w:t xml:space="preserve">Global Operations: </w:t>
      </w:r>
      <w:r>
        <w:rPr>
          <w:rFonts w:ascii="Arial" w:cs="Arial" w:eastAsia="Arial" w:hAnsi="Arial"/>
          <w:sz w:val="16"/>
          <w:szCs w:val="16"/>
          <w:color w:val="auto"/>
        </w:rPr>
        <w:t>Mr.  Philip  has  served  as  an  executive  ofcer  at  large  companies  with  world-wide  operations.</w:t>
      </w:r>
    </w:p>
    <w:p>
      <w:pPr>
        <w:spacing w:after="0" w:line="221" w:lineRule="exact"/>
        <w:rPr>
          <w:sz w:val="20"/>
          <w:szCs w:val="20"/>
          <w:color w:val="auto"/>
        </w:rPr>
      </w:pPr>
    </w:p>
    <w:p>
      <w:pPr>
        <w:ind w:left="780" w:right="360"/>
        <w:spacing w:after="0" w:line="313" w:lineRule="auto"/>
        <w:rPr>
          <w:sz w:val="20"/>
          <w:szCs w:val="20"/>
          <w:color w:val="auto"/>
        </w:rPr>
      </w:pPr>
      <w:r>
        <w:rPr>
          <w:rFonts w:ascii="Arial" w:cs="Arial" w:eastAsia="Arial" w:hAnsi="Arial"/>
          <w:sz w:val="16"/>
          <w:szCs w:val="16"/>
          <w:b w:val="1"/>
          <w:bCs w:val="1"/>
          <w:color w:val="auto"/>
        </w:rPr>
        <w:t xml:space="preserve">Retail / Brand Management: </w:t>
      </w:r>
      <w:r>
        <w:rPr>
          <w:rFonts w:ascii="Arial" w:cs="Arial" w:eastAsia="Arial" w:hAnsi="Arial"/>
          <w:sz w:val="16"/>
          <w:szCs w:val="16"/>
          <w:color w:val="auto"/>
        </w:rPr>
        <w:t>Through his time at Hasbro, Inc. and The Walt Disney Company, Mr. Philip gained</w:t>
      </w:r>
      <w:r>
        <w:rPr>
          <w:rFonts w:ascii="Arial" w:cs="Arial" w:eastAsia="Arial" w:hAnsi="Arial"/>
          <w:sz w:val="16"/>
          <w:szCs w:val="16"/>
          <w:b w:val="1"/>
          <w:bCs w:val="1"/>
          <w:color w:val="auto"/>
        </w:rPr>
        <w:t xml:space="preserve"> </w:t>
      </w:r>
      <w:r>
        <w:rPr>
          <w:rFonts w:ascii="Arial" w:cs="Arial" w:eastAsia="Arial" w:hAnsi="Arial"/>
          <w:sz w:val="16"/>
          <w:szCs w:val="16"/>
          <w:color w:val="auto"/>
        </w:rPr>
        <w:t>expertise in brand management and consumer facing products.</w:t>
      </w:r>
    </w:p>
    <w:p>
      <w:pPr>
        <w:spacing w:after="0" w:line="128" w:lineRule="exact"/>
        <w:rPr>
          <w:sz w:val="20"/>
          <w:szCs w:val="20"/>
          <w:color w:val="auto"/>
        </w:rPr>
      </w:pPr>
    </w:p>
    <w:p>
      <w:pPr>
        <w:ind w:left="780"/>
        <w:spacing w:after="0" w:line="255" w:lineRule="auto"/>
        <w:rPr>
          <w:sz w:val="20"/>
          <w:szCs w:val="20"/>
          <w:color w:val="auto"/>
        </w:rPr>
      </w:pPr>
      <w:r>
        <w:rPr>
          <w:rFonts w:ascii="Arial" w:cs="Arial" w:eastAsia="Arial" w:hAnsi="Arial"/>
          <w:sz w:val="16"/>
          <w:szCs w:val="16"/>
          <w:b w:val="1"/>
          <w:bCs w:val="1"/>
          <w:color w:val="auto"/>
        </w:rPr>
        <w:t xml:space="preserve">Risk Management: </w:t>
      </w:r>
      <w:r>
        <w:rPr>
          <w:rFonts w:ascii="Arial" w:cs="Arial" w:eastAsia="Arial" w:hAnsi="Arial"/>
          <w:sz w:val="16"/>
          <w:szCs w:val="16"/>
          <w:color w:val="auto"/>
        </w:rPr>
        <w:t>Mr. Philip brings expertise in identifying, managing and mitigating key strategic and operational</w:t>
      </w:r>
      <w:r>
        <w:rPr>
          <w:rFonts w:ascii="Arial" w:cs="Arial" w:eastAsia="Arial" w:hAnsi="Arial"/>
          <w:sz w:val="16"/>
          <w:szCs w:val="16"/>
          <w:b w:val="1"/>
          <w:bCs w:val="1"/>
          <w:color w:val="auto"/>
        </w:rPr>
        <w:t xml:space="preserve"> </w:t>
      </w:r>
      <w:r>
        <w:rPr>
          <w:rFonts w:ascii="Arial" w:cs="Arial" w:eastAsia="Arial" w:hAnsi="Arial"/>
          <w:sz w:val="16"/>
          <w:szCs w:val="16"/>
          <w:color w:val="auto"/>
        </w:rPr>
        <w:t>risks through his experience as President, Chief Operating Ofcer and Chief Financial Ofcer at Lycos, Inc. as well as</w:t>
      </w:r>
    </w:p>
    <w:p>
      <w:pPr>
        <w:spacing w:after="0" w:line="1" w:lineRule="exact"/>
        <w:rPr>
          <w:sz w:val="20"/>
          <w:szCs w:val="20"/>
          <w:color w:val="auto"/>
        </w:rPr>
      </w:pPr>
    </w:p>
    <w:p>
      <w:pPr>
        <w:ind w:left="780"/>
        <w:spacing w:after="0"/>
        <w:rPr>
          <w:sz w:val="20"/>
          <w:szCs w:val="20"/>
          <w:color w:val="auto"/>
        </w:rPr>
      </w:pPr>
      <w:r>
        <w:rPr>
          <w:rFonts w:ascii="Arial" w:cs="Arial" w:eastAsia="Arial" w:hAnsi="Arial"/>
          <w:sz w:val="16"/>
          <w:szCs w:val="16"/>
          <w:color w:val="auto"/>
        </w:rPr>
        <w:t>through  his  experience  as  Vice  President  of  Finance  for  The  Walt  Disney  Company.</w:t>
      </w:r>
    </w:p>
    <w:p>
      <w:pPr>
        <w:spacing w:after="0" w:line="221" w:lineRule="exact"/>
        <w:rPr>
          <w:sz w:val="20"/>
          <w:szCs w:val="20"/>
          <w:color w:val="auto"/>
        </w:rPr>
      </w:pPr>
    </w:p>
    <w:p>
      <w:pPr>
        <w:ind w:left="780" w:right="840"/>
        <w:spacing w:after="0" w:line="313" w:lineRule="auto"/>
        <w:rPr>
          <w:sz w:val="20"/>
          <w:szCs w:val="20"/>
          <w:color w:val="auto"/>
        </w:rPr>
      </w:pPr>
      <w:r>
        <w:rPr>
          <w:rFonts w:ascii="Arial" w:cs="Arial" w:eastAsia="Arial" w:hAnsi="Arial"/>
          <w:sz w:val="16"/>
          <w:szCs w:val="16"/>
          <w:b w:val="1"/>
          <w:bCs w:val="1"/>
          <w:color w:val="auto"/>
        </w:rPr>
        <w:t xml:space="preserve">Technology / Cybersecurity: </w:t>
      </w:r>
      <w:r>
        <w:rPr>
          <w:rFonts w:ascii="Arial" w:cs="Arial" w:eastAsia="Arial" w:hAnsi="Arial"/>
          <w:sz w:val="16"/>
          <w:szCs w:val="16"/>
          <w:color w:val="auto"/>
        </w:rPr>
        <w:t>Mr. Philip brings to the Board nearly three decades of leadership across the</w:t>
      </w:r>
      <w:r>
        <w:rPr>
          <w:rFonts w:ascii="Arial" w:cs="Arial" w:eastAsia="Arial" w:hAnsi="Arial"/>
          <w:sz w:val="16"/>
          <w:szCs w:val="16"/>
          <w:b w:val="1"/>
          <w:bCs w:val="1"/>
          <w:color w:val="auto"/>
        </w:rPr>
        <w:t xml:space="preserve"> </w:t>
      </w:r>
      <w:r>
        <w:rPr>
          <w:rFonts w:ascii="Arial" w:cs="Arial" w:eastAsia="Arial" w:hAnsi="Arial"/>
          <w:sz w:val="16"/>
          <w:szCs w:val="16"/>
          <w:color w:val="auto"/>
        </w:rPr>
        <w:t>technology sector, including in senior positions at Lycos, Inc.</w:t>
      </w:r>
    </w:p>
    <w:p>
      <w:pPr>
        <w:sectPr>
          <w:pgSz w:w="11900" w:h="16838" w:orient="portrait"/>
          <w:cols w:equalWidth="0" w:num="1">
            <w:col w:w="9600"/>
          </w:cols>
          <w:pgMar w:left="1080" w:top="695" w:right="12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right"/>
        <w:ind w:right="7600"/>
        <w:spacing w:after="0"/>
        <w:rPr>
          <w:sz w:val="20"/>
          <w:szCs w:val="20"/>
          <w:color w:val="auto"/>
        </w:rPr>
      </w:pPr>
      <w:r>
        <w:rPr>
          <w:rFonts w:ascii="Arial" w:cs="Arial" w:eastAsia="Arial" w:hAnsi="Arial"/>
          <w:sz w:val="16"/>
          <w:szCs w:val="16"/>
          <w:color w:val="auto"/>
        </w:rPr>
        <w:t>​​2026​  Proxy</w:t>
      </w:r>
    </w:p>
    <w:p>
      <w:pPr>
        <w:spacing w:after="0" w:line="5" w:lineRule="exact"/>
        <w:rPr>
          <w:sz w:val="20"/>
          <w:szCs w:val="20"/>
          <w:color w:val="auto"/>
        </w:rPr>
      </w:pPr>
    </w:p>
    <w:p>
      <w:pPr>
        <w:ind w:left="660" w:hanging="656"/>
        <w:spacing w:after="0"/>
        <w:tabs>
          <w:tab w:leader="none" w:pos="660" w:val="left"/>
        </w:tabs>
        <w:numPr>
          <w:ilvl w:val="0"/>
          <w:numId w:val="32"/>
        </w:numPr>
        <w:rPr>
          <w:rFonts w:ascii="Arial" w:cs="Arial" w:eastAsia="Arial" w:hAnsi="Arial"/>
          <w:sz w:val="16"/>
          <w:szCs w:val="16"/>
          <w:b w:val="1"/>
          <w:bCs w:val="1"/>
          <w:color w:val="1414D2"/>
        </w:rPr>
      </w:pPr>
      <w:r>
        <w:rPr>
          <w:rFonts w:ascii="Arial" w:cs="Arial" w:eastAsia="Arial" w:hAnsi="Arial"/>
          <w:sz w:val="16"/>
          <w:szCs w:val="16"/>
          <w:color w:val="auto"/>
        </w:rPr>
        <w:t>Statement</w:t>
      </w:r>
    </w:p>
    <w:p>
      <w:pPr>
        <w:sectPr>
          <w:pgSz w:w="11900" w:h="16838" w:orient="portrait"/>
          <w:cols w:equalWidth="0" w:num="1">
            <w:col w:w="9600"/>
          </w:cols>
          <w:pgMar w:left="1080" w:top="695" w:right="121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9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4080" w:type="dxa"/>
            <w:vAlign w:val="bottom"/>
          </w:tcPr>
          <w:p>
            <w:pPr>
              <w:ind w:left="2160"/>
              <w:spacing w:after="0"/>
              <w:rPr>
                <w:sz w:val="20"/>
                <w:szCs w:val="20"/>
                <w:color w:val="auto"/>
              </w:rPr>
            </w:pPr>
            <w:r>
              <w:rPr>
                <w:rFonts w:ascii="Arial" w:cs="Arial" w:eastAsia="Arial" w:hAnsi="Arial"/>
                <w:sz w:val="14"/>
                <w:szCs w:val="14"/>
                <w:color w:val="6D6F71"/>
                <w:w w:val="96"/>
              </w:rPr>
              <w:t>Item  1  -  Election  of  Directors</w:t>
            </w:r>
          </w:p>
        </w:tc>
        <w:tc>
          <w:tcPr>
            <w:tcW w:w="0" w:type="dxa"/>
            <w:vAlign w:val="bottom"/>
          </w:tcPr>
          <w:p>
            <w:pPr>
              <w:spacing w:after="0"/>
              <w:rPr>
                <w:sz w:val="1"/>
                <w:szCs w:val="1"/>
                <w:color w:val="auto"/>
              </w:rPr>
            </w:pPr>
          </w:p>
        </w:tc>
      </w:tr>
      <w:tr>
        <w:trPr>
          <w:trHeight w:val="209"/>
        </w:trPr>
        <w:tc>
          <w:tcPr>
            <w:tcW w:w="5640" w:type="dxa"/>
            <w:vAlign w:val="bottom"/>
            <w:tcBorders>
              <w:bottom w:val="single" w:sz="8" w:color="1414D2"/>
            </w:tcBorders>
            <w:gridSpan w:val="2"/>
          </w:tcPr>
          <w:p>
            <w:pPr>
              <w:spacing w:after="0"/>
              <w:rPr>
                <w:sz w:val="18"/>
                <w:szCs w:val="18"/>
                <w:color w:val="auto"/>
              </w:rPr>
            </w:pPr>
          </w:p>
        </w:tc>
        <w:tc>
          <w:tcPr>
            <w:tcW w:w="4080" w:type="dxa"/>
            <w:vAlign w:val="bottom"/>
            <w:tcBorders>
              <w:bottom w:val="single" w:sz="8" w:color="1414D2"/>
            </w:tcBorders>
          </w:tcPr>
          <w:p>
            <w:pPr>
              <w:spacing w:after="0"/>
              <w:rPr>
                <w:sz w:val="18"/>
                <w:szCs w:val="18"/>
                <w:color w:val="auto"/>
              </w:rPr>
            </w:pPr>
          </w:p>
        </w:tc>
        <w:tc>
          <w:tcPr>
            <w:tcW w:w="0" w:type="dxa"/>
            <w:vAlign w:val="bottom"/>
          </w:tcPr>
          <w:p>
            <w:pPr>
              <w:spacing w:after="0"/>
              <w:rPr>
                <w:sz w:val="1"/>
                <w:szCs w:val="1"/>
                <w:color w:val="auto"/>
              </w:rPr>
            </w:pPr>
          </w:p>
        </w:tc>
      </w:tr>
      <w:tr>
        <w:trPr>
          <w:trHeight w:val="318"/>
        </w:trPr>
        <w:tc>
          <w:tcPr>
            <w:tcW w:w="5640" w:type="dxa"/>
            <w:vAlign w:val="bottom"/>
            <w:tcBorders>
              <w:bottom w:val="single" w:sz="8" w:color="F2F2F2"/>
            </w:tcBorders>
            <w:gridSpan w:val="2"/>
            <w:shd w:val="clear" w:color="auto" w:fill="F2F2F2"/>
          </w:tcPr>
          <w:p>
            <w:pPr>
              <w:ind w:left="100"/>
              <w:spacing w:after="0"/>
              <w:rPr>
                <w:sz w:val="20"/>
                <w:szCs w:val="20"/>
                <w:color w:val="auto"/>
              </w:rPr>
            </w:pPr>
            <w:r>
              <w:rPr>
                <w:rFonts w:ascii="Arial" w:cs="Arial" w:eastAsia="Arial" w:hAnsi="Arial"/>
                <w:sz w:val="16"/>
                <w:szCs w:val="16"/>
                <w:b w:val="1"/>
                <w:bCs w:val="1"/>
                <w:color w:val="auto"/>
              </w:rPr>
              <w:t>EDWARD L. SHAPIRO-</w:t>
            </w:r>
            <w:r>
              <w:rPr>
                <w:rFonts w:ascii="Arial" w:cs="Arial" w:eastAsia="Arial" w:hAnsi="Arial"/>
                <w:sz w:val="16"/>
                <w:szCs w:val="16"/>
                <w:color w:val="auto"/>
              </w:rPr>
              <w:t>Independent  Director</w:t>
            </w:r>
          </w:p>
        </w:tc>
        <w:tc>
          <w:tcPr>
            <w:tcW w:w="4080" w:type="dxa"/>
            <w:vAlign w:val="bottom"/>
            <w:tcBorders>
              <w:bottom w:val="single" w:sz="8" w:color="F2F2F2"/>
            </w:tcBorders>
            <w:shd w:val="clear" w:color="auto" w:fill="F2F2F2"/>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940" w:type="dxa"/>
            <w:vAlign w:val="bottom"/>
          </w:tcPr>
          <w:p>
            <w:pPr>
              <w:spacing w:after="0"/>
              <w:rPr>
                <w:sz w:val="24"/>
                <w:szCs w:val="24"/>
                <w:color w:val="auto"/>
              </w:rPr>
            </w:pPr>
          </w:p>
        </w:tc>
        <w:tc>
          <w:tcPr>
            <w:tcW w:w="3700" w:type="dxa"/>
            <w:vAlign w:val="bottom"/>
          </w:tcPr>
          <w:p>
            <w:pPr>
              <w:ind w:left="380"/>
              <w:spacing w:after="0"/>
              <w:rPr>
                <w:sz w:val="20"/>
                <w:szCs w:val="20"/>
                <w:color w:val="auto"/>
              </w:rPr>
            </w:pPr>
            <w:r>
              <w:rPr>
                <w:rFonts w:ascii="Arial" w:cs="Arial" w:eastAsia="Arial" w:hAnsi="Arial"/>
                <w:sz w:val="16"/>
                <w:szCs w:val="16"/>
                <w:b w:val="1"/>
                <w:bCs w:val="1"/>
                <w:color w:val="auto"/>
              </w:rPr>
              <w:t>EXPERIENCE</w:t>
            </w:r>
          </w:p>
        </w:tc>
        <w:tc>
          <w:tcPr>
            <w:tcW w:w="4080" w:type="dxa"/>
            <w:vAlign w:val="bottom"/>
          </w:tcPr>
          <w:p>
            <w:pPr>
              <w:ind w:left="620"/>
              <w:spacing w:after="0"/>
              <w:rPr>
                <w:sz w:val="20"/>
                <w:szCs w:val="20"/>
                <w:color w:val="auto"/>
              </w:rPr>
            </w:pPr>
            <w:r>
              <w:rPr>
                <w:rFonts w:ascii="Arial" w:cs="Arial" w:eastAsia="Arial" w:hAnsi="Arial"/>
                <w:sz w:val="16"/>
                <w:szCs w:val="16"/>
                <w:b w:val="1"/>
                <w:bCs w:val="1"/>
                <w:color w:val="auto"/>
              </w:rPr>
              <w:t>OTHER PUBLIC COMPANY DIRECTORSHIPS</w:t>
            </w:r>
          </w:p>
        </w:tc>
        <w:tc>
          <w:tcPr>
            <w:tcW w:w="0" w:type="dxa"/>
            <w:vAlign w:val="bottom"/>
          </w:tcPr>
          <w:p>
            <w:pPr>
              <w:spacing w:after="0"/>
              <w:rPr>
                <w:sz w:val="1"/>
                <w:szCs w:val="1"/>
                <w:color w:val="auto"/>
              </w:rPr>
            </w:pPr>
          </w:p>
        </w:tc>
      </w:tr>
      <w:tr>
        <w:trPr>
          <w:trHeight w:val="264"/>
        </w:trPr>
        <w:tc>
          <w:tcPr>
            <w:tcW w:w="1940" w:type="dxa"/>
            <w:vAlign w:val="bottom"/>
          </w:tcPr>
          <w:p>
            <w:pPr>
              <w:spacing w:after="0"/>
              <w:rPr>
                <w:sz w:val="22"/>
                <w:szCs w:val="22"/>
                <w:color w:val="auto"/>
              </w:rPr>
            </w:pPr>
          </w:p>
        </w:tc>
        <w:tc>
          <w:tcPr>
            <w:tcW w:w="3700" w:type="dxa"/>
            <w:vAlign w:val="bottom"/>
          </w:tcPr>
          <w:p>
            <w:pPr>
              <w:ind w:left="380"/>
              <w:spacing w:after="0"/>
              <w:rPr>
                <w:sz w:val="20"/>
                <w:szCs w:val="20"/>
                <w:color w:val="auto"/>
              </w:rPr>
            </w:pPr>
            <w:r>
              <w:rPr>
                <w:rFonts w:ascii="Arial" w:cs="Arial" w:eastAsia="Arial" w:hAnsi="Arial"/>
                <w:sz w:val="16"/>
                <w:szCs w:val="16"/>
                <w:b w:val="1"/>
                <w:bCs w:val="1"/>
                <w:i w:val="1"/>
                <w:iCs w:val="1"/>
                <w:color w:val="1414D2"/>
              </w:rPr>
              <w:t>The Shapiro Foundation</w:t>
            </w:r>
          </w:p>
        </w:tc>
        <w:tc>
          <w:tcPr>
            <w:tcW w:w="4080" w:type="dxa"/>
            <w:vAlign w:val="bottom"/>
          </w:tcPr>
          <w:p>
            <w:pPr>
              <w:ind w:left="620"/>
              <w:spacing w:after="0"/>
              <w:rPr>
                <w:sz w:val="20"/>
                <w:szCs w:val="20"/>
                <w:color w:val="auto"/>
              </w:rPr>
            </w:pPr>
            <w:r>
              <w:rPr>
                <w:rFonts w:ascii="Arial" w:cs="Arial" w:eastAsia="Arial" w:hAnsi="Arial"/>
                <w:sz w:val="16"/>
                <w:szCs w:val="16"/>
                <w:color w:val="auto"/>
              </w:rPr>
              <w:t>None</w:t>
            </w:r>
          </w:p>
        </w:tc>
        <w:tc>
          <w:tcPr>
            <w:tcW w:w="0" w:type="dxa"/>
            <w:vAlign w:val="bottom"/>
          </w:tcPr>
          <w:p>
            <w:pPr>
              <w:spacing w:after="0"/>
              <w:rPr>
                <w:sz w:val="1"/>
                <w:szCs w:val="1"/>
                <w:color w:val="auto"/>
              </w:rPr>
            </w:pPr>
          </w:p>
        </w:tc>
      </w:tr>
      <w:tr>
        <w:trPr>
          <w:trHeight w:val="235"/>
        </w:trPr>
        <w:tc>
          <w:tcPr>
            <w:tcW w:w="1940" w:type="dxa"/>
            <w:vAlign w:val="bottom"/>
          </w:tcPr>
          <w:p>
            <w:pPr>
              <w:spacing w:after="0"/>
              <w:rPr>
                <w:sz w:val="20"/>
                <w:szCs w:val="20"/>
                <w:color w:val="auto"/>
              </w:rPr>
            </w:pPr>
          </w:p>
        </w:tc>
        <w:tc>
          <w:tcPr>
            <w:tcW w:w="3700" w:type="dxa"/>
            <w:vAlign w:val="bottom"/>
          </w:tcPr>
          <w:p>
            <w:pPr>
              <w:ind w:left="420"/>
              <w:spacing w:after="0"/>
              <w:rPr>
                <w:sz w:val="20"/>
                <w:szCs w:val="20"/>
                <w:color w:val="auto"/>
              </w:rPr>
            </w:pPr>
            <w:r>
              <w:rPr>
                <w:rFonts w:ascii="Arial" w:cs="Arial" w:eastAsia="Arial" w:hAnsi="Arial"/>
                <w:sz w:val="16"/>
                <w:szCs w:val="16"/>
                <w:color w:val="auto"/>
              </w:rPr>
              <w:t>(philanthropic  foundation)</w:t>
            </w:r>
          </w:p>
        </w:tc>
        <w:tc>
          <w:tcPr>
            <w:tcW w:w="4080" w:type="dxa"/>
            <w:vAlign w:val="bottom"/>
            <w:vMerge w:val="restart"/>
          </w:tcPr>
          <w:p>
            <w:pPr>
              <w:ind w:left="620"/>
              <w:spacing w:after="0"/>
              <w:rPr>
                <w:sz w:val="20"/>
                <w:szCs w:val="20"/>
                <w:color w:val="auto"/>
              </w:rPr>
            </w:pPr>
            <w:r>
              <w:rPr>
                <w:rFonts w:ascii="Arial" w:cs="Arial" w:eastAsia="Arial" w:hAnsi="Arial"/>
                <w:sz w:val="16"/>
                <w:szCs w:val="16"/>
                <w:b w:val="1"/>
                <w:bCs w:val="1"/>
                <w:color w:val="auto"/>
              </w:rPr>
              <w:t>FORMER PUBLIC COMPANY</w:t>
            </w:r>
          </w:p>
        </w:tc>
        <w:tc>
          <w:tcPr>
            <w:tcW w:w="0" w:type="dxa"/>
            <w:vAlign w:val="bottom"/>
          </w:tcPr>
          <w:p>
            <w:pPr>
              <w:spacing w:after="0"/>
              <w:rPr>
                <w:sz w:val="1"/>
                <w:szCs w:val="1"/>
                <w:color w:val="auto"/>
              </w:rPr>
            </w:pPr>
          </w:p>
        </w:tc>
      </w:tr>
      <w:tr>
        <w:trPr>
          <w:trHeight w:val="62"/>
        </w:trPr>
        <w:tc>
          <w:tcPr>
            <w:tcW w:w="1940" w:type="dxa"/>
            <w:vAlign w:val="bottom"/>
          </w:tcPr>
          <w:p>
            <w:pPr>
              <w:spacing w:after="0"/>
              <w:rPr>
                <w:sz w:val="5"/>
                <w:szCs w:val="5"/>
                <w:color w:val="auto"/>
              </w:rPr>
            </w:pPr>
          </w:p>
        </w:tc>
        <w:tc>
          <w:tcPr>
            <w:tcW w:w="3700" w:type="dxa"/>
            <w:vAlign w:val="bottom"/>
          </w:tcPr>
          <w:p>
            <w:pPr>
              <w:spacing w:after="0"/>
              <w:rPr>
                <w:sz w:val="5"/>
                <w:szCs w:val="5"/>
                <w:color w:val="auto"/>
              </w:rPr>
            </w:pPr>
          </w:p>
        </w:tc>
        <w:tc>
          <w:tcPr>
            <w:tcW w:w="4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940" w:type="dxa"/>
            <w:vAlign w:val="bottom"/>
          </w:tcPr>
          <w:p>
            <w:pPr>
              <w:spacing w:after="0"/>
              <w:rPr>
                <w:sz w:val="16"/>
                <w:szCs w:val="16"/>
                <w:color w:val="auto"/>
              </w:rPr>
            </w:pPr>
          </w:p>
        </w:tc>
        <w:tc>
          <w:tcPr>
            <w:tcW w:w="3700" w:type="dxa"/>
            <w:vAlign w:val="bottom"/>
          </w:tcPr>
          <w:p>
            <w:pPr>
              <w:ind w:left="580"/>
              <w:spacing w:after="0"/>
              <w:rPr>
                <w:sz w:val="20"/>
                <w:szCs w:val="20"/>
                <w:color w:val="auto"/>
              </w:rPr>
            </w:pPr>
            <w:r>
              <w:rPr>
                <w:rFonts w:ascii="Arial" w:cs="Arial" w:eastAsia="Arial" w:hAnsi="Arial"/>
                <w:sz w:val="16"/>
                <w:szCs w:val="16"/>
                <w:color w:val="auto"/>
              </w:rPr>
              <w:t>Managing  Trustee  (2000-present)</w:t>
            </w:r>
          </w:p>
        </w:tc>
        <w:tc>
          <w:tcPr>
            <w:tcW w:w="4080" w:type="dxa"/>
            <w:vAlign w:val="bottom"/>
          </w:tcPr>
          <w:p>
            <w:pPr>
              <w:ind w:left="620"/>
              <w:spacing w:after="0"/>
              <w:rPr>
                <w:sz w:val="20"/>
                <w:szCs w:val="20"/>
                <w:color w:val="auto"/>
              </w:rPr>
            </w:pPr>
            <w:r>
              <w:rPr>
                <w:rFonts w:ascii="Arial" w:cs="Arial" w:eastAsia="Arial" w:hAnsi="Arial"/>
                <w:sz w:val="16"/>
                <w:szCs w:val="16"/>
                <w:b w:val="1"/>
                <w:bCs w:val="1"/>
                <w:color w:val="auto"/>
              </w:rPr>
              <w:t>DIRECTORSHIPS HELD IN THE PAST FIVE</w:t>
            </w:r>
          </w:p>
        </w:tc>
        <w:tc>
          <w:tcPr>
            <w:tcW w:w="0" w:type="dxa"/>
            <w:vAlign w:val="bottom"/>
          </w:tcPr>
          <w:p>
            <w:pPr>
              <w:spacing w:after="0"/>
              <w:rPr>
                <w:sz w:val="1"/>
                <w:szCs w:val="1"/>
                <w:color w:val="auto"/>
              </w:rPr>
            </w:pPr>
          </w:p>
        </w:tc>
      </w:tr>
      <w:tr>
        <w:trPr>
          <w:trHeight w:val="235"/>
        </w:trPr>
        <w:tc>
          <w:tcPr>
            <w:tcW w:w="1940" w:type="dxa"/>
            <w:vAlign w:val="bottom"/>
          </w:tcPr>
          <w:p>
            <w:pPr>
              <w:spacing w:after="0"/>
              <w:rPr>
                <w:sz w:val="20"/>
                <w:szCs w:val="20"/>
                <w:color w:val="auto"/>
              </w:rPr>
            </w:pPr>
          </w:p>
        </w:tc>
        <w:tc>
          <w:tcPr>
            <w:tcW w:w="3700" w:type="dxa"/>
            <w:vAlign w:val="bottom"/>
            <w:vMerge w:val="restart"/>
          </w:tcPr>
          <w:p>
            <w:pPr>
              <w:ind w:left="380"/>
              <w:spacing w:after="0"/>
              <w:rPr>
                <w:sz w:val="20"/>
                <w:szCs w:val="20"/>
                <w:color w:val="auto"/>
              </w:rPr>
            </w:pPr>
            <w:r>
              <w:rPr>
                <w:rFonts w:ascii="Arial" w:cs="Arial" w:eastAsia="Arial" w:hAnsi="Arial"/>
                <w:sz w:val="16"/>
                <w:szCs w:val="16"/>
                <w:b w:val="1"/>
                <w:bCs w:val="1"/>
                <w:i w:val="1"/>
                <w:iCs w:val="1"/>
                <w:color w:val="1414D2"/>
              </w:rPr>
              <w:t>PAR Capital Management, Inc.</w:t>
            </w:r>
          </w:p>
        </w:tc>
        <w:tc>
          <w:tcPr>
            <w:tcW w:w="4080" w:type="dxa"/>
            <w:vAlign w:val="bottom"/>
          </w:tcPr>
          <w:p>
            <w:pPr>
              <w:ind w:left="620"/>
              <w:spacing w:after="0"/>
              <w:rPr>
                <w:sz w:val="20"/>
                <w:szCs w:val="20"/>
                <w:color w:val="auto"/>
              </w:rPr>
            </w:pPr>
            <w:r>
              <w:rPr>
                <w:rFonts w:ascii="Arial" w:cs="Arial" w:eastAsia="Arial" w:hAnsi="Arial"/>
                <w:sz w:val="16"/>
                <w:szCs w:val="16"/>
                <w:b w:val="1"/>
                <w:bCs w:val="1"/>
                <w:color w:val="auto"/>
              </w:rPr>
              <w:t>YEARS</w:t>
            </w:r>
          </w:p>
        </w:tc>
        <w:tc>
          <w:tcPr>
            <w:tcW w:w="0" w:type="dxa"/>
            <w:vAlign w:val="bottom"/>
          </w:tcPr>
          <w:p>
            <w:pPr>
              <w:spacing w:after="0"/>
              <w:rPr>
                <w:sz w:val="1"/>
                <w:szCs w:val="1"/>
                <w:color w:val="auto"/>
              </w:rPr>
            </w:pPr>
          </w:p>
        </w:tc>
      </w:tr>
      <w:tr>
        <w:trPr>
          <w:trHeight w:val="62"/>
        </w:trPr>
        <w:tc>
          <w:tcPr>
            <w:tcW w:w="1940" w:type="dxa"/>
            <w:vAlign w:val="bottom"/>
          </w:tcPr>
          <w:p>
            <w:pPr>
              <w:spacing w:after="0"/>
              <w:rPr>
                <w:sz w:val="5"/>
                <w:szCs w:val="5"/>
                <w:color w:val="auto"/>
              </w:rPr>
            </w:pPr>
          </w:p>
        </w:tc>
        <w:tc>
          <w:tcPr>
            <w:tcW w:w="3700" w:type="dxa"/>
            <w:vAlign w:val="bottom"/>
            <w:vMerge w:val="continue"/>
          </w:tcPr>
          <w:p>
            <w:pPr>
              <w:spacing w:after="0"/>
              <w:rPr>
                <w:sz w:val="5"/>
                <w:szCs w:val="5"/>
                <w:color w:val="auto"/>
              </w:rPr>
            </w:pPr>
          </w:p>
        </w:tc>
        <w:tc>
          <w:tcPr>
            <w:tcW w:w="4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5"/>
        </w:trPr>
        <w:tc>
          <w:tcPr>
            <w:tcW w:w="1940" w:type="dxa"/>
            <w:vAlign w:val="bottom"/>
          </w:tcPr>
          <w:p>
            <w:pPr>
              <w:spacing w:after="0"/>
              <w:rPr>
                <w:sz w:val="20"/>
                <w:szCs w:val="20"/>
                <w:color w:val="auto"/>
              </w:rPr>
            </w:pPr>
          </w:p>
        </w:tc>
        <w:tc>
          <w:tcPr>
            <w:tcW w:w="3700" w:type="dxa"/>
            <w:vAlign w:val="bottom"/>
          </w:tcPr>
          <w:p>
            <w:pPr>
              <w:ind w:left="420"/>
              <w:spacing w:after="0"/>
              <w:rPr>
                <w:sz w:val="20"/>
                <w:szCs w:val="20"/>
                <w:color w:val="auto"/>
              </w:rPr>
            </w:pPr>
            <w:r>
              <w:rPr>
                <w:rFonts w:ascii="Arial" w:cs="Arial" w:eastAsia="Arial" w:hAnsi="Arial"/>
                <w:sz w:val="16"/>
                <w:szCs w:val="16"/>
                <w:color w:val="auto"/>
              </w:rPr>
              <w:t>(investment  management  frm)</w:t>
            </w:r>
          </w:p>
        </w:tc>
        <w:tc>
          <w:tcPr>
            <w:tcW w:w="4080" w:type="dxa"/>
            <w:vAlign w:val="bottom"/>
          </w:tcPr>
          <w:p>
            <w:pPr>
              <w:ind w:left="620"/>
              <w:spacing w:after="0"/>
              <w:rPr>
                <w:sz w:val="20"/>
                <w:szCs w:val="20"/>
                <w:color w:val="auto"/>
              </w:rPr>
            </w:pPr>
            <w:r>
              <w:rPr>
                <w:rFonts w:ascii="Arial" w:cs="Arial" w:eastAsia="Arial" w:hAnsi="Arial"/>
                <w:sz w:val="16"/>
                <w:szCs w:val="16"/>
                <w:color w:val="auto"/>
              </w:rPr>
              <w:t>None</w:t>
            </w:r>
          </w:p>
        </w:tc>
        <w:tc>
          <w:tcPr>
            <w:tcW w:w="0" w:type="dxa"/>
            <w:vAlign w:val="bottom"/>
          </w:tcPr>
          <w:p>
            <w:pPr>
              <w:spacing w:after="0"/>
              <w:rPr>
                <w:sz w:val="1"/>
                <w:szCs w:val="1"/>
                <w:color w:val="auto"/>
              </w:rPr>
            </w:pPr>
          </w:p>
        </w:tc>
      </w:tr>
      <w:tr>
        <w:trPr>
          <w:trHeight w:val="310"/>
        </w:trPr>
        <w:tc>
          <w:tcPr>
            <w:tcW w:w="1940" w:type="dxa"/>
            <w:vAlign w:val="bottom"/>
            <w:vMerge w:val="restart"/>
          </w:tcPr>
          <w:p>
            <w:pPr>
              <w:ind w:left="100"/>
              <w:spacing w:after="0"/>
              <w:rPr>
                <w:sz w:val="20"/>
                <w:szCs w:val="20"/>
                <w:color w:val="auto"/>
              </w:rPr>
            </w:pPr>
            <w:r>
              <w:rPr>
                <w:rFonts w:ascii="Arial" w:cs="Arial" w:eastAsia="Arial" w:hAnsi="Arial"/>
                <w:sz w:val="16"/>
                <w:szCs w:val="16"/>
                <w:b w:val="1"/>
                <w:bCs w:val="1"/>
                <w:i w:val="1"/>
                <w:iCs w:val="1"/>
                <w:color w:val="1414D2"/>
              </w:rPr>
              <w:t>Director Since</w:t>
            </w:r>
            <w:r>
              <w:rPr>
                <w:rFonts w:ascii="Arial" w:cs="Arial" w:eastAsia="Arial" w:hAnsi="Arial"/>
                <w:sz w:val="16"/>
                <w:szCs w:val="16"/>
                <w:color w:val="1414D2"/>
              </w:rPr>
              <w:t>:</w:t>
            </w:r>
            <w:r>
              <w:rPr>
                <w:rFonts w:ascii="Arial" w:cs="Arial" w:eastAsia="Arial" w:hAnsi="Arial"/>
                <w:sz w:val="16"/>
                <w:szCs w:val="16"/>
                <w:b w:val="1"/>
                <w:bCs w:val="1"/>
                <w:i w:val="1"/>
                <w:iCs w:val="1"/>
                <w:color w:val="1414D2"/>
              </w:rPr>
              <w:t xml:space="preserve">  </w:t>
            </w:r>
            <w:r>
              <w:rPr>
                <w:rFonts w:ascii="Arial" w:cs="Arial" w:eastAsia="Arial" w:hAnsi="Arial"/>
                <w:sz w:val="16"/>
                <w:szCs w:val="16"/>
                <w:color w:val="000000"/>
              </w:rPr>
              <w:t>2016</w:t>
            </w:r>
          </w:p>
        </w:tc>
        <w:tc>
          <w:tcPr>
            <w:tcW w:w="3700" w:type="dxa"/>
            <w:vAlign w:val="bottom"/>
          </w:tcPr>
          <w:p>
            <w:pPr>
              <w:ind w:left="580"/>
              <w:spacing w:after="0"/>
              <w:rPr>
                <w:sz w:val="20"/>
                <w:szCs w:val="20"/>
                <w:color w:val="auto"/>
              </w:rPr>
            </w:pPr>
            <w:r>
              <w:rPr>
                <w:rFonts w:ascii="Arial" w:cs="Arial" w:eastAsia="Arial" w:hAnsi="Arial"/>
                <w:sz w:val="16"/>
                <w:szCs w:val="16"/>
                <w:color w:val="auto"/>
              </w:rPr>
              <w:t>Managing  Partner  (1999-2016)</w:t>
            </w:r>
          </w:p>
        </w:tc>
        <w:tc>
          <w:tcPr>
            <w:tcW w:w="4080" w:type="dxa"/>
            <w:vAlign w:val="bottom"/>
          </w:tcPr>
          <w:p>
            <w:pPr>
              <w:ind w:left="620"/>
              <w:spacing w:after="0"/>
              <w:rPr>
                <w:sz w:val="20"/>
                <w:szCs w:val="20"/>
                <w:color w:val="auto"/>
              </w:rPr>
            </w:pPr>
            <w:r>
              <w:rPr>
                <w:rFonts w:ascii="Arial" w:cs="Arial" w:eastAsia="Arial" w:hAnsi="Arial"/>
                <w:sz w:val="16"/>
                <w:szCs w:val="16"/>
                <w:b w:val="1"/>
                <w:bCs w:val="1"/>
                <w:color w:val="auto"/>
              </w:rPr>
              <w:t>EDUCATION</w:t>
            </w:r>
          </w:p>
        </w:tc>
        <w:tc>
          <w:tcPr>
            <w:tcW w:w="0" w:type="dxa"/>
            <w:vAlign w:val="bottom"/>
          </w:tcPr>
          <w:p>
            <w:pPr>
              <w:spacing w:after="0"/>
              <w:rPr>
                <w:sz w:val="1"/>
                <w:szCs w:val="1"/>
                <w:color w:val="auto"/>
              </w:rPr>
            </w:pPr>
          </w:p>
        </w:tc>
      </w:tr>
      <w:tr>
        <w:trPr>
          <w:trHeight w:val="135"/>
        </w:trPr>
        <w:tc>
          <w:tcPr>
            <w:tcW w:w="1940" w:type="dxa"/>
            <w:vAlign w:val="bottom"/>
            <w:vMerge w:val="continue"/>
          </w:tcPr>
          <w:p>
            <w:pPr>
              <w:spacing w:after="0"/>
              <w:rPr>
                <w:sz w:val="11"/>
                <w:szCs w:val="11"/>
                <w:color w:val="auto"/>
              </w:rPr>
            </w:pPr>
          </w:p>
        </w:tc>
        <w:tc>
          <w:tcPr>
            <w:tcW w:w="3700" w:type="dxa"/>
            <w:vAlign w:val="bottom"/>
            <w:vMerge w:val="restart"/>
          </w:tcPr>
          <w:p>
            <w:pPr>
              <w:ind w:left="580"/>
              <w:spacing w:after="0"/>
              <w:rPr>
                <w:sz w:val="20"/>
                <w:szCs w:val="20"/>
                <w:color w:val="auto"/>
              </w:rPr>
            </w:pPr>
            <w:r>
              <w:rPr>
                <w:rFonts w:ascii="Arial" w:cs="Arial" w:eastAsia="Arial" w:hAnsi="Arial"/>
                <w:sz w:val="16"/>
                <w:szCs w:val="16"/>
                <w:color w:val="auto"/>
              </w:rPr>
              <w:t>Portfolio  Manager  (1997-2016)</w:t>
            </w:r>
          </w:p>
        </w:tc>
        <w:tc>
          <w:tcPr>
            <w:tcW w:w="4080" w:type="dxa"/>
            <w:vAlign w:val="bottom"/>
            <w:vMerge w:val="restart"/>
          </w:tcPr>
          <w:p>
            <w:pPr>
              <w:ind w:left="620"/>
              <w:spacing w:after="0"/>
              <w:rPr>
                <w:sz w:val="20"/>
                <w:szCs w:val="20"/>
                <w:color w:val="auto"/>
              </w:rPr>
            </w:pPr>
            <w:r>
              <w:rPr>
                <w:rFonts w:ascii="Arial" w:cs="Arial" w:eastAsia="Arial" w:hAnsi="Arial"/>
                <w:sz w:val="16"/>
                <w:szCs w:val="16"/>
                <w:b w:val="1"/>
                <w:bCs w:val="1"/>
                <w:i w:val="1"/>
                <w:iCs w:val="1"/>
                <w:color w:val="1414D2"/>
                <w:w w:val="95"/>
              </w:rPr>
              <w:t xml:space="preserve">University of California, Los Angeles, </w:t>
            </w:r>
            <w:r>
              <w:rPr>
                <w:rFonts w:ascii="Arial" w:cs="Arial" w:eastAsia="Arial" w:hAnsi="Arial"/>
                <w:sz w:val="16"/>
                <w:szCs w:val="16"/>
                <w:color w:val="000000"/>
                <w:w w:val="95"/>
              </w:rPr>
              <w:t>Master  of</w:t>
            </w:r>
          </w:p>
        </w:tc>
        <w:tc>
          <w:tcPr>
            <w:tcW w:w="0" w:type="dxa"/>
            <w:vAlign w:val="bottom"/>
          </w:tcPr>
          <w:p>
            <w:pPr>
              <w:spacing w:after="0"/>
              <w:rPr>
                <w:sz w:val="1"/>
                <w:szCs w:val="1"/>
                <w:color w:val="auto"/>
              </w:rPr>
            </w:pPr>
          </w:p>
        </w:tc>
      </w:tr>
      <w:tr>
        <w:trPr>
          <w:trHeight w:val="116"/>
        </w:trPr>
        <w:tc>
          <w:tcPr>
            <w:tcW w:w="1940" w:type="dxa"/>
            <w:vAlign w:val="bottom"/>
            <w:vMerge w:val="restart"/>
          </w:tcPr>
          <w:p>
            <w:pPr>
              <w:ind w:left="100"/>
              <w:spacing w:after="0"/>
              <w:rPr>
                <w:sz w:val="20"/>
                <w:szCs w:val="20"/>
                <w:color w:val="auto"/>
              </w:rPr>
            </w:pPr>
            <w:r>
              <w:rPr>
                <w:rFonts w:ascii="Arial" w:cs="Arial" w:eastAsia="Arial" w:hAnsi="Arial"/>
                <w:sz w:val="16"/>
                <w:szCs w:val="16"/>
                <w:b w:val="1"/>
                <w:bCs w:val="1"/>
                <w:i w:val="1"/>
                <w:iCs w:val="1"/>
                <w:color w:val="1414D2"/>
              </w:rPr>
              <w:t>Age</w:t>
            </w:r>
            <w:r>
              <w:rPr>
                <w:rFonts w:ascii="Arial" w:cs="Arial" w:eastAsia="Arial" w:hAnsi="Arial"/>
                <w:sz w:val="16"/>
                <w:szCs w:val="16"/>
                <w:color w:val="1414D2"/>
              </w:rPr>
              <w:t>:</w:t>
            </w:r>
            <w:r>
              <w:rPr>
                <w:rFonts w:ascii="Arial" w:cs="Arial" w:eastAsia="Arial" w:hAnsi="Arial"/>
                <w:sz w:val="16"/>
                <w:szCs w:val="16"/>
                <w:b w:val="1"/>
                <w:bCs w:val="1"/>
                <w:i w:val="1"/>
                <w:iCs w:val="1"/>
                <w:color w:val="1414D2"/>
              </w:rPr>
              <w:t xml:space="preserve">  </w:t>
            </w:r>
            <w:r>
              <w:rPr>
                <w:rFonts w:ascii="Arial" w:cs="Arial" w:eastAsia="Arial" w:hAnsi="Arial"/>
                <w:sz w:val="16"/>
                <w:szCs w:val="16"/>
                <w:color w:val="000000"/>
              </w:rPr>
              <w:t>61</w:t>
            </w:r>
          </w:p>
        </w:tc>
        <w:tc>
          <w:tcPr>
            <w:tcW w:w="3700" w:type="dxa"/>
            <w:vAlign w:val="bottom"/>
            <w:vMerge w:val="continue"/>
          </w:tcPr>
          <w:p>
            <w:pPr>
              <w:spacing w:after="0"/>
              <w:rPr>
                <w:sz w:val="10"/>
                <w:szCs w:val="10"/>
                <w:color w:val="auto"/>
              </w:rPr>
            </w:pPr>
          </w:p>
        </w:tc>
        <w:tc>
          <w:tcPr>
            <w:tcW w:w="4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5"/>
        </w:trPr>
        <w:tc>
          <w:tcPr>
            <w:tcW w:w="1940" w:type="dxa"/>
            <w:vAlign w:val="bottom"/>
            <w:vMerge w:val="continue"/>
          </w:tcPr>
          <w:p>
            <w:pPr>
              <w:spacing w:after="0"/>
              <w:rPr>
                <w:sz w:val="20"/>
                <w:szCs w:val="20"/>
                <w:color w:val="auto"/>
              </w:rPr>
            </w:pPr>
          </w:p>
        </w:tc>
        <w:tc>
          <w:tcPr>
            <w:tcW w:w="3700" w:type="dxa"/>
            <w:vAlign w:val="bottom"/>
          </w:tcPr>
          <w:p>
            <w:pPr>
              <w:spacing w:after="0"/>
              <w:rPr>
                <w:sz w:val="20"/>
                <w:szCs w:val="20"/>
                <w:color w:val="auto"/>
              </w:rPr>
            </w:pPr>
          </w:p>
        </w:tc>
        <w:tc>
          <w:tcPr>
            <w:tcW w:w="4080" w:type="dxa"/>
            <w:vAlign w:val="bottom"/>
          </w:tcPr>
          <w:p>
            <w:pPr>
              <w:ind w:left="620"/>
              <w:spacing w:after="0"/>
              <w:rPr>
                <w:sz w:val="20"/>
                <w:szCs w:val="20"/>
                <w:color w:val="auto"/>
              </w:rPr>
            </w:pPr>
            <w:r>
              <w:rPr>
                <w:rFonts w:ascii="Arial" w:cs="Arial" w:eastAsia="Arial" w:hAnsi="Arial"/>
                <w:sz w:val="16"/>
                <w:szCs w:val="16"/>
                <w:color w:val="auto"/>
              </w:rPr>
              <w:t>Business  Administration</w:t>
            </w:r>
          </w:p>
        </w:tc>
        <w:tc>
          <w:tcPr>
            <w:tcW w:w="0" w:type="dxa"/>
            <w:vAlign w:val="bottom"/>
          </w:tcPr>
          <w:p>
            <w:pPr>
              <w:spacing w:after="0"/>
              <w:rPr>
                <w:sz w:val="1"/>
                <w:szCs w:val="1"/>
                <w:color w:val="auto"/>
              </w:rPr>
            </w:pPr>
          </w:p>
        </w:tc>
      </w:tr>
      <w:tr>
        <w:trPr>
          <w:trHeight w:val="297"/>
        </w:trPr>
        <w:tc>
          <w:tcPr>
            <w:tcW w:w="1940" w:type="dxa"/>
            <w:vAlign w:val="bottom"/>
          </w:tcPr>
          <w:p>
            <w:pPr>
              <w:ind w:left="100"/>
              <w:spacing w:after="0"/>
              <w:rPr>
                <w:sz w:val="20"/>
                <w:szCs w:val="20"/>
                <w:color w:val="auto"/>
              </w:rPr>
            </w:pPr>
            <w:r>
              <w:rPr>
                <w:rFonts w:ascii="Arial" w:cs="Arial" w:eastAsia="Arial" w:hAnsi="Arial"/>
                <w:sz w:val="16"/>
                <w:szCs w:val="16"/>
                <w:b w:val="1"/>
                <w:bCs w:val="1"/>
                <w:i w:val="1"/>
                <w:iCs w:val="1"/>
                <w:color w:val="1414D2"/>
              </w:rPr>
              <w:t>Committees</w:t>
            </w:r>
            <w:r>
              <w:rPr>
                <w:rFonts w:ascii="Arial" w:cs="Arial" w:eastAsia="Arial" w:hAnsi="Arial"/>
                <w:sz w:val="16"/>
                <w:szCs w:val="16"/>
                <w:color w:val="1414D2"/>
              </w:rPr>
              <w:t>:</w:t>
            </w:r>
          </w:p>
        </w:tc>
        <w:tc>
          <w:tcPr>
            <w:tcW w:w="3700" w:type="dxa"/>
            <w:vAlign w:val="bottom"/>
          </w:tcPr>
          <w:p>
            <w:pPr>
              <w:spacing w:after="0"/>
              <w:rPr>
                <w:sz w:val="24"/>
                <w:szCs w:val="24"/>
                <w:color w:val="auto"/>
              </w:rPr>
            </w:pPr>
          </w:p>
        </w:tc>
        <w:tc>
          <w:tcPr>
            <w:tcW w:w="4080" w:type="dxa"/>
            <w:vAlign w:val="bottom"/>
          </w:tcPr>
          <w:p>
            <w:pPr>
              <w:ind w:left="620"/>
              <w:spacing w:after="0"/>
              <w:rPr>
                <w:sz w:val="20"/>
                <w:szCs w:val="20"/>
                <w:color w:val="auto"/>
              </w:rPr>
            </w:pPr>
            <w:r>
              <w:rPr>
                <w:rFonts w:ascii="Arial" w:cs="Arial" w:eastAsia="Arial" w:hAnsi="Arial"/>
                <w:sz w:val="16"/>
                <w:szCs w:val="16"/>
                <w:b w:val="1"/>
                <w:bCs w:val="1"/>
                <w:i w:val="1"/>
                <w:iCs w:val="1"/>
                <w:color w:val="1414D2"/>
              </w:rPr>
              <w:t xml:space="preserve">University of Pennsylvania, </w:t>
            </w:r>
            <w:r>
              <w:rPr>
                <w:rFonts w:ascii="Arial" w:cs="Arial" w:eastAsia="Arial" w:hAnsi="Arial"/>
                <w:sz w:val="16"/>
                <w:szCs w:val="16"/>
                <w:color w:val="000000"/>
              </w:rPr>
              <w:t>BS,  Economics</w:t>
            </w:r>
          </w:p>
        </w:tc>
        <w:tc>
          <w:tcPr>
            <w:tcW w:w="0" w:type="dxa"/>
            <w:vAlign w:val="bottom"/>
          </w:tcPr>
          <w:p>
            <w:pPr>
              <w:spacing w:after="0"/>
              <w:rPr>
                <w:sz w:val="1"/>
                <w:szCs w:val="1"/>
                <w:color w:val="auto"/>
              </w:rPr>
            </w:pPr>
          </w:p>
        </w:tc>
      </w:tr>
      <w:tr>
        <w:trPr>
          <w:trHeight w:val="257"/>
        </w:trPr>
        <w:tc>
          <w:tcPr>
            <w:tcW w:w="1940" w:type="dxa"/>
            <w:vAlign w:val="bottom"/>
          </w:tcPr>
          <w:p>
            <w:pPr>
              <w:ind w:left="100"/>
              <w:spacing w:after="0"/>
              <w:rPr>
                <w:sz w:val="20"/>
                <w:szCs w:val="20"/>
                <w:color w:val="auto"/>
              </w:rPr>
            </w:pPr>
            <w:r>
              <w:rPr>
                <w:rFonts w:ascii="Arial" w:cs="Arial" w:eastAsia="Arial" w:hAnsi="Arial"/>
                <w:sz w:val="16"/>
                <w:szCs w:val="16"/>
                <w:color w:val="auto"/>
              </w:rPr>
              <w:t>Finance  (Chair)</w:t>
            </w:r>
          </w:p>
        </w:tc>
        <w:tc>
          <w:tcPr>
            <w:tcW w:w="3700" w:type="dxa"/>
            <w:vAlign w:val="bottom"/>
          </w:tcPr>
          <w:p>
            <w:pPr>
              <w:spacing w:after="0"/>
              <w:rPr>
                <w:sz w:val="22"/>
                <w:szCs w:val="22"/>
                <w:color w:val="auto"/>
              </w:rPr>
            </w:pPr>
          </w:p>
        </w:tc>
        <w:tc>
          <w:tcPr>
            <w:tcW w:w="4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1940" w:type="dxa"/>
            <w:vAlign w:val="bottom"/>
          </w:tcPr>
          <w:p>
            <w:pPr>
              <w:ind w:left="100"/>
              <w:spacing w:after="0"/>
              <w:rPr>
                <w:sz w:val="20"/>
                <w:szCs w:val="20"/>
                <w:color w:val="auto"/>
              </w:rPr>
            </w:pPr>
            <w:r>
              <w:rPr>
                <w:rFonts w:ascii="Arial" w:cs="Arial" w:eastAsia="Arial" w:hAnsi="Arial"/>
                <w:sz w:val="16"/>
                <w:szCs w:val="16"/>
                <w:color w:val="auto"/>
              </w:rPr>
              <w:t>Compensation</w:t>
            </w:r>
          </w:p>
        </w:tc>
        <w:tc>
          <w:tcPr>
            <w:tcW w:w="370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940" w:type="dxa"/>
            <w:vAlign w:val="bottom"/>
          </w:tcPr>
          <w:p>
            <w:pPr>
              <w:ind w:left="100"/>
              <w:spacing w:after="0"/>
              <w:rPr>
                <w:sz w:val="20"/>
                <w:szCs w:val="20"/>
                <w:color w:val="auto"/>
              </w:rPr>
            </w:pPr>
            <w:r>
              <w:rPr>
                <w:rFonts w:ascii="Arial" w:cs="Arial" w:eastAsia="Arial" w:hAnsi="Arial"/>
                <w:sz w:val="16"/>
                <w:szCs w:val="16"/>
                <w:color w:val="auto"/>
              </w:rPr>
              <w:t>Executive</w:t>
            </w:r>
          </w:p>
        </w:tc>
        <w:tc>
          <w:tcPr>
            <w:tcW w:w="370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14" w:lineRule="exact"/>
        <w:rPr>
          <w:sz w:val="20"/>
          <w:szCs w:val="20"/>
          <w:color w:val="auto"/>
        </w:rPr>
      </w:pPr>
    </w:p>
    <w:p>
      <w:pPr>
        <w:ind w:left="100"/>
        <w:spacing w:after="0"/>
        <w:rPr>
          <w:sz w:val="20"/>
          <w:szCs w:val="20"/>
          <w:color w:val="auto"/>
        </w:rPr>
      </w:pPr>
      <w:r>
        <w:rPr>
          <w:rFonts w:ascii="Arial" w:cs="Arial" w:eastAsia="Arial" w:hAnsi="Arial"/>
          <w:sz w:val="16"/>
          <w:szCs w:val="16"/>
          <w:b w:val="1"/>
          <w:bCs w:val="1"/>
          <w:i w:val="1"/>
          <w:iCs w:val="1"/>
          <w:color w:val="1414D2"/>
        </w:rPr>
        <w:t>Skills and Qualifcations:</w:t>
      </w:r>
    </w:p>
    <w:p>
      <w:pPr>
        <w:spacing w:after="0" w:line="223" w:lineRule="exact"/>
        <w:rPr>
          <w:sz w:val="20"/>
          <w:szCs w:val="20"/>
          <w:color w:val="auto"/>
        </w:rPr>
      </w:pPr>
    </w:p>
    <w:p>
      <w:pPr>
        <w:ind w:left="780" w:right="200"/>
        <w:spacing w:after="0" w:line="255" w:lineRule="auto"/>
        <w:rPr>
          <w:sz w:val="20"/>
          <w:szCs w:val="20"/>
          <w:color w:val="auto"/>
        </w:rPr>
      </w:pPr>
      <w:r>
        <w:rPr>
          <w:rFonts w:ascii="Arial" w:cs="Arial" w:eastAsia="Arial" w:hAnsi="Arial"/>
          <w:sz w:val="16"/>
          <w:szCs w:val="16"/>
          <w:b w:val="1"/>
          <w:bCs w:val="1"/>
          <w:color w:val="auto"/>
        </w:rPr>
        <w:t xml:space="preserve">Air / Travel / Transportation: </w:t>
      </w:r>
      <w:r>
        <w:rPr>
          <w:rFonts w:ascii="Arial" w:cs="Arial" w:eastAsia="Arial" w:hAnsi="Arial"/>
          <w:sz w:val="16"/>
          <w:szCs w:val="16"/>
          <w:color w:val="auto"/>
        </w:rPr>
        <w:t>Mr. Shapiro has been an active investor in the airline industry for more than 25 years</w:t>
      </w:r>
      <w:r>
        <w:rPr>
          <w:rFonts w:ascii="Arial" w:cs="Arial" w:eastAsia="Arial" w:hAnsi="Arial"/>
          <w:sz w:val="16"/>
          <w:szCs w:val="16"/>
          <w:b w:val="1"/>
          <w:bCs w:val="1"/>
          <w:color w:val="auto"/>
        </w:rPr>
        <w:t xml:space="preserve"> </w:t>
      </w:r>
      <w:r>
        <w:rPr>
          <w:rFonts w:ascii="Arial" w:cs="Arial" w:eastAsia="Arial" w:hAnsi="Arial"/>
          <w:sz w:val="16"/>
          <w:szCs w:val="16"/>
          <w:color w:val="auto"/>
        </w:rPr>
        <w:t>and previously served as a director on the boards of directors of Global Eagle Entertainment, Inc., which ofers</w:t>
      </w:r>
    </w:p>
    <w:p>
      <w:pPr>
        <w:spacing w:after="0" w:line="1" w:lineRule="exact"/>
        <w:rPr>
          <w:sz w:val="20"/>
          <w:szCs w:val="20"/>
          <w:color w:val="auto"/>
        </w:rPr>
      </w:pPr>
    </w:p>
    <w:p>
      <w:pPr>
        <w:ind w:left="780" w:right="180"/>
        <w:spacing w:after="0" w:line="313" w:lineRule="auto"/>
        <w:rPr>
          <w:sz w:val="20"/>
          <w:szCs w:val="20"/>
          <w:color w:val="auto"/>
        </w:rPr>
      </w:pPr>
      <w:r>
        <w:rPr>
          <w:rFonts w:ascii="Arial" w:cs="Arial" w:eastAsia="Arial" w:hAnsi="Arial"/>
          <w:sz w:val="16"/>
          <w:szCs w:val="16"/>
          <w:color w:val="auto"/>
        </w:rPr>
        <w:t>satellite-based in-fight connectivity solutions with embedded entertainment services, as well as US Airways prior to its merger with American Airlines.</w:t>
      </w:r>
    </w:p>
    <w:p>
      <w:pPr>
        <w:spacing w:after="0" w:line="114" w:lineRule="exact"/>
        <w:rPr>
          <w:sz w:val="20"/>
          <w:szCs w:val="20"/>
          <w:color w:val="auto"/>
        </w:rPr>
      </w:pPr>
    </w:p>
    <w:p>
      <w:pPr>
        <w:ind w:left="780" w:right="360"/>
        <w:spacing w:after="0" w:line="313" w:lineRule="auto"/>
        <w:rPr>
          <w:sz w:val="20"/>
          <w:szCs w:val="20"/>
          <w:color w:val="auto"/>
        </w:rPr>
      </w:pPr>
      <w:r>
        <w:rPr>
          <w:rFonts w:ascii="Arial" w:cs="Arial" w:eastAsia="Arial" w:hAnsi="Arial"/>
          <w:sz w:val="16"/>
          <w:szCs w:val="16"/>
          <w:b w:val="1"/>
          <w:bCs w:val="1"/>
          <w:color w:val="auto"/>
        </w:rPr>
        <w:t xml:space="preserve">Governance and Current or Former Public Company Board: </w:t>
      </w:r>
      <w:r>
        <w:rPr>
          <w:rFonts w:ascii="Arial" w:cs="Arial" w:eastAsia="Arial" w:hAnsi="Arial"/>
          <w:sz w:val="16"/>
          <w:szCs w:val="16"/>
          <w:color w:val="auto"/>
        </w:rPr>
        <w:t>Mr. Shapiro served on the board of directors of US</w:t>
      </w:r>
      <w:r>
        <w:rPr>
          <w:rFonts w:ascii="Arial" w:cs="Arial" w:eastAsia="Arial" w:hAnsi="Arial"/>
          <w:sz w:val="16"/>
          <w:szCs w:val="16"/>
          <w:b w:val="1"/>
          <w:bCs w:val="1"/>
          <w:color w:val="auto"/>
        </w:rPr>
        <w:t xml:space="preserve"> </w:t>
      </w:r>
      <w:r>
        <w:rPr>
          <w:rFonts w:ascii="Arial" w:cs="Arial" w:eastAsia="Arial" w:hAnsi="Arial"/>
          <w:sz w:val="16"/>
          <w:szCs w:val="16"/>
          <w:color w:val="auto"/>
        </w:rPr>
        <w:t>Airways.</w:t>
      </w:r>
    </w:p>
    <w:p>
      <w:pPr>
        <w:spacing w:after="0" w:line="128" w:lineRule="exact"/>
        <w:rPr>
          <w:sz w:val="20"/>
          <w:szCs w:val="20"/>
          <w:color w:val="auto"/>
        </w:rPr>
      </w:pPr>
    </w:p>
    <w:p>
      <w:pPr>
        <w:ind w:left="780" w:right="200"/>
        <w:spacing w:after="0" w:line="313" w:lineRule="auto"/>
        <w:rPr>
          <w:sz w:val="20"/>
          <w:szCs w:val="20"/>
          <w:color w:val="auto"/>
        </w:rPr>
      </w:pPr>
      <w:r>
        <w:rPr>
          <w:rFonts w:ascii="Arial" w:cs="Arial" w:eastAsia="Arial" w:hAnsi="Arial"/>
          <w:sz w:val="16"/>
          <w:szCs w:val="16"/>
          <w:b w:val="1"/>
          <w:bCs w:val="1"/>
          <w:color w:val="auto"/>
        </w:rPr>
        <w:t xml:space="preserve">Finance / Accounting / Capital Allocation: </w:t>
      </w:r>
      <w:r>
        <w:rPr>
          <w:rFonts w:ascii="Arial" w:cs="Arial" w:eastAsia="Arial" w:hAnsi="Arial"/>
          <w:sz w:val="16"/>
          <w:szCs w:val="16"/>
          <w:color w:val="auto"/>
        </w:rPr>
        <w:t>Mr. Shapiro brings to the Board fnancial expertise and an investor’s</w:t>
      </w:r>
      <w:r>
        <w:rPr>
          <w:rFonts w:ascii="Arial" w:cs="Arial" w:eastAsia="Arial" w:hAnsi="Arial"/>
          <w:sz w:val="16"/>
          <w:szCs w:val="16"/>
          <w:b w:val="1"/>
          <w:bCs w:val="1"/>
          <w:color w:val="auto"/>
        </w:rPr>
        <w:t xml:space="preserve"> </w:t>
      </w:r>
      <w:r>
        <w:rPr>
          <w:rFonts w:ascii="Arial" w:cs="Arial" w:eastAsia="Arial" w:hAnsi="Arial"/>
          <w:sz w:val="16"/>
          <w:szCs w:val="16"/>
          <w:color w:val="auto"/>
        </w:rPr>
        <w:t>perspective, having served in various capacities at PAR Capital Management, Inc. (“PAR Capital”) from 1997 to 2016.</w:t>
      </w:r>
    </w:p>
    <w:p>
      <w:pPr>
        <w:spacing w:after="0" w:line="128" w:lineRule="exact"/>
        <w:rPr>
          <w:sz w:val="20"/>
          <w:szCs w:val="20"/>
          <w:color w:val="auto"/>
        </w:rPr>
      </w:pPr>
    </w:p>
    <w:p>
      <w:pPr>
        <w:ind w:left="780" w:right="780"/>
        <w:spacing w:after="0" w:line="313" w:lineRule="auto"/>
        <w:rPr>
          <w:sz w:val="20"/>
          <w:szCs w:val="20"/>
          <w:color w:val="auto"/>
        </w:rPr>
      </w:pPr>
      <w:r>
        <w:rPr>
          <w:rFonts w:ascii="Arial" w:cs="Arial" w:eastAsia="Arial" w:hAnsi="Arial"/>
          <w:sz w:val="16"/>
          <w:szCs w:val="16"/>
          <w:b w:val="1"/>
          <w:bCs w:val="1"/>
          <w:color w:val="auto"/>
        </w:rPr>
        <w:t xml:space="preserve">Risk Management: </w:t>
      </w:r>
      <w:r>
        <w:rPr>
          <w:rFonts w:ascii="Arial" w:cs="Arial" w:eastAsia="Arial" w:hAnsi="Arial"/>
          <w:sz w:val="16"/>
          <w:szCs w:val="16"/>
          <w:color w:val="auto"/>
        </w:rPr>
        <w:t>Mr. Shapiro also brings valuable risk management expertise based on his experience in</w:t>
      </w:r>
      <w:r>
        <w:rPr>
          <w:rFonts w:ascii="Arial" w:cs="Arial" w:eastAsia="Arial" w:hAnsi="Arial"/>
          <w:sz w:val="16"/>
          <w:szCs w:val="16"/>
          <w:b w:val="1"/>
          <w:bCs w:val="1"/>
          <w:color w:val="auto"/>
        </w:rPr>
        <w:t xml:space="preserve"> </w:t>
      </w:r>
      <w:r>
        <w:rPr>
          <w:rFonts w:ascii="Arial" w:cs="Arial" w:eastAsia="Arial" w:hAnsi="Arial"/>
          <w:sz w:val="16"/>
          <w:szCs w:val="16"/>
          <w:color w:val="auto"/>
        </w:rPr>
        <w:t>portfolio management at PAR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2026  Proxy  Statement</w:t>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1414D2"/>
        </w:rPr>
        <w:t>29</w:t>
      </w:r>
    </w:p>
    <w:p>
      <w:pPr>
        <w:sectPr>
          <w:pgSz w:w="11900" w:h="16838" w:orient="portrait"/>
          <w:cols w:equalWidth="0" w:num="1">
            <w:col w:w="9720"/>
          </w:cols>
          <w:pgMar w:left="1080" w:top="695" w:right="1099" w:bottom="1440" w:gutter="0" w:footer="0" w:header="0"/>
        </w:sectPr>
      </w:pPr>
    </w:p>
    <w:bookmarkStart w:id="40" w:name="page41"/>
    <w:bookmarkEnd w:id="40"/>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27" w:lineRule="exact"/>
        <w:rPr>
          <w:sz w:val="20"/>
          <w:szCs w:val="20"/>
          <w:color w:val="auto"/>
        </w:rPr>
      </w:pPr>
    </w:p>
    <w:p>
      <w:pPr>
        <w:spacing w:after="0"/>
        <w:rPr>
          <w:sz w:val="20"/>
          <w:szCs w:val="20"/>
          <w:color w:val="auto"/>
        </w:rPr>
      </w:pPr>
      <w:r>
        <w:rPr>
          <w:rFonts w:ascii="Arial" w:cs="Arial" w:eastAsia="Arial" w:hAnsi="Arial"/>
          <w:sz w:val="13"/>
          <w:szCs w:val="13"/>
          <w:color w:val="6D6F71"/>
        </w:rPr>
        <w:t>Item  1  -  Election  of  Directors</w:t>
      </w:r>
    </w:p>
    <w:p>
      <w:pPr>
        <w:sectPr>
          <w:pgSz w:w="11900" w:h="16838" w:orient="portrait"/>
          <w:cols w:equalWidth="0" w:num="1">
            <w:col w:w="9620"/>
          </w:cols>
          <w:pgMar w:left="1080" w:top="695" w:right="1199" w:bottom="1440" w:gutter="0" w:footer="0" w:header="0"/>
        </w:sectPr>
      </w:pPr>
    </w:p>
    <w:p>
      <w:pPr>
        <w:spacing w:after="0" w:line="331"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LAYSHA WARD-</w:t>
      </w:r>
      <w:r>
        <w:rPr>
          <w:rFonts w:ascii="Arial" w:cs="Arial" w:eastAsia="Arial" w:hAnsi="Arial"/>
          <w:sz w:val="16"/>
          <w:szCs w:val="16"/>
          <w:color w:val="auto"/>
        </w:rPr>
        <w:t>Independent  Director</w:t>
      </w:r>
    </w:p>
    <w:p>
      <w:pPr>
        <w:spacing w:after="0" w:line="194" w:lineRule="exact"/>
        <w:rPr>
          <w:sz w:val="20"/>
          <w:szCs w:val="20"/>
          <w:color w:val="auto"/>
        </w:rPr>
      </w:pPr>
    </w:p>
    <w:p>
      <w:pPr>
        <w:ind w:left="2320"/>
        <w:spacing w:after="0"/>
        <w:rPr>
          <w:sz w:val="20"/>
          <w:szCs w:val="20"/>
          <w:color w:val="auto"/>
        </w:rPr>
      </w:pPr>
      <w:r>
        <w:rPr>
          <w:rFonts w:ascii="Arial" w:cs="Arial" w:eastAsia="Arial" w:hAnsi="Arial"/>
          <w:sz w:val="16"/>
          <w:szCs w:val="16"/>
          <w:b w:val="1"/>
          <w:bCs w:val="1"/>
          <w:color w:val="auto"/>
        </w:rPr>
        <w:t>EXPERIENCE</w:t>
      </w:r>
    </w:p>
    <w:p>
      <w:pPr>
        <w:spacing w:after="0" w:line="111" w:lineRule="exact"/>
        <w:rPr>
          <w:sz w:val="20"/>
          <w:szCs w:val="20"/>
          <w:color w:val="auto"/>
        </w:rPr>
      </w:pPr>
    </w:p>
    <w:p>
      <w:pPr>
        <w:ind w:left="2320"/>
        <w:spacing w:after="0"/>
        <w:rPr>
          <w:sz w:val="20"/>
          <w:szCs w:val="20"/>
          <w:color w:val="auto"/>
        </w:rPr>
      </w:pPr>
      <w:r>
        <w:rPr>
          <w:rFonts w:ascii="Arial" w:cs="Arial" w:eastAsia="Arial" w:hAnsi="Arial"/>
          <w:sz w:val="16"/>
          <w:szCs w:val="16"/>
          <w:b w:val="1"/>
          <w:bCs w:val="1"/>
          <w:i w:val="1"/>
          <w:iCs w:val="1"/>
          <w:color w:val="1414D2"/>
        </w:rPr>
        <w:t xml:space="preserve">Target Corporation </w:t>
      </w:r>
      <w:r>
        <w:rPr>
          <w:rFonts w:ascii="Arial" w:cs="Arial" w:eastAsia="Arial" w:hAnsi="Arial"/>
          <w:sz w:val="16"/>
          <w:szCs w:val="16"/>
          <w:color w:val="000000"/>
        </w:rPr>
        <w:t>(retail  corporation)</w:t>
      </w:r>
    </w:p>
    <w:p>
      <w:pPr>
        <w:spacing w:after="0" w:line="129" w:lineRule="exact"/>
        <w:rPr>
          <w:sz w:val="20"/>
          <w:szCs w:val="20"/>
          <w:color w:val="auto"/>
        </w:rPr>
      </w:pPr>
    </w:p>
    <w:p>
      <w:pPr>
        <w:ind w:left="2520"/>
        <w:spacing w:after="0"/>
        <w:rPr>
          <w:sz w:val="20"/>
          <w:szCs w:val="20"/>
          <w:color w:val="auto"/>
        </w:rPr>
      </w:pPr>
      <w:r>
        <w:rPr>
          <w:rFonts w:ascii="Arial" w:cs="Arial" w:eastAsia="Arial" w:hAnsi="Arial"/>
          <w:sz w:val="16"/>
          <w:szCs w:val="16"/>
          <w:color w:val="auto"/>
        </w:rPr>
        <w:t>Strategic  Advisor  (2023-2024)</w:t>
      </w:r>
    </w:p>
    <w:p>
      <w:pPr>
        <w:spacing w:after="0" w:line="113" w:lineRule="exact"/>
        <w:rPr>
          <w:sz w:val="20"/>
          <w:szCs w:val="20"/>
          <w:color w:val="auto"/>
        </w:rPr>
      </w:pPr>
    </w:p>
    <w:p>
      <w:pPr>
        <w:ind w:left="2520"/>
        <w:spacing w:after="0"/>
        <w:rPr>
          <w:sz w:val="20"/>
          <w:szCs w:val="20"/>
          <w:color w:val="auto"/>
        </w:rPr>
      </w:pPr>
      <w:r>
        <w:rPr>
          <w:rFonts w:ascii="Arial" w:cs="Arial" w:eastAsia="Arial" w:hAnsi="Arial"/>
          <w:sz w:val="16"/>
          <w:szCs w:val="16"/>
          <w:color w:val="auto"/>
        </w:rPr>
        <w:t>Executive  Vice  President,  Chief  External</w:t>
      </w:r>
    </w:p>
    <w:p>
      <w:pPr>
        <w:spacing w:after="0" w:line="5" w:lineRule="exact"/>
        <w:rPr>
          <w:sz w:val="20"/>
          <w:szCs w:val="20"/>
          <w:color w:val="auto"/>
        </w:rPr>
      </w:pPr>
    </w:p>
    <w:p>
      <w:pPr>
        <w:ind w:left="2520"/>
        <w:spacing w:after="0"/>
        <w:rPr>
          <w:sz w:val="20"/>
          <w:szCs w:val="20"/>
          <w:color w:val="auto"/>
        </w:rPr>
      </w:pPr>
      <w:r>
        <w:rPr>
          <w:rFonts w:ascii="Arial" w:cs="Arial" w:eastAsia="Arial" w:hAnsi="Arial"/>
          <w:sz w:val="16"/>
          <w:szCs w:val="16"/>
          <w:color w:val="auto"/>
        </w:rPr>
        <w:t>Engagement  Ofcer  (2017-2023)</w:t>
      </w:r>
    </w:p>
    <w:p>
      <w:pPr>
        <w:spacing w:after="0" w:line="113" w:lineRule="exact"/>
        <w:rPr>
          <w:sz w:val="20"/>
          <w:szCs w:val="20"/>
          <w:color w:val="auto"/>
        </w:rPr>
      </w:pPr>
    </w:p>
    <w:p>
      <w:pPr>
        <w:ind w:left="2520"/>
        <w:spacing w:after="0"/>
        <w:rPr>
          <w:sz w:val="20"/>
          <w:szCs w:val="20"/>
          <w:color w:val="auto"/>
        </w:rPr>
      </w:pPr>
      <w:r>
        <w:rPr>
          <w:rFonts w:ascii="Arial" w:cs="Arial" w:eastAsia="Arial" w:hAnsi="Arial"/>
          <w:sz w:val="16"/>
          <w:szCs w:val="16"/>
          <w:color w:val="auto"/>
        </w:rPr>
        <w:t>Executive  Vice  President,  Chief  Corporate</w:t>
      </w:r>
    </w:p>
    <w:p>
      <w:pPr>
        <w:jc w:val="center"/>
        <w:ind w:left="2240"/>
        <w:spacing w:after="0" w:line="200" w:lineRule="auto"/>
        <w:rPr>
          <w:sz w:val="20"/>
          <w:szCs w:val="20"/>
          <w:color w:val="auto"/>
        </w:rPr>
      </w:pPr>
      <w:r>
        <w:rPr>
          <w:rFonts w:ascii="Arial" w:cs="Arial" w:eastAsia="Arial" w:hAnsi="Arial"/>
          <w:sz w:val="16"/>
          <w:szCs w:val="16"/>
          <w:color w:val="auto"/>
        </w:rPr>
        <w:t>Social  Responsibility  Ofcer  (2015-2017)</w:t>
      </w:r>
    </w:p>
    <w:p>
      <w:pPr>
        <w:ind w:left="100"/>
        <w:spacing w:after="0" w:line="211" w:lineRule="auto"/>
        <w:rPr>
          <w:sz w:val="20"/>
          <w:szCs w:val="20"/>
          <w:color w:val="auto"/>
        </w:rPr>
      </w:pPr>
      <w:r>
        <w:rPr>
          <w:rFonts w:ascii="Arial" w:cs="Arial" w:eastAsia="Arial" w:hAnsi="Arial"/>
          <w:sz w:val="16"/>
          <w:szCs w:val="16"/>
          <w:b w:val="1"/>
          <w:bCs w:val="1"/>
          <w:i w:val="1"/>
          <w:iCs w:val="1"/>
          <w:color w:val="1414D2"/>
        </w:rPr>
        <w:t>Director Since</w:t>
      </w:r>
      <w:r>
        <w:rPr>
          <w:rFonts w:ascii="Arial" w:cs="Arial" w:eastAsia="Arial" w:hAnsi="Arial"/>
          <w:sz w:val="16"/>
          <w:szCs w:val="16"/>
          <w:color w:val="1414D2"/>
        </w:rPr>
        <w:t>:</w:t>
      </w:r>
      <w:r>
        <w:rPr>
          <w:rFonts w:ascii="Arial" w:cs="Arial" w:eastAsia="Arial" w:hAnsi="Arial"/>
          <w:sz w:val="16"/>
          <w:szCs w:val="16"/>
          <w:b w:val="1"/>
          <w:bCs w:val="1"/>
          <w:i w:val="1"/>
          <w:iCs w:val="1"/>
          <w:color w:val="1414D2"/>
        </w:rPr>
        <w:t xml:space="preserve">  </w:t>
      </w:r>
      <w:r>
        <w:rPr>
          <w:rFonts w:ascii="Arial" w:cs="Arial" w:eastAsia="Arial" w:hAnsi="Arial"/>
          <w:sz w:val="16"/>
          <w:szCs w:val="16"/>
          <w:color w:val="000000"/>
        </w:rPr>
        <w:t>2021</w:t>
      </w:r>
    </w:p>
    <w:p>
      <w:pPr>
        <w:ind w:left="2520"/>
        <w:spacing w:after="0" w:line="226" w:lineRule="auto"/>
        <w:rPr>
          <w:sz w:val="20"/>
          <w:szCs w:val="20"/>
          <w:color w:val="auto"/>
        </w:rPr>
      </w:pPr>
      <w:r>
        <w:rPr>
          <w:rFonts w:ascii="Arial" w:cs="Arial" w:eastAsia="Arial" w:hAnsi="Arial"/>
          <w:sz w:val="16"/>
          <w:szCs w:val="16"/>
          <w:color w:val="auto"/>
        </w:rPr>
        <w:t>President,  Community  Relations  and  Target</w:t>
      </w:r>
    </w:p>
    <w:p>
      <w:pPr>
        <w:ind w:left="100"/>
        <w:spacing w:after="0"/>
        <w:tabs>
          <w:tab w:leader="none" w:pos="2500" w:val="left"/>
        </w:tabs>
        <w:rPr>
          <w:sz w:val="20"/>
          <w:szCs w:val="20"/>
          <w:color w:val="auto"/>
        </w:rPr>
      </w:pPr>
      <w:r>
        <w:rPr>
          <w:rFonts w:ascii="Arial" w:cs="Arial" w:eastAsia="Arial" w:hAnsi="Arial"/>
          <w:sz w:val="31"/>
          <w:szCs w:val="31"/>
          <w:b w:val="1"/>
          <w:bCs w:val="1"/>
          <w:i w:val="1"/>
          <w:iCs w:val="1"/>
          <w:color w:val="1414D2"/>
          <w:vertAlign w:val="superscript"/>
        </w:rPr>
        <w:t>Age</w:t>
      </w:r>
      <w:r>
        <w:rPr>
          <w:rFonts w:ascii="Arial" w:cs="Arial" w:eastAsia="Arial" w:hAnsi="Arial"/>
          <w:sz w:val="31"/>
          <w:szCs w:val="31"/>
          <w:color w:val="1414D2"/>
          <w:vertAlign w:val="superscript"/>
        </w:rPr>
        <w:t>:</w:t>
      </w:r>
      <w:r>
        <w:rPr>
          <w:rFonts w:ascii="Arial" w:cs="Arial" w:eastAsia="Arial" w:hAnsi="Arial"/>
          <w:sz w:val="16"/>
          <w:szCs w:val="16"/>
          <w:color w:val="auto"/>
        </w:rPr>
        <w:t xml:space="preserve">  </w:t>
      </w:r>
      <w:r>
        <w:rPr>
          <w:rFonts w:ascii="Arial" w:cs="Arial" w:eastAsia="Arial" w:hAnsi="Arial"/>
          <w:sz w:val="31"/>
          <w:szCs w:val="31"/>
          <w:color w:val="auto"/>
          <w:vertAlign w:val="superscript"/>
        </w:rPr>
        <w:t>58</w:t>
      </w:r>
      <w:r>
        <w:rPr>
          <w:sz w:val="20"/>
          <w:szCs w:val="20"/>
          <w:color w:val="auto"/>
        </w:rPr>
        <w:tab/>
      </w:r>
      <w:r>
        <w:rPr>
          <w:rFonts w:ascii="Arial" w:cs="Arial" w:eastAsia="Arial" w:hAnsi="Arial"/>
          <w:sz w:val="16"/>
          <w:szCs w:val="16"/>
          <w:color w:val="auto"/>
        </w:rPr>
        <w:t>Foundation  (2008-2015)</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6"/>
          <w:szCs w:val="16"/>
          <w:b w:val="1"/>
          <w:bCs w:val="1"/>
          <w:i w:val="1"/>
          <w:iCs w:val="1"/>
          <w:color w:val="1414D2"/>
        </w:rPr>
        <w:t>Committees</w:t>
      </w:r>
      <w:r>
        <w:rPr>
          <w:rFonts w:ascii="Arial" w:cs="Arial" w:eastAsia="Arial" w:hAnsi="Arial"/>
          <w:sz w:val="16"/>
          <w:szCs w:val="16"/>
          <w:color w:val="1414D2"/>
        </w:rPr>
        <w:t>:</w:t>
      </w:r>
    </w:p>
    <w:p>
      <w:pPr>
        <w:spacing w:after="0" w:line="113" w:lineRule="exact"/>
        <w:rPr>
          <w:sz w:val="20"/>
          <w:szCs w:val="20"/>
          <w:color w:val="auto"/>
        </w:rPr>
      </w:pPr>
    </w:p>
    <w:p>
      <w:pPr>
        <w:ind w:left="100"/>
        <w:spacing w:after="0"/>
        <w:rPr>
          <w:sz w:val="20"/>
          <w:szCs w:val="20"/>
          <w:color w:val="auto"/>
        </w:rPr>
      </w:pPr>
      <w:r>
        <w:rPr>
          <w:rFonts w:ascii="Arial" w:cs="Arial" w:eastAsia="Arial" w:hAnsi="Arial"/>
          <w:sz w:val="16"/>
          <w:szCs w:val="16"/>
          <w:color w:val="auto"/>
        </w:rPr>
        <w:t>Audit</w:t>
      </w:r>
    </w:p>
    <w:p>
      <w:pPr>
        <w:spacing w:after="0" w:line="113" w:lineRule="exact"/>
        <w:rPr>
          <w:sz w:val="20"/>
          <w:szCs w:val="20"/>
          <w:color w:val="auto"/>
        </w:rPr>
      </w:pPr>
    </w:p>
    <w:p>
      <w:pPr>
        <w:ind w:left="100"/>
        <w:spacing w:after="0"/>
        <w:rPr>
          <w:sz w:val="20"/>
          <w:szCs w:val="20"/>
          <w:color w:val="auto"/>
        </w:rPr>
      </w:pPr>
      <w:r>
        <w:rPr>
          <w:rFonts w:ascii="Arial" w:cs="Arial" w:eastAsia="Arial" w:hAnsi="Arial"/>
          <w:sz w:val="16"/>
          <w:szCs w:val="16"/>
          <w:color w:val="auto"/>
        </w:rPr>
        <w:t>Nominating/Governance</w:t>
      </w:r>
    </w:p>
    <w:p>
      <w:pPr>
        <w:spacing w:after="0" w:line="113" w:lineRule="exact"/>
        <w:rPr>
          <w:sz w:val="20"/>
          <w:szCs w:val="20"/>
          <w:color w:val="auto"/>
        </w:rPr>
      </w:pPr>
    </w:p>
    <w:p>
      <w:pPr>
        <w:ind w:left="100"/>
        <w:spacing w:after="0"/>
        <w:rPr>
          <w:sz w:val="20"/>
          <w:szCs w:val="20"/>
          <w:color w:val="auto"/>
        </w:rPr>
      </w:pPr>
      <w:r>
        <w:rPr>
          <w:rFonts w:ascii="Arial" w:cs="Arial" w:eastAsia="Arial" w:hAnsi="Arial"/>
          <w:sz w:val="16"/>
          <w:szCs w:val="16"/>
          <w:color w:val="auto"/>
        </w:rPr>
        <w:t>Public  Responsibility</w:t>
      </w:r>
    </w:p>
    <w:p>
      <w:pPr>
        <w:spacing w:after="0" w:line="165" w:lineRule="exact"/>
        <w:rPr>
          <w:sz w:val="20"/>
          <w:szCs w:val="20"/>
          <w:color w:val="auto"/>
        </w:rPr>
      </w:pPr>
    </w:p>
    <w:p>
      <w:pPr>
        <w:ind w:left="100"/>
        <w:spacing w:after="0"/>
        <w:rPr>
          <w:sz w:val="20"/>
          <w:szCs w:val="20"/>
          <w:color w:val="auto"/>
        </w:rPr>
      </w:pPr>
      <w:r>
        <w:rPr>
          <w:rFonts w:ascii="Arial" w:cs="Arial" w:eastAsia="Arial" w:hAnsi="Arial"/>
          <w:sz w:val="16"/>
          <w:szCs w:val="16"/>
          <w:b w:val="1"/>
          <w:bCs w:val="1"/>
          <w:i w:val="1"/>
          <w:iCs w:val="1"/>
          <w:color w:val="1414D2"/>
        </w:rPr>
        <w:t>Skills and Qualifcations: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396" w:lineRule="auto"/>
        <w:rPr>
          <w:sz w:val="20"/>
          <w:szCs w:val="20"/>
          <w:color w:val="auto"/>
        </w:rPr>
      </w:pPr>
      <w:r>
        <w:rPr>
          <w:rFonts w:ascii="Arial" w:cs="Arial" w:eastAsia="Arial" w:hAnsi="Arial"/>
          <w:sz w:val="16"/>
          <w:szCs w:val="16"/>
          <w:b w:val="1"/>
          <w:bCs w:val="1"/>
          <w:color w:val="auto"/>
        </w:rPr>
        <w:t xml:space="preserve">OTHER PUBLIC COMPANY DIRECTORSHIPS </w:t>
      </w:r>
      <w:r>
        <w:rPr>
          <w:rFonts w:ascii="Arial" w:cs="Arial" w:eastAsia="Arial" w:hAnsi="Arial"/>
          <w:sz w:val="16"/>
          <w:szCs w:val="16"/>
          <w:color w:val="auto"/>
        </w:rPr>
        <w:t>None</w:t>
      </w:r>
    </w:p>
    <w:p>
      <w:pPr>
        <w:ind w:right="200"/>
        <w:spacing w:after="0" w:line="279" w:lineRule="auto"/>
        <w:rPr>
          <w:sz w:val="20"/>
          <w:szCs w:val="20"/>
          <w:color w:val="auto"/>
        </w:rPr>
      </w:pPr>
      <w:r>
        <w:rPr>
          <w:rFonts w:ascii="Arial" w:cs="Arial" w:eastAsia="Arial" w:hAnsi="Arial"/>
          <w:sz w:val="16"/>
          <w:szCs w:val="16"/>
          <w:b w:val="1"/>
          <w:bCs w:val="1"/>
          <w:color w:val="auto"/>
        </w:rPr>
        <w:t>FORMER PUBLIC COMPANY DIRECTORSHIPS HELD IN THE PAST FIVE YEARS</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414D2"/>
        </w:rPr>
        <w:t>Denny</w:t>
      </w:r>
      <w:r>
        <w:rPr>
          <w:rFonts w:ascii="Arial" w:cs="Arial" w:eastAsia="Arial" w:hAnsi="Arial"/>
          <w:sz w:val="16"/>
          <w:szCs w:val="16"/>
          <w:i w:val="1"/>
          <w:iCs w:val="1"/>
          <w:color w:val="1414D2"/>
        </w:rPr>
        <w:t>’</w:t>
      </w:r>
      <w:r>
        <w:rPr>
          <w:rFonts w:ascii="Arial" w:cs="Arial" w:eastAsia="Arial" w:hAnsi="Arial"/>
          <w:sz w:val="16"/>
          <w:szCs w:val="16"/>
          <w:b w:val="1"/>
          <w:bCs w:val="1"/>
          <w:i w:val="1"/>
          <w:iCs w:val="1"/>
          <w:color w:val="1414D2"/>
        </w:rPr>
        <w:t>s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(2010-2025)</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EDUCATION</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414D2"/>
        </w:rPr>
        <w:t xml:space="preserve">University of Chicago, </w:t>
      </w:r>
      <w:r>
        <w:rPr>
          <w:rFonts w:ascii="Arial" w:cs="Arial" w:eastAsia="Arial" w:hAnsi="Arial"/>
          <w:sz w:val="16"/>
          <w:szCs w:val="16"/>
          <w:color w:val="000000"/>
        </w:rPr>
        <w:t>MA,  Social  Services</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Administration</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414D2"/>
        </w:rPr>
        <w:t xml:space="preserve">Indiana University Bloomington, </w:t>
      </w:r>
      <w:r>
        <w:rPr>
          <w:rFonts w:ascii="Arial" w:cs="Arial" w:eastAsia="Arial" w:hAnsi="Arial"/>
          <w:sz w:val="16"/>
          <w:szCs w:val="16"/>
          <w:color w:val="000000"/>
        </w:rPr>
        <w:t>BS,</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Journalism</w:t>
      </w:r>
    </w:p>
    <w:p>
      <w:pPr>
        <w:spacing w:after="0" w:line="1008" w:lineRule="exact"/>
        <w:rPr>
          <w:sz w:val="20"/>
          <w:szCs w:val="20"/>
          <w:color w:val="auto"/>
        </w:rPr>
      </w:pPr>
    </w:p>
    <w:p>
      <w:pPr>
        <w:sectPr>
          <w:pgSz w:w="11900" w:h="16838" w:orient="portrait"/>
          <w:cols w:equalWidth="0" w:num="2">
            <w:col w:w="5820" w:space="440"/>
            <w:col w:w="3360"/>
          </w:cols>
          <w:pgMar w:left="1080" w:top="695" w:right="1199" w:bottom="1440" w:gutter="0" w:footer="0" w:header="0"/>
          <w:type w:val="continuous"/>
        </w:sectPr>
      </w:pPr>
    </w:p>
    <w:p>
      <w:pPr>
        <w:spacing w:after="0" w:line="23" w:lineRule="exact"/>
        <w:rPr>
          <w:sz w:val="20"/>
          <w:szCs w:val="20"/>
          <w:color w:val="auto"/>
        </w:rPr>
      </w:pPr>
    </w:p>
    <w:p>
      <w:pPr>
        <w:ind w:left="780" w:right="140"/>
        <w:spacing w:after="0" w:line="313" w:lineRule="auto"/>
        <w:rPr>
          <w:sz w:val="20"/>
          <w:szCs w:val="20"/>
          <w:color w:val="auto"/>
        </w:rPr>
      </w:pPr>
      <w:r>
        <w:rPr>
          <w:rFonts w:ascii="Arial" w:cs="Arial" w:eastAsia="Arial" w:hAnsi="Arial"/>
          <w:sz w:val="16"/>
          <w:szCs w:val="16"/>
          <w:b w:val="1"/>
          <w:bCs w:val="1"/>
          <w:color w:val="auto"/>
        </w:rPr>
        <w:t xml:space="preserve">Active or Former C-Suite Executive: </w:t>
      </w:r>
      <w:r>
        <w:rPr>
          <w:rFonts w:ascii="Arial" w:cs="Arial" w:eastAsia="Arial" w:hAnsi="Arial"/>
          <w:sz w:val="16"/>
          <w:szCs w:val="16"/>
          <w:color w:val="auto"/>
        </w:rPr>
        <w:t>Ms. Ward served in various senior leadership positions at Target Corporation</w:t>
      </w:r>
      <w:r>
        <w:rPr>
          <w:rFonts w:ascii="Arial" w:cs="Arial" w:eastAsia="Arial" w:hAnsi="Arial"/>
          <w:sz w:val="16"/>
          <w:szCs w:val="16"/>
          <w:b w:val="1"/>
          <w:bCs w:val="1"/>
          <w:color w:val="auto"/>
        </w:rPr>
        <w:t xml:space="preserve"> </w:t>
      </w:r>
      <w:r>
        <w:rPr>
          <w:rFonts w:ascii="Arial" w:cs="Arial" w:eastAsia="Arial" w:hAnsi="Arial"/>
          <w:sz w:val="16"/>
          <w:szCs w:val="16"/>
          <w:color w:val="auto"/>
        </w:rPr>
        <w:t>over 15 years.</w:t>
      </w:r>
    </w:p>
    <w:p>
      <w:pPr>
        <w:spacing w:after="0" w:line="128" w:lineRule="exact"/>
        <w:rPr>
          <w:sz w:val="20"/>
          <w:szCs w:val="20"/>
          <w:color w:val="auto"/>
        </w:rPr>
      </w:pPr>
    </w:p>
    <w:p>
      <w:pPr>
        <w:ind w:left="780" w:right="100"/>
        <w:spacing w:after="0" w:line="255" w:lineRule="auto"/>
        <w:rPr>
          <w:sz w:val="20"/>
          <w:szCs w:val="20"/>
          <w:color w:val="auto"/>
        </w:rPr>
      </w:pPr>
      <w:r>
        <w:rPr>
          <w:rFonts w:ascii="Arial" w:cs="Arial" w:eastAsia="Arial" w:hAnsi="Arial"/>
          <w:sz w:val="16"/>
          <w:szCs w:val="16"/>
          <w:b w:val="1"/>
          <w:bCs w:val="1"/>
          <w:color w:val="auto"/>
        </w:rPr>
        <w:t xml:space="preserve">Finance / Accounting / Capital Allocation: </w:t>
      </w:r>
      <w:r>
        <w:rPr>
          <w:rFonts w:ascii="Arial" w:cs="Arial" w:eastAsia="Arial" w:hAnsi="Arial"/>
          <w:sz w:val="16"/>
          <w:szCs w:val="16"/>
          <w:color w:val="auto"/>
        </w:rPr>
        <w:t>Ms. Ward has gained a broad base of knowledge regarding fnancial</w:t>
      </w:r>
      <w:r>
        <w:rPr>
          <w:rFonts w:ascii="Arial" w:cs="Arial" w:eastAsia="Arial" w:hAnsi="Arial"/>
          <w:sz w:val="16"/>
          <w:szCs w:val="16"/>
          <w:b w:val="1"/>
          <w:bCs w:val="1"/>
          <w:color w:val="auto"/>
        </w:rPr>
        <w:t xml:space="preserve"> </w:t>
      </w:r>
      <w:r>
        <w:rPr>
          <w:rFonts w:ascii="Arial" w:cs="Arial" w:eastAsia="Arial" w:hAnsi="Arial"/>
          <w:sz w:val="16"/>
          <w:szCs w:val="16"/>
          <w:color w:val="auto"/>
        </w:rPr>
        <w:t>statements and fnancial strategy through her experience in various leadership roles at Target Corporation and her</w:t>
      </w:r>
    </w:p>
    <w:p>
      <w:pPr>
        <w:spacing w:after="0" w:line="1" w:lineRule="exact"/>
        <w:rPr>
          <w:sz w:val="20"/>
          <w:szCs w:val="20"/>
          <w:color w:val="auto"/>
        </w:rPr>
      </w:pPr>
    </w:p>
    <w:p>
      <w:pPr>
        <w:ind w:left="780"/>
        <w:spacing w:after="0"/>
        <w:rPr>
          <w:sz w:val="20"/>
          <w:szCs w:val="20"/>
          <w:color w:val="auto"/>
        </w:rPr>
      </w:pPr>
      <w:r>
        <w:rPr>
          <w:rFonts w:ascii="Arial" w:cs="Arial" w:eastAsia="Arial" w:hAnsi="Arial"/>
          <w:sz w:val="16"/>
          <w:szCs w:val="16"/>
          <w:color w:val="auto"/>
        </w:rPr>
        <w:t>service  on  the  board  of  directors  of  Denny’s  Corporation.</w:t>
      </w:r>
    </w:p>
    <w:p>
      <w:pPr>
        <w:spacing w:after="0" w:line="221" w:lineRule="exact"/>
        <w:rPr>
          <w:sz w:val="20"/>
          <w:szCs w:val="20"/>
          <w:color w:val="auto"/>
        </w:rPr>
      </w:pPr>
    </w:p>
    <w:p>
      <w:pPr>
        <w:ind w:left="780" w:right="20"/>
        <w:spacing w:after="0" w:line="313" w:lineRule="auto"/>
        <w:rPr>
          <w:sz w:val="20"/>
          <w:szCs w:val="20"/>
          <w:color w:val="auto"/>
        </w:rPr>
      </w:pPr>
      <w:r>
        <w:rPr>
          <w:rFonts w:ascii="Arial" w:cs="Arial" w:eastAsia="Arial" w:hAnsi="Arial"/>
          <w:sz w:val="16"/>
          <w:szCs w:val="16"/>
          <w:b w:val="1"/>
          <w:bCs w:val="1"/>
          <w:color w:val="auto"/>
        </w:rPr>
        <w:t xml:space="preserve">Governance and Current or Former Public Company Board: </w:t>
      </w:r>
      <w:r>
        <w:rPr>
          <w:rFonts w:ascii="Arial" w:cs="Arial" w:eastAsia="Arial" w:hAnsi="Arial"/>
          <w:sz w:val="16"/>
          <w:szCs w:val="16"/>
          <w:color w:val="auto"/>
        </w:rPr>
        <w:t>Ms. Ward previously served on the board of directors</w:t>
      </w:r>
      <w:r>
        <w:rPr>
          <w:rFonts w:ascii="Arial" w:cs="Arial" w:eastAsia="Arial" w:hAnsi="Arial"/>
          <w:sz w:val="16"/>
          <w:szCs w:val="16"/>
          <w:b w:val="1"/>
          <w:bCs w:val="1"/>
          <w:color w:val="auto"/>
        </w:rPr>
        <w:t xml:space="preserve"> </w:t>
      </w:r>
      <w:r>
        <w:rPr>
          <w:rFonts w:ascii="Arial" w:cs="Arial" w:eastAsia="Arial" w:hAnsi="Arial"/>
          <w:sz w:val="16"/>
          <w:szCs w:val="16"/>
          <w:color w:val="auto"/>
        </w:rPr>
        <w:t>of Denny’s Corporation.</w:t>
      </w:r>
    </w:p>
    <w:p>
      <w:pPr>
        <w:spacing w:after="0" w:line="128" w:lineRule="exact"/>
        <w:rPr>
          <w:sz w:val="20"/>
          <w:szCs w:val="20"/>
          <w:color w:val="auto"/>
        </w:rPr>
      </w:pPr>
    </w:p>
    <w:p>
      <w:pPr>
        <w:ind w:left="780" w:right="120"/>
        <w:spacing w:after="0" w:line="255" w:lineRule="auto"/>
        <w:rPr>
          <w:sz w:val="20"/>
          <w:szCs w:val="20"/>
          <w:color w:val="auto"/>
        </w:rPr>
      </w:pPr>
      <w:r>
        <w:rPr>
          <w:rFonts w:ascii="Arial" w:cs="Arial" w:eastAsia="Arial" w:hAnsi="Arial"/>
          <w:sz w:val="16"/>
          <w:szCs w:val="16"/>
          <w:b w:val="1"/>
          <w:bCs w:val="1"/>
          <w:color w:val="auto"/>
        </w:rPr>
        <w:t xml:space="preserve">Human Capital Management / Union Relations: </w:t>
      </w:r>
      <w:r>
        <w:rPr>
          <w:rFonts w:ascii="Arial" w:cs="Arial" w:eastAsia="Arial" w:hAnsi="Arial"/>
          <w:sz w:val="16"/>
          <w:szCs w:val="16"/>
          <w:color w:val="auto"/>
        </w:rPr>
        <w:t>Ms. Ward has a demonstrated ability to navigate rapid change,</w:t>
      </w:r>
      <w:r>
        <w:rPr>
          <w:rFonts w:ascii="Arial" w:cs="Arial" w:eastAsia="Arial" w:hAnsi="Arial"/>
          <w:sz w:val="16"/>
          <w:szCs w:val="16"/>
          <w:b w:val="1"/>
          <w:bCs w:val="1"/>
          <w:color w:val="auto"/>
        </w:rPr>
        <w:t xml:space="preserve"> </w:t>
      </w:r>
      <w:r>
        <w:rPr>
          <w:rFonts w:ascii="Arial" w:cs="Arial" w:eastAsia="Arial" w:hAnsi="Arial"/>
          <w:sz w:val="16"/>
          <w:szCs w:val="16"/>
          <w:color w:val="auto"/>
        </w:rPr>
        <w:t>solve problems and collaborate with cross-sector stakeholders to achieve organizational and community goals and</w:t>
      </w:r>
    </w:p>
    <w:p>
      <w:pPr>
        <w:spacing w:after="0" w:line="1" w:lineRule="exact"/>
        <w:rPr>
          <w:sz w:val="20"/>
          <w:szCs w:val="20"/>
          <w:color w:val="auto"/>
        </w:rPr>
      </w:pPr>
    </w:p>
    <w:p>
      <w:pPr>
        <w:ind w:left="780"/>
        <w:spacing w:after="0"/>
        <w:rPr>
          <w:sz w:val="20"/>
          <w:szCs w:val="20"/>
          <w:color w:val="auto"/>
        </w:rPr>
      </w:pPr>
      <w:r>
        <w:rPr>
          <w:rFonts w:ascii="Arial" w:cs="Arial" w:eastAsia="Arial" w:hAnsi="Arial"/>
          <w:sz w:val="16"/>
          <w:szCs w:val="16"/>
          <w:color w:val="auto"/>
        </w:rPr>
        <w:t>objectives  through  her  experience  as  the  Chief  External  Engagement  Ofcer  of  Target  Corporation.</w:t>
      </w:r>
    </w:p>
    <w:p>
      <w:pPr>
        <w:spacing w:after="0" w:line="221" w:lineRule="exact"/>
        <w:rPr>
          <w:sz w:val="20"/>
          <w:szCs w:val="20"/>
          <w:color w:val="auto"/>
        </w:rPr>
      </w:pPr>
    </w:p>
    <w:p>
      <w:pPr>
        <w:ind w:left="780" w:right="80"/>
        <w:spacing w:after="0" w:line="313" w:lineRule="auto"/>
        <w:rPr>
          <w:sz w:val="20"/>
          <w:szCs w:val="20"/>
          <w:color w:val="auto"/>
        </w:rPr>
      </w:pPr>
      <w:r>
        <w:rPr>
          <w:rFonts w:ascii="Arial" w:cs="Arial" w:eastAsia="Arial" w:hAnsi="Arial"/>
          <w:sz w:val="16"/>
          <w:szCs w:val="16"/>
          <w:b w:val="1"/>
          <w:bCs w:val="1"/>
          <w:color w:val="auto"/>
        </w:rPr>
        <w:t xml:space="preserve">Retail / Brand Management: </w:t>
      </w:r>
      <w:r>
        <w:rPr>
          <w:rFonts w:ascii="Arial" w:cs="Arial" w:eastAsia="Arial" w:hAnsi="Arial"/>
          <w:sz w:val="16"/>
          <w:szCs w:val="16"/>
          <w:color w:val="auto"/>
        </w:rPr>
        <w:t>Ms. Ward has extensive experience with brand management gained from her time in</w:t>
      </w:r>
      <w:r>
        <w:rPr>
          <w:rFonts w:ascii="Arial" w:cs="Arial" w:eastAsia="Arial" w:hAnsi="Arial"/>
          <w:sz w:val="16"/>
          <w:szCs w:val="16"/>
          <w:b w:val="1"/>
          <w:bCs w:val="1"/>
          <w:color w:val="auto"/>
        </w:rPr>
        <w:t xml:space="preserve"> </w:t>
      </w:r>
      <w:r>
        <w:rPr>
          <w:rFonts w:ascii="Arial" w:cs="Arial" w:eastAsia="Arial" w:hAnsi="Arial"/>
          <w:sz w:val="16"/>
          <w:szCs w:val="16"/>
          <w:color w:val="auto"/>
        </w:rPr>
        <w:t>various positions at Target Corporation.</w:t>
      </w:r>
    </w:p>
    <w:p>
      <w:pPr>
        <w:sectPr>
          <w:pgSz w:w="11900" w:h="16838" w:orient="portrait"/>
          <w:cols w:equalWidth="0" w:num="1">
            <w:col w:w="9620"/>
          </w:cols>
          <w:pgMar w:left="1080" w:top="695" w:right="11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right"/>
        <w:ind w:right="7620"/>
        <w:spacing w:after="0"/>
        <w:rPr>
          <w:sz w:val="20"/>
          <w:szCs w:val="20"/>
          <w:color w:val="auto"/>
        </w:rPr>
      </w:pPr>
      <w:r>
        <w:rPr>
          <w:rFonts w:ascii="Arial" w:cs="Arial" w:eastAsia="Arial" w:hAnsi="Arial"/>
          <w:sz w:val="16"/>
          <w:szCs w:val="16"/>
          <w:color w:val="auto"/>
        </w:rPr>
        <w:t>​​2026​  Proxy</w:t>
      </w:r>
    </w:p>
    <w:p>
      <w:pPr>
        <w:spacing w:after="0" w:line="5" w:lineRule="exact"/>
        <w:rPr>
          <w:sz w:val="20"/>
          <w:szCs w:val="20"/>
          <w:color w:val="auto"/>
        </w:rPr>
      </w:pPr>
    </w:p>
    <w:p>
      <w:pPr>
        <w:ind w:left="660" w:hanging="656"/>
        <w:spacing w:after="0"/>
        <w:tabs>
          <w:tab w:leader="none" w:pos="660" w:val="left"/>
        </w:tabs>
        <w:numPr>
          <w:ilvl w:val="0"/>
          <w:numId w:val="33"/>
        </w:numPr>
        <w:rPr>
          <w:rFonts w:ascii="Arial" w:cs="Arial" w:eastAsia="Arial" w:hAnsi="Arial"/>
          <w:sz w:val="16"/>
          <w:szCs w:val="16"/>
          <w:b w:val="1"/>
          <w:bCs w:val="1"/>
          <w:color w:val="1414D2"/>
        </w:rPr>
      </w:pPr>
      <w:r>
        <w:rPr>
          <w:rFonts w:ascii="Arial" w:cs="Arial" w:eastAsia="Arial" w:hAnsi="Arial"/>
          <w:sz w:val="16"/>
          <w:szCs w:val="16"/>
          <w:color w:val="auto"/>
        </w:rPr>
        <w:t>Statement</w:t>
      </w:r>
    </w:p>
    <w:p>
      <w:pPr>
        <w:sectPr>
          <w:pgSz w:w="11900" w:h="16838" w:orient="portrait"/>
          <w:cols w:equalWidth="0" w:num="1">
            <w:col w:w="9620"/>
          </w:cols>
          <w:pgMar w:left="1080" w:top="695" w:right="119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27" w:lineRule="exact"/>
        <w:rPr>
          <w:sz w:val="20"/>
          <w:szCs w:val="20"/>
          <w:color w:val="auto"/>
        </w:rPr>
      </w:pPr>
    </w:p>
    <w:p>
      <w:pPr>
        <w:jc w:val="right"/>
        <w:spacing w:after="0"/>
        <w:rPr>
          <w:sz w:val="20"/>
          <w:szCs w:val="20"/>
          <w:color w:val="auto"/>
        </w:rPr>
      </w:pPr>
      <w:r>
        <w:rPr>
          <w:rFonts w:ascii="Arial" w:cs="Arial" w:eastAsia="Arial" w:hAnsi="Arial"/>
          <w:sz w:val="14"/>
          <w:szCs w:val="14"/>
          <w:color w:val="6D6F71"/>
        </w:rPr>
        <w:t>Item  1  -  Election  of  Directors</w:t>
      </w:r>
    </w:p>
    <w:p>
      <w:pPr>
        <w:spacing w:after="0" w:line="319"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JAMES M. WHITEHURST-</w:t>
      </w:r>
      <w:r>
        <w:rPr>
          <w:rFonts w:ascii="Arial" w:cs="Arial" w:eastAsia="Arial" w:hAnsi="Arial"/>
          <w:sz w:val="16"/>
          <w:szCs w:val="16"/>
          <w:color w:val="auto"/>
        </w:rPr>
        <w:t>Independent  Director</w:t>
      </w:r>
    </w:p>
    <w:p>
      <w:pPr>
        <w:sectPr>
          <w:pgSz w:w="11900" w:h="16838" w:orient="portrait"/>
          <w:cols w:equalWidth="0" w:num="1">
            <w:col w:w="9720"/>
          </w:cols>
          <w:pgMar w:left="1080" w:top="695"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00"/>
        <w:spacing w:after="0"/>
        <w:rPr>
          <w:sz w:val="20"/>
          <w:szCs w:val="20"/>
          <w:color w:val="auto"/>
        </w:rPr>
      </w:pPr>
      <w:r>
        <w:rPr>
          <w:rFonts w:ascii="Arial" w:cs="Arial" w:eastAsia="Arial" w:hAnsi="Arial"/>
          <w:sz w:val="16"/>
          <w:szCs w:val="16"/>
          <w:b w:val="1"/>
          <w:bCs w:val="1"/>
          <w:i w:val="1"/>
          <w:iCs w:val="1"/>
          <w:color w:val="1414D2"/>
        </w:rPr>
        <w:t>Director Since</w:t>
      </w:r>
      <w:r>
        <w:rPr>
          <w:rFonts w:ascii="Arial" w:cs="Arial" w:eastAsia="Arial" w:hAnsi="Arial"/>
          <w:sz w:val="16"/>
          <w:szCs w:val="16"/>
          <w:color w:val="1414D2"/>
        </w:rPr>
        <w:t>:</w:t>
      </w:r>
      <w:r>
        <w:rPr>
          <w:rFonts w:ascii="Arial" w:cs="Arial" w:eastAsia="Arial" w:hAnsi="Arial"/>
          <w:sz w:val="16"/>
          <w:szCs w:val="16"/>
          <w:b w:val="1"/>
          <w:bCs w:val="1"/>
          <w:i w:val="1"/>
          <w:iCs w:val="1"/>
          <w:color w:val="1414D2"/>
        </w:rPr>
        <w:t xml:space="preserve">  </w:t>
      </w:r>
      <w:r>
        <w:rPr>
          <w:rFonts w:ascii="Arial" w:cs="Arial" w:eastAsia="Arial" w:hAnsi="Arial"/>
          <w:sz w:val="16"/>
          <w:szCs w:val="16"/>
          <w:color w:val="000000"/>
        </w:rPr>
        <w:t>2016</w:t>
      </w:r>
    </w:p>
    <w:p>
      <w:pPr>
        <w:spacing w:after="0" w:line="113" w:lineRule="exact"/>
        <w:rPr>
          <w:sz w:val="20"/>
          <w:szCs w:val="20"/>
          <w:color w:val="auto"/>
        </w:rPr>
      </w:pPr>
    </w:p>
    <w:p>
      <w:pPr>
        <w:ind w:left="100"/>
        <w:spacing w:after="0"/>
        <w:rPr>
          <w:sz w:val="20"/>
          <w:szCs w:val="20"/>
          <w:color w:val="auto"/>
        </w:rPr>
      </w:pPr>
      <w:r>
        <w:rPr>
          <w:rFonts w:ascii="Arial" w:cs="Arial" w:eastAsia="Arial" w:hAnsi="Arial"/>
          <w:sz w:val="16"/>
          <w:szCs w:val="16"/>
          <w:b w:val="1"/>
          <w:bCs w:val="1"/>
          <w:i w:val="1"/>
          <w:iCs w:val="1"/>
          <w:color w:val="1414D2"/>
        </w:rPr>
        <w:t>Age</w:t>
      </w:r>
      <w:r>
        <w:rPr>
          <w:rFonts w:ascii="Arial" w:cs="Arial" w:eastAsia="Arial" w:hAnsi="Arial"/>
          <w:sz w:val="16"/>
          <w:szCs w:val="16"/>
          <w:color w:val="1414D2"/>
        </w:rPr>
        <w:t>:</w:t>
      </w:r>
      <w:r>
        <w:rPr>
          <w:rFonts w:ascii="Arial" w:cs="Arial" w:eastAsia="Arial" w:hAnsi="Arial"/>
          <w:sz w:val="16"/>
          <w:szCs w:val="16"/>
          <w:b w:val="1"/>
          <w:bCs w:val="1"/>
          <w:i w:val="1"/>
          <w:iCs w:val="1"/>
          <w:color w:val="1414D2"/>
        </w:rPr>
        <w:t xml:space="preserve">  </w:t>
      </w:r>
      <w:r>
        <w:rPr>
          <w:rFonts w:ascii="Arial" w:cs="Arial" w:eastAsia="Arial" w:hAnsi="Arial"/>
          <w:sz w:val="16"/>
          <w:szCs w:val="16"/>
          <w:color w:val="000000"/>
        </w:rPr>
        <w:t>58</w:t>
      </w:r>
    </w:p>
    <w:p>
      <w:pPr>
        <w:spacing w:after="0" w:line="127" w:lineRule="exact"/>
        <w:rPr>
          <w:sz w:val="20"/>
          <w:szCs w:val="20"/>
          <w:color w:val="auto"/>
        </w:rPr>
      </w:pPr>
    </w:p>
    <w:p>
      <w:pPr>
        <w:ind w:left="100"/>
        <w:spacing w:after="0"/>
        <w:rPr>
          <w:sz w:val="20"/>
          <w:szCs w:val="20"/>
          <w:color w:val="auto"/>
        </w:rPr>
      </w:pPr>
      <w:r>
        <w:rPr>
          <w:rFonts w:ascii="Arial" w:cs="Arial" w:eastAsia="Arial" w:hAnsi="Arial"/>
          <w:sz w:val="16"/>
          <w:szCs w:val="16"/>
          <w:b w:val="1"/>
          <w:bCs w:val="1"/>
          <w:i w:val="1"/>
          <w:iCs w:val="1"/>
          <w:color w:val="1414D2"/>
        </w:rPr>
        <w:t>Committees</w:t>
      </w:r>
      <w:r>
        <w:rPr>
          <w:rFonts w:ascii="Arial" w:cs="Arial" w:eastAsia="Arial" w:hAnsi="Arial"/>
          <w:sz w:val="16"/>
          <w:szCs w:val="16"/>
          <w:color w:val="1414D2"/>
        </w:rPr>
        <w:t>:</w:t>
      </w:r>
    </w:p>
    <w:p>
      <w:pPr>
        <w:spacing w:after="0" w:line="11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Compensation  (Chair)</w:t>
      </w:r>
    </w:p>
    <w:p>
      <w:pPr>
        <w:spacing w:after="0" w:line="113" w:lineRule="exact"/>
        <w:rPr>
          <w:sz w:val="20"/>
          <w:szCs w:val="20"/>
          <w:color w:val="auto"/>
        </w:rPr>
      </w:pPr>
    </w:p>
    <w:p>
      <w:pPr>
        <w:ind w:left="100"/>
        <w:spacing w:after="0"/>
        <w:rPr>
          <w:sz w:val="20"/>
          <w:szCs w:val="20"/>
          <w:color w:val="auto"/>
        </w:rPr>
      </w:pPr>
      <w:r>
        <w:rPr>
          <w:rFonts w:ascii="Arial" w:cs="Arial" w:eastAsia="Arial" w:hAnsi="Arial"/>
          <w:sz w:val="16"/>
          <w:szCs w:val="16"/>
          <w:color w:val="auto"/>
        </w:rPr>
        <w:t>Executive</w:t>
      </w:r>
    </w:p>
    <w:p>
      <w:pPr>
        <w:spacing w:after="0" w:line="113" w:lineRule="exact"/>
        <w:rPr>
          <w:sz w:val="20"/>
          <w:szCs w:val="20"/>
          <w:color w:val="auto"/>
        </w:rPr>
      </w:pPr>
    </w:p>
    <w:p>
      <w:pPr>
        <w:ind w:left="100"/>
        <w:spacing w:after="0"/>
        <w:rPr>
          <w:sz w:val="20"/>
          <w:szCs w:val="20"/>
          <w:color w:val="auto"/>
        </w:rPr>
      </w:pPr>
      <w:r>
        <w:rPr>
          <w:rFonts w:ascii="Arial" w:cs="Arial" w:eastAsia="Arial" w:hAnsi="Arial"/>
          <w:sz w:val="16"/>
          <w:szCs w:val="16"/>
          <w:color w:val="auto"/>
        </w:rPr>
        <w:t>Nominating/Governance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00"/>
        <w:spacing w:after="0"/>
        <w:rPr>
          <w:sz w:val="20"/>
          <w:szCs w:val="20"/>
          <w:color w:val="auto"/>
        </w:rPr>
      </w:pPr>
      <w:r>
        <w:rPr>
          <w:rFonts w:ascii="Arial" w:cs="Arial" w:eastAsia="Arial" w:hAnsi="Arial"/>
          <w:sz w:val="16"/>
          <w:szCs w:val="16"/>
          <w:b w:val="1"/>
          <w:bCs w:val="1"/>
          <w:i w:val="1"/>
          <w:iCs w:val="1"/>
          <w:color w:val="1414D2"/>
        </w:rPr>
        <w:t>Skills and Qualifcations:</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EXPERIENCE</w:t>
      </w:r>
    </w:p>
    <w:p>
      <w:pPr>
        <w:spacing w:after="0" w:line="111" w:lineRule="exact"/>
        <w:rPr>
          <w:sz w:val="20"/>
          <w:szCs w:val="20"/>
          <w:color w:val="auto"/>
        </w:rPr>
      </w:pPr>
    </w:p>
    <w:p>
      <w:pPr>
        <w:ind w:right="100"/>
        <w:spacing w:after="0" w:line="327" w:lineRule="auto"/>
        <w:rPr>
          <w:sz w:val="20"/>
          <w:szCs w:val="20"/>
          <w:color w:val="auto"/>
        </w:rPr>
      </w:pPr>
      <w:r>
        <w:rPr>
          <w:rFonts w:ascii="Arial" w:cs="Arial" w:eastAsia="Arial" w:hAnsi="Arial"/>
          <w:sz w:val="16"/>
          <w:szCs w:val="16"/>
          <w:b w:val="1"/>
          <w:bCs w:val="1"/>
          <w:i w:val="1"/>
          <w:iCs w:val="1"/>
          <w:color w:val="1414D2"/>
        </w:rPr>
        <w:t xml:space="preserve">Qualtrics </w:t>
      </w:r>
      <w:r>
        <w:rPr>
          <w:rFonts w:ascii="Arial" w:cs="Arial" w:eastAsia="Arial" w:hAnsi="Arial"/>
          <w:sz w:val="16"/>
          <w:szCs w:val="16"/>
          <w:color w:val="000000"/>
        </w:rPr>
        <w:t>(experience management software</w:t>
      </w:r>
      <w:r>
        <w:rPr>
          <w:rFonts w:ascii="Arial" w:cs="Arial" w:eastAsia="Arial" w:hAnsi="Arial"/>
          <w:sz w:val="16"/>
          <w:szCs w:val="16"/>
          <w:b w:val="1"/>
          <w:bCs w:val="1"/>
          <w:i w:val="1"/>
          <w:iCs w:val="1"/>
          <w:color w:val="1414D2"/>
        </w:rPr>
        <w:t xml:space="preserve"> </w:t>
      </w:r>
      <w:r>
        <w:rPr>
          <w:rFonts w:ascii="Arial" w:cs="Arial" w:eastAsia="Arial" w:hAnsi="Arial"/>
          <w:sz w:val="16"/>
          <w:szCs w:val="16"/>
          <w:color w:val="000000"/>
        </w:rPr>
        <w:t>company)</w:t>
      </w:r>
    </w:p>
    <w:p>
      <w:pPr>
        <w:ind w:left="200"/>
        <w:spacing w:after="0"/>
        <w:rPr>
          <w:sz w:val="20"/>
          <w:szCs w:val="20"/>
          <w:color w:val="auto"/>
        </w:rPr>
      </w:pPr>
      <w:r>
        <w:rPr>
          <w:rFonts w:ascii="Arial" w:cs="Arial" w:eastAsia="Arial" w:hAnsi="Arial"/>
          <w:sz w:val="16"/>
          <w:szCs w:val="16"/>
          <w:color w:val="auto"/>
        </w:rPr>
        <w:t>Executive  Chairman  (2025-present)</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414D2"/>
        </w:rPr>
        <w:t xml:space="preserve">Silver Lake </w:t>
      </w:r>
      <w:r>
        <w:rPr>
          <w:rFonts w:ascii="Arial" w:cs="Arial" w:eastAsia="Arial" w:hAnsi="Arial"/>
          <w:sz w:val="16"/>
          <w:szCs w:val="16"/>
          <w:color w:val="000000"/>
        </w:rPr>
        <w:t>(private  equity  frm)</w:t>
      </w:r>
    </w:p>
    <w:p>
      <w:pPr>
        <w:spacing w:after="0" w:line="11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Managing  Director  (2024-present)</w:t>
      </w:r>
    </w:p>
    <w:p>
      <w:pPr>
        <w:spacing w:after="0" w:line="125" w:lineRule="exact"/>
        <w:rPr>
          <w:sz w:val="20"/>
          <w:szCs w:val="20"/>
          <w:color w:val="auto"/>
        </w:rPr>
      </w:pPr>
    </w:p>
    <w:p>
      <w:pPr>
        <w:ind w:right="280"/>
        <w:spacing w:after="0" w:line="315" w:lineRule="auto"/>
        <w:rPr>
          <w:sz w:val="20"/>
          <w:szCs w:val="20"/>
          <w:color w:val="auto"/>
        </w:rPr>
      </w:pPr>
      <w:r>
        <w:rPr>
          <w:rFonts w:ascii="Arial" w:cs="Arial" w:eastAsia="Arial" w:hAnsi="Arial"/>
          <w:sz w:val="16"/>
          <w:szCs w:val="16"/>
          <w:b w:val="1"/>
          <w:bCs w:val="1"/>
          <w:i w:val="1"/>
          <w:iCs w:val="1"/>
          <w:color w:val="1414D2"/>
        </w:rPr>
        <w:t xml:space="preserve">Unity Software Inc. </w:t>
      </w:r>
      <w:r>
        <w:rPr>
          <w:rFonts w:ascii="Arial" w:cs="Arial" w:eastAsia="Arial" w:hAnsi="Arial"/>
          <w:sz w:val="16"/>
          <w:szCs w:val="16"/>
          <w:color w:val="000000"/>
        </w:rPr>
        <w:t>(software development</w:t>
      </w:r>
      <w:r>
        <w:rPr>
          <w:rFonts w:ascii="Arial" w:cs="Arial" w:eastAsia="Arial" w:hAnsi="Arial"/>
          <w:sz w:val="16"/>
          <w:szCs w:val="16"/>
          <w:b w:val="1"/>
          <w:bCs w:val="1"/>
          <w:i w:val="1"/>
          <w:iCs w:val="1"/>
          <w:color w:val="1414D2"/>
        </w:rPr>
        <w:t xml:space="preserve"> </w:t>
      </w:r>
      <w:r>
        <w:rPr>
          <w:rFonts w:ascii="Arial" w:cs="Arial" w:eastAsia="Arial" w:hAnsi="Arial"/>
          <w:sz w:val="16"/>
          <w:szCs w:val="16"/>
          <w:color w:val="000000"/>
        </w:rPr>
        <w:t>company)</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Interim  Chief  Executive  Ofcer  (2023-2024)</w:t>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414D2"/>
        </w:rPr>
        <w:t>International Business Machines Corporation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(technology  company)</w:t>
      </w:r>
    </w:p>
    <w:p>
      <w:pPr>
        <w:spacing w:after="0" w:line="11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Senior  Advisor  (2021-2022)</w:t>
      </w:r>
    </w:p>
    <w:p>
      <w:pPr>
        <w:spacing w:after="0" w:line="11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President  (2020-2021)</w:t>
      </w:r>
    </w:p>
    <w:p>
      <w:pPr>
        <w:spacing w:after="0" w:line="12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Senior  Vice  President  (2019-2020)</w:t>
      </w:r>
    </w:p>
    <w:p>
      <w:pPr>
        <w:spacing w:after="0" w:line="111" w:lineRule="exact"/>
        <w:rPr>
          <w:sz w:val="20"/>
          <w:szCs w:val="20"/>
          <w:color w:val="auto"/>
        </w:rPr>
      </w:pPr>
    </w:p>
    <w:p>
      <w:pPr>
        <w:ind w:right="620"/>
        <w:spacing w:after="0" w:line="315" w:lineRule="auto"/>
        <w:rPr>
          <w:sz w:val="20"/>
          <w:szCs w:val="20"/>
          <w:color w:val="auto"/>
        </w:rPr>
      </w:pPr>
      <w:r>
        <w:rPr>
          <w:rFonts w:ascii="Arial" w:cs="Arial" w:eastAsia="Arial" w:hAnsi="Arial"/>
          <w:sz w:val="16"/>
          <w:szCs w:val="16"/>
          <w:b w:val="1"/>
          <w:bCs w:val="1"/>
          <w:i w:val="1"/>
          <w:iCs w:val="1"/>
          <w:color w:val="1414D2"/>
        </w:rPr>
        <w:t xml:space="preserve">Red Hat, Inc. </w:t>
      </w:r>
      <w:r>
        <w:rPr>
          <w:rFonts w:ascii="Arial" w:cs="Arial" w:eastAsia="Arial" w:hAnsi="Arial"/>
          <w:sz w:val="16"/>
          <w:szCs w:val="16"/>
          <w:color w:val="000000"/>
        </w:rPr>
        <w:t>(provider of open source</w:t>
      </w:r>
      <w:r>
        <w:rPr>
          <w:rFonts w:ascii="Arial" w:cs="Arial" w:eastAsia="Arial" w:hAnsi="Arial"/>
          <w:sz w:val="16"/>
          <w:szCs w:val="16"/>
          <w:b w:val="1"/>
          <w:bCs w:val="1"/>
          <w:i w:val="1"/>
          <w:iCs w:val="1"/>
          <w:color w:val="1414D2"/>
        </w:rPr>
        <w:t xml:space="preserve"> </w:t>
      </w:r>
      <w:r>
        <w:rPr>
          <w:rFonts w:ascii="Arial" w:cs="Arial" w:eastAsia="Arial" w:hAnsi="Arial"/>
          <w:sz w:val="16"/>
          <w:szCs w:val="16"/>
          <w:color w:val="000000"/>
        </w:rPr>
        <w:t>enterprise IT products and services)</w:t>
      </w:r>
    </w:p>
    <w:p>
      <w:pPr>
        <w:spacing w:after="0" w:line="5" w:lineRule="exact"/>
        <w:rPr>
          <w:sz w:val="20"/>
          <w:szCs w:val="20"/>
          <w:color w:val="auto"/>
        </w:rPr>
      </w:pPr>
    </w:p>
    <w:p>
      <w:pPr>
        <w:ind w:left="200" w:right="440"/>
        <w:spacing w:after="0" w:line="324" w:lineRule="auto"/>
        <w:rPr>
          <w:sz w:val="20"/>
          <w:szCs w:val="20"/>
          <w:color w:val="auto"/>
        </w:rPr>
      </w:pPr>
      <w:r>
        <w:rPr>
          <w:rFonts w:ascii="Arial" w:cs="Arial" w:eastAsia="Arial" w:hAnsi="Arial"/>
          <w:sz w:val="16"/>
          <w:szCs w:val="16"/>
          <w:color w:val="auto"/>
        </w:rPr>
        <w:t>President and Chief Executive Ofcer (2008-2019)</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414D2"/>
        </w:rPr>
        <w:t xml:space="preserve">Delta Air Lines, Inc. </w:t>
      </w:r>
      <w:r>
        <w:rPr>
          <w:rFonts w:ascii="Arial" w:cs="Arial" w:eastAsia="Arial" w:hAnsi="Arial"/>
          <w:sz w:val="16"/>
          <w:szCs w:val="16"/>
          <w:color w:val="000000"/>
        </w:rPr>
        <w:t>(airline  company)</w:t>
      </w:r>
    </w:p>
    <w:p>
      <w:pPr>
        <w:spacing w:after="0" w:line="11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Chief  Operating  Ofcer  (2005-2007)</w:t>
      </w:r>
    </w:p>
    <w:p>
      <w:pPr>
        <w:spacing w:after="0" w:line="113" w:lineRule="exact"/>
        <w:rPr>
          <w:sz w:val="20"/>
          <w:szCs w:val="20"/>
          <w:color w:val="auto"/>
        </w:rPr>
      </w:pPr>
    </w:p>
    <w:p>
      <w:pPr>
        <w:jc w:val="both"/>
        <w:ind w:left="200" w:right="60"/>
        <w:spacing w:after="0" w:line="330" w:lineRule="auto"/>
        <w:rPr>
          <w:sz w:val="20"/>
          <w:szCs w:val="20"/>
          <w:color w:val="auto"/>
        </w:rPr>
      </w:pPr>
      <w:r>
        <w:rPr>
          <w:rFonts w:ascii="Arial" w:cs="Arial" w:eastAsia="Arial" w:hAnsi="Arial"/>
          <w:sz w:val="16"/>
          <w:szCs w:val="16"/>
          <w:color w:val="auto"/>
        </w:rPr>
        <w:t>Multiple roles (2002-2005), including Chief Network and Planning Ofcer (2004-2005)</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PUBLIC COMPANY DIRECTORSHIPS</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414D2"/>
        </w:rPr>
        <w:t>Unity Software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(2023-present)</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414D2"/>
        </w:rPr>
        <w:t>Amplitude, Inc.</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(2021-present)</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FORMER PUBLIC COMPANY</w:t>
      </w:r>
    </w:p>
    <w:p>
      <w:pPr>
        <w:spacing w:after="0" w:line="19" w:lineRule="exact"/>
        <w:rPr>
          <w:sz w:val="20"/>
          <w:szCs w:val="20"/>
          <w:color w:val="auto"/>
        </w:rPr>
      </w:pPr>
    </w:p>
    <w:p>
      <w:pPr>
        <w:ind w:right="320"/>
        <w:spacing w:after="0" w:line="313" w:lineRule="auto"/>
        <w:rPr>
          <w:sz w:val="20"/>
          <w:szCs w:val="20"/>
          <w:color w:val="auto"/>
        </w:rPr>
      </w:pPr>
      <w:r>
        <w:rPr>
          <w:rFonts w:ascii="Arial" w:cs="Arial" w:eastAsia="Arial" w:hAnsi="Arial"/>
          <w:sz w:val="16"/>
          <w:szCs w:val="16"/>
          <w:b w:val="1"/>
          <w:bCs w:val="1"/>
          <w:color w:val="auto"/>
        </w:rPr>
        <w:t>DIRECTORSHIPS HELD IN THE PAST FIVE YEARS</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414D2"/>
        </w:rPr>
        <w:t>Software AG</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(2023-2024)</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EDUCATION</w:t>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414D2"/>
        </w:rPr>
        <w:t xml:space="preserve">Harvard Business School, </w:t>
      </w:r>
      <w:r>
        <w:rPr>
          <w:rFonts w:ascii="Arial" w:cs="Arial" w:eastAsia="Arial" w:hAnsi="Arial"/>
          <w:sz w:val="15"/>
          <w:szCs w:val="15"/>
          <w:color w:val="000000"/>
        </w:rPr>
        <w:t>Master  of  Business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Administration</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414D2"/>
        </w:rPr>
        <w:t xml:space="preserve">Rice University, </w:t>
      </w:r>
      <w:r>
        <w:rPr>
          <w:rFonts w:ascii="Arial" w:cs="Arial" w:eastAsia="Arial" w:hAnsi="Arial"/>
          <w:sz w:val="16"/>
          <w:szCs w:val="16"/>
          <w:color w:val="000000"/>
        </w:rPr>
        <w:t>BS,  Computer  Science  and</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Economics</w:t>
      </w:r>
    </w:p>
    <w:p>
      <w:pPr>
        <w:spacing w:after="0" w:line="2745" w:lineRule="exact"/>
        <w:rPr>
          <w:sz w:val="20"/>
          <w:szCs w:val="20"/>
          <w:color w:val="auto"/>
        </w:rPr>
      </w:pPr>
    </w:p>
    <w:p>
      <w:pPr>
        <w:sectPr>
          <w:pgSz w:w="11900" w:h="16838" w:orient="portrait"/>
          <w:cols w:equalWidth="0" w:num="3">
            <w:col w:w="1980" w:space="340"/>
            <w:col w:w="3440" w:space="500"/>
            <w:col w:w="3460"/>
          </w:cols>
          <w:pgMar w:left="1080" w:top="695" w:right="1099" w:bottom="1440" w:gutter="0" w:footer="0" w:header="0"/>
          <w:type w:val="continuous"/>
        </w:sectPr>
      </w:pPr>
    </w:p>
    <w:p>
      <w:pPr>
        <w:ind w:left="780" w:right="160"/>
        <w:spacing w:after="0" w:line="313" w:lineRule="auto"/>
        <w:rPr>
          <w:sz w:val="20"/>
          <w:szCs w:val="20"/>
          <w:color w:val="auto"/>
        </w:rPr>
      </w:pPr>
      <w:r>
        <w:rPr>
          <w:rFonts w:ascii="Arial" w:cs="Arial" w:eastAsia="Arial" w:hAnsi="Arial"/>
          <w:sz w:val="16"/>
          <w:szCs w:val="16"/>
          <w:b w:val="1"/>
          <w:bCs w:val="1"/>
          <w:color w:val="auto"/>
        </w:rPr>
        <w:t xml:space="preserve">Active or Former C-Suite Executive: </w:t>
      </w:r>
      <w:r>
        <w:rPr>
          <w:rFonts w:ascii="Arial" w:cs="Arial" w:eastAsia="Arial" w:hAnsi="Arial"/>
          <w:sz w:val="16"/>
          <w:szCs w:val="16"/>
          <w:color w:val="auto"/>
        </w:rPr>
        <w:t>Mr. Whitehurst brings executive management experience to the Board having</w:t>
      </w:r>
      <w:r>
        <w:rPr>
          <w:rFonts w:ascii="Arial" w:cs="Arial" w:eastAsia="Arial" w:hAnsi="Arial"/>
          <w:sz w:val="16"/>
          <w:szCs w:val="16"/>
          <w:b w:val="1"/>
          <w:bCs w:val="1"/>
          <w:color w:val="auto"/>
        </w:rPr>
        <w:t xml:space="preserve"> </w:t>
      </w:r>
      <w:r>
        <w:rPr>
          <w:rFonts w:ascii="Arial" w:cs="Arial" w:eastAsia="Arial" w:hAnsi="Arial"/>
          <w:sz w:val="16"/>
          <w:szCs w:val="16"/>
          <w:color w:val="auto"/>
        </w:rPr>
        <w:t>served in various senior ofcer roles.</w:t>
      </w:r>
    </w:p>
    <w:p>
      <w:pPr>
        <w:spacing w:after="0" w:line="128" w:lineRule="exact"/>
        <w:rPr>
          <w:sz w:val="20"/>
          <w:szCs w:val="20"/>
          <w:color w:val="auto"/>
        </w:rPr>
      </w:pPr>
    </w:p>
    <w:p>
      <w:pPr>
        <w:ind w:left="780" w:right="120"/>
        <w:spacing w:after="0" w:line="313" w:lineRule="auto"/>
        <w:rPr>
          <w:sz w:val="20"/>
          <w:szCs w:val="20"/>
          <w:color w:val="auto"/>
        </w:rPr>
      </w:pPr>
      <w:r>
        <w:rPr>
          <w:rFonts w:ascii="Arial" w:cs="Arial" w:eastAsia="Arial" w:hAnsi="Arial"/>
          <w:sz w:val="16"/>
          <w:szCs w:val="16"/>
          <w:b w:val="1"/>
          <w:bCs w:val="1"/>
          <w:color w:val="auto"/>
        </w:rPr>
        <w:t xml:space="preserve">Air / Travel / Transportation: </w:t>
      </w:r>
      <w:r>
        <w:rPr>
          <w:rFonts w:ascii="Arial" w:cs="Arial" w:eastAsia="Arial" w:hAnsi="Arial"/>
          <w:sz w:val="16"/>
          <w:szCs w:val="16"/>
          <w:color w:val="auto"/>
        </w:rPr>
        <w:t>Mr. Whitehurst gained extensive experience with the airline industry through his time</w:t>
      </w:r>
      <w:r>
        <w:rPr>
          <w:rFonts w:ascii="Arial" w:cs="Arial" w:eastAsia="Arial" w:hAnsi="Arial"/>
          <w:sz w:val="16"/>
          <w:szCs w:val="16"/>
          <w:b w:val="1"/>
          <w:bCs w:val="1"/>
          <w:color w:val="auto"/>
        </w:rPr>
        <w:t xml:space="preserve"> </w:t>
      </w:r>
      <w:r>
        <w:rPr>
          <w:rFonts w:ascii="Arial" w:cs="Arial" w:eastAsia="Arial" w:hAnsi="Arial"/>
          <w:sz w:val="16"/>
          <w:szCs w:val="16"/>
          <w:color w:val="auto"/>
        </w:rPr>
        <w:t>at Delta Air Lines, Inc. (“Delta”).</w:t>
      </w:r>
    </w:p>
    <w:p>
      <w:pPr>
        <w:spacing w:after="0" w:line="128" w:lineRule="exact"/>
        <w:rPr>
          <w:sz w:val="20"/>
          <w:szCs w:val="20"/>
          <w:color w:val="auto"/>
        </w:rPr>
      </w:pPr>
    </w:p>
    <w:p>
      <w:pPr>
        <w:ind w:left="780" w:right="280"/>
        <w:spacing w:after="0" w:line="255" w:lineRule="auto"/>
        <w:rPr>
          <w:sz w:val="20"/>
          <w:szCs w:val="20"/>
          <w:color w:val="auto"/>
        </w:rPr>
      </w:pPr>
      <w:r>
        <w:rPr>
          <w:rFonts w:ascii="Arial" w:cs="Arial" w:eastAsia="Arial" w:hAnsi="Arial"/>
          <w:sz w:val="16"/>
          <w:szCs w:val="16"/>
          <w:b w:val="1"/>
          <w:bCs w:val="1"/>
          <w:color w:val="auto"/>
        </w:rPr>
        <w:t xml:space="preserve">Governance and Current or Former Public Company Board: </w:t>
      </w:r>
      <w:r>
        <w:rPr>
          <w:rFonts w:ascii="Arial" w:cs="Arial" w:eastAsia="Arial" w:hAnsi="Arial"/>
          <w:sz w:val="16"/>
          <w:szCs w:val="16"/>
          <w:color w:val="auto"/>
        </w:rPr>
        <w:t>Mr. Whitehurst currently serves on the board of</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of Unity Software Inc. and Amplitude Inc. and previously served on the board of directors of Software AG</w:t>
      </w:r>
    </w:p>
    <w:p>
      <w:pPr>
        <w:spacing w:after="0" w:line="1" w:lineRule="exact"/>
        <w:rPr>
          <w:sz w:val="20"/>
          <w:szCs w:val="20"/>
          <w:color w:val="auto"/>
        </w:rPr>
      </w:pPr>
    </w:p>
    <w:p>
      <w:pPr>
        <w:ind w:left="780"/>
        <w:spacing w:after="0"/>
        <w:rPr>
          <w:sz w:val="20"/>
          <w:szCs w:val="20"/>
          <w:color w:val="auto"/>
        </w:rPr>
      </w:pPr>
      <w:r>
        <w:rPr>
          <w:rFonts w:ascii="Arial" w:cs="Arial" w:eastAsia="Arial" w:hAnsi="Arial"/>
          <w:sz w:val="16"/>
          <w:szCs w:val="16"/>
          <w:color w:val="auto"/>
        </w:rPr>
        <w:t>and  DigitalGlobe,  Inc.</w:t>
      </w:r>
    </w:p>
    <w:p>
      <w:pPr>
        <w:spacing w:after="0" w:line="221" w:lineRule="exact"/>
        <w:rPr>
          <w:sz w:val="20"/>
          <w:szCs w:val="20"/>
          <w:color w:val="auto"/>
        </w:rPr>
      </w:pPr>
    </w:p>
    <w:p>
      <w:pPr>
        <w:ind w:left="780" w:right="360"/>
        <w:spacing w:after="0" w:line="313" w:lineRule="auto"/>
        <w:rPr>
          <w:sz w:val="20"/>
          <w:szCs w:val="20"/>
          <w:color w:val="auto"/>
        </w:rPr>
      </w:pPr>
      <w:r>
        <w:rPr>
          <w:rFonts w:ascii="Arial" w:cs="Arial" w:eastAsia="Arial" w:hAnsi="Arial"/>
          <w:sz w:val="16"/>
          <w:szCs w:val="16"/>
          <w:b w:val="1"/>
          <w:bCs w:val="1"/>
          <w:color w:val="auto"/>
        </w:rPr>
        <w:t xml:space="preserve">Finance / Accounting / Capital Allocation: </w:t>
      </w:r>
      <w:r>
        <w:rPr>
          <w:rFonts w:ascii="Arial" w:cs="Arial" w:eastAsia="Arial" w:hAnsi="Arial"/>
          <w:sz w:val="16"/>
          <w:szCs w:val="16"/>
          <w:color w:val="auto"/>
        </w:rPr>
        <w:t>Mr. Whitehurst brings to the Board signifcant experience in fnancial</w:t>
      </w:r>
      <w:r>
        <w:rPr>
          <w:rFonts w:ascii="Arial" w:cs="Arial" w:eastAsia="Arial" w:hAnsi="Arial"/>
          <w:sz w:val="16"/>
          <w:szCs w:val="16"/>
          <w:b w:val="1"/>
          <w:bCs w:val="1"/>
          <w:color w:val="auto"/>
        </w:rPr>
        <w:t xml:space="preserve"> </w:t>
      </w:r>
      <w:r>
        <w:rPr>
          <w:rFonts w:ascii="Arial" w:cs="Arial" w:eastAsia="Arial" w:hAnsi="Arial"/>
          <w:sz w:val="16"/>
          <w:szCs w:val="16"/>
          <w:color w:val="auto"/>
        </w:rPr>
        <w:t>and capital strategy having served in various operational roles throughout his career.</w:t>
      </w:r>
    </w:p>
    <w:p>
      <w:pPr>
        <w:spacing w:after="0" w:line="128" w:lineRule="exact"/>
        <w:rPr>
          <w:sz w:val="20"/>
          <w:szCs w:val="20"/>
          <w:color w:val="auto"/>
        </w:rPr>
      </w:pPr>
    </w:p>
    <w:p>
      <w:pPr>
        <w:ind w:left="780" w:right="720"/>
        <w:spacing w:after="0" w:line="313" w:lineRule="auto"/>
        <w:rPr>
          <w:sz w:val="20"/>
          <w:szCs w:val="20"/>
          <w:color w:val="auto"/>
        </w:rPr>
      </w:pPr>
      <w:r>
        <w:rPr>
          <w:rFonts w:ascii="Arial" w:cs="Arial" w:eastAsia="Arial" w:hAnsi="Arial"/>
          <w:sz w:val="16"/>
          <w:szCs w:val="16"/>
          <w:b w:val="1"/>
          <w:bCs w:val="1"/>
          <w:color w:val="auto"/>
        </w:rPr>
        <w:t xml:space="preserve">Global Operations: </w:t>
      </w:r>
      <w:r>
        <w:rPr>
          <w:rFonts w:ascii="Arial" w:cs="Arial" w:eastAsia="Arial" w:hAnsi="Arial"/>
          <w:sz w:val="16"/>
          <w:szCs w:val="16"/>
          <w:color w:val="auto"/>
        </w:rPr>
        <w:t>Mr. Whitehurst spent six years at Delta, where he managed airline operations and drove</w:t>
      </w:r>
      <w:r>
        <w:rPr>
          <w:rFonts w:ascii="Arial" w:cs="Arial" w:eastAsia="Arial" w:hAnsi="Arial"/>
          <w:sz w:val="16"/>
          <w:szCs w:val="16"/>
          <w:b w:val="1"/>
          <w:bCs w:val="1"/>
          <w:color w:val="auto"/>
        </w:rPr>
        <w:t xml:space="preserve"> </w:t>
      </w:r>
      <w:r>
        <w:rPr>
          <w:rFonts w:ascii="Arial" w:cs="Arial" w:eastAsia="Arial" w:hAnsi="Arial"/>
          <w:sz w:val="16"/>
          <w:szCs w:val="16"/>
          <w:color w:val="auto"/>
        </w:rPr>
        <w:t>signifcant international expansion during his tenure.</w:t>
      </w:r>
    </w:p>
    <w:p>
      <w:pPr>
        <w:spacing w:after="0" w:line="128" w:lineRule="exact"/>
        <w:rPr>
          <w:sz w:val="20"/>
          <w:szCs w:val="20"/>
          <w:color w:val="auto"/>
        </w:rPr>
      </w:pPr>
    </w:p>
    <w:p>
      <w:pPr>
        <w:ind w:left="780" w:right="140"/>
        <w:spacing w:after="0" w:line="313" w:lineRule="auto"/>
        <w:rPr>
          <w:sz w:val="20"/>
          <w:szCs w:val="20"/>
          <w:color w:val="auto"/>
        </w:rPr>
      </w:pPr>
      <w:r>
        <w:rPr>
          <w:rFonts w:ascii="Arial" w:cs="Arial" w:eastAsia="Arial" w:hAnsi="Arial"/>
          <w:sz w:val="16"/>
          <w:szCs w:val="16"/>
          <w:b w:val="1"/>
          <w:bCs w:val="1"/>
          <w:color w:val="auto"/>
        </w:rPr>
        <w:t xml:space="preserve">Technology / Cybersecurity: </w:t>
      </w:r>
      <w:r>
        <w:rPr>
          <w:rFonts w:ascii="Arial" w:cs="Arial" w:eastAsia="Arial" w:hAnsi="Arial"/>
          <w:sz w:val="16"/>
          <w:szCs w:val="16"/>
          <w:color w:val="auto"/>
        </w:rPr>
        <w:t>Mr. Whitehurst also has experience in data analytics and information technology from</w:t>
      </w:r>
      <w:r>
        <w:rPr>
          <w:rFonts w:ascii="Arial" w:cs="Arial" w:eastAsia="Arial" w:hAnsi="Arial"/>
          <w:sz w:val="16"/>
          <w:szCs w:val="16"/>
          <w:b w:val="1"/>
          <w:bCs w:val="1"/>
          <w:color w:val="auto"/>
        </w:rPr>
        <w:t xml:space="preserve"> </w:t>
      </w:r>
      <w:r>
        <w:rPr>
          <w:rFonts w:ascii="Arial" w:cs="Arial" w:eastAsia="Arial" w:hAnsi="Arial"/>
          <w:sz w:val="16"/>
          <w:szCs w:val="16"/>
          <w:color w:val="auto"/>
        </w:rPr>
        <w:t>his time at Unity Software Inc., International Business Machines Corporation and Red Hat,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2026  Proxy  Statement</w:t>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1414D2"/>
        </w:rPr>
        <w:t>31</w:t>
      </w:r>
    </w:p>
    <w:p>
      <w:pPr>
        <w:sectPr>
          <w:pgSz w:w="11900" w:h="16838" w:orient="portrait"/>
          <w:cols w:equalWidth="0" w:num="1">
            <w:col w:w="9720"/>
          </w:cols>
          <w:pgMar w:left="1080" w:top="695" w:right="109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6D6F71"/>
        </w:rPr>
        <w:t>Item  1  -  Election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DIRECTORS TO BE ELECTED BY THE HOLDERS OF OTHER CLASSES OF STOCK</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414D2"/>
        </w:rPr>
        <w:t>The Holders of Common Stock Do Not Vote on the Election of the Following Directors</w:t>
      </w:r>
    </w:p>
    <w:p>
      <w:pPr>
        <w:spacing w:after="0" w:line="129"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The ALPA is the sole holder of the Company’s Class Pilot MEC Junior Preferred Stock. The ALPA became the sole holder of the Company’s Class Pilot MEC Junior Preferred Stock pursuant to an agreement with United Airlines, Inc. whereby the ALPA has the right to elect one member to the Board at each annual meeting of stockholders.</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The  IAM  is  the  sole  holder  of  the  Company’s  Class  IAM  Junior  Preferred  Stock.  The  IAM  became  the  sole  holder  of  the</w:t>
      </w:r>
    </w:p>
    <w:p>
      <w:pPr>
        <w:spacing w:after="0" w:line="19" w:lineRule="exact"/>
        <w:rPr>
          <w:sz w:val="20"/>
          <w:szCs w:val="20"/>
          <w:color w:val="auto"/>
        </w:rPr>
      </w:pPr>
    </w:p>
    <w:p>
      <w:pPr>
        <w:ind w:right="80"/>
        <w:spacing w:after="0" w:line="313" w:lineRule="auto"/>
        <w:rPr>
          <w:sz w:val="20"/>
          <w:szCs w:val="20"/>
          <w:color w:val="auto"/>
        </w:rPr>
      </w:pPr>
      <w:r>
        <w:rPr>
          <w:rFonts w:ascii="Arial" w:cs="Arial" w:eastAsia="Arial" w:hAnsi="Arial"/>
          <w:sz w:val="16"/>
          <w:szCs w:val="16"/>
          <w:color w:val="auto"/>
        </w:rPr>
        <w:t>Company’s Class IAM Junior Preferred Stock pursuant to an agreement with United Airlines, Inc. whereby the IAM has the right to elect one member to the Board at each annual meeting of stockholders.</w:t>
      </w:r>
    </w:p>
    <w:p>
      <w:pPr>
        <w:spacing w:after="0" w:line="6" w:lineRule="exact"/>
        <w:rPr>
          <w:sz w:val="20"/>
          <w:szCs w:val="20"/>
          <w:color w:val="auto"/>
        </w:rPr>
      </w:pPr>
    </w:p>
    <w:p>
      <w:pPr>
        <w:ind w:right="320"/>
        <w:spacing w:after="0" w:line="313" w:lineRule="auto"/>
        <w:rPr>
          <w:sz w:val="20"/>
          <w:szCs w:val="20"/>
          <w:color w:val="auto"/>
        </w:rPr>
      </w:pPr>
      <w:r>
        <w:rPr>
          <w:rFonts w:ascii="Arial" w:cs="Arial" w:eastAsia="Arial" w:hAnsi="Arial"/>
          <w:sz w:val="16"/>
          <w:szCs w:val="16"/>
          <w:color w:val="auto"/>
        </w:rPr>
        <w:t>Each of the ALPA director and the IAM director was previously elected by the holders of the applicable class of our preferred stock and has served continuously as a director since the date of his frst election as noted herein.</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414D2"/>
        </w:rPr>
        <w:t>The ALPA Director-Elected by the Holder of Class Pilot MEC Junior Preferred Stock</w:t>
      </w:r>
    </w:p>
    <w:p>
      <w:pPr>
        <w:spacing w:after="0" w:line="115"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The ALPA has nominated and intends to reelect Captain Noyes as the ALPA director at the Annual Meeting. He became the ALPA director on January 15, 2025. Captain Noyes is a current employee of United Airlines, Inc., serving as the representative of the</w:t>
      </w:r>
    </w:p>
    <w:p>
      <w:pPr>
        <w:spacing w:after="0" w:line="1" w:lineRule="exact"/>
        <w:rPr>
          <w:sz w:val="20"/>
          <w:szCs w:val="20"/>
          <w:color w:val="auto"/>
        </w:rPr>
      </w:pPr>
    </w:p>
    <w:p>
      <w:pPr>
        <w:ind w:right="180"/>
        <w:spacing w:after="0" w:line="279" w:lineRule="auto"/>
        <w:rPr>
          <w:sz w:val="20"/>
          <w:szCs w:val="20"/>
          <w:color w:val="auto"/>
        </w:rPr>
      </w:pPr>
      <w:r>
        <w:rPr>
          <w:rFonts w:ascii="Arial" w:cs="Arial" w:eastAsia="Arial" w:hAnsi="Arial"/>
          <w:sz w:val="16"/>
          <w:szCs w:val="16"/>
          <w:color w:val="auto"/>
        </w:rPr>
        <w:t>ALPA to the Board. Captain Noyes is not entitled to receive any cash or equity compensation from the Company as a director but is entitled to receive certain travel and charitable contribution benefts related to service as a director. For a description of such travel and charitable contribution benefts, see “How Directors Are Paid.”</w:t>
      </w:r>
    </w:p>
    <w:p>
      <w:pPr>
        <w:spacing w:after="0" w:line="141"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CAPTAIN BRIAN NOYES-</w:t>
      </w:r>
      <w:r>
        <w:rPr>
          <w:rFonts w:ascii="Arial" w:cs="Arial" w:eastAsia="Arial" w:hAnsi="Arial"/>
          <w:sz w:val="16"/>
          <w:szCs w:val="16"/>
          <w:color w:val="auto"/>
        </w:rPr>
        <w:t>ALPA  Director</w:t>
      </w:r>
    </w:p>
    <w:p>
      <w:pPr>
        <w:spacing w:after="0" w:line="181" w:lineRule="exact"/>
        <w:rPr>
          <w:sz w:val="20"/>
          <w:szCs w:val="20"/>
          <w:color w:val="auto"/>
        </w:rPr>
      </w:pPr>
    </w:p>
    <w:tbl>
      <w:tblPr>
        <w:tblLayout w:type="fixed"/>
        <w:tblInd w:w="100" w:type="dxa"/>
        <w:tblCellMar>
          <w:top w:w="0" w:type="dxa"/>
          <w:left w:w="0" w:type="dxa"/>
          <w:bottom w:w="0" w:type="dxa"/>
          <w:right w:w="0" w:type="dxa"/>
        </w:tblCellMar>
      </w:tblPr>
      <w:tr>
        <w:trPr>
          <w:trHeight w:val="235"/>
        </w:trPr>
        <w:tc>
          <w:tcPr>
            <w:tcW w:w="1920" w:type="dxa"/>
            <w:vAlign w:val="bottom"/>
          </w:tcPr>
          <w:p>
            <w:pPr>
              <w:spacing w:after="0"/>
              <w:rPr>
                <w:sz w:val="20"/>
                <w:szCs w:val="20"/>
                <w:color w:val="auto"/>
              </w:rPr>
            </w:pPr>
          </w:p>
        </w:tc>
        <w:tc>
          <w:tcPr>
            <w:tcW w:w="3580" w:type="dxa"/>
            <w:vAlign w:val="bottom"/>
          </w:tcPr>
          <w:p>
            <w:pPr>
              <w:ind w:left="160"/>
              <w:spacing w:after="0"/>
              <w:rPr>
                <w:sz w:val="20"/>
                <w:szCs w:val="20"/>
                <w:color w:val="auto"/>
              </w:rPr>
            </w:pPr>
            <w:r>
              <w:rPr>
                <w:rFonts w:ascii="Arial" w:cs="Arial" w:eastAsia="Arial" w:hAnsi="Arial"/>
                <w:sz w:val="16"/>
                <w:szCs w:val="16"/>
                <w:b w:val="1"/>
                <w:bCs w:val="1"/>
                <w:color w:val="auto"/>
              </w:rPr>
              <w:t>EXPERIENCE</w:t>
            </w:r>
          </w:p>
        </w:tc>
        <w:tc>
          <w:tcPr>
            <w:tcW w:w="4100" w:type="dxa"/>
            <w:vAlign w:val="bottom"/>
          </w:tcPr>
          <w:p>
            <w:pPr>
              <w:ind w:left="600"/>
              <w:spacing w:after="0"/>
              <w:rPr>
                <w:sz w:val="20"/>
                <w:szCs w:val="20"/>
                <w:color w:val="auto"/>
              </w:rPr>
            </w:pPr>
            <w:r>
              <w:rPr>
                <w:rFonts w:ascii="Arial" w:cs="Arial" w:eastAsia="Arial" w:hAnsi="Arial"/>
                <w:sz w:val="16"/>
                <w:szCs w:val="16"/>
                <w:b w:val="1"/>
                <w:bCs w:val="1"/>
                <w:color w:val="auto"/>
              </w:rPr>
              <w:t>OTHER PUBLIC COMPANY DIRECTORSHIPS</w:t>
            </w:r>
          </w:p>
        </w:tc>
        <w:tc>
          <w:tcPr>
            <w:tcW w:w="0" w:type="dxa"/>
            <w:vAlign w:val="bottom"/>
          </w:tcPr>
          <w:p>
            <w:pPr>
              <w:spacing w:after="0"/>
              <w:rPr>
                <w:sz w:val="1"/>
                <w:szCs w:val="1"/>
                <w:color w:val="auto"/>
              </w:rPr>
            </w:pPr>
          </w:p>
        </w:tc>
      </w:tr>
      <w:tr>
        <w:trPr>
          <w:trHeight w:val="311"/>
        </w:trPr>
        <w:tc>
          <w:tcPr>
            <w:tcW w:w="1920" w:type="dxa"/>
            <w:vAlign w:val="bottom"/>
          </w:tcPr>
          <w:p>
            <w:pPr>
              <w:spacing w:after="0"/>
              <w:rPr>
                <w:sz w:val="24"/>
                <w:szCs w:val="24"/>
                <w:color w:val="auto"/>
              </w:rPr>
            </w:pPr>
          </w:p>
        </w:tc>
        <w:tc>
          <w:tcPr>
            <w:tcW w:w="3580" w:type="dxa"/>
            <w:vAlign w:val="bottom"/>
          </w:tcPr>
          <w:p>
            <w:pPr>
              <w:ind w:left="160"/>
              <w:spacing w:after="0"/>
              <w:rPr>
                <w:sz w:val="20"/>
                <w:szCs w:val="20"/>
                <w:color w:val="auto"/>
              </w:rPr>
            </w:pPr>
            <w:r>
              <w:rPr>
                <w:rFonts w:ascii="Arial" w:cs="Arial" w:eastAsia="Arial" w:hAnsi="Arial"/>
                <w:sz w:val="16"/>
                <w:szCs w:val="16"/>
                <w:b w:val="1"/>
                <w:bCs w:val="1"/>
                <w:i w:val="1"/>
                <w:iCs w:val="1"/>
                <w:color w:val="1414D2"/>
              </w:rPr>
              <w:t>ALPA</w:t>
            </w:r>
          </w:p>
        </w:tc>
        <w:tc>
          <w:tcPr>
            <w:tcW w:w="4100" w:type="dxa"/>
            <w:vAlign w:val="bottom"/>
          </w:tcPr>
          <w:p>
            <w:pPr>
              <w:ind w:left="600"/>
              <w:spacing w:after="0"/>
              <w:rPr>
                <w:sz w:val="20"/>
                <w:szCs w:val="20"/>
                <w:color w:val="auto"/>
              </w:rPr>
            </w:pPr>
            <w:r>
              <w:rPr>
                <w:rFonts w:ascii="Arial" w:cs="Arial" w:eastAsia="Arial" w:hAnsi="Arial"/>
                <w:sz w:val="16"/>
                <w:szCs w:val="16"/>
                <w:color w:val="auto"/>
              </w:rPr>
              <w:t>None</w:t>
            </w:r>
          </w:p>
        </w:tc>
        <w:tc>
          <w:tcPr>
            <w:tcW w:w="0" w:type="dxa"/>
            <w:vAlign w:val="bottom"/>
          </w:tcPr>
          <w:p>
            <w:pPr>
              <w:spacing w:after="0"/>
              <w:rPr>
                <w:sz w:val="1"/>
                <w:szCs w:val="1"/>
                <w:color w:val="auto"/>
              </w:rPr>
            </w:pPr>
          </w:p>
        </w:tc>
      </w:tr>
      <w:tr>
        <w:trPr>
          <w:trHeight w:val="251"/>
        </w:trPr>
        <w:tc>
          <w:tcPr>
            <w:tcW w:w="1920" w:type="dxa"/>
            <w:vAlign w:val="bottom"/>
          </w:tcPr>
          <w:p>
            <w:pPr>
              <w:spacing w:after="0"/>
              <w:rPr>
                <w:sz w:val="21"/>
                <w:szCs w:val="21"/>
                <w:color w:val="auto"/>
              </w:rPr>
            </w:pPr>
          </w:p>
        </w:tc>
        <w:tc>
          <w:tcPr>
            <w:tcW w:w="3580" w:type="dxa"/>
            <w:vAlign w:val="bottom"/>
          </w:tcPr>
          <w:p>
            <w:pPr>
              <w:ind w:left="340"/>
              <w:spacing w:after="0"/>
              <w:rPr>
                <w:sz w:val="20"/>
                <w:szCs w:val="20"/>
                <w:color w:val="auto"/>
              </w:rPr>
            </w:pPr>
            <w:r>
              <w:rPr>
                <w:rFonts w:ascii="Arial" w:cs="Arial" w:eastAsia="Arial" w:hAnsi="Arial"/>
                <w:sz w:val="16"/>
                <w:szCs w:val="16"/>
                <w:color w:val="auto"/>
              </w:rPr>
              <w:t>Chair,  ALPA  United  Airlines  Master</w:t>
            </w:r>
          </w:p>
        </w:tc>
        <w:tc>
          <w:tcPr>
            <w:tcW w:w="4100" w:type="dxa"/>
            <w:vAlign w:val="bottom"/>
          </w:tcPr>
          <w:p>
            <w:pPr>
              <w:ind w:left="600"/>
              <w:spacing w:after="0"/>
              <w:rPr>
                <w:sz w:val="20"/>
                <w:szCs w:val="20"/>
                <w:color w:val="auto"/>
              </w:rPr>
            </w:pPr>
            <w:r>
              <w:rPr>
                <w:rFonts w:ascii="Arial" w:cs="Arial" w:eastAsia="Arial" w:hAnsi="Arial"/>
                <w:sz w:val="16"/>
                <w:szCs w:val="16"/>
                <w:b w:val="1"/>
                <w:bCs w:val="1"/>
                <w:color w:val="auto"/>
                <w:w w:val="97"/>
              </w:rPr>
              <w:t>FORMER PUBLIC COMPANY DIRECTORSHIPS</w:t>
            </w:r>
          </w:p>
        </w:tc>
        <w:tc>
          <w:tcPr>
            <w:tcW w:w="0" w:type="dxa"/>
            <w:vAlign w:val="bottom"/>
          </w:tcPr>
          <w:p>
            <w:pPr>
              <w:spacing w:after="0"/>
              <w:rPr>
                <w:sz w:val="1"/>
                <w:szCs w:val="1"/>
                <w:color w:val="auto"/>
              </w:rPr>
            </w:pPr>
          </w:p>
        </w:tc>
      </w:tr>
      <w:tr>
        <w:trPr>
          <w:trHeight w:val="235"/>
        </w:trPr>
        <w:tc>
          <w:tcPr>
            <w:tcW w:w="1920" w:type="dxa"/>
            <w:vAlign w:val="bottom"/>
          </w:tcPr>
          <w:p>
            <w:pPr>
              <w:spacing w:after="0"/>
              <w:rPr>
                <w:sz w:val="20"/>
                <w:szCs w:val="20"/>
                <w:color w:val="auto"/>
              </w:rPr>
            </w:pPr>
          </w:p>
        </w:tc>
        <w:tc>
          <w:tcPr>
            <w:tcW w:w="3580" w:type="dxa"/>
            <w:vAlign w:val="bottom"/>
          </w:tcPr>
          <w:p>
            <w:pPr>
              <w:ind w:left="340"/>
              <w:spacing w:after="0"/>
              <w:rPr>
                <w:sz w:val="20"/>
                <w:szCs w:val="20"/>
                <w:color w:val="auto"/>
              </w:rPr>
            </w:pPr>
            <w:r>
              <w:rPr>
                <w:rFonts w:ascii="Arial" w:cs="Arial" w:eastAsia="Arial" w:hAnsi="Arial"/>
                <w:sz w:val="16"/>
                <w:szCs w:val="16"/>
                <w:color w:val="auto"/>
              </w:rPr>
              <w:t>Executive  Council  (2025-present)</w:t>
            </w:r>
          </w:p>
        </w:tc>
        <w:tc>
          <w:tcPr>
            <w:tcW w:w="4100" w:type="dxa"/>
            <w:vAlign w:val="bottom"/>
          </w:tcPr>
          <w:p>
            <w:pPr>
              <w:ind w:left="600"/>
              <w:spacing w:after="0"/>
              <w:rPr>
                <w:sz w:val="20"/>
                <w:szCs w:val="20"/>
                <w:color w:val="auto"/>
              </w:rPr>
            </w:pPr>
            <w:r>
              <w:rPr>
                <w:rFonts w:ascii="Arial" w:cs="Arial" w:eastAsia="Arial" w:hAnsi="Arial"/>
                <w:sz w:val="16"/>
                <w:szCs w:val="16"/>
                <w:b w:val="1"/>
                <w:bCs w:val="1"/>
                <w:color w:val="auto"/>
              </w:rPr>
              <w:t>HELD IN THE PAST FIVE YEARS</w:t>
            </w:r>
          </w:p>
        </w:tc>
        <w:tc>
          <w:tcPr>
            <w:tcW w:w="0" w:type="dxa"/>
            <w:vAlign w:val="bottom"/>
          </w:tcPr>
          <w:p>
            <w:pPr>
              <w:spacing w:after="0"/>
              <w:rPr>
                <w:sz w:val="1"/>
                <w:szCs w:val="1"/>
                <w:color w:val="auto"/>
              </w:rPr>
            </w:pPr>
          </w:p>
        </w:tc>
      </w:tr>
      <w:tr>
        <w:trPr>
          <w:trHeight w:val="297"/>
        </w:trPr>
        <w:tc>
          <w:tcPr>
            <w:tcW w:w="1920" w:type="dxa"/>
            <w:vAlign w:val="bottom"/>
          </w:tcPr>
          <w:p>
            <w:pPr>
              <w:spacing w:after="0"/>
              <w:rPr>
                <w:sz w:val="24"/>
                <w:szCs w:val="24"/>
                <w:color w:val="auto"/>
              </w:rPr>
            </w:pPr>
          </w:p>
        </w:tc>
        <w:tc>
          <w:tcPr>
            <w:tcW w:w="3580" w:type="dxa"/>
            <w:vAlign w:val="bottom"/>
          </w:tcPr>
          <w:p>
            <w:pPr>
              <w:ind w:left="160"/>
              <w:spacing w:after="0"/>
              <w:rPr>
                <w:sz w:val="20"/>
                <w:szCs w:val="20"/>
                <w:color w:val="auto"/>
              </w:rPr>
            </w:pPr>
            <w:r>
              <w:rPr>
                <w:rFonts w:ascii="Arial" w:cs="Arial" w:eastAsia="Arial" w:hAnsi="Arial"/>
                <w:sz w:val="16"/>
                <w:szCs w:val="16"/>
                <w:b w:val="1"/>
                <w:bCs w:val="1"/>
                <w:i w:val="1"/>
                <w:iCs w:val="1"/>
                <w:color w:val="1414D2"/>
              </w:rPr>
              <w:t>United Airlines, Inc.</w:t>
            </w:r>
          </w:p>
        </w:tc>
        <w:tc>
          <w:tcPr>
            <w:tcW w:w="4100" w:type="dxa"/>
            <w:vAlign w:val="bottom"/>
          </w:tcPr>
          <w:p>
            <w:pPr>
              <w:ind w:left="600"/>
              <w:spacing w:after="0"/>
              <w:rPr>
                <w:sz w:val="20"/>
                <w:szCs w:val="20"/>
                <w:color w:val="auto"/>
              </w:rPr>
            </w:pPr>
            <w:r>
              <w:rPr>
                <w:rFonts w:ascii="Arial" w:cs="Arial" w:eastAsia="Arial" w:hAnsi="Arial"/>
                <w:sz w:val="16"/>
                <w:szCs w:val="16"/>
                <w:color w:val="auto"/>
              </w:rPr>
              <w:t>None</w:t>
            </w:r>
          </w:p>
        </w:tc>
        <w:tc>
          <w:tcPr>
            <w:tcW w:w="0" w:type="dxa"/>
            <w:vAlign w:val="bottom"/>
          </w:tcPr>
          <w:p>
            <w:pPr>
              <w:spacing w:after="0"/>
              <w:rPr>
                <w:sz w:val="1"/>
                <w:szCs w:val="1"/>
                <w:color w:val="auto"/>
              </w:rPr>
            </w:pPr>
          </w:p>
        </w:tc>
      </w:tr>
      <w:tr>
        <w:trPr>
          <w:trHeight w:val="310"/>
        </w:trPr>
        <w:tc>
          <w:tcPr>
            <w:tcW w:w="1920" w:type="dxa"/>
            <w:vAlign w:val="bottom"/>
          </w:tcPr>
          <w:p>
            <w:pPr>
              <w:spacing w:after="0"/>
              <w:rPr>
                <w:sz w:val="24"/>
                <w:szCs w:val="24"/>
                <w:color w:val="auto"/>
              </w:rPr>
            </w:pPr>
          </w:p>
        </w:tc>
        <w:tc>
          <w:tcPr>
            <w:tcW w:w="3580" w:type="dxa"/>
            <w:vAlign w:val="bottom"/>
          </w:tcPr>
          <w:p>
            <w:pPr>
              <w:ind w:left="340"/>
              <w:spacing w:after="0"/>
              <w:rPr>
                <w:sz w:val="20"/>
                <w:szCs w:val="20"/>
                <w:color w:val="auto"/>
              </w:rPr>
            </w:pPr>
            <w:r>
              <w:rPr>
                <w:rFonts w:ascii="Arial" w:cs="Arial" w:eastAsia="Arial" w:hAnsi="Arial"/>
                <w:sz w:val="16"/>
                <w:szCs w:val="16"/>
                <w:color w:val="auto"/>
              </w:rPr>
              <w:t>Pilot  (1995-present)</w:t>
            </w:r>
          </w:p>
        </w:tc>
        <w:tc>
          <w:tcPr>
            <w:tcW w:w="4100" w:type="dxa"/>
            <w:vAlign w:val="bottom"/>
          </w:tcPr>
          <w:p>
            <w:pPr>
              <w:ind w:left="600"/>
              <w:spacing w:after="0"/>
              <w:rPr>
                <w:sz w:val="20"/>
                <w:szCs w:val="20"/>
                <w:color w:val="auto"/>
              </w:rPr>
            </w:pPr>
            <w:r>
              <w:rPr>
                <w:rFonts w:ascii="Arial" w:cs="Arial" w:eastAsia="Arial" w:hAnsi="Arial"/>
                <w:sz w:val="16"/>
                <w:szCs w:val="16"/>
                <w:b w:val="1"/>
                <w:bCs w:val="1"/>
                <w:color w:val="auto"/>
              </w:rPr>
              <w:t>EDUCATION</w:t>
            </w:r>
          </w:p>
        </w:tc>
        <w:tc>
          <w:tcPr>
            <w:tcW w:w="0" w:type="dxa"/>
            <w:vAlign w:val="bottom"/>
          </w:tcPr>
          <w:p>
            <w:pPr>
              <w:spacing w:after="0"/>
              <w:rPr>
                <w:sz w:val="1"/>
                <w:szCs w:val="1"/>
                <w:color w:val="auto"/>
              </w:rPr>
            </w:pPr>
          </w:p>
        </w:tc>
      </w:tr>
      <w:tr>
        <w:trPr>
          <w:trHeight w:val="262"/>
        </w:trPr>
        <w:tc>
          <w:tcPr>
            <w:tcW w:w="1920" w:type="dxa"/>
            <w:vAlign w:val="bottom"/>
          </w:tcPr>
          <w:p>
            <w:pPr>
              <w:ind w:left="40"/>
              <w:spacing w:after="0"/>
              <w:rPr>
                <w:sz w:val="20"/>
                <w:szCs w:val="20"/>
                <w:color w:val="auto"/>
              </w:rPr>
            </w:pPr>
            <w:r>
              <w:rPr>
                <w:rFonts w:ascii="Arial" w:cs="Arial" w:eastAsia="Arial" w:hAnsi="Arial"/>
                <w:sz w:val="16"/>
                <w:szCs w:val="16"/>
                <w:b w:val="1"/>
                <w:bCs w:val="1"/>
                <w:i w:val="1"/>
                <w:iCs w:val="1"/>
                <w:color w:val="1414D2"/>
              </w:rPr>
              <w:t>Director Since</w:t>
            </w:r>
            <w:r>
              <w:rPr>
                <w:rFonts w:ascii="Arial" w:cs="Arial" w:eastAsia="Arial" w:hAnsi="Arial"/>
                <w:sz w:val="16"/>
                <w:szCs w:val="16"/>
                <w:color w:val="1414D2"/>
              </w:rPr>
              <w:t>:</w:t>
            </w:r>
            <w:r>
              <w:rPr>
                <w:rFonts w:ascii="Arial" w:cs="Arial" w:eastAsia="Arial" w:hAnsi="Arial"/>
                <w:sz w:val="16"/>
                <w:szCs w:val="16"/>
                <w:b w:val="1"/>
                <w:bCs w:val="1"/>
                <w:i w:val="1"/>
                <w:iCs w:val="1"/>
                <w:color w:val="1414D2"/>
              </w:rPr>
              <w:t xml:space="preserve">  </w:t>
            </w:r>
            <w:r>
              <w:rPr>
                <w:rFonts w:ascii="Arial" w:cs="Arial" w:eastAsia="Arial" w:hAnsi="Arial"/>
                <w:sz w:val="16"/>
                <w:szCs w:val="16"/>
                <w:color w:val="000000"/>
              </w:rPr>
              <w:t>2025</w:t>
            </w:r>
          </w:p>
        </w:tc>
        <w:tc>
          <w:tcPr>
            <w:tcW w:w="3580" w:type="dxa"/>
            <w:vAlign w:val="bottom"/>
          </w:tcPr>
          <w:p>
            <w:pPr>
              <w:ind w:left="160"/>
              <w:spacing w:after="0"/>
              <w:rPr>
                <w:sz w:val="20"/>
                <w:szCs w:val="20"/>
                <w:color w:val="auto"/>
              </w:rPr>
            </w:pPr>
            <w:r>
              <w:rPr>
                <w:rFonts w:ascii="Arial" w:cs="Arial" w:eastAsia="Arial" w:hAnsi="Arial"/>
                <w:sz w:val="16"/>
                <w:szCs w:val="16"/>
                <w:b w:val="1"/>
                <w:bCs w:val="1"/>
                <w:i w:val="1"/>
                <w:iCs w:val="1"/>
                <w:color w:val="1414D2"/>
              </w:rPr>
              <w:t>Flight Time Duty Time (ALPA-I)</w:t>
            </w:r>
          </w:p>
        </w:tc>
        <w:tc>
          <w:tcPr>
            <w:tcW w:w="4100" w:type="dxa"/>
            <w:vAlign w:val="bottom"/>
          </w:tcPr>
          <w:p>
            <w:pPr>
              <w:ind w:left="600"/>
              <w:spacing w:after="0"/>
              <w:rPr>
                <w:sz w:val="20"/>
                <w:szCs w:val="20"/>
                <w:color w:val="auto"/>
              </w:rPr>
            </w:pPr>
            <w:r>
              <w:rPr>
                <w:rFonts w:ascii="Arial" w:cs="Arial" w:eastAsia="Arial" w:hAnsi="Arial"/>
                <w:sz w:val="16"/>
                <w:szCs w:val="16"/>
                <w:b w:val="1"/>
                <w:bCs w:val="1"/>
                <w:i w:val="1"/>
                <w:iCs w:val="1"/>
                <w:color w:val="1414D2"/>
              </w:rPr>
              <w:t xml:space="preserve">Embry Riddle Aeronautical University, </w:t>
            </w:r>
            <w:r>
              <w:rPr>
                <w:rFonts w:ascii="Arial" w:cs="Arial" w:eastAsia="Arial" w:hAnsi="Arial"/>
                <w:sz w:val="16"/>
                <w:szCs w:val="16"/>
                <w:color w:val="000000"/>
              </w:rPr>
              <w:t>BS,</w:t>
            </w:r>
          </w:p>
        </w:tc>
        <w:tc>
          <w:tcPr>
            <w:tcW w:w="0" w:type="dxa"/>
            <w:vAlign w:val="bottom"/>
          </w:tcPr>
          <w:p>
            <w:pPr>
              <w:spacing w:after="0"/>
              <w:rPr>
                <w:sz w:val="1"/>
                <w:szCs w:val="1"/>
                <w:color w:val="auto"/>
              </w:rPr>
            </w:pPr>
          </w:p>
        </w:tc>
      </w:tr>
      <w:tr>
        <w:trPr>
          <w:trHeight w:val="235"/>
        </w:trPr>
        <w:tc>
          <w:tcPr>
            <w:tcW w:w="1920" w:type="dxa"/>
            <w:vAlign w:val="bottom"/>
            <w:vMerge w:val="restart"/>
          </w:tcPr>
          <w:p>
            <w:pPr>
              <w:ind w:left="40"/>
              <w:spacing w:after="0"/>
              <w:rPr>
                <w:sz w:val="20"/>
                <w:szCs w:val="20"/>
                <w:color w:val="auto"/>
              </w:rPr>
            </w:pPr>
            <w:r>
              <w:rPr>
                <w:rFonts w:ascii="Arial" w:cs="Arial" w:eastAsia="Arial" w:hAnsi="Arial"/>
                <w:sz w:val="16"/>
                <w:szCs w:val="16"/>
                <w:b w:val="1"/>
                <w:bCs w:val="1"/>
                <w:i w:val="1"/>
                <w:iCs w:val="1"/>
                <w:color w:val="1414D2"/>
              </w:rPr>
              <w:t>Age</w:t>
            </w:r>
            <w:r>
              <w:rPr>
                <w:rFonts w:ascii="Arial" w:cs="Arial" w:eastAsia="Arial" w:hAnsi="Arial"/>
                <w:sz w:val="16"/>
                <w:szCs w:val="16"/>
                <w:color w:val="1414D2"/>
              </w:rPr>
              <w:t>:</w:t>
            </w:r>
            <w:r>
              <w:rPr>
                <w:rFonts w:ascii="Arial" w:cs="Arial" w:eastAsia="Arial" w:hAnsi="Arial"/>
                <w:sz w:val="16"/>
                <w:szCs w:val="16"/>
                <w:b w:val="1"/>
                <w:bCs w:val="1"/>
                <w:i w:val="1"/>
                <w:iCs w:val="1"/>
                <w:color w:val="1414D2"/>
              </w:rPr>
              <w:t xml:space="preserve">  </w:t>
            </w:r>
            <w:r>
              <w:rPr>
                <w:rFonts w:ascii="Arial" w:cs="Arial" w:eastAsia="Arial" w:hAnsi="Arial"/>
                <w:sz w:val="16"/>
                <w:szCs w:val="16"/>
                <w:color w:val="000000"/>
              </w:rPr>
              <w:t>56</w:t>
            </w:r>
          </w:p>
        </w:tc>
        <w:tc>
          <w:tcPr>
            <w:tcW w:w="3580" w:type="dxa"/>
            <w:vAlign w:val="bottom"/>
            <w:vMerge w:val="restart"/>
          </w:tcPr>
          <w:p>
            <w:pPr>
              <w:ind w:left="340"/>
              <w:spacing w:after="0"/>
              <w:rPr>
                <w:sz w:val="20"/>
                <w:szCs w:val="20"/>
                <w:color w:val="auto"/>
              </w:rPr>
            </w:pPr>
            <w:r>
              <w:rPr>
                <w:rFonts w:ascii="Arial" w:cs="Arial" w:eastAsia="Arial" w:hAnsi="Arial"/>
                <w:sz w:val="16"/>
                <w:szCs w:val="16"/>
                <w:color w:val="auto"/>
              </w:rPr>
              <w:t>Chair  and  Member  (2015-2024)</w:t>
            </w:r>
          </w:p>
        </w:tc>
        <w:tc>
          <w:tcPr>
            <w:tcW w:w="4100" w:type="dxa"/>
            <w:vAlign w:val="bottom"/>
          </w:tcPr>
          <w:p>
            <w:pPr>
              <w:ind w:left="600"/>
              <w:spacing w:after="0"/>
              <w:rPr>
                <w:sz w:val="20"/>
                <w:szCs w:val="20"/>
                <w:color w:val="auto"/>
              </w:rPr>
            </w:pPr>
            <w:r>
              <w:rPr>
                <w:rFonts w:ascii="Arial" w:cs="Arial" w:eastAsia="Arial" w:hAnsi="Arial"/>
                <w:sz w:val="16"/>
                <w:szCs w:val="16"/>
                <w:color w:val="auto"/>
              </w:rPr>
              <w:t>Aeronautical  Science</w:t>
            </w:r>
          </w:p>
        </w:tc>
        <w:tc>
          <w:tcPr>
            <w:tcW w:w="0" w:type="dxa"/>
            <w:vAlign w:val="bottom"/>
          </w:tcPr>
          <w:p>
            <w:pPr>
              <w:spacing w:after="0"/>
              <w:rPr>
                <w:sz w:val="1"/>
                <w:szCs w:val="1"/>
                <w:color w:val="auto"/>
              </w:rPr>
            </w:pPr>
          </w:p>
        </w:tc>
      </w:tr>
      <w:tr>
        <w:trPr>
          <w:trHeight w:val="137"/>
        </w:trPr>
        <w:tc>
          <w:tcPr>
            <w:tcW w:w="1920" w:type="dxa"/>
            <w:vAlign w:val="bottom"/>
            <w:vMerge w:val="continue"/>
          </w:tcPr>
          <w:p>
            <w:pPr>
              <w:spacing w:after="0"/>
              <w:rPr>
                <w:sz w:val="11"/>
                <w:szCs w:val="11"/>
                <w:color w:val="auto"/>
              </w:rPr>
            </w:pPr>
          </w:p>
        </w:tc>
        <w:tc>
          <w:tcPr>
            <w:tcW w:w="3580" w:type="dxa"/>
            <w:vAlign w:val="bottom"/>
            <w:vMerge w:val="continue"/>
          </w:tcPr>
          <w:p>
            <w:pPr>
              <w:spacing w:after="0"/>
              <w:rPr>
                <w:sz w:val="11"/>
                <w:szCs w:val="11"/>
                <w:color w:val="auto"/>
              </w:rPr>
            </w:pPr>
          </w:p>
        </w:tc>
        <w:tc>
          <w:tcPr>
            <w:tcW w:w="4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7"/>
        </w:trPr>
        <w:tc>
          <w:tcPr>
            <w:tcW w:w="1920" w:type="dxa"/>
            <w:vAlign w:val="bottom"/>
          </w:tcPr>
          <w:p>
            <w:pPr>
              <w:ind w:left="40"/>
              <w:spacing w:after="0"/>
              <w:rPr>
                <w:sz w:val="20"/>
                <w:szCs w:val="20"/>
                <w:color w:val="auto"/>
              </w:rPr>
            </w:pPr>
            <w:r>
              <w:rPr>
                <w:rFonts w:ascii="Arial" w:cs="Arial" w:eastAsia="Arial" w:hAnsi="Arial"/>
                <w:sz w:val="16"/>
                <w:szCs w:val="16"/>
                <w:b w:val="1"/>
                <w:bCs w:val="1"/>
                <w:i w:val="1"/>
                <w:iCs w:val="1"/>
                <w:color w:val="1414D2"/>
              </w:rPr>
              <w:t>Committees</w:t>
            </w:r>
            <w:r>
              <w:rPr>
                <w:rFonts w:ascii="Arial" w:cs="Arial" w:eastAsia="Arial" w:hAnsi="Arial"/>
                <w:sz w:val="16"/>
                <w:szCs w:val="16"/>
                <w:color w:val="1414D2"/>
              </w:rPr>
              <w:t>:</w:t>
            </w:r>
          </w:p>
        </w:tc>
        <w:tc>
          <w:tcPr>
            <w:tcW w:w="3580" w:type="dxa"/>
            <w:vAlign w:val="bottom"/>
          </w:tcPr>
          <w:p>
            <w:pPr>
              <w:ind w:left="160"/>
              <w:spacing w:after="0"/>
              <w:rPr>
                <w:sz w:val="20"/>
                <w:szCs w:val="20"/>
                <w:color w:val="auto"/>
              </w:rPr>
            </w:pPr>
            <w:r>
              <w:rPr>
                <w:rFonts w:ascii="Arial" w:cs="Arial" w:eastAsia="Arial" w:hAnsi="Arial"/>
                <w:sz w:val="16"/>
                <w:szCs w:val="16"/>
                <w:b w:val="1"/>
                <w:bCs w:val="1"/>
                <w:i w:val="1"/>
                <w:iCs w:val="1"/>
                <w:color w:val="1414D2"/>
              </w:rPr>
              <w:t>Fatigue Management (IFALPA)</w:t>
            </w:r>
          </w:p>
        </w:tc>
        <w:tc>
          <w:tcPr>
            <w:tcW w:w="4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920" w:type="dxa"/>
            <w:vAlign w:val="bottom"/>
          </w:tcPr>
          <w:p>
            <w:pPr>
              <w:ind w:left="40"/>
              <w:spacing w:after="0"/>
              <w:rPr>
                <w:sz w:val="20"/>
                <w:szCs w:val="20"/>
                <w:color w:val="auto"/>
              </w:rPr>
            </w:pPr>
            <w:r>
              <w:rPr>
                <w:rFonts w:ascii="Arial" w:cs="Arial" w:eastAsia="Arial" w:hAnsi="Arial"/>
                <w:sz w:val="16"/>
                <w:szCs w:val="16"/>
                <w:color w:val="auto"/>
              </w:rPr>
              <w:t>Public  Responsibility</w:t>
            </w:r>
          </w:p>
        </w:tc>
        <w:tc>
          <w:tcPr>
            <w:tcW w:w="3580" w:type="dxa"/>
            <w:vAlign w:val="bottom"/>
          </w:tcPr>
          <w:p>
            <w:pPr>
              <w:ind w:left="340"/>
              <w:spacing w:after="0"/>
              <w:rPr>
                <w:sz w:val="20"/>
                <w:szCs w:val="20"/>
                <w:color w:val="auto"/>
              </w:rPr>
            </w:pPr>
            <w:r>
              <w:rPr>
                <w:rFonts w:ascii="Arial" w:cs="Arial" w:eastAsia="Arial" w:hAnsi="Arial"/>
                <w:sz w:val="16"/>
                <w:szCs w:val="16"/>
                <w:color w:val="auto"/>
              </w:rPr>
              <w:t>Co-Chair  and  Member  (2020-2024)</w:t>
            </w:r>
          </w:p>
        </w:tc>
        <w:tc>
          <w:tcPr>
            <w:tcW w:w="4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920" w:type="dxa"/>
            <w:vAlign w:val="bottom"/>
          </w:tcPr>
          <w:p>
            <w:pPr>
              <w:spacing w:after="0"/>
              <w:rPr>
                <w:sz w:val="20"/>
                <w:szCs w:val="20"/>
                <w:color w:val="auto"/>
              </w:rPr>
            </w:pPr>
            <w:r>
              <w:rPr>
                <w:rFonts w:ascii="Arial" w:cs="Arial" w:eastAsia="Arial" w:hAnsi="Arial"/>
                <w:sz w:val="16"/>
                <w:szCs w:val="16"/>
                <w:b w:val="1"/>
                <w:bCs w:val="1"/>
                <w:i w:val="1"/>
                <w:iCs w:val="1"/>
                <w:color w:val="1414D2"/>
              </w:rPr>
              <w:t>Skills and Qualifcations:</w:t>
            </w:r>
          </w:p>
        </w:tc>
        <w:tc>
          <w:tcPr>
            <w:tcW w:w="35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780"/>
        <w:spacing w:after="0"/>
        <w:rPr>
          <w:sz w:val="20"/>
          <w:szCs w:val="20"/>
          <w:color w:val="auto"/>
        </w:rPr>
      </w:pPr>
      <w:r>
        <w:rPr>
          <w:rFonts w:ascii="Arial" w:cs="Arial" w:eastAsia="Arial" w:hAnsi="Arial"/>
          <w:sz w:val="16"/>
          <w:szCs w:val="16"/>
          <w:b w:val="1"/>
          <w:bCs w:val="1"/>
          <w:color w:val="auto"/>
        </w:rPr>
        <w:t>Air / Travel / Transportation</w:t>
      </w:r>
      <w:r>
        <w:rPr>
          <w:rFonts w:ascii="Arial" w:cs="Arial" w:eastAsia="Arial" w:hAnsi="Arial"/>
          <w:sz w:val="16"/>
          <w:szCs w:val="16"/>
          <w:color w:val="auto"/>
        </w:rPr>
        <w:t>:  Captain  Noyes  serves  as  a  pilot  of  Boeing  787  aircraft.</w:t>
      </w:r>
    </w:p>
    <w:p>
      <w:pPr>
        <w:spacing w:after="0" w:line="329" w:lineRule="exact"/>
        <w:rPr>
          <w:sz w:val="20"/>
          <w:szCs w:val="20"/>
          <w:color w:val="auto"/>
        </w:rPr>
      </w:pPr>
    </w:p>
    <w:p>
      <w:pPr>
        <w:ind w:left="780" w:right="460"/>
        <w:spacing w:after="0" w:line="330" w:lineRule="auto"/>
        <w:rPr>
          <w:sz w:val="20"/>
          <w:szCs w:val="20"/>
          <w:color w:val="auto"/>
        </w:rPr>
      </w:pPr>
      <w:r>
        <w:rPr>
          <w:rFonts w:ascii="Arial" w:cs="Arial" w:eastAsia="Arial" w:hAnsi="Arial"/>
          <w:sz w:val="16"/>
          <w:szCs w:val="16"/>
          <w:b w:val="1"/>
          <w:bCs w:val="1"/>
          <w:color w:val="auto"/>
        </w:rPr>
        <w:t>Human Capital Management / Union Relations</w:t>
      </w:r>
      <w:r>
        <w:rPr>
          <w:rFonts w:ascii="Arial" w:cs="Arial" w:eastAsia="Arial" w:hAnsi="Arial"/>
          <w:sz w:val="16"/>
          <w:szCs w:val="16"/>
          <w:color w:val="auto"/>
        </w:rPr>
        <w:t>: Captain Noyes serves as the Chairperson of the ALPA Master</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Council, a position he has held since March 2025.</w:t>
      </w:r>
    </w:p>
    <w:p>
      <w:pPr>
        <w:sectPr>
          <w:pgSz w:w="11900" w:h="16838" w:orient="portrait"/>
          <w:cols w:equalWidth="0" w:num="1">
            <w:col w:w="9700"/>
          </w:cols>
          <w:pgMar w:left="1080" w:top="695" w:right="11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right"/>
        <w:ind w:right="7700"/>
        <w:spacing w:after="0"/>
        <w:rPr>
          <w:sz w:val="20"/>
          <w:szCs w:val="20"/>
          <w:color w:val="auto"/>
        </w:rPr>
      </w:pPr>
      <w:r>
        <w:rPr>
          <w:rFonts w:ascii="Arial" w:cs="Arial" w:eastAsia="Arial" w:hAnsi="Arial"/>
          <w:sz w:val="16"/>
          <w:szCs w:val="16"/>
          <w:color w:val="auto"/>
        </w:rPr>
        <w:t>​​2026​  Proxy</w:t>
      </w:r>
    </w:p>
    <w:p>
      <w:pPr>
        <w:spacing w:after="0" w:line="5" w:lineRule="exact"/>
        <w:rPr>
          <w:sz w:val="20"/>
          <w:szCs w:val="20"/>
          <w:color w:val="auto"/>
        </w:rPr>
      </w:pPr>
    </w:p>
    <w:p>
      <w:pPr>
        <w:ind w:left="660" w:hanging="656"/>
        <w:spacing w:after="0"/>
        <w:tabs>
          <w:tab w:leader="none" w:pos="660" w:val="left"/>
        </w:tabs>
        <w:numPr>
          <w:ilvl w:val="0"/>
          <w:numId w:val="34"/>
        </w:numPr>
        <w:rPr>
          <w:rFonts w:ascii="Arial" w:cs="Arial" w:eastAsia="Arial" w:hAnsi="Arial"/>
          <w:sz w:val="16"/>
          <w:szCs w:val="16"/>
          <w:b w:val="1"/>
          <w:bCs w:val="1"/>
          <w:color w:val="1414D2"/>
        </w:rPr>
      </w:pPr>
      <w:r>
        <w:rPr>
          <w:rFonts w:ascii="Arial" w:cs="Arial" w:eastAsia="Arial" w:hAnsi="Arial"/>
          <w:sz w:val="16"/>
          <w:szCs w:val="16"/>
          <w:color w:val="auto"/>
        </w:rPr>
        <w:t>Statement</w:t>
      </w:r>
    </w:p>
    <w:p>
      <w:pPr>
        <w:sectPr>
          <w:pgSz w:w="11900" w:h="16838" w:orient="portrait"/>
          <w:cols w:equalWidth="0" w:num="1">
            <w:col w:w="9700"/>
          </w:cols>
          <w:pgMar w:left="1080" w:top="695" w:right="111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27" w:lineRule="exact"/>
        <w:rPr>
          <w:sz w:val="20"/>
          <w:szCs w:val="20"/>
          <w:color w:val="auto"/>
        </w:rPr>
      </w:pPr>
    </w:p>
    <w:p>
      <w:pPr>
        <w:jc w:val="right"/>
        <w:spacing w:after="0"/>
        <w:rPr>
          <w:sz w:val="20"/>
          <w:szCs w:val="20"/>
          <w:color w:val="auto"/>
        </w:rPr>
      </w:pPr>
      <w:r>
        <w:rPr>
          <w:rFonts w:ascii="Arial" w:cs="Arial" w:eastAsia="Arial" w:hAnsi="Arial"/>
          <w:sz w:val="14"/>
          <w:szCs w:val="14"/>
          <w:color w:val="6D6F71"/>
        </w:rPr>
        <w:t>Item  1  -  Election  of  Directors</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414D2"/>
        </w:rPr>
        <w:t>The IAM Director-Elected by the Holder of Class IAM Junior Preferred Stock</w:t>
      </w:r>
    </w:p>
    <w:p>
      <w:pPr>
        <w:spacing w:after="0" w:line="115" w:lineRule="exact"/>
        <w:rPr>
          <w:sz w:val="20"/>
          <w:szCs w:val="20"/>
          <w:color w:val="auto"/>
        </w:rPr>
      </w:pPr>
    </w:p>
    <w:p>
      <w:pPr>
        <w:spacing w:after="0"/>
        <w:rPr>
          <w:sz w:val="20"/>
          <w:szCs w:val="20"/>
          <w:color w:val="auto"/>
        </w:rPr>
      </w:pPr>
      <w:r>
        <w:rPr>
          <w:rFonts w:ascii="Arial" w:cs="Arial" w:eastAsia="Arial" w:hAnsi="Arial"/>
          <w:sz w:val="15"/>
          <w:szCs w:val="15"/>
          <w:color w:val="auto"/>
        </w:rPr>
        <w:t>The  IAM  has  nominated  and  intends  to  reelect  Richard  Johnsen  as  the  IAM  director  at  the  Annual  Meeting.  He  became  the  IAM</w:t>
      </w:r>
    </w:p>
    <w:p>
      <w:pPr>
        <w:spacing w:after="0" w:line="30" w:lineRule="exact"/>
        <w:rPr>
          <w:sz w:val="20"/>
          <w:szCs w:val="20"/>
          <w:color w:val="auto"/>
        </w:rPr>
      </w:pPr>
    </w:p>
    <w:p>
      <w:pPr>
        <w:ind w:right="440"/>
        <w:spacing w:after="0" w:line="268" w:lineRule="auto"/>
        <w:rPr>
          <w:sz w:val="20"/>
          <w:szCs w:val="20"/>
          <w:color w:val="auto"/>
        </w:rPr>
      </w:pPr>
      <w:r>
        <w:rPr>
          <w:rFonts w:ascii="Arial" w:cs="Arial" w:eastAsia="Arial" w:hAnsi="Arial"/>
          <w:sz w:val="16"/>
          <w:szCs w:val="16"/>
          <w:color w:val="auto"/>
        </w:rPr>
        <w:t>director on July 6, 2021. Mr. Johnsen is a current employee of United Airlines, Inc. on union leave of absence, serving as the representative of the IAM to the Board. Mr. Johnsen is not entitled to receive any cash or equity compensation from the Company as a director but is entitled to receive certain travel and charitable contribution benefts related to service as a director. For a description of such travel and charitable contribution benefts, see “How Directors Are Paid.”</w:t>
      </w:r>
    </w:p>
    <w:p>
      <w:pPr>
        <w:spacing w:after="0" w:line="150"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RICHARD JOHNSEN-</w:t>
      </w:r>
      <w:r>
        <w:rPr>
          <w:rFonts w:ascii="Arial" w:cs="Arial" w:eastAsia="Arial" w:hAnsi="Arial"/>
          <w:sz w:val="16"/>
          <w:szCs w:val="16"/>
          <w:color w:val="auto"/>
        </w:rPr>
        <w:t>IAM  Director</w:t>
      </w:r>
    </w:p>
    <w:p>
      <w:pPr>
        <w:sectPr>
          <w:pgSz w:w="11900" w:h="16838" w:orient="portrait"/>
          <w:cols w:equalWidth="0" w:num="1">
            <w:col w:w="9720"/>
          </w:cols>
          <w:pgMar w:left="1080" w:top="695"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40"/>
        <w:spacing w:after="0"/>
        <w:rPr>
          <w:sz w:val="20"/>
          <w:szCs w:val="20"/>
          <w:color w:val="auto"/>
        </w:rPr>
      </w:pPr>
      <w:r>
        <w:rPr>
          <w:rFonts w:ascii="Arial" w:cs="Arial" w:eastAsia="Arial" w:hAnsi="Arial"/>
          <w:sz w:val="15"/>
          <w:szCs w:val="15"/>
          <w:b w:val="1"/>
          <w:bCs w:val="1"/>
          <w:i w:val="1"/>
          <w:iCs w:val="1"/>
          <w:color w:val="1414D2"/>
        </w:rPr>
        <w:t>Director Since</w:t>
      </w:r>
      <w:r>
        <w:rPr>
          <w:rFonts w:ascii="Arial" w:cs="Arial" w:eastAsia="Arial" w:hAnsi="Arial"/>
          <w:sz w:val="15"/>
          <w:szCs w:val="15"/>
          <w:color w:val="1414D2"/>
        </w:rPr>
        <w:t>:</w:t>
      </w:r>
      <w:r>
        <w:rPr>
          <w:rFonts w:ascii="Arial" w:cs="Arial" w:eastAsia="Arial" w:hAnsi="Arial"/>
          <w:sz w:val="15"/>
          <w:szCs w:val="15"/>
          <w:b w:val="1"/>
          <w:bCs w:val="1"/>
          <w:i w:val="1"/>
          <w:iCs w:val="1"/>
          <w:color w:val="1414D2"/>
        </w:rPr>
        <w:t xml:space="preserve">  </w:t>
      </w:r>
      <w:r>
        <w:rPr>
          <w:rFonts w:ascii="Arial" w:cs="Arial" w:eastAsia="Arial" w:hAnsi="Arial"/>
          <w:sz w:val="15"/>
          <w:szCs w:val="15"/>
          <w:color w:val="000000"/>
        </w:rPr>
        <w:t>2021</w:t>
      </w:r>
    </w:p>
    <w:p>
      <w:pPr>
        <w:spacing w:after="0" w:line="125" w:lineRule="exact"/>
        <w:rPr>
          <w:sz w:val="20"/>
          <w:szCs w:val="20"/>
          <w:color w:val="auto"/>
        </w:rPr>
      </w:pPr>
    </w:p>
    <w:p>
      <w:pPr>
        <w:ind w:left="140"/>
        <w:spacing w:after="0"/>
        <w:rPr>
          <w:sz w:val="20"/>
          <w:szCs w:val="20"/>
          <w:color w:val="auto"/>
        </w:rPr>
      </w:pPr>
      <w:r>
        <w:rPr>
          <w:rFonts w:ascii="Arial" w:cs="Arial" w:eastAsia="Arial" w:hAnsi="Arial"/>
          <w:sz w:val="16"/>
          <w:szCs w:val="16"/>
          <w:b w:val="1"/>
          <w:bCs w:val="1"/>
          <w:i w:val="1"/>
          <w:iCs w:val="1"/>
          <w:color w:val="1414D2"/>
        </w:rPr>
        <w:t>Age</w:t>
      </w:r>
      <w:r>
        <w:rPr>
          <w:rFonts w:ascii="Arial" w:cs="Arial" w:eastAsia="Arial" w:hAnsi="Arial"/>
          <w:sz w:val="16"/>
          <w:szCs w:val="16"/>
          <w:color w:val="1414D2"/>
        </w:rPr>
        <w:t>:</w:t>
      </w:r>
      <w:r>
        <w:rPr>
          <w:rFonts w:ascii="Arial" w:cs="Arial" w:eastAsia="Arial" w:hAnsi="Arial"/>
          <w:sz w:val="16"/>
          <w:szCs w:val="16"/>
          <w:b w:val="1"/>
          <w:bCs w:val="1"/>
          <w:i w:val="1"/>
          <w:iCs w:val="1"/>
          <w:color w:val="1414D2"/>
        </w:rPr>
        <w:t xml:space="preserve">  </w:t>
      </w:r>
      <w:r>
        <w:rPr>
          <w:rFonts w:ascii="Arial" w:cs="Arial" w:eastAsia="Arial" w:hAnsi="Arial"/>
          <w:sz w:val="16"/>
          <w:szCs w:val="16"/>
          <w:color w:val="000000"/>
        </w:rPr>
        <w:t>57</w:t>
      </w:r>
    </w:p>
    <w:p>
      <w:pPr>
        <w:spacing w:after="0" w:line="113" w:lineRule="exact"/>
        <w:rPr>
          <w:sz w:val="20"/>
          <w:szCs w:val="20"/>
          <w:color w:val="auto"/>
        </w:rPr>
      </w:pPr>
    </w:p>
    <w:p>
      <w:pPr>
        <w:ind w:left="140"/>
        <w:spacing w:after="0"/>
        <w:rPr>
          <w:sz w:val="20"/>
          <w:szCs w:val="20"/>
          <w:color w:val="auto"/>
        </w:rPr>
      </w:pPr>
      <w:r>
        <w:rPr>
          <w:rFonts w:ascii="Arial" w:cs="Arial" w:eastAsia="Arial" w:hAnsi="Arial"/>
          <w:sz w:val="16"/>
          <w:szCs w:val="16"/>
          <w:b w:val="1"/>
          <w:bCs w:val="1"/>
          <w:i w:val="1"/>
          <w:iCs w:val="1"/>
          <w:color w:val="1414D2"/>
        </w:rPr>
        <w:t>Committees</w:t>
      </w:r>
      <w:r>
        <w:rPr>
          <w:rFonts w:ascii="Arial" w:cs="Arial" w:eastAsia="Arial" w:hAnsi="Arial"/>
          <w:sz w:val="16"/>
          <w:szCs w:val="16"/>
          <w:color w:val="1414D2"/>
        </w:rPr>
        <w:t>:</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Public  Responsibility</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EXPERIENCE</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414D2"/>
        </w:rPr>
        <w:t>IAM</w:t>
      </w:r>
    </w:p>
    <w:p>
      <w:pPr>
        <w:spacing w:after="0" w:line="115" w:lineRule="exact"/>
        <w:rPr>
          <w:sz w:val="20"/>
          <w:szCs w:val="20"/>
          <w:color w:val="auto"/>
        </w:rPr>
      </w:pPr>
    </w:p>
    <w:p>
      <w:pPr>
        <w:ind w:left="180" w:right="240"/>
        <w:spacing w:after="0" w:line="313" w:lineRule="auto"/>
        <w:rPr>
          <w:sz w:val="20"/>
          <w:szCs w:val="20"/>
          <w:color w:val="auto"/>
        </w:rPr>
      </w:pPr>
      <w:r>
        <w:rPr>
          <w:rFonts w:ascii="Arial" w:cs="Arial" w:eastAsia="Arial" w:hAnsi="Arial"/>
          <w:sz w:val="16"/>
          <w:szCs w:val="16"/>
          <w:color w:val="auto"/>
        </w:rPr>
        <w:t>General Vice President of the Air Transport Territory (2022-present)</w:t>
      </w:r>
    </w:p>
    <w:p>
      <w:pPr>
        <w:spacing w:after="0" w:line="20" w:lineRule="exact"/>
        <w:rPr>
          <w:sz w:val="20"/>
          <w:szCs w:val="20"/>
          <w:color w:val="auto"/>
        </w:rPr>
      </w:pPr>
    </w:p>
    <w:p>
      <w:pPr>
        <w:ind w:left="180" w:right="200"/>
        <w:spacing w:after="0" w:line="313" w:lineRule="auto"/>
        <w:rPr>
          <w:sz w:val="20"/>
          <w:szCs w:val="20"/>
          <w:color w:val="auto"/>
        </w:rPr>
      </w:pPr>
      <w:r>
        <w:rPr>
          <w:rFonts w:ascii="Arial" w:cs="Arial" w:eastAsia="Arial" w:hAnsi="Arial"/>
          <w:sz w:val="16"/>
          <w:szCs w:val="16"/>
          <w:color w:val="auto"/>
        </w:rPr>
        <w:t>Chief of Staf to the International President (2021-2022)</w:t>
      </w:r>
    </w:p>
    <w:p>
      <w:pPr>
        <w:spacing w:after="0" w:line="6" w:lineRule="exact"/>
        <w:rPr>
          <w:sz w:val="20"/>
          <w:szCs w:val="20"/>
          <w:color w:val="auto"/>
        </w:rPr>
      </w:pPr>
    </w:p>
    <w:p>
      <w:pPr>
        <w:ind w:left="180" w:right="680"/>
        <w:spacing w:after="0" w:line="325" w:lineRule="auto"/>
        <w:rPr>
          <w:sz w:val="20"/>
          <w:szCs w:val="20"/>
          <w:color w:val="auto"/>
        </w:rPr>
      </w:pPr>
      <w:r>
        <w:rPr>
          <w:rFonts w:ascii="Arial" w:cs="Arial" w:eastAsia="Arial" w:hAnsi="Arial"/>
          <w:sz w:val="16"/>
          <w:szCs w:val="16"/>
          <w:color w:val="auto"/>
        </w:rPr>
        <w:t>Special Assistant to the International President (2021-2021)</w:t>
      </w:r>
    </w:p>
    <w:p>
      <w:pPr>
        <w:spacing w:after="0" w:line="1" w:lineRule="exact"/>
        <w:rPr>
          <w:sz w:val="20"/>
          <w:szCs w:val="20"/>
          <w:color w:val="auto"/>
        </w:rPr>
      </w:pPr>
    </w:p>
    <w:p>
      <w:pPr>
        <w:ind w:left="180" w:right="240"/>
        <w:spacing w:after="0" w:line="313" w:lineRule="auto"/>
        <w:rPr>
          <w:sz w:val="20"/>
          <w:szCs w:val="20"/>
          <w:color w:val="auto"/>
        </w:rPr>
      </w:pPr>
      <w:r>
        <w:rPr>
          <w:rFonts w:ascii="Arial" w:cs="Arial" w:eastAsia="Arial" w:hAnsi="Arial"/>
          <w:sz w:val="16"/>
          <w:szCs w:val="16"/>
          <w:color w:val="auto"/>
        </w:rPr>
        <w:t>IAM Representatives Association President (2017-2021)</w:t>
      </w:r>
    </w:p>
    <w:p>
      <w:pPr>
        <w:spacing w:after="0" w:line="6" w:lineRule="exact"/>
        <w:rPr>
          <w:sz w:val="20"/>
          <w:szCs w:val="20"/>
          <w:color w:val="auto"/>
        </w:rPr>
      </w:pPr>
    </w:p>
    <w:p>
      <w:pPr>
        <w:ind w:left="180"/>
        <w:spacing w:after="0" w:line="325" w:lineRule="auto"/>
        <w:rPr>
          <w:sz w:val="20"/>
          <w:szCs w:val="20"/>
          <w:color w:val="auto"/>
        </w:rPr>
      </w:pPr>
      <w:r>
        <w:rPr>
          <w:rFonts w:ascii="Arial" w:cs="Arial" w:eastAsia="Arial" w:hAnsi="Arial"/>
          <w:sz w:val="16"/>
          <w:szCs w:val="16"/>
          <w:color w:val="auto"/>
        </w:rPr>
        <w:t>IAM Transportation Department Grand Lodge Special Representative (2001-2017)</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5"/>
          <w:szCs w:val="15"/>
          <w:color w:val="auto"/>
        </w:rPr>
        <w:t>Assistant  General  Chairperson  (district  141  M)</w:t>
      </w:r>
    </w:p>
    <w:p>
      <w:pPr>
        <w:spacing w:after="0" w:line="1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(2000-2001)</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ind w:right="220"/>
        <w:spacing w:after="0" w:line="387" w:lineRule="auto"/>
        <w:rPr>
          <w:sz w:val="20"/>
          <w:szCs w:val="20"/>
          <w:color w:val="auto"/>
        </w:rPr>
      </w:pPr>
      <w:r>
        <w:rPr>
          <w:rFonts w:ascii="Arial" w:cs="Arial" w:eastAsia="Arial" w:hAnsi="Arial"/>
          <w:sz w:val="16"/>
          <w:szCs w:val="16"/>
          <w:b w:val="1"/>
          <w:bCs w:val="1"/>
          <w:color w:val="auto"/>
        </w:rPr>
        <w:t xml:space="preserve">OTHER PUBLIC COMPANY DIRECTORSHIPS </w:t>
      </w:r>
      <w:r>
        <w:rPr>
          <w:rFonts w:ascii="Arial" w:cs="Arial" w:eastAsia="Arial" w:hAnsi="Arial"/>
          <w:sz w:val="16"/>
          <w:szCs w:val="16"/>
          <w:color w:val="auto"/>
        </w:rPr>
        <w:t>None</w:t>
      </w:r>
    </w:p>
    <w:p>
      <w:pPr>
        <w:spacing w:after="0" w:line="1" w:lineRule="exact"/>
        <w:rPr>
          <w:sz w:val="20"/>
          <w:szCs w:val="20"/>
          <w:color w:val="auto"/>
        </w:rPr>
      </w:pPr>
    </w:p>
    <w:p>
      <w:pPr>
        <w:ind w:right="80"/>
        <w:spacing w:after="0" w:line="347" w:lineRule="auto"/>
        <w:rPr>
          <w:sz w:val="20"/>
          <w:szCs w:val="20"/>
          <w:color w:val="auto"/>
        </w:rPr>
      </w:pPr>
      <w:r>
        <w:rPr>
          <w:rFonts w:ascii="Arial" w:cs="Arial" w:eastAsia="Arial" w:hAnsi="Arial"/>
          <w:sz w:val="15"/>
          <w:szCs w:val="15"/>
          <w:b w:val="1"/>
          <w:bCs w:val="1"/>
          <w:color w:val="auto"/>
        </w:rPr>
        <w:t>FORMER PUBLIC COMPANY DIRECTORSHIPS HELD IN THE PAST FIVE YEARS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EDUCATION</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414D2"/>
        </w:rPr>
        <w:t>University of Maryland</w:t>
      </w:r>
      <w:r>
        <w:rPr>
          <w:rFonts w:ascii="Arial" w:cs="Arial" w:eastAsia="Arial" w:hAnsi="Arial"/>
          <w:sz w:val="16"/>
          <w:szCs w:val="16"/>
          <w:color w:val="000000"/>
        </w:rPr>
        <w:t>,  BS,  Management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Information  Systems</w:t>
      </w:r>
    </w:p>
    <w:p>
      <w:pPr>
        <w:spacing w:after="0" w:line="1528" w:lineRule="exact"/>
        <w:rPr>
          <w:sz w:val="20"/>
          <w:szCs w:val="20"/>
          <w:color w:val="auto"/>
        </w:rPr>
      </w:pPr>
    </w:p>
    <w:p>
      <w:pPr>
        <w:sectPr>
          <w:pgSz w:w="11900" w:h="16838" w:orient="portrait"/>
          <w:cols w:equalWidth="0" w:num="3">
            <w:col w:w="1680" w:space="500"/>
            <w:col w:w="3660" w:space="320"/>
            <w:col w:w="3560"/>
          </w:cols>
          <w:pgMar w:left="1080" w:top="695" w:right="1099" w:bottom="1440" w:gutter="0" w:footer="0" w:header="0"/>
          <w:type w:val="continuous"/>
        </w:sectPr>
      </w:pPr>
    </w:p>
    <w:p>
      <w:pPr>
        <w:ind w:left="100"/>
        <w:spacing w:after="0"/>
        <w:rPr>
          <w:sz w:val="20"/>
          <w:szCs w:val="20"/>
          <w:color w:val="auto"/>
        </w:rPr>
      </w:pPr>
      <w:r>
        <w:rPr>
          <w:rFonts w:ascii="Arial" w:cs="Arial" w:eastAsia="Arial" w:hAnsi="Arial"/>
          <w:sz w:val="16"/>
          <w:szCs w:val="16"/>
          <w:b w:val="1"/>
          <w:bCs w:val="1"/>
          <w:i w:val="1"/>
          <w:iCs w:val="1"/>
          <w:color w:val="1414D2"/>
        </w:rPr>
        <w:t>Skills and Qualifcations:</w:t>
      </w:r>
    </w:p>
    <w:p>
      <w:pPr>
        <w:spacing w:after="0" w:line="223" w:lineRule="exact"/>
        <w:rPr>
          <w:sz w:val="20"/>
          <w:szCs w:val="20"/>
          <w:color w:val="auto"/>
        </w:rPr>
      </w:pPr>
    </w:p>
    <w:p>
      <w:pPr>
        <w:ind w:left="780"/>
        <w:spacing w:after="0"/>
        <w:rPr>
          <w:sz w:val="20"/>
          <w:szCs w:val="20"/>
          <w:color w:val="auto"/>
        </w:rPr>
      </w:pPr>
      <w:r>
        <w:rPr>
          <w:rFonts w:ascii="Arial" w:cs="Arial" w:eastAsia="Arial" w:hAnsi="Arial"/>
          <w:sz w:val="16"/>
          <w:szCs w:val="16"/>
          <w:b w:val="1"/>
          <w:bCs w:val="1"/>
          <w:color w:val="auto"/>
        </w:rPr>
        <w:t>Air / Travel / Transportation</w:t>
      </w:r>
      <w:r>
        <w:rPr>
          <w:rFonts w:ascii="Arial" w:cs="Arial" w:eastAsia="Arial" w:hAnsi="Arial"/>
          <w:sz w:val="16"/>
          <w:szCs w:val="16"/>
          <w:color w:val="auto"/>
        </w:rPr>
        <w:t>:  Mr.  Johnsen  has  served  in  various  positions  within  the  IAM  throughout  his  career.</w:t>
      </w:r>
    </w:p>
    <w:p>
      <w:pPr>
        <w:spacing w:after="0" w:line="329" w:lineRule="exact"/>
        <w:rPr>
          <w:sz w:val="20"/>
          <w:szCs w:val="20"/>
          <w:color w:val="auto"/>
        </w:rPr>
      </w:pPr>
    </w:p>
    <w:p>
      <w:pPr>
        <w:ind w:left="780" w:right="240"/>
        <w:spacing w:after="0" w:line="313" w:lineRule="auto"/>
        <w:rPr>
          <w:sz w:val="20"/>
          <w:szCs w:val="20"/>
          <w:color w:val="auto"/>
        </w:rPr>
      </w:pPr>
      <w:r>
        <w:rPr>
          <w:rFonts w:ascii="Arial" w:cs="Arial" w:eastAsia="Arial" w:hAnsi="Arial"/>
          <w:sz w:val="16"/>
          <w:szCs w:val="16"/>
          <w:b w:val="1"/>
          <w:bCs w:val="1"/>
          <w:color w:val="auto"/>
        </w:rPr>
        <w:t>Human Capital Management / Union Relations</w:t>
      </w:r>
      <w:r>
        <w:rPr>
          <w:rFonts w:ascii="Arial" w:cs="Arial" w:eastAsia="Arial" w:hAnsi="Arial"/>
          <w:sz w:val="16"/>
          <w:szCs w:val="16"/>
          <w:color w:val="auto"/>
        </w:rPr>
        <w:t>: Mr. Johnsen currently serves as General Vice President of the Air</w:t>
      </w:r>
      <w:r>
        <w:rPr>
          <w:rFonts w:ascii="Arial" w:cs="Arial" w:eastAsia="Arial" w:hAnsi="Arial"/>
          <w:sz w:val="16"/>
          <w:szCs w:val="16"/>
          <w:b w:val="1"/>
          <w:bCs w:val="1"/>
          <w:color w:val="auto"/>
        </w:rPr>
        <w:t xml:space="preserve"> </w:t>
      </w:r>
      <w:r>
        <w:rPr>
          <w:rFonts w:ascii="Arial" w:cs="Arial" w:eastAsia="Arial" w:hAnsi="Arial"/>
          <w:sz w:val="16"/>
          <w:szCs w:val="16"/>
          <w:color w:val="auto"/>
        </w:rPr>
        <w:t>Transport Territory of IAM and has held various other leadership positions with the IAM.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2026  Proxy  Statement</w:t>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1414D2"/>
        </w:rPr>
        <w:t>33</w:t>
      </w:r>
    </w:p>
    <w:p>
      <w:pPr>
        <w:sectPr>
          <w:pgSz w:w="11900" w:h="16838" w:orient="portrait"/>
          <w:cols w:equalWidth="0" w:num="1">
            <w:col w:w="9720"/>
          </w:cols>
          <w:pgMar w:left="1080" w:top="695" w:right="109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16"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Board and Corporate Governance Matters</w:t>
      </w:r>
    </w:p>
    <w:p>
      <w:pPr>
        <w:spacing w:after="0" w:line="400" w:lineRule="exact"/>
        <w:rPr>
          <w:sz w:val="20"/>
          <w:szCs w:val="20"/>
          <w:color w:val="auto"/>
        </w:rPr>
      </w:pPr>
    </w:p>
    <w:p>
      <w:pPr>
        <w:spacing w:after="0"/>
        <w:rPr>
          <w:sz w:val="20"/>
          <w:szCs w:val="20"/>
          <w:color w:val="auto"/>
        </w:rPr>
      </w:pPr>
      <w:r>
        <w:rPr>
          <w:rFonts w:ascii="Arial" w:cs="Arial" w:eastAsia="Arial" w:hAnsi="Arial"/>
          <w:sz w:val="25"/>
          <w:szCs w:val="25"/>
          <w:b w:val="1"/>
          <w:bCs w:val="1"/>
          <w:color w:val="1414D2"/>
        </w:rPr>
        <w:t>Board Selection and Election</w:t>
      </w:r>
    </w:p>
    <w:p>
      <w:pPr>
        <w:spacing w:after="0" w:line="241" w:lineRule="exact"/>
        <w:rPr>
          <w:sz w:val="20"/>
          <w:szCs w:val="20"/>
          <w:color w:val="auto"/>
        </w:rPr>
      </w:pPr>
    </w:p>
    <w:p>
      <w:pPr>
        <w:ind w:right="3960"/>
        <w:spacing w:after="0" w:line="387" w:lineRule="auto"/>
        <w:rPr>
          <w:sz w:val="20"/>
          <w:szCs w:val="20"/>
          <w:color w:val="auto"/>
        </w:rPr>
      </w:pPr>
      <w:r>
        <w:rPr>
          <w:rFonts w:ascii="Arial" w:cs="Arial" w:eastAsia="Arial" w:hAnsi="Arial"/>
          <w:sz w:val="16"/>
          <w:szCs w:val="16"/>
          <w:b w:val="1"/>
          <w:bCs w:val="1"/>
          <w:color w:val="auto"/>
        </w:rPr>
        <w:t xml:space="preserve">MAJORITY VOTE STANDARD AND MANDATORY DIRECTOR RESIGNATION </w:t>
      </w:r>
      <w:r>
        <w:rPr>
          <w:rFonts w:ascii="Arial" w:cs="Arial" w:eastAsia="Arial" w:hAnsi="Arial"/>
          <w:sz w:val="16"/>
          <w:szCs w:val="16"/>
          <w:color w:val="auto"/>
        </w:rPr>
        <w:t>All directors are elected annually.</w:t>
      </w:r>
    </w:p>
    <w:p>
      <w:pPr>
        <w:spacing w:after="0" w:line="1" w:lineRule="exact"/>
        <w:rPr>
          <w:sz w:val="20"/>
          <w:szCs w:val="20"/>
          <w:color w:val="auto"/>
        </w:rPr>
      </w:pPr>
    </w:p>
    <w:p>
      <w:pPr>
        <w:ind w:right="300"/>
        <w:spacing w:after="0" w:line="255" w:lineRule="auto"/>
        <w:rPr>
          <w:sz w:val="20"/>
          <w:szCs w:val="20"/>
          <w:color w:val="auto"/>
        </w:rPr>
      </w:pPr>
      <w:r>
        <w:rPr>
          <w:rFonts w:ascii="Arial" w:cs="Arial" w:eastAsia="Arial" w:hAnsi="Arial"/>
          <w:sz w:val="16"/>
          <w:szCs w:val="16"/>
          <w:color w:val="auto"/>
        </w:rPr>
        <w:t>Our Amended and Restated Bylaws and our Corporate Governance Guidelines provide that a majority of the votes cast is required to elect directors in uncontested elections. An “uncontested election of directors” means an election of directors in</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which the number of nominees does not exceed the number of directors to be elected as of the date that is 10 days prior to the date of fling the defnitive proxy statement (such as the election of directors at the Annual Meeting). This means that the number of votes cast for a nominee must exceed the number of votes cast against that person. Abstentions and “broker non-votes” will have no efect on the election of directors. The Corporate Governance Guidelines require any current director who</w:t>
      </w:r>
    </w:p>
    <w:p>
      <w:pPr>
        <w:spacing w:after="0" w:line="3" w:lineRule="exact"/>
        <w:rPr>
          <w:sz w:val="20"/>
          <w:szCs w:val="20"/>
          <w:color w:val="auto"/>
        </w:rPr>
      </w:pPr>
    </w:p>
    <w:p>
      <w:pPr>
        <w:ind w:right="140"/>
        <w:spacing w:after="0" w:line="250" w:lineRule="auto"/>
        <w:rPr>
          <w:sz w:val="20"/>
          <w:szCs w:val="20"/>
          <w:color w:val="auto"/>
        </w:rPr>
      </w:pPr>
      <w:r>
        <w:rPr>
          <w:rFonts w:ascii="Arial" w:cs="Arial" w:eastAsia="Arial" w:hAnsi="Arial"/>
          <w:sz w:val="16"/>
          <w:szCs w:val="16"/>
          <w:color w:val="auto"/>
        </w:rPr>
        <w:t>does not receive a majority of votes cast to tender his or her resignation as a director to the Board promptly following the certifcation of the stockholder vote. The Nominating/Governance Committee, without participation by any director tendering their resignation, will consider the resignation ofer and recommend to the Board whether to accept or reject the resignation ofer or take another action. The Board, without participation by any director tendering their resignation, will act on the</w:t>
      </w:r>
    </w:p>
    <w:p>
      <w:pPr>
        <w:spacing w:after="0" w:line="3" w:lineRule="exact"/>
        <w:rPr>
          <w:sz w:val="20"/>
          <w:szCs w:val="20"/>
          <w:color w:val="auto"/>
        </w:rPr>
      </w:pPr>
    </w:p>
    <w:p>
      <w:pPr>
        <w:ind w:right="300"/>
        <w:spacing w:after="0" w:line="279" w:lineRule="auto"/>
        <w:rPr>
          <w:sz w:val="20"/>
          <w:szCs w:val="20"/>
          <w:color w:val="auto"/>
        </w:rPr>
      </w:pPr>
      <w:r>
        <w:rPr>
          <w:rFonts w:ascii="Arial" w:cs="Arial" w:eastAsia="Arial" w:hAnsi="Arial"/>
          <w:sz w:val="16"/>
          <w:szCs w:val="16"/>
          <w:color w:val="auto"/>
        </w:rPr>
        <w:t>Nominating/Governance Committee’s recommendation within 120 days following certifcation of the stockholder vote and promptly disclose its decision by press release, fling of a Current Report on Form 8-K or another public means of disclosure deemed appropriate.</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color w:val="auto"/>
        </w:rPr>
        <w:t>In  a  contested  election,  the  required  vote  would  be  a  plurality  of  votes  cast.</w:t>
      </w:r>
    </w:p>
    <w:p>
      <w:pPr>
        <w:spacing w:after="0" w:line="113" w:lineRule="exact"/>
        <w:rPr>
          <w:sz w:val="20"/>
          <w:szCs w:val="20"/>
          <w:color w:val="auto"/>
        </w:rPr>
      </w:pPr>
    </w:p>
    <w:p>
      <w:pPr>
        <w:ind w:right="100"/>
        <w:spacing w:after="0" w:line="279" w:lineRule="auto"/>
        <w:rPr>
          <w:sz w:val="20"/>
          <w:szCs w:val="20"/>
          <w:color w:val="auto"/>
        </w:rPr>
      </w:pPr>
      <w:r>
        <w:rPr>
          <w:rFonts w:ascii="Arial" w:cs="Arial" w:eastAsia="Arial" w:hAnsi="Arial"/>
          <w:sz w:val="16"/>
          <w:szCs w:val="16"/>
          <w:color w:val="auto"/>
        </w:rPr>
        <w:t>If for any reason any nominee is unable or unwilling to serve as a director, your proxy authorizes the people named as proxies to vote for a replacement nominee if the Board names one. Alternatively, the Board may reduce the number of directors that serve on the Board to eliminate the vacancy.</w:t>
      </w:r>
    </w:p>
    <w:p>
      <w:pPr>
        <w:sectPr>
          <w:pgSz w:w="11900" w:h="16838" w:orient="portrait"/>
          <w:cols w:equalWidth="0" w:num="1">
            <w:col w:w="9660"/>
          </w:cols>
          <w:pgMar w:left="1080" w:top="695" w:right="11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right"/>
        <w:ind w:right="7660"/>
        <w:spacing w:after="0"/>
        <w:rPr>
          <w:sz w:val="20"/>
          <w:szCs w:val="20"/>
          <w:color w:val="auto"/>
        </w:rPr>
      </w:pPr>
      <w:r>
        <w:rPr>
          <w:rFonts w:ascii="Arial" w:cs="Arial" w:eastAsia="Arial" w:hAnsi="Arial"/>
          <w:sz w:val="16"/>
          <w:szCs w:val="16"/>
          <w:color w:val="auto"/>
        </w:rPr>
        <w:t>​​2026​  Proxy</w:t>
      </w:r>
    </w:p>
    <w:p>
      <w:pPr>
        <w:spacing w:after="0" w:line="5" w:lineRule="exact"/>
        <w:rPr>
          <w:sz w:val="20"/>
          <w:szCs w:val="20"/>
          <w:color w:val="auto"/>
        </w:rPr>
      </w:pPr>
    </w:p>
    <w:p>
      <w:pPr>
        <w:ind w:left="660" w:hanging="656"/>
        <w:spacing w:after="0"/>
        <w:tabs>
          <w:tab w:leader="none" w:pos="660" w:val="left"/>
        </w:tabs>
        <w:numPr>
          <w:ilvl w:val="0"/>
          <w:numId w:val="35"/>
        </w:numPr>
        <w:rPr>
          <w:rFonts w:ascii="Arial" w:cs="Arial" w:eastAsia="Arial" w:hAnsi="Arial"/>
          <w:sz w:val="16"/>
          <w:szCs w:val="16"/>
          <w:b w:val="1"/>
          <w:bCs w:val="1"/>
          <w:color w:val="1414D2"/>
        </w:rPr>
      </w:pPr>
      <w:r>
        <w:rPr>
          <w:rFonts w:ascii="Arial" w:cs="Arial" w:eastAsia="Arial" w:hAnsi="Arial"/>
          <w:sz w:val="16"/>
          <w:szCs w:val="16"/>
          <w:color w:val="auto"/>
        </w:rPr>
        <w:t>Statement</w:t>
      </w:r>
    </w:p>
    <w:p>
      <w:pPr>
        <w:sectPr>
          <w:pgSz w:w="11900" w:h="16838" w:orient="portrait"/>
          <w:cols w:equalWidth="0" w:num="1">
            <w:col w:w="9660"/>
          </w:cols>
          <w:pgMar w:left="1080" w:top="695" w:right="115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27" w:lineRule="exact"/>
        <w:rPr>
          <w:sz w:val="20"/>
          <w:szCs w:val="20"/>
          <w:color w:val="auto"/>
        </w:rPr>
      </w:pPr>
    </w:p>
    <w:p>
      <w:pPr>
        <w:jc w:val="right"/>
        <w:spacing w:after="0"/>
        <w:rPr>
          <w:sz w:val="20"/>
          <w:szCs w:val="20"/>
          <w:color w:val="auto"/>
        </w:rPr>
      </w:pPr>
      <w:r>
        <w:rPr>
          <w:rFonts w:ascii="Arial" w:cs="Arial" w:eastAsia="Arial" w:hAnsi="Arial"/>
          <w:sz w:val="14"/>
          <w:szCs w:val="14"/>
          <w:color w:val="6D6F71"/>
        </w:rPr>
        <w:t>Board  and  Corporate  Governance  Matters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COMPOSITION AND SUCCESSION PLANNING</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414D2"/>
        </w:rPr>
        <w:t>Non-Preferred Stock Director Nomination Process</w:t>
      </w:r>
    </w:p>
    <w:p>
      <w:pPr>
        <w:sectPr>
          <w:pgSz w:w="11900" w:h="16838" w:orient="portrait"/>
          <w:cols w:equalWidth="0" w:num="1">
            <w:col w:w="9720"/>
          </w:cols>
          <w:pgMar w:left="1080" w:top="695" w:right="1099" w:bottom="1440" w:gutter="0" w:footer="0" w:header="0"/>
        </w:sectPr>
      </w:pPr>
    </w:p>
    <w:p>
      <w:pPr>
        <w:spacing w:after="0" w:line="129" w:lineRule="exact"/>
        <w:rPr>
          <w:sz w:val="20"/>
          <w:szCs w:val="20"/>
          <w:color w:val="auto"/>
        </w:rPr>
      </w:pPr>
    </w:p>
    <w:p>
      <w:pPr>
        <w:ind w:left="1360"/>
        <w:spacing w:after="0"/>
        <w:rPr>
          <w:sz w:val="20"/>
          <w:szCs w:val="20"/>
          <w:color w:val="auto"/>
        </w:rPr>
      </w:pPr>
      <w:r>
        <w:rPr>
          <w:rFonts w:ascii="Arial" w:cs="Arial" w:eastAsia="Arial" w:hAnsi="Arial"/>
          <w:sz w:val="29"/>
          <w:szCs w:val="29"/>
          <w:color w:val="1414D2"/>
        </w:rPr>
        <w:t>1</w:t>
      </w:r>
    </w:p>
    <w:p>
      <w:pPr>
        <w:spacing w:after="0" w:line="4" w:lineRule="exact"/>
        <w:rPr>
          <w:sz w:val="20"/>
          <w:szCs w:val="20"/>
          <w:color w:val="auto"/>
        </w:rPr>
      </w:pPr>
    </w:p>
    <w:p>
      <w:pPr>
        <w:ind w:left="1360"/>
        <w:spacing w:after="0"/>
        <w:rPr>
          <w:sz w:val="20"/>
          <w:szCs w:val="20"/>
          <w:color w:val="auto"/>
        </w:rPr>
      </w:pPr>
      <w:r>
        <w:rPr>
          <w:rFonts w:ascii="Arial" w:cs="Arial" w:eastAsia="Arial" w:hAnsi="Arial"/>
          <w:sz w:val="16"/>
          <w:szCs w:val="16"/>
          <w:color w:val="1414D2"/>
        </w:rPr>
        <w:t>Assessment  of</w:t>
      </w:r>
    </w:p>
    <w:p>
      <w:pPr>
        <w:spacing w:after="0" w:line="5" w:lineRule="exact"/>
        <w:rPr>
          <w:sz w:val="20"/>
          <w:szCs w:val="20"/>
          <w:color w:val="auto"/>
        </w:rPr>
      </w:pPr>
    </w:p>
    <w:p>
      <w:pPr>
        <w:ind w:left="1360"/>
        <w:spacing w:after="0"/>
        <w:rPr>
          <w:sz w:val="20"/>
          <w:szCs w:val="20"/>
          <w:color w:val="auto"/>
        </w:rPr>
      </w:pPr>
      <w:r>
        <w:rPr>
          <w:rFonts w:ascii="Arial" w:cs="Arial" w:eastAsia="Arial" w:hAnsi="Arial"/>
          <w:sz w:val="16"/>
          <w:szCs w:val="16"/>
          <w:color w:val="1414D2"/>
        </w:rPr>
        <w:t>Current  Board</w:t>
      </w:r>
    </w:p>
    <w:p>
      <w:pPr>
        <w:spacing w:after="0" w:line="19" w:lineRule="exact"/>
        <w:rPr>
          <w:sz w:val="20"/>
          <w:szCs w:val="20"/>
          <w:color w:val="auto"/>
        </w:rPr>
      </w:pPr>
    </w:p>
    <w:p>
      <w:pPr>
        <w:ind w:left="1360"/>
        <w:spacing w:after="0"/>
        <w:rPr>
          <w:sz w:val="20"/>
          <w:szCs w:val="20"/>
          <w:color w:val="auto"/>
        </w:rPr>
      </w:pPr>
      <w:r>
        <w:rPr>
          <w:rFonts w:ascii="Arial" w:cs="Arial" w:eastAsia="Arial" w:hAnsi="Arial"/>
          <w:sz w:val="16"/>
          <w:szCs w:val="16"/>
          <w:color w:val="1414D2"/>
        </w:rPr>
        <w:t>Composition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360"/>
        <w:spacing w:after="0"/>
        <w:rPr>
          <w:sz w:val="20"/>
          <w:szCs w:val="20"/>
          <w:color w:val="auto"/>
        </w:rPr>
      </w:pPr>
      <w:r>
        <w:rPr>
          <w:rFonts w:ascii="Arial" w:cs="Arial" w:eastAsia="Arial" w:hAnsi="Arial"/>
          <w:sz w:val="29"/>
          <w:szCs w:val="29"/>
          <w:color w:val="1414D2"/>
        </w:rPr>
        <w:t>2</w:t>
      </w:r>
    </w:p>
    <w:p>
      <w:pPr>
        <w:spacing w:after="0" w:line="4" w:lineRule="exact"/>
        <w:rPr>
          <w:sz w:val="20"/>
          <w:szCs w:val="20"/>
          <w:color w:val="auto"/>
        </w:rPr>
      </w:pPr>
    </w:p>
    <w:p>
      <w:pPr>
        <w:ind w:left="1360"/>
        <w:spacing w:after="0"/>
        <w:rPr>
          <w:sz w:val="20"/>
          <w:szCs w:val="20"/>
          <w:color w:val="auto"/>
        </w:rPr>
      </w:pPr>
      <w:r>
        <w:rPr>
          <w:rFonts w:ascii="Arial" w:cs="Arial" w:eastAsia="Arial" w:hAnsi="Arial"/>
          <w:sz w:val="16"/>
          <w:szCs w:val="16"/>
          <w:color w:val="1414D2"/>
        </w:rPr>
        <w:t>Consideration</w:t>
      </w:r>
    </w:p>
    <w:p>
      <w:pPr>
        <w:spacing w:after="0" w:line="5" w:lineRule="exact"/>
        <w:rPr>
          <w:sz w:val="20"/>
          <w:szCs w:val="20"/>
          <w:color w:val="auto"/>
        </w:rPr>
      </w:pPr>
    </w:p>
    <w:p>
      <w:pPr>
        <w:ind w:left="1360"/>
        <w:spacing w:after="0"/>
        <w:rPr>
          <w:sz w:val="20"/>
          <w:szCs w:val="20"/>
          <w:color w:val="auto"/>
        </w:rPr>
      </w:pPr>
      <w:r>
        <w:rPr>
          <w:rFonts w:ascii="Arial" w:cs="Arial" w:eastAsia="Arial" w:hAnsi="Arial"/>
          <w:sz w:val="16"/>
          <w:szCs w:val="16"/>
          <w:color w:val="1414D2"/>
        </w:rPr>
        <w:t>of  Experience,</w:t>
      </w:r>
    </w:p>
    <w:p>
      <w:pPr>
        <w:spacing w:after="0" w:line="19" w:lineRule="exact"/>
        <w:rPr>
          <w:sz w:val="20"/>
          <w:szCs w:val="20"/>
          <w:color w:val="auto"/>
        </w:rPr>
      </w:pPr>
    </w:p>
    <w:p>
      <w:pPr>
        <w:ind w:left="1360"/>
        <w:spacing w:after="0"/>
        <w:rPr>
          <w:sz w:val="20"/>
          <w:szCs w:val="20"/>
          <w:color w:val="auto"/>
        </w:rPr>
      </w:pPr>
      <w:r>
        <w:rPr>
          <w:rFonts w:ascii="Arial" w:cs="Arial" w:eastAsia="Arial" w:hAnsi="Arial"/>
          <w:sz w:val="16"/>
          <w:szCs w:val="16"/>
          <w:color w:val="1414D2"/>
        </w:rPr>
        <w:t>Skills  and</w:t>
      </w:r>
    </w:p>
    <w:p>
      <w:pPr>
        <w:spacing w:after="0" w:line="5" w:lineRule="exact"/>
        <w:rPr>
          <w:sz w:val="20"/>
          <w:szCs w:val="20"/>
          <w:color w:val="auto"/>
        </w:rPr>
      </w:pPr>
    </w:p>
    <w:p>
      <w:pPr>
        <w:ind w:left="1360"/>
        <w:spacing w:after="0"/>
        <w:rPr>
          <w:sz w:val="20"/>
          <w:szCs w:val="20"/>
          <w:color w:val="auto"/>
        </w:rPr>
      </w:pPr>
      <w:r>
        <w:rPr>
          <w:rFonts w:ascii="Arial" w:cs="Arial" w:eastAsia="Arial" w:hAnsi="Arial"/>
          <w:sz w:val="16"/>
          <w:szCs w:val="16"/>
          <w:color w:val="1414D2"/>
        </w:rPr>
        <w:t>Other</w:t>
      </w:r>
    </w:p>
    <w:p>
      <w:pPr>
        <w:spacing w:after="0" w:line="5" w:lineRule="exact"/>
        <w:rPr>
          <w:sz w:val="20"/>
          <w:szCs w:val="20"/>
          <w:color w:val="auto"/>
        </w:rPr>
      </w:pPr>
    </w:p>
    <w:p>
      <w:pPr>
        <w:ind w:left="1360"/>
        <w:spacing w:after="0"/>
        <w:rPr>
          <w:sz w:val="20"/>
          <w:szCs w:val="20"/>
          <w:color w:val="auto"/>
        </w:rPr>
      </w:pPr>
      <w:r>
        <w:rPr>
          <w:rFonts w:ascii="Arial" w:cs="Arial" w:eastAsia="Arial" w:hAnsi="Arial"/>
          <w:sz w:val="16"/>
          <w:szCs w:val="16"/>
          <w:color w:val="1414D2"/>
        </w:rPr>
        <w:t>Characteristics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360"/>
        <w:spacing w:after="0"/>
        <w:rPr>
          <w:sz w:val="20"/>
          <w:szCs w:val="20"/>
          <w:color w:val="auto"/>
        </w:rPr>
      </w:pPr>
      <w:r>
        <w:rPr>
          <w:rFonts w:ascii="Arial" w:cs="Arial" w:eastAsia="Arial" w:hAnsi="Arial"/>
          <w:sz w:val="29"/>
          <w:szCs w:val="29"/>
          <w:color w:val="1414D2"/>
        </w:rPr>
        <w:t>3</w:t>
      </w:r>
    </w:p>
    <w:p>
      <w:pPr>
        <w:spacing w:after="0" w:line="4" w:lineRule="exact"/>
        <w:rPr>
          <w:sz w:val="20"/>
          <w:szCs w:val="20"/>
          <w:color w:val="auto"/>
        </w:rPr>
      </w:pPr>
    </w:p>
    <w:p>
      <w:pPr>
        <w:ind w:left="1360"/>
        <w:spacing w:after="0"/>
        <w:rPr>
          <w:sz w:val="20"/>
          <w:szCs w:val="20"/>
          <w:color w:val="auto"/>
        </w:rPr>
      </w:pPr>
      <w:r>
        <w:rPr>
          <w:rFonts w:ascii="Arial" w:cs="Arial" w:eastAsia="Arial" w:hAnsi="Arial"/>
          <w:sz w:val="16"/>
          <w:szCs w:val="16"/>
          <w:color w:val="1414D2"/>
        </w:rPr>
        <w:t>Election</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Pursuant to its charter, the Nominating/Governance Committee is primarily responsible for maintaining a strong Board with a broad range of experience, skills and perspectives and is focused on Board succession planning on a continuous basis. Our Nominating/Governance Committee proactively evaluates our Board’s size and composition and succession planning</w:t>
      </w:r>
    </w:p>
    <w:p>
      <w:pPr>
        <w:spacing w:after="0" w:line="3" w:lineRule="exact"/>
        <w:rPr>
          <w:sz w:val="20"/>
          <w:szCs w:val="20"/>
          <w:color w:val="auto"/>
        </w:rPr>
      </w:pPr>
    </w:p>
    <w:p>
      <w:pPr>
        <w:ind w:right="180"/>
        <w:spacing w:after="0" w:line="250" w:lineRule="auto"/>
        <w:rPr>
          <w:sz w:val="20"/>
          <w:szCs w:val="20"/>
          <w:color w:val="auto"/>
        </w:rPr>
      </w:pPr>
      <w:r>
        <w:rPr>
          <w:rFonts w:ascii="Arial" w:cs="Arial" w:eastAsia="Arial" w:hAnsi="Arial"/>
          <w:sz w:val="16"/>
          <w:szCs w:val="16"/>
          <w:color w:val="auto"/>
        </w:rPr>
        <w:t>to facilitate a smooth transition and maintain continuity of experience, attributes, balance of professional skills, independence requirements and variety of perspectives in the boardroom. This process involves identifying directors approaching retirement age or who may have indicated an intent to resign from the Board and allows the Board to fnd a</w:t>
      </w:r>
    </w:p>
    <w:p>
      <w:pPr>
        <w:spacing w:after="0" w:line="3" w:lineRule="exact"/>
        <w:rPr>
          <w:sz w:val="20"/>
          <w:szCs w:val="20"/>
          <w:color w:val="auto"/>
        </w:rPr>
      </w:pPr>
    </w:p>
    <w:p>
      <w:pPr>
        <w:ind w:right="560"/>
        <w:spacing w:after="0" w:line="279" w:lineRule="auto"/>
        <w:rPr>
          <w:sz w:val="20"/>
          <w:szCs w:val="20"/>
          <w:color w:val="auto"/>
        </w:rPr>
      </w:pPr>
      <w:r>
        <w:rPr>
          <w:rFonts w:ascii="Arial" w:cs="Arial" w:eastAsia="Arial" w:hAnsi="Arial"/>
          <w:sz w:val="16"/>
          <w:szCs w:val="16"/>
          <w:color w:val="auto"/>
        </w:rPr>
        <w:t>replacement director with skills and expertise relevant for the Company in light of the Board composition at the time and business needs as well as plan for Committee leadership and membership.</w:t>
      </w:r>
    </w:p>
    <w:p>
      <w:pPr>
        <w:spacing w:after="0" w:line="128"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In building a slate of director nominees for consideration by the Board, including the members of the Board eligible for reelection, the Nominating/Governance Committee’s assessment of potential directors includes a review of the experience (including in positions at the policy-making level and in areas relevant to the Company), balance of professional</w:t>
      </w:r>
    </w:p>
    <w:p>
      <w:pPr>
        <w:spacing w:after="0" w:line="3" w:lineRule="exact"/>
        <w:rPr>
          <w:sz w:val="20"/>
          <w:szCs w:val="20"/>
          <w:color w:val="auto"/>
        </w:rPr>
      </w:pPr>
    </w:p>
    <w:p>
      <w:pPr>
        <w:ind w:right="160"/>
        <w:spacing w:after="0" w:line="250" w:lineRule="auto"/>
        <w:rPr>
          <w:sz w:val="20"/>
          <w:szCs w:val="20"/>
          <w:color w:val="auto"/>
        </w:rPr>
      </w:pPr>
      <w:r>
        <w:rPr>
          <w:rFonts w:ascii="Arial" w:cs="Arial" w:eastAsia="Arial" w:hAnsi="Arial"/>
          <w:sz w:val="16"/>
          <w:szCs w:val="16"/>
          <w:color w:val="auto"/>
        </w:rPr>
        <w:t>skills (including fnancial literacy), broad range of perspectives, proven integrity, independence, ability to work professionally with others, sound business judgment, tenure as director (in the case of reelection) and other characteristics as the Nominating/Governance Committee deems important. The Nominating/Governance</w:t>
      </w:r>
    </w:p>
    <w:p>
      <w:pPr>
        <w:spacing w:after="0" w:line="3" w:lineRule="exact"/>
        <w:rPr>
          <w:sz w:val="20"/>
          <w:szCs w:val="20"/>
          <w:color w:val="auto"/>
        </w:rPr>
      </w:pPr>
    </w:p>
    <w:p>
      <w:pPr>
        <w:ind w:right="160"/>
        <w:spacing w:after="0" w:line="252" w:lineRule="auto"/>
        <w:rPr>
          <w:sz w:val="20"/>
          <w:szCs w:val="20"/>
          <w:color w:val="auto"/>
        </w:rPr>
      </w:pPr>
      <w:r>
        <w:rPr>
          <w:rFonts w:ascii="Arial" w:cs="Arial" w:eastAsia="Arial" w:hAnsi="Arial"/>
          <w:sz w:val="16"/>
          <w:szCs w:val="16"/>
          <w:color w:val="auto"/>
        </w:rPr>
        <w:t>Committee also considers the qualifcations of individual directors and director candidates, taking into account current and expected future needs of the Company, the Board and the respective Committees of our Board, any gaps to fll due to Board turnover/succession</w:t>
      </w:r>
    </w:p>
    <w:p>
      <w:pPr>
        <w:spacing w:after="0" w:line="1" w:lineRule="exact"/>
        <w:rPr>
          <w:sz w:val="20"/>
          <w:szCs w:val="20"/>
          <w:color w:val="auto"/>
        </w:rPr>
      </w:pPr>
    </w:p>
    <w:p>
      <w:pPr>
        <w:ind w:right="360"/>
        <w:spacing w:after="0" w:line="279" w:lineRule="auto"/>
        <w:rPr>
          <w:sz w:val="20"/>
          <w:szCs w:val="20"/>
          <w:color w:val="auto"/>
        </w:rPr>
      </w:pPr>
      <w:r>
        <w:rPr>
          <w:rFonts w:ascii="Arial" w:cs="Arial" w:eastAsia="Arial" w:hAnsi="Arial"/>
          <w:sz w:val="16"/>
          <w:szCs w:val="16"/>
          <w:color w:val="auto"/>
        </w:rPr>
        <w:t>planning, the assessment of the performance of incumbent directors through the Board evaluation process, the impact of any change in the principal occupations of incumbent directors, number of directorships and management team priorities.</w:t>
      </w:r>
    </w:p>
    <w:p>
      <w:pPr>
        <w:spacing w:after="0" w:line="60" w:lineRule="exact"/>
        <w:rPr>
          <w:sz w:val="20"/>
          <w:szCs w:val="20"/>
          <w:color w:val="auto"/>
        </w:rPr>
      </w:pPr>
    </w:p>
    <w:p>
      <w:pPr>
        <w:ind w:right="620"/>
        <w:spacing w:after="0" w:line="252" w:lineRule="auto"/>
        <w:rPr>
          <w:sz w:val="20"/>
          <w:szCs w:val="20"/>
          <w:color w:val="auto"/>
        </w:rPr>
      </w:pPr>
      <w:r>
        <w:rPr>
          <w:rFonts w:ascii="Arial" w:cs="Arial" w:eastAsia="Arial" w:hAnsi="Arial"/>
          <w:sz w:val="16"/>
          <w:szCs w:val="16"/>
          <w:color w:val="auto"/>
        </w:rPr>
        <w:t>The Nominating/Governance Committee uses a variety of sources, including Board members, members of management and stockholder recommendations, to identify potential new non-preferred stock candidates. Potential non-preferred stock director</w:t>
      </w:r>
    </w:p>
    <w:p>
      <w:pPr>
        <w:spacing w:after="0" w:line="1" w:lineRule="exact"/>
        <w:rPr>
          <w:sz w:val="20"/>
          <w:szCs w:val="20"/>
          <w:color w:val="auto"/>
        </w:rPr>
      </w:pPr>
    </w:p>
    <w:p>
      <w:pPr>
        <w:ind w:right="140"/>
        <w:spacing w:after="0" w:line="250" w:lineRule="auto"/>
        <w:rPr>
          <w:sz w:val="20"/>
          <w:szCs w:val="20"/>
          <w:color w:val="auto"/>
        </w:rPr>
      </w:pPr>
      <w:r>
        <w:rPr>
          <w:rFonts w:ascii="Arial" w:cs="Arial" w:eastAsia="Arial" w:hAnsi="Arial"/>
          <w:sz w:val="16"/>
          <w:szCs w:val="16"/>
          <w:color w:val="auto"/>
        </w:rPr>
        <w:t>candidates are identifed based on a candidate profle that includes the relevant skills and experiences being sought at that time as well as the Board membership criteria described in the above paragraph. Board candidates undergo a rigorous screening process, including initial interviews by our Chairman, CEO and President, a background check, a review of</w:t>
      </w:r>
    </w:p>
    <w:p>
      <w:pPr>
        <w:spacing w:after="0" w:line="3" w:lineRule="exact"/>
        <w:rPr>
          <w:sz w:val="20"/>
          <w:szCs w:val="20"/>
          <w:color w:val="auto"/>
        </w:rPr>
      </w:pPr>
    </w:p>
    <w:p>
      <w:pPr>
        <w:ind w:right="260"/>
        <w:spacing w:after="0" w:line="250" w:lineRule="auto"/>
        <w:rPr>
          <w:sz w:val="20"/>
          <w:szCs w:val="20"/>
          <w:color w:val="auto"/>
        </w:rPr>
      </w:pPr>
      <w:r>
        <w:rPr>
          <w:rFonts w:ascii="Arial" w:cs="Arial" w:eastAsia="Arial" w:hAnsi="Arial"/>
          <w:sz w:val="16"/>
          <w:szCs w:val="16"/>
          <w:color w:val="auto"/>
        </w:rPr>
        <w:t>references and an assessment of whether the candidate meets the criteria that the Board seeks in all of its directors and how that candidate’s skills and experience would positively contribute to the Board. From time to time, when needed, the Nominating/Governance Committee may retain a third-party search frm to identify potential director candidates</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with  the  skills,  experience  and  qualifcations  being  sought  in  potential  candidates.</w:t>
      </w:r>
    </w:p>
    <w:p>
      <w:pPr>
        <w:spacing w:after="0" w:line="194" w:lineRule="exact"/>
        <w:rPr>
          <w:sz w:val="20"/>
          <w:szCs w:val="20"/>
          <w:color w:val="auto"/>
        </w:rPr>
      </w:pPr>
    </w:p>
    <w:p>
      <w:pPr>
        <w:ind w:right="320"/>
        <w:spacing w:after="0" w:line="313" w:lineRule="auto"/>
        <w:rPr>
          <w:sz w:val="20"/>
          <w:szCs w:val="20"/>
          <w:color w:val="auto"/>
        </w:rPr>
      </w:pPr>
      <w:r>
        <w:rPr>
          <w:rFonts w:ascii="Arial" w:cs="Arial" w:eastAsia="Arial" w:hAnsi="Arial"/>
          <w:sz w:val="16"/>
          <w:szCs w:val="16"/>
          <w:color w:val="auto"/>
        </w:rPr>
        <w:t>The Nominating/Governance Committee recommends to the Board a slate of candidates for election at each annual meeting of stockholders.</w:t>
      </w:r>
    </w:p>
    <w:p>
      <w:pPr>
        <w:spacing w:after="0" w:line="33" w:lineRule="exact"/>
        <w:rPr>
          <w:sz w:val="20"/>
          <w:szCs w:val="20"/>
          <w:color w:val="auto"/>
        </w:rPr>
      </w:pPr>
    </w:p>
    <w:p>
      <w:pPr>
        <w:ind w:right="120"/>
        <w:spacing w:after="0" w:line="268" w:lineRule="auto"/>
        <w:rPr>
          <w:sz w:val="20"/>
          <w:szCs w:val="20"/>
          <w:color w:val="auto"/>
        </w:rPr>
      </w:pPr>
      <w:r>
        <w:rPr>
          <w:rFonts w:ascii="Arial" w:cs="Arial" w:eastAsia="Arial" w:hAnsi="Arial"/>
          <w:sz w:val="16"/>
          <w:szCs w:val="16"/>
          <w:color w:val="auto"/>
        </w:rPr>
        <w:t>Our Board may also elect directors on the recommendation of our Nominating/Governance Committee throughout the year, following the same process, when determined to be in the best interests of our Company and stockholders. In that case, such directors would stand for reelection by stockholders the following year.</w:t>
      </w:r>
    </w:p>
    <w:p>
      <w:pPr>
        <w:spacing w:after="0" w:line="69" w:lineRule="exact"/>
        <w:rPr>
          <w:sz w:val="20"/>
          <w:szCs w:val="20"/>
          <w:color w:val="auto"/>
        </w:rPr>
      </w:pPr>
    </w:p>
    <w:p>
      <w:pPr>
        <w:ind w:right="360"/>
        <w:spacing w:after="0" w:line="313" w:lineRule="auto"/>
        <w:rPr>
          <w:sz w:val="20"/>
          <w:szCs w:val="20"/>
          <w:color w:val="auto"/>
        </w:rPr>
      </w:pPr>
      <w:r>
        <w:rPr>
          <w:rFonts w:ascii="Arial" w:cs="Arial" w:eastAsia="Arial" w:hAnsi="Arial"/>
          <w:sz w:val="16"/>
          <w:szCs w:val="16"/>
          <w:color w:val="auto"/>
        </w:rPr>
        <w:t>Following election, all new independent directors undergo a comprehensive onboarding process.</w:t>
      </w:r>
    </w:p>
    <w:p>
      <w:pPr>
        <w:spacing w:after="0" w:line="200" w:lineRule="exact"/>
        <w:rPr>
          <w:sz w:val="20"/>
          <w:szCs w:val="20"/>
          <w:color w:val="auto"/>
        </w:rPr>
      </w:pPr>
    </w:p>
    <w:p>
      <w:pPr>
        <w:sectPr>
          <w:pgSz w:w="11900" w:h="16838" w:orient="portrait"/>
          <w:cols w:equalWidth="0" w:num="2">
            <w:col w:w="2480" w:space="180"/>
            <w:col w:w="7060"/>
          </w:cols>
          <w:pgMar w:left="1080" w:top="695" w:right="10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2026  Proxy  Statement</w:t>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1414D2"/>
        </w:rPr>
        <w:t>35</w:t>
      </w:r>
    </w:p>
    <w:p>
      <w:pPr>
        <w:sectPr>
          <w:pgSz w:w="11900" w:h="16838" w:orient="portrait"/>
          <w:cols w:equalWidth="0" w:num="1">
            <w:col w:w="9720"/>
          </w:cols>
          <w:pgMar w:left="1080" w:top="695" w:right="1099" w:bottom="1440" w:gutter="0" w:footer="0" w:header="0"/>
          <w:type w:val="continuous"/>
        </w:sectPr>
      </w:pPr>
    </w:p>
    <w:bookmarkStart w:id="46" w:name="page47"/>
    <w:bookmarkEnd w:id="46"/>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6D6F71"/>
        </w:rPr>
        <w:t>Board  and  Corporate  Governance  Matters</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414D2"/>
        </w:rPr>
        <w:t>Stockholder Nominations for Directors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color w:val="auto"/>
        </w:rPr>
        <w:t>In  addition,  the  Nominating/Governance  Committee  considers  candidates  for  director  suggested  by  stockholders.  The</w:t>
      </w:r>
    </w:p>
    <w:p>
      <w:pPr>
        <w:spacing w:after="0" w:line="19" w:lineRule="exact"/>
        <w:rPr>
          <w:sz w:val="20"/>
          <w:szCs w:val="20"/>
          <w:color w:val="auto"/>
        </w:rPr>
      </w:pPr>
    </w:p>
    <w:p>
      <w:pPr>
        <w:ind w:right="160"/>
        <w:spacing w:after="0" w:line="250" w:lineRule="auto"/>
        <w:rPr>
          <w:sz w:val="20"/>
          <w:szCs w:val="20"/>
          <w:color w:val="auto"/>
        </w:rPr>
      </w:pPr>
      <w:r>
        <w:rPr>
          <w:rFonts w:ascii="Arial" w:cs="Arial" w:eastAsia="Arial" w:hAnsi="Arial"/>
          <w:sz w:val="16"/>
          <w:szCs w:val="16"/>
          <w:color w:val="auto"/>
        </w:rPr>
        <w:t>Nominating/Governance Committee considers all potential candidates in the same manner and by the same standards regardless of the source of the recommendation and acts in its discretion in making recommendations to the full Board. Candidates for director recommended by stockholders must be able to satisfy the independence standards established by the Board as set forth in the applicable Nasdaq Listing Rules, any other applicable rules or regulations and the Company’s</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Corporate  Governance  Guidelines  as  outlined  below  under  “Director  Independence.”</w:t>
      </w:r>
    </w:p>
    <w:p>
      <w:pPr>
        <w:spacing w:after="0" w:line="113" w:lineRule="exact"/>
        <w:rPr>
          <w:sz w:val="20"/>
          <w:szCs w:val="20"/>
          <w:color w:val="auto"/>
        </w:rPr>
      </w:pPr>
    </w:p>
    <w:p>
      <w:pPr>
        <w:ind w:right="200"/>
        <w:spacing w:after="0" w:line="252" w:lineRule="auto"/>
        <w:rPr>
          <w:sz w:val="20"/>
          <w:szCs w:val="20"/>
          <w:color w:val="auto"/>
        </w:rPr>
      </w:pPr>
      <w:r>
        <w:rPr>
          <w:rFonts w:ascii="Arial" w:cs="Arial" w:eastAsia="Arial" w:hAnsi="Arial"/>
          <w:sz w:val="16"/>
          <w:szCs w:val="16"/>
          <w:color w:val="auto"/>
        </w:rPr>
        <w:t>Holders of shares of Common Stock may submit director candidates for consideration (other than those elected by holders of shares of preferred stock of the Company) by writing to the Chairman of the Nominating/Governance Committee, United Airlines Holdings, Inc., c/o the Corporate Secretary’s Ofce, 233 S. Wacker Drive, Chicago, Illinois 60606. Stockholders must</w:t>
      </w:r>
    </w:p>
    <w:p>
      <w:pPr>
        <w:spacing w:after="0" w:line="1" w:lineRule="exact"/>
        <w:rPr>
          <w:sz w:val="20"/>
          <w:szCs w:val="20"/>
          <w:color w:val="auto"/>
        </w:rPr>
      </w:pPr>
    </w:p>
    <w:p>
      <w:pPr>
        <w:spacing w:after="0" w:line="313" w:lineRule="auto"/>
        <w:rPr>
          <w:sz w:val="20"/>
          <w:szCs w:val="20"/>
          <w:color w:val="auto"/>
        </w:rPr>
      </w:pPr>
      <w:r>
        <w:rPr>
          <w:rFonts w:ascii="Arial" w:cs="Arial" w:eastAsia="Arial" w:hAnsi="Arial"/>
          <w:sz w:val="16"/>
          <w:szCs w:val="16"/>
          <w:color w:val="auto"/>
        </w:rPr>
        <w:t>provide the recommended candidate’s name, biographical data, qualifcations and other information required by Section 2.10 of the Amended and Restated Bylaws with respect to director nominations by stockholders.</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In  addition  to  recommending  director  candidates  to  the  Nominating/Governance  Committee,  stockholders  may  also,  pursuant</w:t>
      </w:r>
    </w:p>
    <w:p>
      <w:pPr>
        <w:spacing w:after="0" w:line="19"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to procedures established in the Amended and Restated Bylaws, directly nominate one or more director candidates to stand for election at an annual or special meeting of stockholders. For a regularly scheduled annual meeting of stockholders, a stockholder wishing to make such a nomination must deliver written notice of the proposed nomination to the Secretary of the Company not later than the close of business on the 90th day or earlier than the 120th day prior to the one-year anniversary of</w:t>
      </w:r>
    </w:p>
    <w:p>
      <w:pPr>
        <w:spacing w:after="0" w:line="3"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the preceding year’s annual meeting of stockholders. Close of business means 5:00 p.m. Eastern Time on any calendar day, whether or not the day is a business day. Our stockholders who hold 25% ownership in Common Stock have the right to request that the Company call a special meeting. For a special meeting of stockholders, a stockholder wishing to make such a nomination must deliver written notice of the nomination to the Secretary of the Company not earlier than 120 days prior to the</w:t>
      </w:r>
    </w:p>
    <w:p>
      <w:pPr>
        <w:spacing w:after="0" w:line="3" w:lineRule="exact"/>
        <w:rPr>
          <w:sz w:val="20"/>
          <w:szCs w:val="20"/>
          <w:color w:val="auto"/>
        </w:rPr>
      </w:pPr>
    </w:p>
    <w:p>
      <w:pPr>
        <w:ind w:right="40"/>
        <w:spacing w:after="0" w:line="268" w:lineRule="auto"/>
        <w:rPr>
          <w:sz w:val="20"/>
          <w:szCs w:val="20"/>
          <w:color w:val="auto"/>
        </w:rPr>
      </w:pPr>
      <w:r>
        <w:rPr>
          <w:rFonts w:ascii="Arial" w:cs="Arial" w:eastAsia="Arial" w:hAnsi="Arial"/>
          <w:sz w:val="16"/>
          <w:szCs w:val="16"/>
          <w:color w:val="auto"/>
        </w:rPr>
        <w:t>date of such special meeting and not later than the close of business on the later of: (x) 90 days prior to the date of such special meeting; and (y) 10 days following the day on which public announcement is frst made of the date of such special meeting. In either case, a notice of nomination submitted by a stockholder must include information concerning the nominating stockholder and the stockholder’s nominee(s) as required by the Amended and Restated Bylaws.</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414D2"/>
        </w:rPr>
        <w:t>Proxy Access Stockholder Right</w:t>
      </w:r>
    </w:p>
    <w:p>
      <w:pPr>
        <w:spacing w:after="0" w:line="115" w:lineRule="exact"/>
        <w:rPr>
          <w:sz w:val="20"/>
          <w:szCs w:val="20"/>
          <w:color w:val="auto"/>
        </w:rPr>
      </w:pPr>
    </w:p>
    <w:p>
      <w:pPr>
        <w:ind w:right="220"/>
        <w:spacing w:after="0" w:line="255" w:lineRule="auto"/>
        <w:rPr>
          <w:sz w:val="20"/>
          <w:szCs w:val="20"/>
          <w:color w:val="auto"/>
        </w:rPr>
      </w:pPr>
      <w:r>
        <w:rPr>
          <w:rFonts w:ascii="Arial" w:cs="Arial" w:eastAsia="Arial" w:hAnsi="Arial"/>
          <w:sz w:val="16"/>
          <w:szCs w:val="16"/>
          <w:color w:val="auto"/>
        </w:rPr>
        <w:t>As part of our ongoing commitment to strong corporate governance practices, we adopted a “proxy access” bylaw for stockholders in 2016. In accordance with the Amended and Restated Bylaws, under specifed circumstances, a stockholder or</w:t>
      </w:r>
    </w:p>
    <w:p>
      <w:pPr>
        <w:spacing w:after="0" w:line="1"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group of stockholders may submit director nominees to the Board to be included in the Company’s proxy materials for an annual meeting of stockholders, known as “proxy access.” Stockholders who intend to submit director nominees for inclusion in the Company’s proxy materials for the next year’s annual meeting of stockholders must comply with the requirements of proxy access as set forth in the Amended and Restated Bylaws. These proxy access provisions of our Amended and Restated Bylaws</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provide,  among  other  things,  the  following:</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319"/>
        </w:trPr>
        <w:tc>
          <w:tcPr>
            <w:tcW w:w="3280" w:type="dxa"/>
            <w:vAlign w:val="bottom"/>
            <w:gridSpan w:val="2"/>
            <w:shd w:val="clear" w:color="auto" w:fill="1414D2"/>
          </w:tcPr>
          <w:p>
            <w:pPr>
              <w:ind w:left="140"/>
              <w:spacing w:after="0"/>
              <w:rPr>
                <w:sz w:val="20"/>
                <w:szCs w:val="20"/>
                <w:color w:val="auto"/>
              </w:rPr>
            </w:pPr>
            <w:r>
              <w:rPr>
                <w:rFonts w:ascii="Arial" w:cs="Arial" w:eastAsia="Arial" w:hAnsi="Arial"/>
                <w:sz w:val="16"/>
                <w:szCs w:val="16"/>
                <w:b w:val="1"/>
                <w:bCs w:val="1"/>
                <w:color w:val="FFFFFF"/>
              </w:rPr>
              <w:t>3% SHARES FOR 3 YEARS</w:t>
            </w:r>
          </w:p>
        </w:tc>
        <w:tc>
          <w:tcPr>
            <w:tcW w:w="6440" w:type="dxa"/>
            <w:vAlign w:val="bottom"/>
            <w:gridSpan w:val="4"/>
            <w:shd w:val="clear" w:color="auto" w:fill="1414D2"/>
          </w:tcPr>
          <w:p>
            <w:pPr>
              <w:ind w:left="240"/>
              <w:spacing w:after="0"/>
              <w:rPr>
                <w:sz w:val="20"/>
                <w:szCs w:val="20"/>
                <w:color w:val="auto"/>
              </w:rPr>
            </w:pPr>
            <w:r>
              <w:rPr>
                <w:rFonts w:ascii="Arial" w:cs="Arial" w:eastAsia="Arial" w:hAnsi="Arial"/>
                <w:sz w:val="16"/>
                <w:szCs w:val="16"/>
                <w:b w:val="1"/>
                <w:bCs w:val="1"/>
                <w:color w:val="FFFFFF"/>
              </w:rPr>
              <w:t>2 NOMINEES OR 20% OF THE NUMBER OF DIRECTORS</w:t>
            </w:r>
          </w:p>
        </w:tc>
        <w:tc>
          <w:tcPr>
            <w:tcW w:w="0" w:type="dxa"/>
            <w:vAlign w:val="bottom"/>
          </w:tcPr>
          <w:p>
            <w:pPr>
              <w:spacing w:after="0"/>
              <w:rPr>
                <w:sz w:val="1"/>
                <w:szCs w:val="1"/>
                <w:color w:val="auto"/>
              </w:rPr>
            </w:pPr>
          </w:p>
        </w:tc>
      </w:tr>
      <w:tr>
        <w:trPr>
          <w:trHeight w:val="359"/>
        </w:trPr>
        <w:tc>
          <w:tcPr>
            <w:tcW w:w="520" w:type="dxa"/>
            <w:vAlign w:val="bottom"/>
            <w:shd w:val="clear" w:color="auto" w:fill="1414D2"/>
          </w:tcPr>
          <w:p>
            <w:pPr>
              <w:spacing w:after="0"/>
              <w:rPr>
                <w:sz w:val="24"/>
                <w:szCs w:val="24"/>
                <w:color w:val="auto"/>
              </w:rPr>
            </w:pPr>
          </w:p>
        </w:tc>
        <w:tc>
          <w:tcPr>
            <w:tcW w:w="2760" w:type="dxa"/>
            <w:vAlign w:val="bottom"/>
            <w:shd w:val="clear" w:color="auto" w:fill="1414D2"/>
          </w:tcPr>
          <w:p>
            <w:pPr>
              <w:ind w:left="380"/>
              <w:spacing w:after="0"/>
              <w:rPr>
                <w:sz w:val="20"/>
                <w:szCs w:val="20"/>
                <w:color w:val="auto"/>
              </w:rPr>
            </w:pPr>
            <w:r>
              <w:rPr>
                <w:rFonts w:ascii="Arial" w:cs="Arial" w:eastAsia="Arial" w:hAnsi="Arial"/>
                <w:sz w:val="16"/>
                <w:szCs w:val="16"/>
                <w:color w:val="FFFFFF"/>
              </w:rPr>
              <w:t>Any  stockholder  or  group  of</w:t>
            </w:r>
          </w:p>
        </w:tc>
        <w:tc>
          <w:tcPr>
            <w:tcW w:w="560" w:type="dxa"/>
            <w:vAlign w:val="bottom"/>
            <w:shd w:val="clear" w:color="auto" w:fill="1414D2"/>
          </w:tcPr>
          <w:p>
            <w:pPr>
              <w:spacing w:after="0"/>
              <w:rPr>
                <w:sz w:val="24"/>
                <w:szCs w:val="24"/>
                <w:color w:val="auto"/>
              </w:rPr>
            </w:pPr>
          </w:p>
        </w:tc>
        <w:tc>
          <w:tcPr>
            <w:tcW w:w="2700" w:type="dxa"/>
            <w:vAlign w:val="bottom"/>
            <w:shd w:val="clear" w:color="auto" w:fill="1414D2"/>
          </w:tcPr>
          <w:p>
            <w:pPr>
              <w:ind w:left="320"/>
              <w:spacing w:after="0"/>
              <w:rPr>
                <w:sz w:val="20"/>
                <w:szCs w:val="20"/>
                <w:color w:val="auto"/>
              </w:rPr>
            </w:pPr>
            <w:r>
              <w:rPr>
                <w:rFonts w:ascii="Arial" w:cs="Arial" w:eastAsia="Arial" w:hAnsi="Arial"/>
                <w:sz w:val="16"/>
                <w:szCs w:val="16"/>
                <w:color w:val="FFFFFF"/>
              </w:rPr>
              <w:t>May  nominate  for  inclusion  in</w:t>
            </w:r>
          </w:p>
        </w:tc>
        <w:tc>
          <w:tcPr>
            <w:tcW w:w="420" w:type="dxa"/>
            <w:vAlign w:val="bottom"/>
            <w:shd w:val="clear" w:color="auto" w:fill="1414D2"/>
          </w:tcPr>
          <w:p>
            <w:pPr>
              <w:spacing w:after="0"/>
              <w:rPr>
                <w:sz w:val="24"/>
                <w:szCs w:val="24"/>
                <w:color w:val="auto"/>
              </w:rPr>
            </w:pPr>
          </w:p>
        </w:tc>
        <w:tc>
          <w:tcPr>
            <w:tcW w:w="2760" w:type="dxa"/>
            <w:vAlign w:val="bottom"/>
            <w:shd w:val="clear" w:color="auto" w:fill="1414D2"/>
          </w:tcPr>
          <w:p>
            <w:pPr>
              <w:ind w:left="360"/>
              <w:spacing w:after="0"/>
              <w:rPr>
                <w:sz w:val="20"/>
                <w:szCs w:val="20"/>
                <w:color w:val="auto"/>
              </w:rPr>
            </w:pPr>
            <w:r>
              <w:rPr>
                <w:rFonts w:ascii="Arial" w:cs="Arial" w:eastAsia="Arial" w:hAnsi="Arial"/>
                <w:sz w:val="16"/>
                <w:szCs w:val="16"/>
                <w:color w:val="FFFFFF"/>
              </w:rPr>
              <w:t>Nominating  stockholder(s)</w:t>
            </w:r>
          </w:p>
        </w:tc>
        <w:tc>
          <w:tcPr>
            <w:tcW w:w="0" w:type="dxa"/>
            <w:vAlign w:val="bottom"/>
          </w:tcPr>
          <w:p>
            <w:pPr>
              <w:spacing w:after="0"/>
              <w:rPr>
                <w:sz w:val="1"/>
                <w:szCs w:val="1"/>
                <w:color w:val="auto"/>
              </w:rPr>
            </w:pPr>
          </w:p>
        </w:tc>
      </w:tr>
      <w:tr>
        <w:trPr>
          <w:trHeight w:val="173"/>
        </w:trPr>
        <w:tc>
          <w:tcPr>
            <w:tcW w:w="520" w:type="dxa"/>
            <w:vAlign w:val="bottom"/>
            <w:vMerge w:val="restart"/>
            <w:shd w:val="clear" w:color="auto" w:fill="1414D2"/>
          </w:tcPr>
          <w:p>
            <w:pPr>
              <w:ind w:left="80"/>
              <w:spacing w:after="0"/>
              <w:rPr>
                <w:sz w:val="20"/>
                <w:szCs w:val="20"/>
                <w:color w:val="auto"/>
              </w:rPr>
            </w:pPr>
            <w:r>
              <w:rPr>
                <w:rFonts w:ascii="Arial" w:cs="Arial" w:eastAsia="Arial" w:hAnsi="Arial"/>
                <w:sz w:val="16"/>
                <w:szCs w:val="16"/>
                <w:color w:val="FFFFFF"/>
              </w:rPr>
              <w:t>​​</w:t>
            </w:r>
          </w:p>
        </w:tc>
        <w:tc>
          <w:tcPr>
            <w:tcW w:w="2760" w:type="dxa"/>
            <w:vAlign w:val="bottom"/>
            <w:shd w:val="clear" w:color="auto" w:fill="1414D2"/>
          </w:tcPr>
          <w:p>
            <w:pPr>
              <w:ind w:left="380"/>
              <w:spacing w:after="0" w:line="173" w:lineRule="exact"/>
              <w:rPr>
                <w:sz w:val="20"/>
                <w:szCs w:val="20"/>
                <w:color w:val="auto"/>
              </w:rPr>
            </w:pPr>
            <w:r>
              <w:rPr>
                <w:rFonts w:ascii="Arial" w:cs="Arial" w:eastAsia="Arial" w:hAnsi="Arial"/>
                <w:sz w:val="16"/>
                <w:szCs w:val="16"/>
                <w:color w:val="FFFFFF"/>
              </w:rPr>
              <w:t>up  to  20  stockholders</w:t>
            </w:r>
          </w:p>
        </w:tc>
        <w:tc>
          <w:tcPr>
            <w:tcW w:w="560" w:type="dxa"/>
            <w:vAlign w:val="bottom"/>
            <w:shd w:val="clear" w:color="auto" w:fill="1414D2"/>
          </w:tcPr>
          <w:p>
            <w:pPr>
              <w:spacing w:after="0"/>
              <w:rPr>
                <w:sz w:val="15"/>
                <w:szCs w:val="15"/>
                <w:color w:val="auto"/>
              </w:rPr>
            </w:pPr>
          </w:p>
        </w:tc>
        <w:tc>
          <w:tcPr>
            <w:tcW w:w="2700" w:type="dxa"/>
            <w:vAlign w:val="bottom"/>
            <w:shd w:val="clear" w:color="auto" w:fill="1414D2"/>
          </w:tcPr>
          <w:p>
            <w:pPr>
              <w:ind w:left="320"/>
              <w:spacing w:after="0" w:line="173" w:lineRule="exact"/>
              <w:rPr>
                <w:sz w:val="20"/>
                <w:szCs w:val="20"/>
                <w:color w:val="auto"/>
              </w:rPr>
            </w:pPr>
            <w:r>
              <w:rPr>
                <w:rFonts w:ascii="Arial" w:cs="Arial" w:eastAsia="Arial" w:hAnsi="Arial"/>
                <w:sz w:val="16"/>
                <w:szCs w:val="16"/>
                <w:color w:val="FFFFFF"/>
              </w:rPr>
              <w:t>our  proxy  materials,  director</w:t>
            </w:r>
          </w:p>
        </w:tc>
        <w:tc>
          <w:tcPr>
            <w:tcW w:w="420" w:type="dxa"/>
            <w:vAlign w:val="bottom"/>
            <w:shd w:val="clear" w:color="auto" w:fill="1414D2"/>
          </w:tcPr>
          <w:p>
            <w:pPr>
              <w:spacing w:after="0"/>
              <w:rPr>
                <w:sz w:val="15"/>
                <w:szCs w:val="15"/>
                <w:color w:val="auto"/>
              </w:rPr>
            </w:pPr>
          </w:p>
        </w:tc>
        <w:tc>
          <w:tcPr>
            <w:tcW w:w="2760" w:type="dxa"/>
            <w:vAlign w:val="bottom"/>
            <w:shd w:val="clear" w:color="auto" w:fill="1414D2"/>
          </w:tcPr>
          <w:p>
            <w:pPr>
              <w:ind w:left="360"/>
              <w:spacing w:after="0" w:line="173" w:lineRule="exact"/>
              <w:rPr>
                <w:sz w:val="20"/>
                <w:szCs w:val="20"/>
                <w:color w:val="auto"/>
              </w:rPr>
            </w:pPr>
            <w:r>
              <w:rPr>
                <w:rFonts w:ascii="Arial" w:cs="Arial" w:eastAsia="Arial" w:hAnsi="Arial"/>
                <w:sz w:val="16"/>
                <w:szCs w:val="16"/>
                <w:color w:val="FFFFFF"/>
              </w:rPr>
              <w:t>and  the  nominee(s)  must  also</w:t>
            </w:r>
          </w:p>
        </w:tc>
        <w:tc>
          <w:tcPr>
            <w:tcW w:w="0" w:type="dxa"/>
            <w:vAlign w:val="bottom"/>
          </w:tcPr>
          <w:p>
            <w:pPr>
              <w:spacing w:after="0"/>
              <w:rPr>
                <w:sz w:val="1"/>
                <w:szCs w:val="1"/>
                <w:color w:val="auto"/>
              </w:rPr>
            </w:pPr>
          </w:p>
        </w:tc>
      </w:tr>
      <w:tr>
        <w:trPr>
          <w:trHeight w:val="135"/>
        </w:trPr>
        <w:tc>
          <w:tcPr>
            <w:tcW w:w="520" w:type="dxa"/>
            <w:vAlign w:val="bottom"/>
            <w:vMerge w:val="continue"/>
            <w:shd w:val="clear" w:color="auto" w:fill="1414D2"/>
          </w:tcPr>
          <w:p>
            <w:pPr>
              <w:spacing w:after="0"/>
              <w:rPr>
                <w:sz w:val="11"/>
                <w:szCs w:val="11"/>
                <w:color w:val="auto"/>
              </w:rPr>
            </w:pPr>
          </w:p>
        </w:tc>
        <w:tc>
          <w:tcPr>
            <w:tcW w:w="2760" w:type="dxa"/>
            <w:vAlign w:val="bottom"/>
            <w:shd w:val="clear" w:color="auto" w:fill="1414D2"/>
          </w:tcPr>
          <w:p>
            <w:pPr>
              <w:ind w:left="340"/>
              <w:spacing w:after="0" w:line="135" w:lineRule="exact"/>
              <w:rPr>
                <w:sz w:val="20"/>
                <w:szCs w:val="20"/>
                <w:color w:val="auto"/>
              </w:rPr>
            </w:pPr>
            <w:r>
              <w:rPr>
                <w:rFonts w:ascii="Arial" w:cs="Arial" w:eastAsia="Arial" w:hAnsi="Arial"/>
                <w:sz w:val="15"/>
                <w:szCs w:val="15"/>
                <w:color w:val="FFFFFF"/>
              </w:rPr>
              <w:t>​​</w:t>
            </w:r>
          </w:p>
        </w:tc>
        <w:tc>
          <w:tcPr>
            <w:tcW w:w="560" w:type="dxa"/>
            <w:vAlign w:val="bottom"/>
            <w:vMerge w:val="restart"/>
            <w:shd w:val="clear" w:color="auto" w:fill="1414D2"/>
          </w:tcPr>
          <w:p>
            <w:pPr>
              <w:ind w:left="200"/>
              <w:spacing w:after="0"/>
              <w:rPr>
                <w:sz w:val="20"/>
                <w:szCs w:val="20"/>
                <w:color w:val="auto"/>
              </w:rPr>
            </w:pPr>
            <w:r>
              <w:rPr>
                <w:rFonts w:ascii="Arial" w:cs="Arial" w:eastAsia="Arial" w:hAnsi="Arial"/>
                <w:sz w:val="16"/>
                <w:szCs w:val="16"/>
                <w:color w:val="FFFFFF"/>
              </w:rPr>
              <w:t>​​</w:t>
            </w:r>
          </w:p>
        </w:tc>
        <w:tc>
          <w:tcPr>
            <w:tcW w:w="2700" w:type="dxa"/>
            <w:vAlign w:val="bottom"/>
            <w:vMerge w:val="restart"/>
            <w:shd w:val="clear" w:color="auto" w:fill="1414D2"/>
          </w:tcPr>
          <w:p>
            <w:pPr>
              <w:ind w:left="260"/>
              <w:spacing w:after="0"/>
              <w:rPr>
                <w:sz w:val="20"/>
                <w:szCs w:val="20"/>
                <w:color w:val="auto"/>
              </w:rPr>
            </w:pPr>
            <w:r>
              <w:rPr>
                <w:rFonts w:ascii="Arial" w:cs="Arial" w:eastAsia="Arial" w:hAnsi="Arial"/>
                <w:sz w:val="16"/>
                <w:szCs w:val="16"/>
                <w:color w:val="FFFFFF"/>
              </w:rPr>
              <w:t>​​nominees  constituting  the</w:t>
            </w:r>
          </w:p>
        </w:tc>
        <w:tc>
          <w:tcPr>
            <w:tcW w:w="420" w:type="dxa"/>
            <w:vAlign w:val="bottom"/>
            <w:vMerge w:val="restart"/>
            <w:shd w:val="clear" w:color="auto" w:fill="1414D2"/>
          </w:tcPr>
          <w:p>
            <w:pPr>
              <w:ind w:left="120"/>
              <w:spacing w:after="0"/>
              <w:rPr>
                <w:sz w:val="20"/>
                <w:szCs w:val="20"/>
                <w:color w:val="auto"/>
              </w:rPr>
            </w:pPr>
            <w:r>
              <w:rPr>
                <w:rFonts w:ascii="Arial" w:cs="Arial" w:eastAsia="Arial" w:hAnsi="Arial"/>
                <w:sz w:val="16"/>
                <w:szCs w:val="16"/>
                <w:color w:val="FFFFFF"/>
              </w:rPr>
              <w:t>​​</w:t>
            </w:r>
          </w:p>
        </w:tc>
        <w:tc>
          <w:tcPr>
            <w:tcW w:w="2760" w:type="dxa"/>
            <w:vAlign w:val="bottom"/>
            <w:vMerge w:val="restart"/>
            <w:shd w:val="clear" w:color="auto" w:fill="1414D2"/>
          </w:tcPr>
          <w:p>
            <w:pPr>
              <w:ind w:left="220"/>
              <w:spacing w:after="0"/>
              <w:rPr>
                <w:sz w:val="20"/>
                <w:szCs w:val="20"/>
                <w:color w:val="auto"/>
              </w:rPr>
            </w:pPr>
            <w:r>
              <w:rPr>
                <w:rFonts w:ascii="Arial" w:cs="Arial" w:eastAsia="Arial" w:hAnsi="Arial"/>
                <w:sz w:val="16"/>
                <w:szCs w:val="16"/>
                <w:color w:val="FFFFFF"/>
              </w:rPr>
              <w:t>​​  meet  the  eligibility</w:t>
            </w:r>
          </w:p>
        </w:tc>
        <w:tc>
          <w:tcPr>
            <w:tcW w:w="0" w:type="dxa"/>
            <w:vAlign w:val="bottom"/>
          </w:tcPr>
          <w:p>
            <w:pPr>
              <w:spacing w:after="0"/>
              <w:rPr>
                <w:sz w:val="1"/>
                <w:szCs w:val="1"/>
                <w:color w:val="auto"/>
              </w:rPr>
            </w:pPr>
          </w:p>
        </w:tc>
      </w:tr>
      <w:tr>
        <w:trPr>
          <w:trHeight w:val="83"/>
        </w:trPr>
        <w:tc>
          <w:tcPr>
            <w:tcW w:w="520" w:type="dxa"/>
            <w:vAlign w:val="bottom"/>
            <w:shd w:val="clear" w:color="auto" w:fill="1414D2"/>
          </w:tcPr>
          <w:p>
            <w:pPr>
              <w:spacing w:after="0"/>
              <w:rPr>
                <w:sz w:val="7"/>
                <w:szCs w:val="7"/>
                <w:color w:val="auto"/>
              </w:rPr>
            </w:pPr>
          </w:p>
        </w:tc>
        <w:tc>
          <w:tcPr>
            <w:tcW w:w="2760" w:type="dxa"/>
            <w:vAlign w:val="bottom"/>
            <w:shd w:val="clear" w:color="auto" w:fill="1414D2"/>
          </w:tcPr>
          <w:p>
            <w:pPr>
              <w:ind w:left="380"/>
              <w:spacing w:after="0" w:line="84" w:lineRule="exact"/>
              <w:rPr>
                <w:sz w:val="20"/>
                <w:szCs w:val="20"/>
                <w:color w:val="auto"/>
              </w:rPr>
            </w:pPr>
            <w:r>
              <w:rPr>
                <w:rFonts w:ascii="Arial" w:cs="Arial" w:eastAsia="Arial" w:hAnsi="Arial"/>
                <w:sz w:val="9"/>
                <w:szCs w:val="9"/>
                <w:color w:val="FFFFFF"/>
              </w:rPr>
              <w:t>maintaining  continuous</w:t>
            </w:r>
          </w:p>
        </w:tc>
        <w:tc>
          <w:tcPr>
            <w:tcW w:w="560" w:type="dxa"/>
            <w:vAlign w:val="bottom"/>
            <w:vMerge w:val="continue"/>
            <w:shd w:val="clear" w:color="auto" w:fill="1414D2"/>
          </w:tcPr>
          <w:p>
            <w:pPr>
              <w:spacing w:after="0"/>
              <w:rPr>
                <w:sz w:val="7"/>
                <w:szCs w:val="7"/>
                <w:color w:val="auto"/>
              </w:rPr>
            </w:pPr>
          </w:p>
        </w:tc>
        <w:tc>
          <w:tcPr>
            <w:tcW w:w="2700" w:type="dxa"/>
            <w:vAlign w:val="bottom"/>
            <w:vMerge w:val="continue"/>
            <w:shd w:val="clear" w:color="auto" w:fill="1414D2"/>
          </w:tcPr>
          <w:p>
            <w:pPr>
              <w:spacing w:after="0"/>
              <w:rPr>
                <w:sz w:val="7"/>
                <w:szCs w:val="7"/>
                <w:color w:val="auto"/>
              </w:rPr>
            </w:pPr>
          </w:p>
        </w:tc>
        <w:tc>
          <w:tcPr>
            <w:tcW w:w="420" w:type="dxa"/>
            <w:vAlign w:val="bottom"/>
            <w:vMerge w:val="continue"/>
            <w:shd w:val="clear" w:color="auto" w:fill="1414D2"/>
          </w:tcPr>
          <w:p>
            <w:pPr>
              <w:spacing w:after="0"/>
              <w:rPr>
                <w:sz w:val="7"/>
                <w:szCs w:val="7"/>
                <w:color w:val="auto"/>
              </w:rPr>
            </w:pPr>
          </w:p>
        </w:tc>
        <w:tc>
          <w:tcPr>
            <w:tcW w:w="2760" w:type="dxa"/>
            <w:vAlign w:val="bottom"/>
            <w:vMerge w:val="continue"/>
            <w:shd w:val="clear" w:color="auto" w:fill="1414D2"/>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520" w:type="dxa"/>
            <w:vAlign w:val="bottom"/>
            <w:shd w:val="clear" w:color="auto" w:fill="1414D2"/>
          </w:tcPr>
          <w:p>
            <w:pPr>
              <w:spacing w:after="0"/>
              <w:rPr>
                <w:sz w:val="16"/>
                <w:szCs w:val="16"/>
                <w:color w:val="auto"/>
              </w:rPr>
            </w:pPr>
          </w:p>
        </w:tc>
        <w:tc>
          <w:tcPr>
            <w:tcW w:w="2760" w:type="dxa"/>
            <w:vAlign w:val="bottom"/>
            <w:shd w:val="clear" w:color="auto" w:fill="1414D2"/>
          </w:tcPr>
          <w:p>
            <w:pPr>
              <w:ind w:left="380"/>
              <w:spacing w:after="0"/>
              <w:rPr>
                <w:sz w:val="20"/>
                <w:szCs w:val="20"/>
                <w:color w:val="auto"/>
              </w:rPr>
            </w:pPr>
            <w:r>
              <w:rPr>
                <w:rFonts w:ascii="Arial" w:cs="Arial" w:eastAsia="Arial" w:hAnsi="Arial"/>
                <w:sz w:val="16"/>
                <w:szCs w:val="16"/>
                <w:color w:val="FFFFFF"/>
              </w:rPr>
              <w:t>qualifying  ownership  of  at</w:t>
            </w:r>
          </w:p>
        </w:tc>
        <w:tc>
          <w:tcPr>
            <w:tcW w:w="560" w:type="dxa"/>
            <w:vAlign w:val="bottom"/>
            <w:shd w:val="clear" w:color="auto" w:fill="1414D2"/>
          </w:tcPr>
          <w:p>
            <w:pPr>
              <w:spacing w:after="0"/>
              <w:rPr>
                <w:sz w:val="16"/>
                <w:szCs w:val="16"/>
                <w:color w:val="auto"/>
              </w:rPr>
            </w:pPr>
          </w:p>
        </w:tc>
        <w:tc>
          <w:tcPr>
            <w:tcW w:w="2700" w:type="dxa"/>
            <w:vAlign w:val="bottom"/>
            <w:shd w:val="clear" w:color="auto" w:fill="1414D2"/>
          </w:tcPr>
          <w:p>
            <w:pPr>
              <w:ind w:left="320"/>
              <w:spacing w:after="0"/>
              <w:rPr>
                <w:sz w:val="20"/>
                <w:szCs w:val="20"/>
                <w:color w:val="auto"/>
              </w:rPr>
            </w:pPr>
            <w:r>
              <w:rPr>
                <w:rFonts w:ascii="Arial" w:cs="Arial" w:eastAsia="Arial" w:hAnsi="Arial"/>
                <w:sz w:val="16"/>
                <w:szCs w:val="16"/>
                <w:color w:val="FFFFFF"/>
              </w:rPr>
              <w:t>greater  of  2  nominees</w:t>
            </w:r>
          </w:p>
        </w:tc>
        <w:tc>
          <w:tcPr>
            <w:tcW w:w="420" w:type="dxa"/>
            <w:vAlign w:val="bottom"/>
            <w:shd w:val="clear" w:color="auto" w:fill="1414D2"/>
          </w:tcPr>
          <w:p>
            <w:pPr>
              <w:spacing w:after="0"/>
              <w:rPr>
                <w:sz w:val="16"/>
                <w:szCs w:val="16"/>
                <w:color w:val="auto"/>
              </w:rPr>
            </w:pPr>
          </w:p>
        </w:tc>
        <w:tc>
          <w:tcPr>
            <w:tcW w:w="2760" w:type="dxa"/>
            <w:vAlign w:val="bottom"/>
            <w:shd w:val="clear" w:color="auto" w:fill="1414D2"/>
          </w:tcPr>
          <w:p>
            <w:pPr>
              <w:ind w:left="360"/>
              <w:spacing w:after="0"/>
              <w:rPr>
                <w:sz w:val="20"/>
                <w:szCs w:val="20"/>
                <w:color w:val="auto"/>
              </w:rPr>
            </w:pPr>
            <w:r>
              <w:rPr>
                <w:rFonts w:ascii="Arial" w:cs="Arial" w:eastAsia="Arial" w:hAnsi="Arial"/>
                <w:sz w:val="16"/>
                <w:szCs w:val="16"/>
                <w:color w:val="FFFFFF"/>
              </w:rPr>
              <w:t>requirements  described  in</w:t>
            </w:r>
          </w:p>
        </w:tc>
        <w:tc>
          <w:tcPr>
            <w:tcW w:w="0" w:type="dxa"/>
            <w:vAlign w:val="bottom"/>
          </w:tcPr>
          <w:p>
            <w:pPr>
              <w:spacing w:after="0"/>
              <w:rPr>
                <w:sz w:val="1"/>
                <w:szCs w:val="1"/>
                <w:color w:val="auto"/>
              </w:rPr>
            </w:pPr>
          </w:p>
        </w:tc>
      </w:tr>
      <w:tr>
        <w:trPr>
          <w:trHeight w:val="189"/>
        </w:trPr>
        <w:tc>
          <w:tcPr>
            <w:tcW w:w="520" w:type="dxa"/>
            <w:vAlign w:val="bottom"/>
            <w:shd w:val="clear" w:color="auto" w:fill="1414D2"/>
          </w:tcPr>
          <w:p>
            <w:pPr>
              <w:spacing w:after="0"/>
              <w:rPr>
                <w:sz w:val="16"/>
                <w:szCs w:val="16"/>
                <w:color w:val="auto"/>
              </w:rPr>
            </w:pPr>
          </w:p>
        </w:tc>
        <w:tc>
          <w:tcPr>
            <w:tcW w:w="2760" w:type="dxa"/>
            <w:vAlign w:val="bottom"/>
            <w:shd w:val="clear" w:color="auto" w:fill="1414D2"/>
          </w:tcPr>
          <w:p>
            <w:pPr>
              <w:ind w:left="380"/>
              <w:spacing w:after="0"/>
              <w:rPr>
                <w:sz w:val="20"/>
                <w:szCs w:val="20"/>
                <w:color w:val="auto"/>
              </w:rPr>
            </w:pPr>
            <w:r>
              <w:rPr>
                <w:rFonts w:ascii="Arial" w:cs="Arial" w:eastAsia="Arial" w:hAnsi="Arial"/>
                <w:sz w:val="16"/>
                <w:szCs w:val="16"/>
                <w:color w:val="FFFFFF"/>
              </w:rPr>
              <w:t>least  3%  of  our  outstanding</w:t>
            </w:r>
          </w:p>
        </w:tc>
        <w:tc>
          <w:tcPr>
            <w:tcW w:w="560" w:type="dxa"/>
            <w:vAlign w:val="bottom"/>
            <w:shd w:val="clear" w:color="auto" w:fill="1414D2"/>
          </w:tcPr>
          <w:p>
            <w:pPr>
              <w:spacing w:after="0"/>
              <w:rPr>
                <w:sz w:val="16"/>
                <w:szCs w:val="16"/>
                <w:color w:val="auto"/>
              </w:rPr>
            </w:pPr>
          </w:p>
        </w:tc>
        <w:tc>
          <w:tcPr>
            <w:tcW w:w="2700" w:type="dxa"/>
            <w:vAlign w:val="bottom"/>
            <w:shd w:val="clear" w:color="auto" w:fill="1414D2"/>
          </w:tcPr>
          <w:p>
            <w:pPr>
              <w:ind w:left="320"/>
              <w:spacing w:after="0"/>
              <w:rPr>
                <w:sz w:val="20"/>
                <w:szCs w:val="20"/>
                <w:color w:val="auto"/>
              </w:rPr>
            </w:pPr>
            <w:r>
              <w:rPr>
                <w:rFonts w:ascii="Arial" w:cs="Arial" w:eastAsia="Arial" w:hAnsi="Arial"/>
                <w:sz w:val="16"/>
                <w:szCs w:val="16"/>
                <w:color w:val="FFFFFF"/>
              </w:rPr>
              <w:t>or  20%  (rounded  down)  of  the</w:t>
            </w:r>
          </w:p>
        </w:tc>
        <w:tc>
          <w:tcPr>
            <w:tcW w:w="420" w:type="dxa"/>
            <w:vAlign w:val="bottom"/>
            <w:shd w:val="clear" w:color="auto" w:fill="1414D2"/>
          </w:tcPr>
          <w:p>
            <w:pPr>
              <w:spacing w:after="0"/>
              <w:rPr>
                <w:sz w:val="16"/>
                <w:szCs w:val="16"/>
                <w:color w:val="auto"/>
              </w:rPr>
            </w:pPr>
          </w:p>
        </w:tc>
        <w:tc>
          <w:tcPr>
            <w:tcW w:w="2760" w:type="dxa"/>
            <w:vAlign w:val="bottom"/>
            <w:shd w:val="clear" w:color="auto" w:fill="1414D2"/>
          </w:tcPr>
          <w:p>
            <w:pPr>
              <w:ind w:left="360"/>
              <w:spacing w:after="0"/>
              <w:rPr>
                <w:sz w:val="20"/>
                <w:szCs w:val="20"/>
                <w:color w:val="auto"/>
              </w:rPr>
            </w:pPr>
            <w:r>
              <w:rPr>
                <w:rFonts w:ascii="Arial" w:cs="Arial" w:eastAsia="Arial" w:hAnsi="Arial"/>
                <w:sz w:val="16"/>
                <w:szCs w:val="16"/>
                <w:color w:val="FFFFFF"/>
              </w:rPr>
              <w:t>our  Amended  and  Restated</w:t>
            </w:r>
          </w:p>
        </w:tc>
        <w:tc>
          <w:tcPr>
            <w:tcW w:w="0" w:type="dxa"/>
            <w:vAlign w:val="bottom"/>
          </w:tcPr>
          <w:p>
            <w:pPr>
              <w:spacing w:after="0"/>
              <w:rPr>
                <w:sz w:val="1"/>
                <w:szCs w:val="1"/>
                <w:color w:val="auto"/>
              </w:rPr>
            </w:pPr>
          </w:p>
        </w:tc>
      </w:tr>
      <w:tr>
        <w:trPr>
          <w:trHeight w:val="189"/>
        </w:trPr>
        <w:tc>
          <w:tcPr>
            <w:tcW w:w="520" w:type="dxa"/>
            <w:vAlign w:val="bottom"/>
            <w:shd w:val="clear" w:color="auto" w:fill="1414D2"/>
          </w:tcPr>
          <w:p>
            <w:pPr>
              <w:spacing w:after="0"/>
              <w:rPr>
                <w:sz w:val="16"/>
                <w:szCs w:val="16"/>
                <w:color w:val="auto"/>
              </w:rPr>
            </w:pPr>
          </w:p>
        </w:tc>
        <w:tc>
          <w:tcPr>
            <w:tcW w:w="2760" w:type="dxa"/>
            <w:vAlign w:val="bottom"/>
            <w:shd w:val="clear" w:color="auto" w:fill="1414D2"/>
          </w:tcPr>
          <w:p>
            <w:pPr>
              <w:ind w:left="380"/>
              <w:spacing w:after="0"/>
              <w:rPr>
                <w:sz w:val="20"/>
                <w:szCs w:val="20"/>
                <w:color w:val="auto"/>
              </w:rPr>
            </w:pPr>
            <w:r>
              <w:rPr>
                <w:rFonts w:ascii="Arial" w:cs="Arial" w:eastAsia="Arial" w:hAnsi="Arial"/>
                <w:sz w:val="16"/>
                <w:szCs w:val="16"/>
                <w:color w:val="FFFFFF"/>
              </w:rPr>
              <w:t>shares  of  Common  Stock  for</w:t>
            </w:r>
          </w:p>
        </w:tc>
        <w:tc>
          <w:tcPr>
            <w:tcW w:w="560" w:type="dxa"/>
            <w:vAlign w:val="bottom"/>
            <w:shd w:val="clear" w:color="auto" w:fill="1414D2"/>
          </w:tcPr>
          <w:p>
            <w:pPr>
              <w:spacing w:after="0"/>
              <w:rPr>
                <w:sz w:val="16"/>
                <w:szCs w:val="16"/>
                <w:color w:val="auto"/>
              </w:rPr>
            </w:pPr>
          </w:p>
        </w:tc>
        <w:tc>
          <w:tcPr>
            <w:tcW w:w="2700" w:type="dxa"/>
            <w:vAlign w:val="bottom"/>
            <w:shd w:val="clear" w:color="auto" w:fill="1414D2"/>
          </w:tcPr>
          <w:p>
            <w:pPr>
              <w:ind w:left="320"/>
              <w:spacing w:after="0"/>
              <w:rPr>
                <w:sz w:val="20"/>
                <w:szCs w:val="20"/>
                <w:color w:val="auto"/>
              </w:rPr>
            </w:pPr>
            <w:r>
              <w:rPr>
                <w:rFonts w:ascii="Arial" w:cs="Arial" w:eastAsia="Arial" w:hAnsi="Arial"/>
                <w:sz w:val="16"/>
                <w:szCs w:val="16"/>
                <w:color w:val="FFFFFF"/>
              </w:rPr>
              <w:t>number  of  directors  in  our</w:t>
            </w:r>
          </w:p>
        </w:tc>
        <w:tc>
          <w:tcPr>
            <w:tcW w:w="420" w:type="dxa"/>
            <w:vAlign w:val="bottom"/>
            <w:shd w:val="clear" w:color="auto" w:fill="1414D2"/>
          </w:tcPr>
          <w:p>
            <w:pPr>
              <w:spacing w:after="0"/>
              <w:rPr>
                <w:sz w:val="16"/>
                <w:szCs w:val="16"/>
                <w:color w:val="auto"/>
              </w:rPr>
            </w:pPr>
          </w:p>
        </w:tc>
        <w:tc>
          <w:tcPr>
            <w:tcW w:w="2760" w:type="dxa"/>
            <w:vAlign w:val="bottom"/>
            <w:shd w:val="clear" w:color="auto" w:fill="1414D2"/>
          </w:tcPr>
          <w:p>
            <w:pPr>
              <w:ind w:left="360"/>
              <w:spacing w:after="0"/>
              <w:rPr>
                <w:sz w:val="20"/>
                <w:szCs w:val="20"/>
                <w:color w:val="auto"/>
              </w:rPr>
            </w:pPr>
            <w:r>
              <w:rPr>
                <w:rFonts w:ascii="Arial" w:cs="Arial" w:eastAsia="Arial" w:hAnsi="Arial"/>
                <w:sz w:val="16"/>
                <w:szCs w:val="16"/>
                <w:color w:val="FFFFFF"/>
              </w:rPr>
              <w:t>Bylaws</w:t>
            </w:r>
          </w:p>
        </w:tc>
        <w:tc>
          <w:tcPr>
            <w:tcW w:w="0" w:type="dxa"/>
            <w:vAlign w:val="bottom"/>
          </w:tcPr>
          <w:p>
            <w:pPr>
              <w:spacing w:after="0"/>
              <w:rPr>
                <w:sz w:val="1"/>
                <w:szCs w:val="1"/>
                <w:color w:val="auto"/>
              </w:rPr>
            </w:pPr>
          </w:p>
        </w:tc>
      </w:tr>
      <w:tr>
        <w:trPr>
          <w:trHeight w:val="203"/>
        </w:trPr>
        <w:tc>
          <w:tcPr>
            <w:tcW w:w="520" w:type="dxa"/>
            <w:vAlign w:val="bottom"/>
            <w:shd w:val="clear" w:color="auto" w:fill="1414D2"/>
          </w:tcPr>
          <w:p>
            <w:pPr>
              <w:spacing w:after="0"/>
              <w:rPr>
                <w:sz w:val="17"/>
                <w:szCs w:val="17"/>
                <w:color w:val="auto"/>
              </w:rPr>
            </w:pPr>
          </w:p>
        </w:tc>
        <w:tc>
          <w:tcPr>
            <w:tcW w:w="2760" w:type="dxa"/>
            <w:vAlign w:val="bottom"/>
            <w:shd w:val="clear" w:color="auto" w:fill="1414D2"/>
          </w:tcPr>
          <w:p>
            <w:pPr>
              <w:ind w:left="380"/>
              <w:spacing w:after="0"/>
              <w:rPr>
                <w:sz w:val="20"/>
                <w:szCs w:val="20"/>
                <w:color w:val="auto"/>
              </w:rPr>
            </w:pPr>
            <w:r>
              <w:rPr>
                <w:rFonts w:ascii="Arial" w:cs="Arial" w:eastAsia="Arial" w:hAnsi="Arial"/>
                <w:sz w:val="16"/>
                <w:szCs w:val="16"/>
                <w:color w:val="FFFFFF"/>
              </w:rPr>
              <w:t>at  least  3  years</w:t>
            </w:r>
          </w:p>
        </w:tc>
        <w:tc>
          <w:tcPr>
            <w:tcW w:w="560" w:type="dxa"/>
            <w:vAlign w:val="bottom"/>
            <w:shd w:val="clear" w:color="auto" w:fill="1414D2"/>
          </w:tcPr>
          <w:p>
            <w:pPr>
              <w:spacing w:after="0"/>
              <w:rPr>
                <w:sz w:val="17"/>
                <w:szCs w:val="17"/>
                <w:color w:val="auto"/>
              </w:rPr>
            </w:pPr>
          </w:p>
        </w:tc>
        <w:tc>
          <w:tcPr>
            <w:tcW w:w="2700" w:type="dxa"/>
            <w:vAlign w:val="bottom"/>
            <w:shd w:val="clear" w:color="auto" w:fill="1414D2"/>
          </w:tcPr>
          <w:p>
            <w:pPr>
              <w:ind w:left="320"/>
              <w:spacing w:after="0"/>
              <w:rPr>
                <w:sz w:val="20"/>
                <w:szCs w:val="20"/>
                <w:color w:val="auto"/>
              </w:rPr>
            </w:pPr>
            <w:r>
              <w:rPr>
                <w:rFonts w:ascii="Arial" w:cs="Arial" w:eastAsia="Arial" w:hAnsi="Arial"/>
                <w:sz w:val="16"/>
                <w:szCs w:val="16"/>
                <w:color w:val="FFFFFF"/>
              </w:rPr>
              <w:t>proxy  materials  for  the</w:t>
            </w:r>
          </w:p>
        </w:tc>
        <w:tc>
          <w:tcPr>
            <w:tcW w:w="420" w:type="dxa"/>
            <w:vAlign w:val="bottom"/>
            <w:shd w:val="clear" w:color="auto" w:fill="1414D2"/>
          </w:tcPr>
          <w:p>
            <w:pPr>
              <w:spacing w:after="0"/>
              <w:rPr>
                <w:sz w:val="17"/>
                <w:szCs w:val="17"/>
                <w:color w:val="auto"/>
              </w:rPr>
            </w:pPr>
          </w:p>
        </w:tc>
        <w:tc>
          <w:tcPr>
            <w:tcW w:w="2760" w:type="dxa"/>
            <w:vAlign w:val="bottom"/>
            <w:shd w:val="clear" w:color="auto" w:fill="1414D2"/>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520" w:type="dxa"/>
            <w:vAlign w:val="bottom"/>
            <w:shd w:val="clear" w:color="auto" w:fill="1414D2"/>
          </w:tcPr>
          <w:p>
            <w:pPr>
              <w:spacing w:after="0"/>
              <w:rPr>
                <w:sz w:val="20"/>
                <w:szCs w:val="20"/>
                <w:color w:val="auto"/>
              </w:rPr>
            </w:pPr>
          </w:p>
        </w:tc>
        <w:tc>
          <w:tcPr>
            <w:tcW w:w="2760" w:type="dxa"/>
            <w:vAlign w:val="bottom"/>
            <w:shd w:val="clear" w:color="auto" w:fill="1414D2"/>
          </w:tcPr>
          <w:p>
            <w:pPr>
              <w:spacing w:after="0"/>
              <w:rPr>
                <w:sz w:val="20"/>
                <w:szCs w:val="20"/>
                <w:color w:val="auto"/>
              </w:rPr>
            </w:pPr>
          </w:p>
        </w:tc>
        <w:tc>
          <w:tcPr>
            <w:tcW w:w="560" w:type="dxa"/>
            <w:vAlign w:val="bottom"/>
            <w:shd w:val="clear" w:color="auto" w:fill="1414D2"/>
          </w:tcPr>
          <w:p>
            <w:pPr>
              <w:spacing w:after="0"/>
              <w:rPr>
                <w:sz w:val="20"/>
                <w:szCs w:val="20"/>
                <w:color w:val="auto"/>
              </w:rPr>
            </w:pPr>
          </w:p>
        </w:tc>
        <w:tc>
          <w:tcPr>
            <w:tcW w:w="2700" w:type="dxa"/>
            <w:vAlign w:val="bottom"/>
            <w:shd w:val="clear" w:color="auto" w:fill="1414D2"/>
          </w:tcPr>
          <w:p>
            <w:pPr>
              <w:ind w:left="320"/>
              <w:spacing w:after="0"/>
              <w:rPr>
                <w:sz w:val="20"/>
                <w:szCs w:val="20"/>
                <w:color w:val="auto"/>
              </w:rPr>
            </w:pPr>
            <w:r>
              <w:rPr>
                <w:rFonts w:ascii="Arial" w:cs="Arial" w:eastAsia="Arial" w:hAnsi="Arial"/>
                <w:sz w:val="16"/>
                <w:szCs w:val="16"/>
                <w:color w:val="FFFFFF"/>
              </w:rPr>
              <w:t>annual  meeting</w:t>
            </w:r>
          </w:p>
        </w:tc>
        <w:tc>
          <w:tcPr>
            <w:tcW w:w="420" w:type="dxa"/>
            <w:vAlign w:val="bottom"/>
            <w:shd w:val="clear" w:color="auto" w:fill="1414D2"/>
          </w:tcPr>
          <w:p>
            <w:pPr>
              <w:spacing w:after="0"/>
              <w:rPr>
                <w:sz w:val="20"/>
                <w:szCs w:val="20"/>
                <w:color w:val="auto"/>
              </w:rPr>
            </w:pPr>
          </w:p>
        </w:tc>
        <w:tc>
          <w:tcPr>
            <w:tcW w:w="2760" w:type="dxa"/>
            <w:vAlign w:val="bottom"/>
            <w:shd w:val="clear" w:color="auto" w:fill="1414D2"/>
          </w:tcPr>
          <w:p>
            <w:pPr>
              <w:spacing w:after="0"/>
              <w:rPr>
                <w:sz w:val="20"/>
                <w:szCs w:val="20"/>
                <w:color w:val="auto"/>
              </w:rPr>
            </w:pPr>
          </w:p>
        </w:tc>
        <w:tc>
          <w:tcPr>
            <w:tcW w:w="0" w:type="dxa"/>
            <w:vAlign w:val="bottom"/>
          </w:tcPr>
          <w:p>
            <w:pPr>
              <w:spacing w:after="0"/>
              <w:rPr>
                <w:sz w:val="1"/>
                <w:szCs w:val="1"/>
                <w:color w:val="auto"/>
              </w:rPr>
            </w:pPr>
          </w:p>
        </w:tc>
      </w:tr>
      <w:tr>
        <w:trPr>
          <w:trHeight w:val="86"/>
        </w:trPr>
        <w:tc>
          <w:tcPr>
            <w:tcW w:w="520" w:type="dxa"/>
            <w:vAlign w:val="bottom"/>
            <w:shd w:val="clear" w:color="auto" w:fill="1414D2"/>
          </w:tcPr>
          <w:p>
            <w:pPr>
              <w:spacing w:after="0"/>
              <w:rPr>
                <w:sz w:val="7"/>
                <w:szCs w:val="7"/>
                <w:color w:val="auto"/>
              </w:rPr>
            </w:pPr>
          </w:p>
        </w:tc>
        <w:tc>
          <w:tcPr>
            <w:tcW w:w="2760" w:type="dxa"/>
            <w:vAlign w:val="bottom"/>
            <w:shd w:val="clear" w:color="auto" w:fill="1414D2"/>
          </w:tcPr>
          <w:p>
            <w:pPr>
              <w:spacing w:after="0"/>
              <w:rPr>
                <w:sz w:val="7"/>
                <w:szCs w:val="7"/>
                <w:color w:val="auto"/>
              </w:rPr>
            </w:pPr>
          </w:p>
        </w:tc>
        <w:tc>
          <w:tcPr>
            <w:tcW w:w="560" w:type="dxa"/>
            <w:vAlign w:val="bottom"/>
            <w:shd w:val="clear" w:color="auto" w:fill="1414D2"/>
          </w:tcPr>
          <w:p>
            <w:pPr>
              <w:spacing w:after="0"/>
              <w:rPr>
                <w:sz w:val="7"/>
                <w:szCs w:val="7"/>
                <w:color w:val="auto"/>
              </w:rPr>
            </w:pPr>
          </w:p>
        </w:tc>
        <w:tc>
          <w:tcPr>
            <w:tcW w:w="2700" w:type="dxa"/>
            <w:vAlign w:val="bottom"/>
            <w:shd w:val="clear" w:color="auto" w:fill="1414D2"/>
          </w:tcPr>
          <w:p>
            <w:pPr>
              <w:spacing w:after="0"/>
              <w:rPr>
                <w:sz w:val="7"/>
                <w:szCs w:val="7"/>
                <w:color w:val="auto"/>
              </w:rPr>
            </w:pPr>
          </w:p>
        </w:tc>
        <w:tc>
          <w:tcPr>
            <w:tcW w:w="420" w:type="dxa"/>
            <w:vAlign w:val="bottom"/>
            <w:shd w:val="clear" w:color="auto" w:fill="1414D2"/>
          </w:tcPr>
          <w:p>
            <w:pPr>
              <w:spacing w:after="0"/>
              <w:rPr>
                <w:sz w:val="7"/>
                <w:szCs w:val="7"/>
                <w:color w:val="auto"/>
              </w:rPr>
            </w:pPr>
          </w:p>
        </w:tc>
        <w:tc>
          <w:tcPr>
            <w:tcW w:w="2760" w:type="dxa"/>
            <w:vAlign w:val="bottom"/>
            <w:shd w:val="clear" w:color="auto" w:fill="1414D2"/>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720"/>
          </w:cols>
          <w:pgMar w:left="1080" w:top="695"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right"/>
        <w:ind w:right="7720"/>
        <w:spacing w:after="0"/>
        <w:rPr>
          <w:sz w:val="20"/>
          <w:szCs w:val="20"/>
          <w:color w:val="auto"/>
        </w:rPr>
      </w:pPr>
      <w:r>
        <w:rPr>
          <w:rFonts w:ascii="Arial" w:cs="Arial" w:eastAsia="Arial" w:hAnsi="Arial"/>
          <w:sz w:val="16"/>
          <w:szCs w:val="16"/>
          <w:color w:val="auto"/>
        </w:rPr>
        <w:t>​​2026​  Proxy</w:t>
      </w:r>
    </w:p>
    <w:p>
      <w:pPr>
        <w:spacing w:after="0" w:line="5" w:lineRule="exact"/>
        <w:rPr>
          <w:sz w:val="20"/>
          <w:szCs w:val="20"/>
          <w:color w:val="auto"/>
        </w:rPr>
      </w:pPr>
    </w:p>
    <w:p>
      <w:pPr>
        <w:ind w:left="660" w:hanging="656"/>
        <w:spacing w:after="0"/>
        <w:tabs>
          <w:tab w:leader="none" w:pos="660" w:val="left"/>
        </w:tabs>
        <w:numPr>
          <w:ilvl w:val="0"/>
          <w:numId w:val="36"/>
        </w:numPr>
        <w:rPr>
          <w:rFonts w:ascii="Arial" w:cs="Arial" w:eastAsia="Arial" w:hAnsi="Arial"/>
          <w:sz w:val="16"/>
          <w:szCs w:val="16"/>
          <w:b w:val="1"/>
          <w:bCs w:val="1"/>
          <w:color w:val="1414D2"/>
        </w:rPr>
      </w:pPr>
      <w:r>
        <w:rPr>
          <w:rFonts w:ascii="Arial" w:cs="Arial" w:eastAsia="Arial" w:hAnsi="Arial"/>
          <w:sz w:val="16"/>
          <w:szCs w:val="16"/>
          <w:color w:val="auto"/>
        </w:rPr>
        <w:t>Statement</w:t>
      </w:r>
    </w:p>
    <w:p>
      <w:pPr>
        <w:sectPr>
          <w:pgSz w:w="11900" w:h="16838" w:orient="portrait"/>
          <w:cols w:equalWidth="0" w:num="1">
            <w:col w:w="9720"/>
          </w:cols>
          <w:pgMar w:left="1080" w:top="695" w:right="109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27" w:lineRule="exact"/>
        <w:rPr>
          <w:sz w:val="20"/>
          <w:szCs w:val="20"/>
          <w:color w:val="auto"/>
        </w:rPr>
      </w:pPr>
    </w:p>
    <w:p>
      <w:pPr>
        <w:ind w:left="6900"/>
        <w:spacing w:after="0"/>
        <w:rPr>
          <w:sz w:val="20"/>
          <w:szCs w:val="20"/>
          <w:color w:val="auto"/>
        </w:rPr>
      </w:pPr>
      <w:r>
        <w:rPr>
          <w:rFonts w:ascii="Arial" w:cs="Arial" w:eastAsia="Arial" w:hAnsi="Arial"/>
          <w:sz w:val="14"/>
          <w:szCs w:val="14"/>
          <w:color w:val="6D6F71"/>
        </w:rPr>
        <w:t>Board  and  Corporate  Governance  Matters</w:t>
      </w:r>
    </w:p>
    <w:p>
      <w:pPr>
        <w:spacing w:after="0" w:line="225" w:lineRule="exact"/>
        <w:rPr>
          <w:sz w:val="20"/>
          <w:szCs w:val="20"/>
          <w:color w:val="auto"/>
        </w:rPr>
      </w:pPr>
    </w:p>
    <w:p>
      <w:pPr>
        <w:ind w:right="300"/>
        <w:spacing w:after="0" w:line="255" w:lineRule="auto"/>
        <w:rPr>
          <w:sz w:val="20"/>
          <w:szCs w:val="20"/>
          <w:color w:val="auto"/>
        </w:rPr>
      </w:pPr>
      <w:r>
        <w:rPr>
          <w:rFonts w:ascii="Arial" w:cs="Arial" w:eastAsia="Arial" w:hAnsi="Arial"/>
          <w:sz w:val="16"/>
          <w:szCs w:val="16"/>
          <w:color w:val="auto"/>
        </w:rPr>
        <w:t>For a regularly scheduled annual meeting, the group of stockholders who wish to submit director nominees pursuant to our proxy access bylaw provision must deliver the required materials to the Company not less than 120 days nor more than</w:t>
      </w:r>
    </w:p>
    <w:p>
      <w:pPr>
        <w:spacing w:after="0" w:line="1" w:lineRule="exact"/>
        <w:rPr>
          <w:sz w:val="20"/>
          <w:szCs w:val="20"/>
          <w:color w:val="auto"/>
        </w:rPr>
      </w:pPr>
    </w:p>
    <w:p>
      <w:pPr>
        <w:ind w:right="300"/>
        <w:spacing w:after="0" w:line="313" w:lineRule="auto"/>
        <w:rPr>
          <w:sz w:val="20"/>
          <w:szCs w:val="20"/>
          <w:color w:val="auto"/>
        </w:rPr>
      </w:pPr>
      <w:r>
        <w:rPr>
          <w:rFonts w:ascii="Arial" w:cs="Arial" w:eastAsia="Arial" w:hAnsi="Arial"/>
          <w:sz w:val="16"/>
          <w:szCs w:val="16"/>
          <w:color w:val="auto"/>
        </w:rPr>
        <w:t>150 days prior to the anniversary of the date that the Company frst mailed its proxy materials for the annual meeting of the previous year.</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414D2"/>
        </w:rPr>
        <w:t>Preferred Stock Director Nomination Process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color w:val="auto"/>
        </w:rPr>
        <w:t>Pursuant  to  Part  II,  Section  8.1  of  the  Amended  and  Restated  Certifcate  of  Incorporation,  the  ALPA,  the  sole  holder  of  the</w:t>
      </w:r>
    </w:p>
    <w:p>
      <w:pPr>
        <w:spacing w:after="0" w:line="19" w:lineRule="exact"/>
        <w:rPr>
          <w:sz w:val="20"/>
          <w:szCs w:val="20"/>
          <w:color w:val="auto"/>
        </w:rPr>
      </w:pPr>
    </w:p>
    <w:p>
      <w:pPr>
        <w:ind w:right="100"/>
        <w:spacing w:after="0" w:line="279" w:lineRule="auto"/>
        <w:rPr>
          <w:sz w:val="20"/>
          <w:szCs w:val="20"/>
          <w:color w:val="auto"/>
        </w:rPr>
      </w:pPr>
      <w:r>
        <w:rPr>
          <w:rFonts w:ascii="Arial" w:cs="Arial" w:eastAsia="Arial" w:hAnsi="Arial"/>
          <w:sz w:val="16"/>
          <w:szCs w:val="16"/>
          <w:color w:val="auto"/>
        </w:rPr>
        <w:t>Company’s Class Pilot MEC Junior Preferred Stock, has the right to elect one member to the Board at each annual meeting of stockholders, remove such director with or without cause and fll any vacancies in such directorship. The ALPA became the sole holder of the Company’s Class Pilot MEC Junior Preferred Stock pursuant to an agreement with United Airlines, Inc.</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Pursuant  to  Part  III,  Section  8.1  of  the  Amended  and  Restated  Certifcate  of  Incorporation,  the  IAM,  the  sole  holder  of  the</w:t>
      </w:r>
    </w:p>
    <w:p>
      <w:pPr>
        <w:spacing w:after="0" w:line="19" w:lineRule="exact"/>
        <w:rPr>
          <w:sz w:val="20"/>
          <w:szCs w:val="20"/>
          <w:color w:val="auto"/>
        </w:rPr>
      </w:pPr>
    </w:p>
    <w:p>
      <w:pPr>
        <w:ind w:right="180"/>
        <w:spacing w:after="0" w:line="279" w:lineRule="auto"/>
        <w:rPr>
          <w:sz w:val="20"/>
          <w:szCs w:val="20"/>
          <w:color w:val="auto"/>
        </w:rPr>
      </w:pPr>
      <w:r>
        <w:rPr>
          <w:rFonts w:ascii="Arial" w:cs="Arial" w:eastAsia="Arial" w:hAnsi="Arial"/>
          <w:sz w:val="16"/>
          <w:szCs w:val="16"/>
          <w:color w:val="auto"/>
        </w:rPr>
        <w:t>Company’s Class IAM Junior Preferred Stock, has the right to elect one member to the Board at each annual meeting of stockholders, remove such director with or without cause and fll any vacancies in such directorship. The IAM became the sole holder of the Company’s Class IAM Junior Preferred Stock pursuant to an agreement with United Airlines, Inc.</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414D2"/>
        </w:rPr>
        <w:t>Director Retirement Policy and Term Limits</w:t>
      </w:r>
    </w:p>
    <w:p>
      <w:pPr>
        <w:spacing w:after="0" w:line="115"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Under our Corporate Governance Guidelines, no candidate is eligible for election or reelection as a director to the Board if he or she would be 75 years of age or older at the time of election. From time to time there may be unusual circumstances where exceptions need to be made to this general rule to retain needed continuity and expertise, or for other business reasons, and</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the  Board,  upon  recommendation  by  the  Nominating/Governance  Committee,  may  approve  exceptions  to  this  policy.</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None  of  our  director  nominees  will  be  75  or  older  at  the  time  of  the  Annual  Meeting.</w:t>
      </w:r>
    </w:p>
    <w:p>
      <w:pPr>
        <w:spacing w:after="0" w:line="113" w:lineRule="exact"/>
        <w:rPr>
          <w:sz w:val="20"/>
          <w:szCs w:val="20"/>
          <w:color w:val="auto"/>
        </w:rPr>
      </w:pPr>
    </w:p>
    <w:p>
      <w:pPr>
        <w:ind w:right="320"/>
        <w:spacing w:after="0" w:line="255" w:lineRule="auto"/>
        <w:rPr>
          <w:sz w:val="20"/>
          <w:szCs w:val="20"/>
          <w:color w:val="auto"/>
        </w:rPr>
      </w:pPr>
      <w:r>
        <w:rPr>
          <w:rFonts w:ascii="Arial" w:cs="Arial" w:eastAsia="Arial" w:hAnsi="Arial"/>
          <w:sz w:val="16"/>
          <w:szCs w:val="16"/>
          <w:color w:val="auto"/>
        </w:rPr>
        <w:t>Also as set forth in the Corporate Governance Guidelines, the Board does not believe it should establish director term limits, which have the disadvantage of limiting the contribution of directors who have been able to develop, over a period of time,</w:t>
      </w:r>
    </w:p>
    <w:p>
      <w:pPr>
        <w:spacing w:after="0" w:line="1" w:lineRule="exact"/>
        <w:rPr>
          <w:sz w:val="20"/>
          <w:szCs w:val="20"/>
          <w:color w:val="auto"/>
        </w:rPr>
      </w:pPr>
    </w:p>
    <w:p>
      <w:pPr>
        <w:ind w:right="120"/>
        <w:spacing w:after="0" w:line="279" w:lineRule="auto"/>
        <w:rPr>
          <w:sz w:val="20"/>
          <w:szCs w:val="20"/>
          <w:color w:val="auto"/>
        </w:rPr>
      </w:pPr>
      <w:r>
        <w:rPr>
          <w:rFonts w:ascii="Arial" w:cs="Arial" w:eastAsia="Arial" w:hAnsi="Arial"/>
          <w:sz w:val="16"/>
          <w:szCs w:val="16"/>
          <w:color w:val="auto"/>
        </w:rPr>
        <w:t>increasing insight into and knowledge of the Company and its operations and, therefore, provide an increasing contribution to the Board as a whole. However, the Nominating/Governance Committee considers the tenure of directors as one of several factors in re-nomination decisions as well as its general Board refreshment practices.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FFFFFF"/>
        </w:rPr>
        <w:t>OUR TENURE &amp; AGE POLICIES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760"/>
        <w:spacing w:after="0"/>
        <w:tabs>
          <w:tab w:leader="none" w:pos="6440" w:val="left"/>
        </w:tabs>
        <w:rPr>
          <w:sz w:val="20"/>
          <w:szCs w:val="20"/>
          <w:color w:val="auto"/>
        </w:rPr>
      </w:pPr>
      <w:r>
        <w:rPr>
          <w:rFonts w:ascii="Arial" w:cs="Arial" w:eastAsia="Arial" w:hAnsi="Arial"/>
          <w:sz w:val="16"/>
          <w:szCs w:val="16"/>
          <w:b w:val="1"/>
          <w:bCs w:val="1"/>
          <w:color w:val="FFFFFF"/>
        </w:rPr>
        <w:t>NO TERM LIMITS</w:t>
      </w:r>
      <w:r>
        <w:rPr>
          <w:sz w:val="20"/>
          <w:szCs w:val="20"/>
          <w:color w:val="auto"/>
        </w:rPr>
        <w:tab/>
      </w:r>
      <w:r>
        <w:rPr>
          <w:rFonts w:ascii="Arial" w:cs="Arial" w:eastAsia="Arial" w:hAnsi="Arial"/>
          <w:sz w:val="15"/>
          <w:szCs w:val="15"/>
          <w:b w:val="1"/>
          <w:bCs w:val="1"/>
          <w:color w:val="FFFFFF"/>
        </w:rPr>
        <w:t>RETIREMENT AGE: 75</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OUTSIDE BOARD SERVICE</w:t>
      </w:r>
    </w:p>
    <w:p>
      <w:pPr>
        <w:spacing w:after="0" w:line="127" w:lineRule="exact"/>
        <w:rPr>
          <w:sz w:val="20"/>
          <w:szCs w:val="20"/>
          <w:color w:val="auto"/>
        </w:rPr>
      </w:pPr>
    </w:p>
    <w:p>
      <w:pPr>
        <w:ind w:right="300"/>
        <w:spacing w:after="0" w:line="313" w:lineRule="auto"/>
        <w:rPr>
          <w:sz w:val="20"/>
          <w:szCs w:val="20"/>
          <w:color w:val="auto"/>
        </w:rPr>
      </w:pPr>
      <w:r>
        <w:rPr>
          <w:rFonts w:ascii="Arial" w:cs="Arial" w:eastAsia="Arial" w:hAnsi="Arial"/>
          <w:sz w:val="16"/>
          <w:szCs w:val="16"/>
          <w:color w:val="auto"/>
        </w:rPr>
        <w:t>Our Corporate Governance Guidelines and the Audit Committee charter provide the following public company board service guidelines: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4880" w:type="dxa"/>
            <w:vAlign w:val="bottom"/>
            <w:shd w:val="clear" w:color="auto" w:fill="1414D2"/>
          </w:tcPr>
          <w:p>
            <w:pPr>
              <w:ind w:left="220"/>
              <w:spacing w:after="0"/>
              <w:rPr>
                <w:sz w:val="20"/>
                <w:szCs w:val="20"/>
                <w:color w:val="auto"/>
              </w:rPr>
            </w:pPr>
            <w:r>
              <w:rPr>
                <w:rFonts w:ascii="Times New Roman" w:cs="Times New Roman" w:eastAsia="Times New Roman" w:hAnsi="Times New Roman"/>
                <w:sz w:val="16"/>
                <w:szCs w:val="16"/>
                <w:color w:val="FFFFFF"/>
                <w:w w:val="98"/>
              </w:rPr>
              <w:t>●</w:t>
            </w:r>
            <w:r>
              <w:rPr>
                <w:rFonts w:ascii="Arial" w:cs="Arial" w:eastAsia="Arial" w:hAnsi="Arial"/>
                <w:sz w:val="16"/>
                <w:szCs w:val="16"/>
                <w:color w:val="FFFFFF"/>
                <w:w w:val="98"/>
              </w:rPr>
              <w:t>No  Audit  Committee  member  may  serve  on  the  audit</w:t>
            </w:r>
          </w:p>
        </w:tc>
        <w:tc>
          <w:tcPr>
            <w:tcW w:w="4840" w:type="dxa"/>
            <w:vAlign w:val="bottom"/>
            <w:shd w:val="clear" w:color="auto" w:fill="1414D2"/>
          </w:tcPr>
          <w:p>
            <w:pPr>
              <w:ind w:left="220"/>
              <w:spacing w:after="0"/>
              <w:rPr>
                <w:sz w:val="20"/>
                <w:szCs w:val="20"/>
                <w:color w:val="auto"/>
              </w:rPr>
            </w:pPr>
            <w:r>
              <w:rPr>
                <w:rFonts w:ascii="Times New Roman" w:cs="Times New Roman" w:eastAsia="Times New Roman" w:hAnsi="Times New Roman"/>
                <w:sz w:val="16"/>
                <w:szCs w:val="16"/>
                <w:color w:val="FFFFFF"/>
                <w:w w:val="97"/>
              </w:rPr>
              <w:t>●</w:t>
            </w:r>
            <w:r>
              <w:rPr>
                <w:rFonts w:ascii="Arial" w:cs="Arial" w:eastAsia="Arial" w:hAnsi="Arial"/>
                <w:sz w:val="16"/>
                <w:szCs w:val="16"/>
                <w:color w:val="FFFFFF"/>
                <w:w w:val="97"/>
              </w:rPr>
              <w:t>The  Chairman  and  any  other  director  who  serves  as</w:t>
            </w:r>
          </w:p>
        </w:tc>
      </w:tr>
      <w:tr>
        <w:trPr>
          <w:trHeight w:val="189"/>
        </w:trPr>
        <w:tc>
          <w:tcPr>
            <w:tcW w:w="4880" w:type="dxa"/>
            <w:vAlign w:val="bottom"/>
            <w:shd w:val="clear" w:color="auto" w:fill="1414D2"/>
          </w:tcPr>
          <w:p>
            <w:pPr>
              <w:ind w:left="540"/>
              <w:spacing w:after="0"/>
              <w:rPr>
                <w:sz w:val="20"/>
                <w:szCs w:val="20"/>
                <w:color w:val="auto"/>
              </w:rPr>
            </w:pPr>
            <w:r>
              <w:rPr>
                <w:rFonts w:ascii="Arial" w:cs="Arial" w:eastAsia="Arial" w:hAnsi="Arial"/>
                <w:sz w:val="16"/>
                <w:szCs w:val="16"/>
                <w:color w:val="FFFFFF"/>
              </w:rPr>
              <w:t>committee  of  more  than  three  public  companies</w:t>
            </w:r>
          </w:p>
        </w:tc>
        <w:tc>
          <w:tcPr>
            <w:tcW w:w="4840" w:type="dxa"/>
            <w:vAlign w:val="bottom"/>
            <w:shd w:val="clear" w:color="auto" w:fill="1414D2"/>
          </w:tcPr>
          <w:p>
            <w:pPr>
              <w:ind w:left="540"/>
              <w:spacing w:after="0"/>
              <w:rPr>
                <w:sz w:val="20"/>
                <w:szCs w:val="20"/>
                <w:color w:val="auto"/>
              </w:rPr>
            </w:pPr>
            <w:r>
              <w:rPr>
                <w:rFonts w:ascii="Arial" w:cs="Arial" w:eastAsia="Arial" w:hAnsi="Arial"/>
                <w:sz w:val="16"/>
                <w:szCs w:val="16"/>
                <w:color w:val="FFFFFF"/>
              </w:rPr>
              <w:t>chairman  or  lead  independent  director  of  another</w:t>
            </w:r>
          </w:p>
        </w:tc>
      </w:tr>
      <w:tr>
        <w:trPr>
          <w:trHeight w:val="189"/>
        </w:trPr>
        <w:tc>
          <w:tcPr>
            <w:tcW w:w="4880" w:type="dxa"/>
            <w:vAlign w:val="bottom"/>
            <w:shd w:val="clear" w:color="auto" w:fill="1414D2"/>
          </w:tcPr>
          <w:p>
            <w:pPr>
              <w:ind w:left="540"/>
              <w:spacing w:after="0"/>
              <w:rPr>
                <w:sz w:val="20"/>
                <w:szCs w:val="20"/>
                <w:color w:val="auto"/>
              </w:rPr>
            </w:pPr>
            <w:r>
              <w:rPr>
                <w:rFonts w:ascii="Arial" w:cs="Arial" w:eastAsia="Arial" w:hAnsi="Arial"/>
                <w:sz w:val="16"/>
                <w:szCs w:val="16"/>
                <w:color w:val="FFFFFF"/>
              </w:rPr>
              <w:t>(including  our  Board).</w:t>
            </w:r>
          </w:p>
        </w:tc>
        <w:tc>
          <w:tcPr>
            <w:tcW w:w="4840" w:type="dxa"/>
            <w:vAlign w:val="bottom"/>
            <w:shd w:val="clear" w:color="auto" w:fill="1414D2"/>
          </w:tcPr>
          <w:p>
            <w:pPr>
              <w:ind w:left="540"/>
              <w:spacing w:after="0"/>
              <w:rPr>
                <w:sz w:val="20"/>
                <w:szCs w:val="20"/>
                <w:color w:val="auto"/>
              </w:rPr>
            </w:pPr>
            <w:r>
              <w:rPr>
                <w:rFonts w:ascii="Arial" w:cs="Arial" w:eastAsia="Arial" w:hAnsi="Arial"/>
                <w:sz w:val="16"/>
                <w:szCs w:val="16"/>
                <w:color w:val="FFFFFF"/>
              </w:rPr>
              <w:t>public  company  are  not  permitted  to  serve  on  boards</w:t>
            </w:r>
          </w:p>
        </w:tc>
      </w:tr>
      <w:tr>
        <w:trPr>
          <w:trHeight w:val="189"/>
        </w:trPr>
        <w:tc>
          <w:tcPr>
            <w:tcW w:w="4880" w:type="dxa"/>
            <w:vAlign w:val="bottom"/>
            <w:shd w:val="clear" w:color="auto" w:fill="1414D2"/>
          </w:tcPr>
          <w:p>
            <w:pPr>
              <w:spacing w:after="0"/>
              <w:rPr>
                <w:sz w:val="16"/>
                <w:szCs w:val="16"/>
                <w:color w:val="auto"/>
              </w:rPr>
            </w:pPr>
          </w:p>
        </w:tc>
        <w:tc>
          <w:tcPr>
            <w:tcW w:w="4840" w:type="dxa"/>
            <w:vAlign w:val="bottom"/>
            <w:shd w:val="clear" w:color="auto" w:fill="1414D2"/>
          </w:tcPr>
          <w:p>
            <w:pPr>
              <w:ind w:left="540"/>
              <w:spacing w:after="0"/>
              <w:rPr>
                <w:sz w:val="20"/>
                <w:szCs w:val="20"/>
                <w:color w:val="auto"/>
              </w:rPr>
            </w:pPr>
            <w:r>
              <w:rPr>
                <w:rFonts w:ascii="Arial" w:cs="Arial" w:eastAsia="Arial" w:hAnsi="Arial"/>
                <w:sz w:val="16"/>
                <w:szCs w:val="16"/>
                <w:color w:val="FFFFFF"/>
              </w:rPr>
              <w:t>of  more  than  four  public  companies  (including  our</w:t>
            </w:r>
          </w:p>
        </w:tc>
      </w:tr>
      <w:tr>
        <w:trPr>
          <w:trHeight w:val="235"/>
        </w:trPr>
        <w:tc>
          <w:tcPr>
            <w:tcW w:w="4880" w:type="dxa"/>
            <w:vAlign w:val="bottom"/>
            <w:shd w:val="clear" w:color="auto" w:fill="1414D2"/>
          </w:tcPr>
          <w:p>
            <w:pPr>
              <w:spacing w:after="0"/>
              <w:rPr>
                <w:sz w:val="20"/>
                <w:szCs w:val="20"/>
                <w:color w:val="auto"/>
              </w:rPr>
            </w:pPr>
          </w:p>
        </w:tc>
        <w:tc>
          <w:tcPr>
            <w:tcW w:w="4840" w:type="dxa"/>
            <w:vAlign w:val="bottom"/>
            <w:shd w:val="clear" w:color="auto" w:fill="1414D2"/>
          </w:tcPr>
          <w:p>
            <w:pPr>
              <w:ind w:left="540"/>
              <w:spacing w:after="0"/>
              <w:rPr>
                <w:sz w:val="20"/>
                <w:szCs w:val="20"/>
                <w:color w:val="auto"/>
              </w:rPr>
            </w:pPr>
            <w:r>
              <w:rPr>
                <w:rFonts w:ascii="Arial" w:cs="Arial" w:eastAsia="Arial" w:hAnsi="Arial"/>
                <w:sz w:val="16"/>
                <w:szCs w:val="16"/>
                <w:color w:val="FFFFFF"/>
              </w:rPr>
              <w:t>Board).</w:t>
            </w:r>
          </w:p>
        </w:tc>
      </w:tr>
      <w:tr>
        <w:trPr>
          <w:trHeight w:val="386"/>
        </w:trPr>
        <w:tc>
          <w:tcPr>
            <w:tcW w:w="4880" w:type="dxa"/>
            <w:vAlign w:val="bottom"/>
            <w:shd w:val="clear" w:color="auto" w:fill="1414D2"/>
          </w:tcPr>
          <w:p>
            <w:pPr>
              <w:ind w:left="220"/>
              <w:spacing w:after="0"/>
              <w:rPr>
                <w:sz w:val="20"/>
                <w:szCs w:val="20"/>
                <w:color w:val="auto"/>
              </w:rPr>
            </w:pPr>
            <w:r>
              <w:rPr>
                <w:rFonts w:ascii="Times New Roman" w:cs="Times New Roman" w:eastAsia="Times New Roman" w:hAnsi="Times New Roman"/>
                <w:sz w:val="16"/>
                <w:szCs w:val="16"/>
                <w:color w:val="FFFFFF"/>
              </w:rPr>
              <w:t>●</w:t>
            </w:r>
            <w:r>
              <w:rPr>
                <w:rFonts w:ascii="Arial" w:cs="Arial" w:eastAsia="Arial" w:hAnsi="Arial"/>
                <w:sz w:val="16"/>
                <w:szCs w:val="16"/>
                <w:color w:val="FFFFFF"/>
              </w:rPr>
              <w:t>Our  Chief  Executive  Ofcer  and  any  other  director</w:t>
            </w:r>
          </w:p>
        </w:tc>
        <w:tc>
          <w:tcPr>
            <w:tcW w:w="4840" w:type="dxa"/>
            <w:vAlign w:val="bottom"/>
            <w:shd w:val="clear" w:color="auto" w:fill="1414D2"/>
          </w:tcPr>
          <w:p>
            <w:pPr>
              <w:ind w:left="220"/>
              <w:spacing w:after="0"/>
              <w:rPr>
                <w:sz w:val="20"/>
                <w:szCs w:val="20"/>
                <w:color w:val="auto"/>
              </w:rPr>
            </w:pPr>
            <w:r>
              <w:rPr>
                <w:rFonts w:ascii="Times New Roman" w:cs="Times New Roman" w:eastAsia="Times New Roman" w:hAnsi="Times New Roman"/>
                <w:sz w:val="16"/>
                <w:szCs w:val="16"/>
                <w:color w:val="FFFFFF"/>
                <w:w w:val="98"/>
              </w:rPr>
              <w:t>●</w:t>
            </w:r>
            <w:r>
              <w:rPr>
                <w:rFonts w:ascii="Arial" w:cs="Arial" w:eastAsia="Arial" w:hAnsi="Arial"/>
                <w:sz w:val="16"/>
                <w:szCs w:val="16"/>
                <w:color w:val="FFFFFF"/>
                <w:w w:val="98"/>
              </w:rPr>
              <w:t>None  of  our  directors  is  permitted  to  serve  on  boards</w:t>
            </w:r>
          </w:p>
        </w:tc>
      </w:tr>
      <w:tr>
        <w:trPr>
          <w:trHeight w:val="189"/>
        </w:trPr>
        <w:tc>
          <w:tcPr>
            <w:tcW w:w="4880" w:type="dxa"/>
            <w:vAlign w:val="bottom"/>
            <w:shd w:val="clear" w:color="auto" w:fill="1414D2"/>
          </w:tcPr>
          <w:p>
            <w:pPr>
              <w:ind w:left="540"/>
              <w:spacing w:after="0"/>
              <w:rPr>
                <w:sz w:val="20"/>
                <w:szCs w:val="20"/>
                <w:color w:val="auto"/>
              </w:rPr>
            </w:pPr>
            <w:r>
              <w:rPr>
                <w:rFonts w:ascii="Arial" w:cs="Arial" w:eastAsia="Arial" w:hAnsi="Arial"/>
                <w:sz w:val="16"/>
                <w:szCs w:val="16"/>
                <w:color w:val="FFFFFF"/>
              </w:rPr>
              <w:t>who  is  an  active  chief  executive  ofcer  or  the</w:t>
            </w:r>
          </w:p>
        </w:tc>
        <w:tc>
          <w:tcPr>
            <w:tcW w:w="4840" w:type="dxa"/>
            <w:vAlign w:val="bottom"/>
            <w:shd w:val="clear" w:color="auto" w:fill="1414D2"/>
          </w:tcPr>
          <w:p>
            <w:pPr>
              <w:ind w:left="540"/>
              <w:spacing w:after="0"/>
              <w:rPr>
                <w:sz w:val="20"/>
                <w:szCs w:val="20"/>
                <w:color w:val="auto"/>
              </w:rPr>
            </w:pPr>
            <w:r>
              <w:rPr>
                <w:rFonts w:ascii="Arial" w:cs="Arial" w:eastAsia="Arial" w:hAnsi="Arial"/>
                <w:sz w:val="16"/>
                <w:szCs w:val="16"/>
                <w:color w:val="FFFFFF"/>
              </w:rPr>
              <w:t>of  more  than  fve  public  companies  (including  our</w:t>
            </w:r>
          </w:p>
        </w:tc>
      </w:tr>
      <w:tr>
        <w:trPr>
          <w:trHeight w:val="189"/>
        </w:trPr>
        <w:tc>
          <w:tcPr>
            <w:tcW w:w="4880" w:type="dxa"/>
            <w:vAlign w:val="bottom"/>
            <w:shd w:val="clear" w:color="auto" w:fill="1414D2"/>
          </w:tcPr>
          <w:p>
            <w:pPr>
              <w:ind w:left="540"/>
              <w:spacing w:after="0"/>
              <w:rPr>
                <w:sz w:val="20"/>
                <w:szCs w:val="20"/>
                <w:color w:val="auto"/>
              </w:rPr>
            </w:pPr>
            <w:r>
              <w:rPr>
                <w:rFonts w:ascii="Arial" w:cs="Arial" w:eastAsia="Arial" w:hAnsi="Arial"/>
                <w:sz w:val="16"/>
                <w:szCs w:val="16"/>
                <w:color w:val="FFFFFF"/>
              </w:rPr>
              <w:t>equivalent  of  another  public  company  are  not</w:t>
            </w:r>
          </w:p>
        </w:tc>
        <w:tc>
          <w:tcPr>
            <w:tcW w:w="4840" w:type="dxa"/>
            <w:vAlign w:val="bottom"/>
            <w:shd w:val="clear" w:color="auto" w:fill="1414D2"/>
          </w:tcPr>
          <w:p>
            <w:pPr>
              <w:ind w:left="540"/>
              <w:spacing w:after="0"/>
              <w:rPr>
                <w:sz w:val="20"/>
                <w:szCs w:val="20"/>
                <w:color w:val="auto"/>
              </w:rPr>
            </w:pPr>
            <w:r>
              <w:rPr>
                <w:rFonts w:ascii="Arial" w:cs="Arial" w:eastAsia="Arial" w:hAnsi="Arial"/>
                <w:sz w:val="16"/>
                <w:szCs w:val="16"/>
                <w:color w:val="FFFFFF"/>
              </w:rPr>
              <w:t>Board).</w:t>
            </w:r>
          </w:p>
        </w:tc>
      </w:tr>
      <w:tr>
        <w:trPr>
          <w:trHeight w:val="189"/>
        </w:trPr>
        <w:tc>
          <w:tcPr>
            <w:tcW w:w="4880" w:type="dxa"/>
            <w:vAlign w:val="bottom"/>
            <w:shd w:val="clear" w:color="auto" w:fill="1414D2"/>
          </w:tcPr>
          <w:p>
            <w:pPr>
              <w:ind w:left="540"/>
              <w:spacing w:after="0"/>
              <w:rPr>
                <w:sz w:val="20"/>
                <w:szCs w:val="20"/>
                <w:color w:val="auto"/>
              </w:rPr>
            </w:pPr>
            <w:r>
              <w:rPr>
                <w:rFonts w:ascii="Arial" w:cs="Arial" w:eastAsia="Arial" w:hAnsi="Arial"/>
                <w:sz w:val="16"/>
                <w:szCs w:val="16"/>
                <w:color w:val="FFFFFF"/>
              </w:rPr>
              <w:t>permitted  to  serve  on  boards  of  more  than  three</w:t>
            </w:r>
          </w:p>
        </w:tc>
        <w:tc>
          <w:tcPr>
            <w:tcW w:w="4840" w:type="dxa"/>
            <w:vAlign w:val="bottom"/>
            <w:shd w:val="clear" w:color="auto" w:fill="1414D2"/>
          </w:tcPr>
          <w:p>
            <w:pPr>
              <w:spacing w:after="0"/>
              <w:rPr>
                <w:sz w:val="16"/>
                <w:szCs w:val="16"/>
                <w:color w:val="auto"/>
              </w:rPr>
            </w:pPr>
          </w:p>
        </w:tc>
      </w:tr>
      <w:tr>
        <w:trPr>
          <w:trHeight w:val="235"/>
        </w:trPr>
        <w:tc>
          <w:tcPr>
            <w:tcW w:w="4880" w:type="dxa"/>
            <w:vAlign w:val="bottom"/>
            <w:shd w:val="clear" w:color="auto" w:fill="1414D2"/>
          </w:tcPr>
          <w:p>
            <w:pPr>
              <w:ind w:left="540"/>
              <w:spacing w:after="0"/>
              <w:rPr>
                <w:sz w:val="20"/>
                <w:szCs w:val="20"/>
                <w:color w:val="auto"/>
              </w:rPr>
            </w:pPr>
            <w:r>
              <w:rPr>
                <w:rFonts w:ascii="Arial" w:cs="Arial" w:eastAsia="Arial" w:hAnsi="Arial"/>
                <w:sz w:val="16"/>
                <w:szCs w:val="16"/>
                <w:color w:val="FFFFFF"/>
              </w:rPr>
              <w:t>public  companies  (including  our  Board).</w:t>
            </w:r>
          </w:p>
        </w:tc>
        <w:tc>
          <w:tcPr>
            <w:tcW w:w="4840" w:type="dxa"/>
            <w:vAlign w:val="bottom"/>
            <w:shd w:val="clear" w:color="auto" w:fill="1414D2"/>
          </w:tcPr>
          <w:p>
            <w:pPr>
              <w:spacing w:after="0"/>
              <w:rPr>
                <w:sz w:val="20"/>
                <w:szCs w:val="20"/>
                <w:color w:val="auto"/>
              </w:rPr>
            </w:pPr>
          </w:p>
        </w:tc>
      </w:tr>
      <w:tr>
        <w:trPr>
          <w:trHeight w:val="86"/>
        </w:trPr>
        <w:tc>
          <w:tcPr>
            <w:tcW w:w="4880" w:type="dxa"/>
            <w:vAlign w:val="bottom"/>
            <w:shd w:val="clear" w:color="auto" w:fill="1414D2"/>
          </w:tcPr>
          <w:p>
            <w:pPr>
              <w:spacing w:after="0"/>
              <w:rPr>
                <w:sz w:val="7"/>
                <w:szCs w:val="7"/>
                <w:color w:val="auto"/>
              </w:rPr>
            </w:pPr>
          </w:p>
        </w:tc>
        <w:tc>
          <w:tcPr>
            <w:tcW w:w="4840" w:type="dxa"/>
            <w:vAlign w:val="bottom"/>
            <w:shd w:val="clear" w:color="auto" w:fill="1414D2"/>
          </w:tcPr>
          <w:p>
            <w:pPr>
              <w:spacing w:after="0"/>
              <w:rPr>
                <w:sz w:val="7"/>
                <w:szCs w:val="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2026  Proxy  Statement</w:t>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1414D2"/>
        </w:rPr>
        <w:t>37</w:t>
      </w:r>
    </w:p>
    <w:p>
      <w:pPr>
        <w:sectPr>
          <w:pgSz w:w="11900" w:h="16838" w:orient="portrait"/>
          <w:cols w:equalWidth="0" w:num="1">
            <w:col w:w="9720"/>
          </w:cols>
          <w:pgMar w:left="1080" w:top="695" w:right="1099" w:bottom="1440" w:gutter="0" w:footer="0" w:header="0"/>
        </w:sectPr>
      </w:pPr>
    </w:p>
    <w:bookmarkStart w:id="48" w:name="page49"/>
    <w:bookmarkEnd w:id="48"/>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6D6F71"/>
        </w:rPr>
        <w:t>Board  and  Corporate  Governance  Matters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All  the  director  nominees  are  compliant  with  our  public  company  board  service  guidelines.</w:t>
      </w:r>
    </w:p>
    <w:p>
      <w:pPr>
        <w:spacing w:after="0" w:line="100" w:lineRule="exact"/>
        <w:rPr>
          <w:sz w:val="20"/>
          <w:szCs w:val="20"/>
          <w:color w:val="auto"/>
        </w:rPr>
      </w:pPr>
    </w:p>
    <w:p>
      <w:pPr>
        <w:ind w:right="60"/>
        <w:spacing w:after="0" w:line="255" w:lineRule="auto"/>
        <w:rPr>
          <w:sz w:val="20"/>
          <w:szCs w:val="20"/>
          <w:color w:val="auto"/>
        </w:rPr>
      </w:pPr>
      <w:r>
        <w:rPr>
          <w:rFonts w:ascii="Arial" w:cs="Arial" w:eastAsia="Arial" w:hAnsi="Arial"/>
          <w:sz w:val="16"/>
          <w:szCs w:val="16"/>
          <w:color w:val="auto"/>
        </w:rPr>
        <w:t>In addition, our Corporate Governance Guidelines provide that directors are required to advise the Chairman and the chair of the Nominating/Governance Committee in advance of accepting an invitation to serve on another public company board or an</w:t>
      </w:r>
    </w:p>
    <w:p>
      <w:pPr>
        <w:spacing w:after="0" w:line="1"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appointment to serve on an audit committee or a compensation committee of another public company board. Furthermore, in assessing the director nominees’ qualifcations to serve on the Board, the Nominating/Governance Committee reviews the number of other boards on which each director nominee serves and the other business and professional commitments of each director nominee in accordance with our Corporate Governance Guidelines.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INDEPENDENCE</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414D2"/>
        </w:rPr>
        <w:t>Process for Determining Independence</w:t>
      </w:r>
    </w:p>
    <w:p>
      <w:pPr>
        <w:spacing w:after="0" w:line="102"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Our Corporate Governance Guidelines require that at least a majority of the Board members be independent from management under the applicable Nasdaq Listing Rules, any other applicable laws and regulations and our Corporate Governance Guidelines. The Board has adopted categorical standards refecting the bright-line independence standards under</w:t>
      </w:r>
    </w:p>
    <w:p>
      <w:pPr>
        <w:spacing w:after="0" w:line="1" w:lineRule="exact"/>
        <w:rPr>
          <w:sz w:val="20"/>
          <w:szCs w:val="20"/>
          <w:color w:val="auto"/>
        </w:rPr>
      </w:pPr>
    </w:p>
    <w:p>
      <w:pPr>
        <w:ind w:right="360"/>
        <w:spacing w:after="0" w:line="293" w:lineRule="auto"/>
        <w:rPr>
          <w:sz w:val="20"/>
          <w:szCs w:val="20"/>
          <w:color w:val="auto"/>
        </w:rPr>
      </w:pPr>
      <w:r>
        <w:rPr>
          <w:rFonts w:ascii="Arial" w:cs="Arial" w:eastAsia="Arial" w:hAnsi="Arial"/>
          <w:sz w:val="16"/>
          <w:szCs w:val="16"/>
          <w:color w:val="auto"/>
        </w:rPr>
        <w:t xml:space="preserve">the applicable Nasdaq Listing Rules to assist in determining each director’s independence. These standards are set forth in Annex A to our Corporate Governance Guidelines, which is available on the Company’s investor relations website at </w:t>
      </w:r>
      <w:r>
        <w:rPr>
          <w:rFonts w:ascii="Arial" w:cs="Arial" w:eastAsia="Arial" w:hAnsi="Arial"/>
          <w:sz w:val="16"/>
          <w:szCs w:val="16"/>
          <w:b w:val="1"/>
          <w:bCs w:val="1"/>
          <w:color w:val="1414D2"/>
        </w:rPr>
        <w:t>ir.united.com</w:t>
      </w:r>
      <w:r>
        <w:rPr>
          <w:rFonts w:ascii="Arial" w:cs="Arial" w:eastAsia="Arial" w:hAnsi="Arial"/>
          <w:sz w:val="16"/>
          <w:szCs w:val="16"/>
          <w:color w:val="000000"/>
        </w:rPr>
        <w:t>.</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414D2"/>
        </w:rPr>
        <w:t>Independence Determination</w:t>
      </w:r>
    </w:p>
    <w:p>
      <w:pPr>
        <w:spacing w:after="0" w:line="129"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The Board, through the Nominating/Governance Committee, undertakes an annual review of director independence in accordance with our Corporate Governance Guidelines. The Nominating/Governance Committee relies on information derived from Company records, a detailed questionnaire that provides information about relationships that might afect the determination of independence completed annually by each director and other inquiries. A summary of the answers to annual</w:t>
      </w:r>
    </w:p>
    <w:p>
      <w:pPr>
        <w:spacing w:after="0" w:line="3" w:lineRule="exact"/>
        <w:rPr>
          <w:sz w:val="20"/>
          <w:szCs w:val="20"/>
          <w:color w:val="auto"/>
        </w:rPr>
      </w:pPr>
    </w:p>
    <w:p>
      <w:pPr>
        <w:ind w:right="160"/>
        <w:spacing w:after="0" w:line="313" w:lineRule="auto"/>
        <w:rPr>
          <w:sz w:val="20"/>
          <w:szCs w:val="20"/>
          <w:color w:val="auto"/>
        </w:rPr>
      </w:pPr>
      <w:r>
        <w:rPr>
          <w:rFonts w:ascii="Arial" w:cs="Arial" w:eastAsia="Arial" w:hAnsi="Arial"/>
          <w:sz w:val="16"/>
          <w:szCs w:val="16"/>
          <w:color w:val="auto"/>
        </w:rPr>
        <w:t>questionnaires completed by each of the directors and a report of transactions with director afliated entities (if any) are also made available to the Nominating/Governance Committee.</w:t>
      </w:r>
    </w:p>
    <w:p>
      <w:pPr>
        <w:spacing w:after="0" w:line="6"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On the basis of this review of all of the director nominees, the Nominating/Governance Committee delivered a report to the full Board and the Board afrmatively determined that all nominees for non-employee director up for election by the holders of</w:t>
      </w:r>
    </w:p>
    <w:p>
      <w:pPr>
        <w:spacing w:after="0" w:line="1" w:lineRule="exact"/>
        <w:rPr>
          <w:sz w:val="20"/>
          <w:szCs w:val="20"/>
          <w:color w:val="auto"/>
        </w:rPr>
      </w:pPr>
    </w:p>
    <w:p>
      <w:pPr>
        <w:ind w:right="80"/>
        <w:spacing w:after="0" w:line="252" w:lineRule="auto"/>
        <w:rPr>
          <w:sz w:val="20"/>
          <w:szCs w:val="20"/>
          <w:color w:val="auto"/>
        </w:rPr>
      </w:pPr>
      <w:r>
        <w:rPr>
          <w:rFonts w:ascii="Arial" w:cs="Arial" w:eastAsia="Arial" w:hAnsi="Arial"/>
          <w:sz w:val="16"/>
          <w:szCs w:val="16"/>
          <w:color w:val="auto"/>
        </w:rPr>
        <w:t>Common Stock (“non-employee directors”) qualify as “independent” under the applicable independence tests and standards and that all members of each of our Audit Committee, Compensation Committee and Nominating/Governance Committee are independent and satisfy the relevant SEC and Nasdaq independence requirements for such committees. The Board has also</w:t>
      </w:r>
    </w:p>
    <w:p>
      <w:pPr>
        <w:spacing w:after="0" w:line="1"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determined that Messrs. Kirby and Johnsen and Captain Noyes do not qualify as “independent” under the applicable tests and standards. Mr. Kirby is not independent because he is an employee of the Company. Captain Noyes is not independent because he is an employee of United Airlines, Inc. and afliated with the ALPA, a union that represents certain of the Company’s employees. Mr. Johnsen is not independent because he is an employee of United Airlines, Inc. and afliated with the IAM, a</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union  that  represents  certain  of  the  Company’s  employees.</w:t>
      </w:r>
    </w:p>
    <w:p>
      <w:pPr>
        <w:sectPr>
          <w:pgSz w:w="11900" w:h="16838" w:orient="portrait"/>
          <w:cols w:equalWidth="0" w:num="1">
            <w:col w:w="9660"/>
          </w:cols>
          <w:pgMar w:left="1080" w:top="695" w:right="11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ind w:right="7660"/>
        <w:spacing w:after="0"/>
        <w:rPr>
          <w:sz w:val="20"/>
          <w:szCs w:val="20"/>
          <w:color w:val="auto"/>
        </w:rPr>
      </w:pPr>
      <w:r>
        <w:rPr>
          <w:rFonts w:ascii="Arial" w:cs="Arial" w:eastAsia="Arial" w:hAnsi="Arial"/>
          <w:sz w:val="16"/>
          <w:szCs w:val="16"/>
          <w:color w:val="auto"/>
        </w:rPr>
        <w:t>​​2026​  Proxy</w:t>
      </w:r>
    </w:p>
    <w:p>
      <w:pPr>
        <w:spacing w:after="0" w:line="5" w:lineRule="exact"/>
        <w:rPr>
          <w:sz w:val="20"/>
          <w:szCs w:val="20"/>
          <w:color w:val="auto"/>
        </w:rPr>
      </w:pPr>
    </w:p>
    <w:p>
      <w:pPr>
        <w:ind w:left="660" w:hanging="656"/>
        <w:spacing w:after="0"/>
        <w:tabs>
          <w:tab w:leader="none" w:pos="660" w:val="left"/>
        </w:tabs>
        <w:numPr>
          <w:ilvl w:val="0"/>
          <w:numId w:val="37"/>
        </w:numPr>
        <w:rPr>
          <w:rFonts w:ascii="Arial" w:cs="Arial" w:eastAsia="Arial" w:hAnsi="Arial"/>
          <w:sz w:val="16"/>
          <w:szCs w:val="16"/>
          <w:b w:val="1"/>
          <w:bCs w:val="1"/>
          <w:color w:val="1414D2"/>
        </w:rPr>
      </w:pPr>
      <w:r>
        <w:rPr>
          <w:rFonts w:ascii="Arial" w:cs="Arial" w:eastAsia="Arial" w:hAnsi="Arial"/>
          <w:sz w:val="16"/>
          <w:szCs w:val="16"/>
          <w:color w:val="auto"/>
        </w:rPr>
        <w:t>Statement</w:t>
      </w:r>
    </w:p>
    <w:p>
      <w:pPr>
        <w:sectPr>
          <w:pgSz w:w="11900" w:h="16838" w:orient="portrait"/>
          <w:cols w:equalWidth="0" w:num="1">
            <w:col w:w="9660"/>
          </w:cols>
          <w:pgMar w:left="1080" w:top="695" w:right="1159" w:bottom="1440" w:gutter="0" w:footer="0" w:header="0"/>
          <w:type w:val="continuous"/>
        </w:sectPr>
      </w:pPr>
    </w:p>
    <w:bookmarkStart w:id="49" w:name="page50"/>
    <w:bookmarkEnd w:id="49"/>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27" w:lineRule="exact"/>
        <w:rPr>
          <w:sz w:val="20"/>
          <w:szCs w:val="20"/>
          <w:color w:val="auto"/>
        </w:rPr>
      </w:pPr>
    </w:p>
    <w:p>
      <w:pPr>
        <w:jc w:val="right"/>
        <w:spacing w:after="0"/>
        <w:rPr>
          <w:sz w:val="20"/>
          <w:szCs w:val="20"/>
          <w:color w:val="auto"/>
        </w:rPr>
      </w:pPr>
      <w:r>
        <w:rPr>
          <w:rFonts w:ascii="Arial" w:cs="Arial" w:eastAsia="Arial" w:hAnsi="Arial"/>
          <w:sz w:val="14"/>
          <w:szCs w:val="14"/>
          <w:color w:val="6D6F71"/>
        </w:rPr>
        <w:t>Board  and  Corporate  Governance  Matters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AND COMMITTEE EVALUATION PROCESS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Board  conducts  an  annual  self-evaluation  to  determine  whether  the  Board  and  its  Committees  are  functioning  efectively</w:t>
      </w:r>
    </w:p>
    <w:p>
      <w:pPr>
        <w:spacing w:after="0" w:line="19" w:lineRule="exact"/>
        <w:rPr>
          <w:sz w:val="20"/>
          <w:szCs w:val="20"/>
          <w:color w:val="auto"/>
        </w:rPr>
      </w:pPr>
    </w:p>
    <w:p>
      <w:pPr>
        <w:ind w:right="140"/>
        <w:spacing w:after="0" w:line="313" w:lineRule="auto"/>
        <w:rPr>
          <w:sz w:val="20"/>
          <w:szCs w:val="20"/>
          <w:color w:val="auto"/>
        </w:rPr>
      </w:pPr>
      <w:r>
        <w:rPr>
          <w:rFonts w:ascii="Arial" w:cs="Arial" w:eastAsia="Arial" w:hAnsi="Arial"/>
          <w:sz w:val="16"/>
          <w:szCs w:val="16"/>
          <w:color w:val="auto"/>
        </w:rPr>
        <w:t>and meeting their objectives and goals. The Nominating/Governance Committee develops and oversees the overall evaluation framework. The annual self-evaluation has periodically been conducted by a third-party provider, as appropriate.</w:t>
      </w:r>
    </w:p>
    <w:p>
      <w:pPr>
        <w:sectPr>
          <w:pgSz w:w="11900" w:h="16838" w:orient="portrait"/>
          <w:cols w:equalWidth="0" w:num="1">
            <w:col w:w="9720"/>
          </w:cols>
          <w:pgMar w:left="1080" w:top="695" w:right="1099" w:bottom="1440" w:gutter="0" w:footer="0" w:header="0"/>
        </w:sectPr>
      </w:pPr>
    </w:p>
    <w:p>
      <w:pPr>
        <w:spacing w:after="0" w:line="6" w:lineRule="exact"/>
        <w:rPr>
          <w:sz w:val="20"/>
          <w:szCs w:val="20"/>
          <w:color w:val="auto"/>
        </w:rPr>
      </w:pPr>
    </w:p>
    <w:p>
      <w:pPr>
        <w:ind w:left="1380"/>
        <w:spacing w:after="0"/>
        <w:rPr>
          <w:sz w:val="20"/>
          <w:szCs w:val="20"/>
          <w:color w:val="auto"/>
        </w:rPr>
      </w:pPr>
      <w:r>
        <w:rPr>
          <w:rFonts w:ascii="Arial" w:cs="Arial" w:eastAsia="Arial" w:hAnsi="Arial"/>
          <w:sz w:val="29"/>
          <w:szCs w:val="29"/>
          <w:color w:val="1414D2"/>
        </w:rPr>
        <w:t>1</w:t>
      </w:r>
    </w:p>
    <w:p>
      <w:pPr>
        <w:spacing w:after="0" w:line="17" w:lineRule="exact"/>
        <w:rPr>
          <w:sz w:val="20"/>
          <w:szCs w:val="20"/>
          <w:color w:val="auto"/>
        </w:rPr>
      </w:pPr>
    </w:p>
    <w:p>
      <w:pPr>
        <w:ind w:left="1380"/>
        <w:spacing w:after="0" w:line="268" w:lineRule="auto"/>
        <w:rPr>
          <w:sz w:val="20"/>
          <w:szCs w:val="20"/>
          <w:color w:val="auto"/>
        </w:rPr>
      </w:pPr>
      <w:r>
        <w:rPr>
          <w:rFonts w:ascii="Arial" w:cs="Arial" w:eastAsia="Arial" w:hAnsi="Arial"/>
          <w:sz w:val="16"/>
          <w:szCs w:val="16"/>
          <w:color w:val="1414D2"/>
        </w:rPr>
        <w:t>Annual Self-Assessment Questionnaires and Evaluation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380"/>
        <w:spacing w:after="0"/>
        <w:rPr>
          <w:sz w:val="20"/>
          <w:szCs w:val="20"/>
          <w:color w:val="auto"/>
        </w:rPr>
      </w:pPr>
      <w:r>
        <w:rPr>
          <w:rFonts w:ascii="Arial" w:cs="Arial" w:eastAsia="Arial" w:hAnsi="Arial"/>
          <w:sz w:val="29"/>
          <w:szCs w:val="29"/>
          <w:color w:val="1414D2"/>
        </w:rPr>
        <w:t>2</w:t>
      </w:r>
    </w:p>
    <w:p>
      <w:pPr>
        <w:spacing w:after="0" w:line="17" w:lineRule="exact"/>
        <w:rPr>
          <w:sz w:val="20"/>
          <w:szCs w:val="20"/>
          <w:color w:val="auto"/>
        </w:rPr>
      </w:pPr>
    </w:p>
    <w:p>
      <w:pPr>
        <w:ind w:left="1380" w:right="60"/>
        <w:spacing w:after="0" w:line="250" w:lineRule="auto"/>
        <w:rPr>
          <w:sz w:val="20"/>
          <w:szCs w:val="20"/>
          <w:color w:val="auto"/>
        </w:rPr>
      </w:pPr>
      <w:r>
        <w:rPr>
          <w:rFonts w:ascii="Arial" w:cs="Arial" w:eastAsia="Arial" w:hAnsi="Arial"/>
          <w:sz w:val="16"/>
          <w:szCs w:val="16"/>
          <w:color w:val="1414D2"/>
        </w:rPr>
        <w:t>One-on-One Conversations between Chairman of</w:t>
      </w:r>
    </w:p>
    <w:p>
      <w:pPr>
        <w:spacing w:after="0" w:line="3" w:lineRule="exact"/>
        <w:rPr>
          <w:sz w:val="20"/>
          <w:szCs w:val="20"/>
          <w:color w:val="auto"/>
        </w:rPr>
      </w:pPr>
    </w:p>
    <w:p>
      <w:pPr>
        <w:ind w:left="1380" w:right="60"/>
        <w:spacing w:after="0" w:line="313" w:lineRule="auto"/>
        <w:rPr>
          <w:sz w:val="20"/>
          <w:szCs w:val="20"/>
          <w:color w:val="auto"/>
        </w:rPr>
      </w:pPr>
      <w:r>
        <w:rPr>
          <w:rFonts w:ascii="Arial" w:cs="Arial" w:eastAsia="Arial" w:hAnsi="Arial"/>
          <w:sz w:val="16"/>
          <w:szCs w:val="16"/>
          <w:color w:val="1414D2"/>
        </w:rPr>
        <w:t>the Board and Each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380"/>
        <w:spacing w:after="0"/>
        <w:rPr>
          <w:sz w:val="20"/>
          <w:szCs w:val="20"/>
          <w:color w:val="auto"/>
        </w:rPr>
      </w:pPr>
      <w:r>
        <w:rPr>
          <w:rFonts w:ascii="Arial" w:cs="Arial" w:eastAsia="Arial" w:hAnsi="Arial"/>
          <w:sz w:val="29"/>
          <w:szCs w:val="29"/>
          <w:color w:val="1414D2"/>
        </w:rPr>
        <w:t>3</w:t>
      </w:r>
    </w:p>
    <w:p>
      <w:pPr>
        <w:spacing w:after="0" w:line="17" w:lineRule="exact"/>
        <w:rPr>
          <w:sz w:val="20"/>
          <w:szCs w:val="20"/>
          <w:color w:val="auto"/>
        </w:rPr>
      </w:pPr>
    </w:p>
    <w:p>
      <w:pPr>
        <w:ind w:left="1380" w:right="140"/>
        <w:spacing w:after="0" w:line="268" w:lineRule="auto"/>
        <w:rPr>
          <w:sz w:val="20"/>
          <w:szCs w:val="20"/>
          <w:color w:val="auto"/>
        </w:rPr>
      </w:pPr>
      <w:r>
        <w:rPr>
          <w:rFonts w:ascii="Arial" w:cs="Arial" w:eastAsia="Arial" w:hAnsi="Arial"/>
          <w:sz w:val="16"/>
          <w:szCs w:val="16"/>
          <w:color w:val="1414D2"/>
        </w:rPr>
        <w:t>Discussion of Results and Feedback Incorporated</w:t>
      </w:r>
    </w:p>
    <w:p>
      <w:pPr>
        <w:spacing w:after="0" w:line="20" w:lineRule="exact"/>
        <w:rPr>
          <w:sz w:val="20"/>
          <w:szCs w:val="20"/>
          <w:color w:val="auto"/>
        </w:rPr>
      </w:pPr>
      <w:r>
        <w:rPr>
          <w:sz w:val="20"/>
          <w:szCs w:val="20"/>
          <w:color w:val="auto"/>
        </w:rPr>
        <w:br w:type="column"/>
      </w:r>
    </w:p>
    <w:p>
      <w:pPr>
        <w:ind w:right="220"/>
        <w:spacing w:after="0" w:line="255" w:lineRule="auto"/>
        <w:rPr>
          <w:sz w:val="20"/>
          <w:szCs w:val="20"/>
          <w:color w:val="auto"/>
        </w:rPr>
      </w:pPr>
      <w:r>
        <w:rPr>
          <w:rFonts w:ascii="Arial" w:cs="Arial" w:eastAsia="Arial" w:hAnsi="Arial"/>
          <w:sz w:val="16"/>
          <w:szCs w:val="16"/>
          <w:color w:val="auto"/>
        </w:rPr>
        <w:t>The Nominating/Governance Committee reviews the format and substance of the Board evaluation and director peer review process as necessary to help ensure that the solicited</w:t>
      </w:r>
    </w:p>
    <w:p>
      <w:pPr>
        <w:spacing w:after="0" w:line="1"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color w:val="auto"/>
        </w:rPr>
        <w:t>feedback remains relevant and appropriate. The charter of each Committee also requires an annual performance evaluation, which traditionally is overseen by the chair of each Committee.</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Directors  complete  an  electronic  questionnaire  responding  to  questions  about  the  Board</w:t>
      </w:r>
    </w:p>
    <w:p>
      <w:pPr>
        <w:spacing w:after="0" w:line="19" w:lineRule="exact"/>
        <w:rPr>
          <w:sz w:val="20"/>
          <w:szCs w:val="20"/>
          <w:color w:val="auto"/>
        </w:rPr>
      </w:pPr>
    </w:p>
    <w:p>
      <w:pPr>
        <w:ind w:right="360"/>
        <w:spacing w:after="0" w:line="252" w:lineRule="auto"/>
        <w:rPr>
          <w:sz w:val="20"/>
          <w:szCs w:val="20"/>
          <w:color w:val="auto"/>
        </w:rPr>
      </w:pPr>
      <w:r>
        <w:rPr>
          <w:rFonts w:ascii="Arial" w:cs="Arial" w:eastAsia="Arial" w:hAnsi="Arial"/>
          <w:sz w:val="16"/>
          <w:szCs w:val="16"/>
          <w:color w:val="auto"/>
        </w:rPr>
        <w:t>and Committee structure and responsibilities, Board culture and dynamics, oversight of strategy and risk, meeting agendas, adequacy of information to the Board, Board and Committee composition and refreshment, Committee efectiveness, potential Board</w:t>
      </w:r>
    </w:p>
    <w:p>
      <w:pPr>
        <w:spacing w:after="0" w:line="1" w:lineRule="exact"/>
        <w:rPr>
          <w:sz w:val="20"/>
          <w:szCs w:val="20"/>
          <w:color w:val="auto"/>
        </w:rPr>
      </w:pPr>
    </w:p>
    <w:p>
      <w:pPr>
        <w:ind w:right="120"/>
        <w:spacing w:after="0" w:line="313" w:lineRule="auto"/>
        <w:rPr>
          <w:sz w:val="20"/>
          <w:szCs w:val="20"/>
          <w:color w:val="auto"/>
        </w:rPr>
      </w:pPr>
      <w:r>
        <w:rPr>
          <w:rFonts w:ascii="Arial" w:cs="Arial" w:eastAsia="Arial" w:hAnsi="Arial"/>
          <w:sz w:val="16"/>
          <w:szCs w:val="16"/>
          <w:color w:val="auto"/>
        </w:rPr>
        <w:t>education topics and other Board-related topics. The questionnaire also allows directors to provide written feedback and make anonymous comments.</w:t>
      </w:r>
    </w:p>
    <w:p>
      <w:pPr>
        <w:spacing w:after="0" w:line="6" w:lineRule="exact"/>
        <w:rPr>
          <w:sz w:val="20"/>
          <w:szCs w:val="20"/>
          <w:color w:val="auto"/>
        </w:rPr>
      </w:pPr>
    </w:p>
    <w:p>
      <w:pPr>
        <w:ind w:right="180"/>
        <w:spacing w:after="0" w:line="255" w:lineRule="auto"/>
        <w:rPr>
          <w:sz w:val="20"/>
          <w:szCs w:val="20"/>
          <w:color w:val="auto"/>
        </w:rPr>
      </w:pPr>
      <w:r>
        <w:rPr>
          <w:rFonts w:ascii="Arial" w:cs="Arial" w:eastAsia="Arial" w:hAnsi="Arial"/>
          <w:sz w:val="16"/>
          <w:szCs w:val="16"/>
          <w:color w:val="auto"/>
        </w:rPr>
        <w:t>Committee members also complete an electronic questionnaire, which includes questions approved by each Committee chair with topics covering each Committee’s responsibilities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and  efectiveness.</w:t>
      </w:r>
    </w:p>
    <w:p>
      <w:pPr>
        <w:spacing w:after="0" w:line="194" w:lineRule="exact"/>
        <w:rPr>
          <w:sz w:val="20"/>
          <w:szCs w:val="20"/>
          <w:color w:val="auto"/>
        </w:rPr>
      </w:pPr>
    </w:p>
    <w:p>
      <w:pPr>
        <w:ind w:right="140"/>
        <w:spacing w:after="0" w:line="255" w:lineRule="auto"/>
        <w:rPr>
          <w:sz w:val="20"/>
          <w:szCs w:val="20"/>
          <w:color w:val="auto"/>
        </w:rPr>
      </w:pPr>
      <w:r>
        <w:rPr>
          <w:rFonts w:ascii="Arial" w:cs="Arial" w:eastAsia="Arial" w:hAnsi="Arial"/>
          <w:sz w:val="16"/>
          <w:szCs w:val="16"/>
          <w:color w:val="auto"/>
        </w:rPr>
        <w:t>The Chairman of the Board speaks with each other director individually to obtain candid feedback with respect to Board, Committee and individual director performance, including</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to:</w:t>
      </w:r>
    </w:p>
    <w:p>
      <w:pPr>
        <w:spacing w:after="0" w:line="113" w:lineRule="exact"/>
        <w:rPr>
          <w:sz w:val="20"/>
          <w:szCs w:val="20"/>
          <w:color w:val="auto"/>
        </w:rPr>
      </w:pPr>
    </w:p>
    <w:p>
      <w:pPr>
        <w:ind w:left="640" w:right="800" w:hanging="316"/>
        <w:spacing w:after="0" w:line="312" w:lineRule="auto"/>
        <w:tabs>
          <w:tab w:leader="none" w:pos="640" w:val="left"/>
        </w:tabs>
        <w:numPr>
          <w:ilvl w:val="0"/>
          <w:numId w:val="38"/>
        </w:numPr>
        <w:rPr>
          <w:rFonts w:ascii="Times New Roman" w:cs="Times New Roman" w:eastAsia="Times New Roman" w:hAnsi="Times New Roman"/>
          <w:sz w:val="16"/>
          <w:szCs w:val="16"/>
          <w:color w:val="auto"/>
        </w:rPr>
      </w:pPr>
      <w:r>
        <w:rPr>
          <w:rFonts w:ascii="Arial" w:cs="Arial" w:eastAsia="Arial" w:hAnsi="Arial"/>
          <w:sz w:val="16"/>
          <w:szCs w:val="16"/>
          <w:color w:val="auto"/>
        </w:rPr>
        <w:t>confrm the director’s continued desire to serve on the Board and discuss Committee assignments;</w:t>
      </w:r>
    </w:p>
    <w:p>
      <w:pPr>
        <w:spacing w:after="0" w:line="20" w:lineRule="exact"/>
        <w:rPr>
          <w:rFonts w:ascii="Times New Roman" w:cs="Times New Roman" w:eastAsia="Times New Roman" w:hAnsi="Times New Roman"/>
          <w:sz w:val="16"/>
          <w:szCs w:val="16"/>
          <w:color w:val="auto"/>
        </w:rPr>
      </w:pPr>
    </w:p>
    <w:p>
      <w:pPr>
        <w:ind w:left="640" w:right="580" w:hanging="316"/>
        <w:spacing w:after="0" w:line="312" w:lineRule="auto"/>
        <w:tabs>
          <w:tab w:leader="none" w:pos="640" w:val="left"/>
        </w:tabs>
        <w:numPr>
          <w:ilvl w:val="0"/>
          <w:numId w:val="38"/>
        </w:numPr>
        <w:rPr>
          <w:rFonts w:ascii="Times New Roman" w:cs="Times New Roman" w:eastAsia="Times New Roman" w:hAnsi="Times New Roman"/>
          <w:sz w:val="16"/>
          <w:szCs w:val="16"/>
          <w:color w:val="auto"/>
        </w:rPr>
      </w:pPr>
      <w:r>
        <w:rPr>
          <w:rFonts w:ascii="Arial" w:cs="Arial" w:eastAsia="Arial" w:hAnsi="Arial"/>
          <w:sz w:val="16"/>
          <w:szCs w:val="16"/>
          <w:color w:val="auto"/>
        </w:rPr>
        <w:t>solicit the director’s suggestions on Board and Committee efectiveness and practices;</w:t>
      </w:r>
    </w:p>
    <w:p>
      <w:pPr>
        <w:spacing w:after="0" w:line="20" w:lineRule="exact"/>
        <w:rPr>
          <w:rFonts w:ascii="Times New Roman" w:cs="Times New Roman" w:eastAsia="Times New Roman" w:hAnsi="Times New Roman"/>
          <w:sz w:val="16"/>
          <w:szCs w:val="16"/>
          <w:color w:val="auto"/>
        </w:rPr>
      </w:pPr>
    </w:p>
    <w:p>
      <w:pPr>
        <w:ind w:left="640" w:hanging="316"/>
        <w:spacing w:after="0"/>
        <w:tabs>
          <w:tab w:leader="none" w:pos="640" w:val="left"/>
        </w:tabs>
        <w:numPr>
          <w:ilvl w:val="0"/>
          <w:numId w:val="38"/>
        </w:numPr>
        <w:rPr>
          <w:rFonts w:ascii="Times New Roman" w:cs="Times New Roman" w:eastAsia="Times New Roman" w:hAnsi="Times New Roman"/>
          <w:sz w:val="16"/>
          <w:szCs w:val="16"/>
          <w:color w:val="auto"/>
        </w:rPr>
      </w:pPr>
      <w:r>
        <w:rPr>
          <w:rFonts w:ascii="Arial" w:cs="Arial" w:eastAsia="Arial" w:hAnsi="Arial"/>
          <w:sz w:val="16"/>
          <w:szCs w:val="16"/>
          <w:color w:val="auto"/>
        </w:rPr>
        <w:t>solicit  additional  feedback  on  Board  composition  and  priority  agenda  topics;  and</w:t>
      </w:r>
    </w:p>
    <w:p>
      <w:pPr>
        <w:spacing w:after="0" w:line="112" w:lineRule="exact"/>
        <w:rPr>
          <w:rFonts w:ascii="Times New Roman" w:cs="Times New Roman" w:eastAsia="Times New Roman" w:hAnsi="Times New Roman"/>
          <w:sz w:val="16"/>
          <w:szCs w:val="16"/>
          <w:color w:val="auto"/>
        </w:rPr>
      </w:pPr>
    </w:p>
    <w:p>
      <w:pPr>
        <w:ind w:left="640" w:hanging="316"/>
        <w:spacing w:after="0"/>
        <w:tabs>
          <w:tab w:leader="none" w:pos="640" w:val="left"/>
        </w:tabs>
        <w:numPr>
          <w:ilvl w:val="0"/>
          <w:numId w:val="38"/>
        </w:numPr>
        <w:rPr>
          <w:rFonts w:ascii="Times New Roman" w:cs="Times New Roman" w:eastAsia="Times New Roman" w:hAnsi="Times New Roman"/>
          <w:sz w:val="16"/>
          <w:szCs w:val="16"/>
          <w:color w:val="auto"/>
        </w:rPr>
      </w:pPr>
      <w:r>
        <w:rPr>
          <w:rFonts w:ascii="Arial" w:cs="Arial" w:eastAsia="Arial" w:hAnsi="Arial"/>
          <w:sz w:val="16"/>
          <w:szCs w:val="16"/>
          <w:color w:val="auto"/>
        </w:rPr>
        <w:t>address  any  other  issues  the  director  wishes  to  discuss.</w:t>
      </w:r>
    </w:p>
    <w:p>
      <w:pPr>
        <w:spacing w:after="0" w:line="301" w:lineRule="exact"/>
        <w:rPr>
          <w:sz w:val="20"/>
          <w:szCs w:val="20"/>
          <w:color w:val="auto"/>
        </w:rPr>
      </w:pPr>
    </w:p>
    <w:p>
      <w:pPr>
        <w:ind w:right="300"/>
        <w:spacing w:after="0" w:line="255" w:lineRule="auto"/>
        <w:rPr>
          <w:sz w:val="20"/>
          <w:szCs w:val="20"/>
          <w:color w:val="auto"/>
        </w:rPr>
      </w:pPr>
      <w:r>
        <w:rPr>
          <w:rFonts w:ascii="Arial" w:cs="Arial" w:eastAsia="Arial" w:hAnsi="Arial"/>
          <w:sz w:val="16"/>
          <w:szCs w:val="16"/>
          <w:color w:val="auto"/>
        </w:rPr>
        <w:t>The results from the questionnaires are anonymously compiled, reviewed by the Nominating/Governance Committee and presented by the Chairman of the Board to the</w:t>
      </w:r>
    </w:p>
    <w:p>
      <w:pPr>
        <w:spacing w:after="0" w:line="1" w:lineRule="exact"/>
        <w:rPr>
          <w:sz w:val="20"/>
          <w:szCs w:val="20"/>
          <w:color w:val="auto"/>
        </w:rPr>
      </w:pPr>
    </w:p>
    <w:p>
      <w:pPr>
        <w:ind w:right="260"/>
        <w:spacing w:after="0" w:line="313" w:lineRule="auto"/>
        <w:rPr>
          <w:sz w:val="20"/>
          <w:szCs w:val="20"/>
          <w:color w:val="auto"/>
        </w:rPr>
      </w:pPr>
      <w:r>
        <w:rPr>
          <w:rFonts w:ascii="Arial" w:cs="Arial" w:eastAsia="Arial" w:hAnsi="Arial"/>
          <w:sz w:val="16"/>
          <w:szCs w:val="16"/>
          <w:color w:val="auto"/>
        </w:rPr>
        <w:t>full Board for discussion. Committee chairs also report to their Committees the results of their respective Committee’s evaluation and any follow-up actions.</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The  Nominating/Governance  Committee  uses  the  results  of  the  annual  assessment  to</w:t>
      </w:r>
    </w:p>
    <w:p>
      <w:pPr>
        <w:spacing w:after="0" w:line="19" w:lineRule="exact"/>
        <w:rPr>
          <w:sz w:val="20"/>
          <w:szCs w:val="20"/>
          <w:color w:val="auto"/>
        </w:rPr>
      </w:pPr>
    </w:p>
    <w:p>
      <w:pPr>
        <w:ind w:right="420"/>
        <w:spacing w:after="0" w:line="279" w:lineRule="auto"/>
        <w:rPr>
          <w:sz w:val="20"/>
          <w:szCs w:val="20"/>
          <w:color w:val="auto"/>
        </w:rPr>
      </w:pPr>
      <w:r>
        <w:rPr>
          <w:rFonts w:ascii="Arial" w:cs="Arial" w:eastAsia="Arial" w:hAnsi="Arial"/>
          <w:sz w:val="16"/>
          <w:szCs w:val="16"/>
          <w:color w:val="auto"/>
        </w:rPr>
        <w:t>make enhancements and continue to improve board efectiveness as part of its annual governance review. Any feedback for management is provided by the Chairman of the Board.</w:t>
      </w:r>
    </w:p>
    <w:p>
      <w:pPr>
        <w:spacing w:after="0" w:line="128" w:lineRule="exact"/>
        <w:rPr>
          <w:sz w:val="20"/>
          <w:szCs w:val="20"/>
          <w:color w:val="auto"/>
        </w:rPr>
      </w:pPr>
    </w:p>
    <w:p>
      <w:pPr>
        <w:ind w:right="200"/>
        <w:spacing w:after="0" w:line="279" w:lineRule="auto"/>
        <w:rPr>
          <w:sz w:val="20"/>
          <w:szCs w:val="20"/>
          <w:color w:val="auto"/>
        </w:rPr>
      </w:pPr>
      <w:r>
        <w:rPr>
          <w:rFonts w:ascii="Arial" w:cs="Arial" w:eastAsia="Arial" w:hAnsi="Arial"/>
          <w:sz w:val="16"/>
          <w:szCs w:val="16"/>
          <w:color w:val="auto"/>
        </w:rPr>
        <w:t>The Chairman of the Board also discusses with the full Board the anonymized feedback from the one-on-one director discussions. Any notable results from the individual director self-assessments are shared with the relevant directors.</w:t>
      </w:r>
    </w:p>
    <w:p>
      <w:pPr>
        <w:spacing w:after="0" w:line="200" w:lineRule="exact"/>
        <w:rPr>
          <w:sz w:val="20"/>
          <w:szCs w:val="20"/>
          <w:color w:val="auto"/>
        </w:rPr>
      </w:pPr>
    </w:p>
    <w:p>
      <w:pPr>
        <w:sectPr>
          <w:pgSz w:w="11900" w:h="16838" w:orient="portrait"/>
          <w:cols w:equalWidth="0" w:num="2">
            <w:col w:w="2520" w:space="200"/>
            <w:col w:w="7000"/>
          </w:cols>
          <w:pgMar w:left="1080" w:top="695" w:right="10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2026  Proxy  Statement</w:t>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1414D2"/>
        </w:rPr>
        <w:t>39</w:t>
      </w:r>
    </w:p>
    <w:p>
      <w:pPr>
        <w:sectPr>
          <w:pgSz w:w="11900" w:h="16838" w:orient="portrait"/>
          <w:cols w:equalWidth="0" w:num="1">
            <w:col w:w="9720"/>
          </w:cols>
          <w:pgMar w:left="1080" w:top="695" w:right="1099"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6D6F71"/>
        </w:rPr>
        <w:t>Board  and  Corporate  Governance  Matters</w:t>
      </w:r>
    </w:p>
    <w:p>
      <w:pPr>
        <w:spacing w:after="0" w:line="223" w:lineRule="exact"/>
        <w:rPr>
          <w:sz w:val="20"/>
          <w:szCs w:val="20"/>
          <w:color w:val="auto"/>
        </w:rPr>
      </w:pPr>
    </w:p>
    <w:p>
      <w:pPr>
        <w:spacing w:after="0"/>
        <w:rPr>
          <w:sz w:val="20"/>
          <w:szCs w:val="20"/>
          <w:color w:val="auto"/>
        </w:rPr>
      </w:pPr>
      <w:r>
        <w:rPr>
          <w:rFonts w:ascii="Arial" w:cs="Arial" w:eastAsia="Arial" w:hAnsi="Arial"/>
          <w:sz w:val="25"/>
          <w:szCs w:val="25"/>
          <w:b w:val="1"/>
          <w:bCs w:val="1"/>
          <w:color w:val="1414D2"/>
        </w:rPr>
        <w:t>Board Governance</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GOVERNANCE FRAMEWORK</w:t>
      </w:r>
    </w:p>
    <w:p>
      <w:pPr>
        <w:spacing w:after="0" w:line="127"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The Board has developed a corporate governance framework designed to ensure the Board has the authority and practices in place to review and evaluate the Company’s business operations and to make decisions independent of management. The Board’s goal is to align the interests of management and stockholders and comply with or exceed the requirements of the applicable Nasdaq Listing Rules and any other applicable rules or regulations. This framework establishes the practices that the</w:t>
      </w:r>
    </w:p>
    <w:p>
      <w:pPr>
        <w:spacing w:after="0" w:line="3" w:lineRule="exact"/>
        <w:rPr>
          <w:sz w:val="20"/>
          <w:szCs w:val="20"/>
          <w:color w:val="auto"/>
        </w:rPr>
      </w:pPr>
    </w:p>
    <w:p>
      <w:pPr>
        <w:ind w:right="340"/>
        <w:spacing w:after="0" w:line="268" w:lineRule="auto"/>
        <w:rPr>
          <w:sz w:val="20"/>
          <w:szCs w:val="20"/>
          <w:color w:val="auto"/>
        </w:rPr>
      </w:pPr>
      <w:r>
        <w:rPr>
          <w:rFonts w:ascii="Arial" w:cs="Arial" w:eastAsia="Arial" w:hAnsi="Arial"/>
          <w:sz w:val="16"/>
          <w:szCs w:val="16"/>
          <w:color w:val="auto"/>
        </w:rPr>
        <w:t>Board follows with respect to, among other things, Board composition and member selection, Board leadership structure, Board meetings and involvement of senior management, director compensation, the Chief Executive Ofcer performance evaluation, management succession planning and Board Committees. The Board is committed to seeking opportunities for improvements to this framework on an ongoing basis.</w:t>
      </w:r>
    </w:p>
    <w:p>
      <w:pPr>
        <w:spacing w:after="0" w:line="56"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We are committed to high standards of corporate governance and to conducting our business ethically and with integrity and professionalism. The Board has responsibility for establishing broad corporate policies and for overseeing the Company’s business and strategy on behalf of the Company’s stockholders and other stakeholders pursuant to the Delaware General Corporation Law and our Amended and Restated Bylaws. To this end, the Board has adopted Corporate Governance Guidelines</w:t>
      </w:r>
    </w:p>
    <w:p>
      <w:pPr>
        <w:spacing w:after="0" w:line="3"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that, together with our Amended and Restated Certifcate of Incorporation, Amended and Restated Bylaws and Committee charters, form the governance framework for the Board and its Committees. The Nominating/Governance Committee regularly reviews (at least annually) the Corporate Governance Guidelines and other governing documents and policies in light of</w:t>
      </w:r>
    </w:p>
    <w:p>
      <w:pPr>
        <w:spacing w:after="0" w:line="1"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 xml:space="preserve">changing regulatory requirements, evolving best practices and feedback from our stockholders and other stakeholders and recommends appropriate changes to the Board for consideration and approval. The Corporate Governance Guidelines may be viewed on the Company’s investor relations website at </w:t>
      </w:r>
      <w:r>
        <w:rPr>
          <w:rFonts w:ascii="Arial" w:cs="Arial" w:eastAsia="Arial" w:hAnsi="Arial"/>
          <w:sz w:val="16"/>
          <w:szCs w:val="16"/>
          <w:b w:val="1"/>
          <w:bCs w:val="1"/>
          <w:color w:val="1414D2"/>
        </w:rPr>
        <w:t>ir.united.com</w:t>
      </w:r>
      <w:r>
        <w:rPr>
          <w:rFonts w:ascii="Arial" w:cs="Arial" w:eastAsia="Arial" w:hAnsi="Arial"/>
          <w:sz w:val="16"/>
          <w:szCs w:val="16"/>
          <w:color w:val="auto"/>
        </w:rPr>
        <w:t>. Each Committee of the Board is governed by a charter adopted by the Board and any potential changes to the Committees’ charters are also considered at least once a year. In</w:t>
      </w:r>
    </w:p>
    <w:p>
      <w:pPr>
        <w:spacing w:after="0" w:line="3" w:lineRule="exact"/>
        <w:rPr>
          <w:sz w:val="20"/>
          <w:szCs w:val="20"/>
          <w:color w:val="auto"/>
        </w:rPr>
      </w:pPr>
    </w:p>
    <w:p>
      <w:pPr>
        <w:ind w:right="460"/>
        <w:spacing w:after="0" w:line="279" w:lineRule="auto"/>
        <w:rPr>
          <w:sz w:val="20"/>
          <w:szCs w:val="20"/>
          <w:color w:val="auto"/>
        </w:rPr>
      </w:pPr>
      <w:r>
        <w:rPr>
          <w:rFonts w:ascii="Arial" w:cs="Arial" w:eastAsia="Arial" w:hAnsi="Arial"/>
          <w:sz w:val="16"/>
          <w:szCs w:val="16"/>
          <w:color w:val="auto"/>
        </w:rPr>
        <w:t>addition, the Compensation Committee regularly reviews compensation issues and recommends adoption of policies and procedures that strengthen our compensation practices. The section entitled “Compensation Discussion and Analysis” beginning on page 76 discusses many of these policies and procedures.</w:t>
      </w:r>
    </w:p>
    <w:p>
      <w:pPr>
        <w:sectPr>
          <w:pgSz w:w="11900" w:h="16838" w:orient="portrait"/>
          <w:cols w:equalWidth="0" w:num="1">
            <w:col w:w="9680"/>
          </w:cols>
          <w:pgMar w:left="1080" w:top="695" w:right="1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right"/>
        <w:ind w:right="7680"/>
        <w:spacing w:after="0"/>
        <w:rPr>
          <w:sz w:val="20"/>
          <w:szCs w:val="20"/>
          <w:color w:val="auto"/>
        </w:rPr>
      </w:pPr>
      <w:r>
        <w:rPr>
          <w:rFonts w:ascii="Arial" w:cs="Arial" w:eastAsia="Arial" w:hAnsi="Arial"/>
          <w:sz w:val="16"/>
          <w:szCs w:val="16"/>
          <w:color w:val="auto"/>
        </w:rPr>
        <w:t>​​2026​  Proxy</w:t>
      </w:r>
    </w:p>
    <w:p>
      <w:pPr>
        <w:spacing w:after="0" w:line="5" w:lineRule="exact"/>
        <w:rPr>
          <w:sz w:val="20"/>
          <w:szCs w:val="20"/>
          <w:color w:val="auto"/>
        </w:rPr>
      </w:pPr>
    </w:p>
    <w:p>
      <w:pPr>
        <w:ind w:left="660" w:hanging="656"/>
        <w:spacing w:after="0"/>
        <w:tabs>
          <w:tab w:leader="none" w:pos="660" w:val="left"/>
        </w:tabs>
        <w:numPr>
          <w:ilvl w:val="0"/>
          <w:numId w:val="39"/>
        </w:numPr>
        <w:rPr>
          <w:rFonts w:ascii="Arial" w:cs="Arial" w:eastAsia="Arial" w:hAnsi="Arial"/>
          <w:sz w:val="16"/>
          <w:szCs w:val="16"/>
          <w:b w:val="1"/>
          <w:bCs w:val="1"/>
          <w:color w:val="1414D2"/>
        </w:rPr>
      </w:pPr>
      <w:r>
        <w:rPr>
          <w:rFonts w:ascii="Arial" w:cs="Arial" w:eastAsia="Arial" w:hAnsi="Arial"/>
          <w:sz w:val="16"/>
          <w:szCs w:val="16"/>
          <w:color w:val="auto"/>
        </w:rPr>
        <w:t>Statement</w:t>
      </w:r>
    </w:p>
    <w:p>
      <w:pPr>
        <w:sectPr>
          <w:pgSz w:w="11900" w:h="16838" w:orient="portrait"/>
          <w:cols w:equalWidth="0" w:num="1">
            <w:col w:w="9680"/>
          </w:cols>
          <w:pgMar w:left="1080" w:top="695" w:right="1139" w:bottom="1440" w:gutter="0" w:footer="0" w:header="0"/>
          <w:type w:val="continuous"/>
        </w:sectPr>
      </w:pPr>
    </w:p>
    <w:bookmarkStart w:id="51" w:name="page52"/>
    <w:bookmarkEnd w:id="51"/>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27" w:lineRule="exact"/>
        <w:rPr>
          <w:sz w:val="20"/>
          <w:szCs w:val="20"/>
          <w:color w:val="auto"/>
        </w:rPr>
      </w:pPr>
    </w:p>
    <w:p>
      <w:pPr>
        <w:ind w:left="6900"/>
        <w:spacing w:after="0"/>
        <w:rPr>
          <w:sz w:val="20"/>
          <w:szCs w:val="20"/>
          <w:color w:val="auto"/>
        </w:rPr>
      </w:pPr>
      <w:r>
        <w:rPr>
          <w:rFonts w:ascii="Arial" w:cs="Arial" w:eastAsia="Arial" w:hAnsi="Arial"/>
          <w:sz w:val="14"/>
          <w:szCs w:val="14"/>
          <w:color w:val="6D6F71"/>
        </w:rPr>
        <w:t>Board  and  Corporate  Governance  Matters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OVERSIGHT OF KEY RISKS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Board  takes  an  active  role  in  overseeing  corporate  and  business  strategy  and  seeks  to  ensure  the  long-term  interests  of</w:t>
      </w:r>
    </w:p>
    <w:p>
      <w:pPr>
        <w:spacing w:after="0" w:line="19" w:lineRule="exact"/>
        <w:rPr>
          <w:sz w:val="20"/>
          <w:szCs w:val="20"/>
          <w:color w:val="auto"/>
        </w:rPr>
      </w:pPr>
    </w:p>
    <w:p>
      <w:pPr>
        <w:ind w:right="20"/>
        <w:spacing w:after="0" w:line="313" w:lineRule="auto"/>
        <w:rPr>
          <w:sz w:val="20"/>
          <w:szCs w:val="20"/>
          <w:color w:val="auto"/>
        </w:rPr>
      </w:pPr>
      <w:r>
        <w:rPr>
          <w:rFonts w:ascii="Arial" w:cs="Arial" w:eastAsia="Arial" w:hAnsi="Arial"/>
          <w:sz w:val="16"/>
          <w:szCs w:val="16"/>
          <w:color w:val="auto"/>
        </w:rPr>
        <w:t>United and our stockholders are being served. The Board believes that evaluating the executive team’s management of the risks confronting United is an important area of oversight.</w:t>
      </w:r>
    </w:p>
    <w:p>
      <w:pPr>
        <w:spacing w:after="0" w:line="16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FFFFFF"/>
        </w:rPr>
        <w:t>BOARD OF DIRECTORS</w:t>
      </w:r>
    </w:p>
    <w:p>
      <w:pPr>
        <w:spacing w:after="0" w:line="136" w:lineRule="exact"/>
        <w:rPr>
          <w:sz w:val="20"/>
          <w:szCs w:val="20"/>
          <w:color w:val="auto"/>
        </w:rPr>
      </w:pPr>
    </w:p>
    <w:p>
      <w:pPr>
        <w:jc w:val="both"/>
        <w:ind w:right="400"/>
        <w:spacing w:after="0" w:line="297" w:lineRule="auto"/>
        <w:rPr>
          <w:sz w:val="20"/>
          <w:szCs w:val="20"/>
          <w:color w:val="auto"/>
        </w:rPr>
      </w:pPr>
      <w:r>
        <w:rPr>
          <w:rFonts w:ascii="Arial" w:cs="Arial" w:eastAsia="Arial" w:hAnsi="Arial"/>
          <w:sz w:val="16"/>
          <w:szCs w:val="16"/>
          <w:color w:val="FFFFFF"/>
        </w:rPr>
        <w:t>Our Board oversees corporate strategy, executive succession planning and other matters reserved to the Board. Our Board reviews and discusses with management signifcant risks afecting United, including directly overseeing safety matters and other matters escalated by its Committees from within their respective areas of direct oversight.</w:t>
      </w:r>
    </w:p>
    <w:p>
      <w:pPr>
        <w:spacing w:after="0" w:line="370"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3180" w:type="dxa"/>
            <w:vAlign w:val="bottom"/>
          </w:tcPr>
          <w:p>
            <w:pPr>
              <w:spacing w:after="0"/>
              <w:rPr>
                <w:sz w:val="20"/>
                <w:szCs w:val="20"/>
                <w:color w:val="auto"/>
              </w:rPr>
            </w:pPr>
            <w:r>
              <w:rPr>
                <w:rFonts w:ascii="Arial" w:cs="Arial" w:eastAsia="Arial" w:hAnsi="Arial"/>
                <w:sz w:val="16"/>
                <w:szCs w:val="16"/>
                <w:b w:val="1"/>
                <w:bCs w:val="1"/>
                <w:color w:val="auto"/>
              </w:rPr>
              <w:t>Audit Committee</w:t>
            </w:r>
          </w:p>
        </w:tc>
        <w:tc>
          <w:tcPr>
            <w:tcW w:w="3240" w:type="dxa"/>
            <w:vAlign w:val="bottom"/>
          </w:tcPr>
          <w:p>
            <w:pPr>
              <w:ind w:left="60"/>
              <w:spacing w:after="0"/>
              <w:rPr>
                <w:sz w:val="20"/>
                <w:szCs w:val="20"/>
                <w:color w:val="auto"/>
              </w:rPr>
            </w:pPr>
            <w:r>
              <w:rPr>
                <w:rFonts w:ascii="Arial" w:cs="Arial" w:eastAsia="Arial" w:hAnsi="Arial"/>
                <w:sz w:val="16"/>
                <w:szCs w:val="16"/>
                <w:b w:val="1"/>
                <w:bCs w:val="1"/>
                <w:color w:val="auto"/>
              </w:rPr>
              <w:t>Compensation Committee</w:t>
            </w:r>
          </w:p>
        </w:tc>
        <w:tc>
          <w:tcPr>
            <w:tcW w:w="3220" w:type="dxa"/>
            <w:vAlign w:val="bottom"/>
          </w:tcPr>
          <w:p>
            <w:pPr>
              <w:ind w:left="80"/>
              <w:spacing w:after="0"/>
              <w:rPr>
                <w:sz w:val="20"/>
                <w:szCs w:val="20"/>
                <w:color w:val="auto"/>
              </w:rPr>
            </w:pPr>
            <w:r>
              <w:rPr>
                <w:rFonts w:ascii="Arial" w:cs="Arial" w:eastAsia="Arial" w:hAnsi="Arial"/>
                <w:sz w:val="16"/>
                <w:szCs w:val="16"/>
                <w:b w:val="1"/>
                <w:bCs w:val="1"/>
                <w:color w:val="auto"/>
              </w:rPr>
              <w:t>Executive Committee</w:t>
            </w:r>
          </w:p>
        </w:tc>
      </w:tr>
      <w:tr>
        <w:trPr>
          <w:trHeight w:val="251"/>
        </w:trPr>
        <w:tc>
          <w:tcPr>
            <w:tcW w:w="3180" w:type="dxa"/>
            <w:vAlign w:val="bottom"/>
          </w:tcPr>
          <w:p>
            <w:pPr>
              <w:spacing w:after="0"/>
              <w:rPr>
                <w:sz w:val="20"/>
                <w:szCs w:val="20"/>
                <w:color w:val="auto"/>
              </w:rPr>
            </w:pPr>
            <w:r>
              <w:rPr>
                <w:rFonts w:ascii="Arial" w:cs="Arial" w:eastAsia="Arial" w:hAnsi="Arial"/>
                <w:sz w:val="16"/>
                <w:szCs w:val="16"/>
                <w:color w:val="auto"/>
              </w:rPr>
              <w:t>Oversees  fnancial  and  audit  matters,</w:t>
            </w:r>
          </w:p>
        </w:tc>
        <w:tc>
          <w:tcPr>
            <w:tcW w:w="6460" w:type="dxa"/>
            <w:vAlign w:val="bottom"/>
            <w:gridSpan w:val="2"/>
          </w:tcPr>
          <w:p>
            <w:pPr>
              <w:ind w:left="60"/>
              <w:spacing w:after="0"/>
              <w:rPr>
                <w:sz w:val="20"/>
                <w:szCs w:val="20"/>
                <w:color w:val="auto"/>
              </w:rPr>
            </w:pPr>
            <w:r>
              <w:rPr>
                <w:rFonts w:ascii="Arial" w:cs="Arial" w:eastAsia="Arial" w:hAnsi="Arial"/>
                <w:sz w:val="16"/>
                <w:szCs w:val="16"/>
                <w:color w:val="auto"/>
              </w:rPr>
              <w:t>Oversees  the  design  and  administration  of Oversees  and  monitors  trends,  strategies</w:t>
            </w:r>
          </w:p>
        </w:tc>
      </w:tr>
      <w:tr>
        <w:trPr>
          <w:trHeight w:val="203"/>
        </w:trPr>
        <w:tc>
          <w:tcPr>
            <w:tcW w:w="3180" w:type="dxa"/>
            <w:vAlign w:val="bottom"/>
          </w:tcPr>
          <w:p>
            <w:pPr>
              <w:spacing w:after="0"/>
              <w:rPr>
                <w:sz w:val="20"/>
                <w:szCs w:val="20"/>
                <w:color w:val="auto"/>
              </w:rPr>
            </w:pPr>
            <w:r>
              <w:rPr>
                <w:rFonts w:ascii="Arial" w:cs="Arial" w:eastAsia="Arial" w:hAnsi="Arial"/>
                <w:sz w:val="16"/>
                <w:szCs w:val="16"/>
                <w:color w:val="auto"/>
              </w:rPr>
              <w:t>including  fnancial  reporting,  internal</w:t>
            </w:r>
          </w:p>
        </w:tc>
        <w:tc>
          <w:tcPr>
            <w:tcW w:w="3240" w:type="dxa"/>
            <w:vAlign w:val="bottom"/>
          </w:tcPr>
          <w:p>
            <w:pPr>
              <w:ind w:left="60"/>
              <w:spacing w:after="0"/>
              <w:rPr>
                <w:sz w:val="20"/>
                <w:szCs w:val="20"/>
                <w:color w:val="auto"/>
              </w:rPr>
            </w:pPr>
            <w:r>
              <w:rPr>
                <w:rFonts w:ascii="Arial" w:cs="Arial" w:eastAsia="Arial" w:hAnsi="Arial"/>
                <w:sz w:val="16"/>
                <w:szCs w:val="16"/>
                <w:color w:val="auto"/>
              </w:rPr>
              <w:t>executive  compensation  programs  and</w:t>
            </w:r>
          </w:p>
        </w:tc>
        <w:tc>
          <w:tcPr>
            <w:tcW w:w="3220" w:type="dxa"/>
            <w:vAlign w:val="bottom"/>
          </w:tcPr>
          <w:p>
            <w:pPr>
              <w:ind w:left="80"/>
              <w:spacing w:after="0"/>
              <w:rPr>
                <w:sz w:val="20"/>
                <w:szCs w:val="20"/>
                <w:color w:val="auto"/>
              </w:rPr>
            </w:pPr>
            <w:r>
              <w:rPr>
                <w:rFonts w:ascii="Arial" w:cs="Arial" w:eastAsia="Arial" w:hAnsi="Arial"/>
                <w:sz w:val="16"/>
                <w:szCs w:val="16"/>
                <w:color w:val="auto"/>
              </w:rPr>
              <w:t>and  operational  and  fnancial  matters</w:t>
            </w:r>
          </w:p>
        </w:tc>
      </w:tr>
      <w:tr>
        <w:trPr>
          <w:trHeight w:val="203"/>
        </w:trPr>
        <w:tc>
          <w:tcPr>
            <w:tcW w:w="3180" w:type="dxa"/>
            <w:vAlign w:val="bottom"/>
          </w:tcPr>
          <w:p>
            <w:pPr>
              <w:spacing w:after="0"/>
              <w:rPr>
                <w:sz w:val="20"/>
                <w:szCs w:val="20"/>
                <w:color w:val="auto"/>
              </w:rPr>
            </w:pPr>
            <w:r>
              <w:rPr>
                <w:rFonts w:ascii="Arial" w:cs="Arial" w:eastAsia="Arial" w:hAnsi="Arial"/>
                <w:sz w:val="16"/>
                <w:szCs w:val="16"/>
                <w:color w:val="auto"/>
              </w:rPr>
              <w:t>audit,  ethics,  legal  and  regulatory</w:t>
            </w:r>
          </w:p>
        </w:tc>
        <w:tc>
          <w:tcPr>
            <w:tcW w:w="3240" w:type="dxa"/>
            <w:vAlign w:val="bottom"/>
          </w:tcPr>
          <w:p>
            <w:pPr>
              <w:ind w:left="60"/>
              <w:spacing w:after="0"/>
              <w:rPr>
                <w:sz w:val="20"/>
                <w:szCs w:val="20"/>
                <w:color w:val="auto"/>
              </w:rPr>
            </w:pPr>
            <w:r>
              <w:rPr>
                <w:rFonts w:ascii="Arial" w:cs="Arial" w:eastAsia="Arial" w:hAnsi="Arial"/>
                <w:sz w:val="16"/>
                <w:szCs w:val="16"/>
                <w:color w:val="auto"/>
              </w:rPr>
              <w:t>policies,  including  equity  incentive  plans,</w:t>
            </w:r>
          </w:p>
        </w:tc>
        <w:tc>
          <w:tcPr>
            <w:tcW w:w="3220" w:type="dxa"/>
            <w:vAlign w:val="bottom"/>
          </w:tcPr>
          <w:p>
            <w:pPr>
              <w:ind w:left="80"/>
              <w:spacing w:after="0"/>
              <w:rPr>
                <w:sz w:val="20"/>
                <w:szCs w:val="20"/>
                <w:color w:val="auto"/>
              </w:rPr>
            </w:pPr>
            <w:r>
              <w:rPr>
                <w:rFonts w:ascii="Arial" w:cs="Arial" w:eastAsia="Arial" w:hAnsi="Arial"/>
                <w:sz w:val="16"/>
                <w:szCs w:val="16"/>
                <w:color w:val="auto"/>
              </w:rPr>
              <w:t>that  afect  United  and  has  primary</w:t>
            </w:r>
          </w:p>
        </w:tc>
      </w:tr>
      <w:tr>
        <w:trPr>
          <w:trHeight w:val="203"/>
        </w:trPr>
        <w:tc>
          <w:tcPr>
            <w:tcW w:w="3180" w:type="dxa"/>
            <w:vAlign w:val="bottom"/>
          </w:tcPr>
          <w:p>
            <w:pPr>
              <w:spacing w:after="0"/>
              <w:rPr>
                <w:sz w:val="20"/>
                <w:szCs w:val="20"/>
                <w:color w:val="auto"/>
              </w:rPr>
            </w:pPr>
            <w:r>
              <w:rPr>
                <w:rFonts w:ascii="Arial" w:cs="Arial" w:eastAsia="Arial" w:hAnsi="Arial"/>
                <w:sz w:val="16"/>
                <w:szCs w:val="16"/>
                <w:color w:val="auto"/>
              </w:rPr>
              <w:t>compliance,  cybersecurity,  artifcial</w:t>
            </w:r>
          </w:p>
        </w:tc>
        <w:tc>
          <w:tcPr>
            <w:tcW w:w="3240" w:type="dxa"/>
            <w:vAlign w:val="bottom"/>
          </w:tcPr>
          <w:p>
            <w:pPr>
              <w:ind w:left="60"/>
              <w:spacing w:after="0"/>
              <w:rPr>
                <w:sz w:val="20"/>
                <w:szCs w:val="20"/>
                <w:color w:val="auto"/>
              </w:rPr>
            </w:pPr>
            <w:r>
              <w:rPr>
                <w:rFonts w:ascii="Arial" w:cs="Arial" w:eastAsia="Arial" w:hAnsi="Arial"/>
                <w:sz w:val="16"/>
                <w:szCs w:val="16"/>
                <w:color w:val="auto"/>
              </w:rPr>
              <w:t>and  has  primary  responsibility  for</w:t>
            </w:r>
          </w:p>
        </w:tc>
        <w:tc>
          <w:tcPr>
            <w:tcW w:w="3220" w:type="dxa"/>
            <w:vAlign w:val="bottom"/>
          </w:tcPr>
          <w:p>
            <w:pPr>
              <w:ind w:left="80"/>
              <w:spacing w:after="0"/>
              <w:rPr>
                <w:sz w:val="20"/>
                <w:szCs w:val="20"/>
                <w:color w:val="auto"/>
              </w:rPr>
            </w:pPr>
            <w:r>
              <w:rPr>
                <w:rFonts w:ascii="Arial" w:cs="Arial" w:eastAsia="Arial" w:hAnsi="Arial"/>
                <w:sz w:val="16"/>
                <w:szCs w:val="16"/>
                <w:color w:val="auto"/>
              </w:rPr>
              <w:t>responsibility  for  assisting  the  Board  with</w:t>
            </w:r>
          </w:p>
        </w:tc>
      </w:tr>
      <w:tr>
        <w:trPr>
          <w:trHeight w:val="216"/>
        </w:trPr>
        <w:tc>
          <w:tcPr>
            <w:tcW w:w="3180" w:type="dxa"/>
            <w:vAlign w:val="bottom"/>
          </w:tcPr>
          <w:p>
            <w:pPr>
              <w:spacing w:after="0"/>
              <w:rPr>
                <w:sz w:val="20"/>
                <w:szCs w:val="20"/>
                <w:color w:val="auto"/>
              </w:rPr>
            </w:pPr>
            <w:r>
              <w:rPr>
                <w:rFonts w:ascii="Arial" w:cs="Arial" w:eastAsia="Arial" w:hAnsi="Arial"/>
                <w:sz w:val="16"/>
                <w:szCs w:val="16"/>
                <w:color w:val="auto"/>
              </w:rPr>
              <w:t>intelligence  and  internal  controls  and  has</w:t>
            </w:r>
          </w:p>
        </w:tc>
        <w:tc>
          <w:tcPr>
            <w:tcW w:w="3240" w:type="dxa"/>
            <w:vAlign w:val="bottom"/>
          </w:tcPr>
          <w:p>
            <w:pPr>
              <w:ind w:left="60"/>
              <w:spacing w:after="0"/>
              <w:rPr>
                <w:sz w:val="20"/>
                <w:szCs w:val="20"/>
                <w:color w:val="auto"/>
              </w:rPr>
            </w:pPr>
            <w:r>
              <w:rPr>
                <w:rFonts w:ascii="Arial" w:cs="Arial" w:eastAsia="Arial" w:hAnsi="Arial"/>
                <w:sz w:val="16"/>
                <w:szCs w:val="16"/>
                <w:color w:val="auto"/>
              </w:rPr>
              <w:t>assisting  the  Board  with  its  oversight  of</w:t>
            </w:r>
          </w:p>
        </w:tc>
        <w:tc>
          <w:tcPr>
            <w:tcW w:w="3220" w:type="dxa"/>
            <w:vAlign w:val="bottom"/>
          </w:tcPr>
          <w:p>
            <w:pPr>
              <w:ind w:left="80"/>
              <w:spacing w:after="0"/>
              <w:rPr>
                <w:sz w:val="20"/>
                <w:szCs w:val="20"/>
                <w:color w:val="auto"/>
              </w:rPr>
            </w:pPr>
            <w:r>
              <w:rPr>
                <w:rFonts w:ascii="Arial" w:cs="Arial" w:eastAsia="Arial" w:hAnsi="Arial"/>
                <w:sz w:val="16"/>
                <w:szCs w:val="16"/>
                <w:color w:val="auto"/>
              </w:rPr>
              <w:t>its  oversight  of  human  resources  matters</w:t>
            </w:r>
          </w:p>
        </w:tc>
      </w:tr>
      <w:tr>
        <w:trPr>
          <w:trHeight w:val="203"/>
        </w:trPr>
        <w:tc>
          <w:tcPr>
            <w:tcW w:w="3180" w:type="dxa"/>
            <w:vAlign w:val="bottom"/>
          </w:tcPr>
          <w:p>
            <w:pPr>
              <w:spacing w:after="0"/>
              <w:rPr>
                <w:sz w:val="20"/>
                <w:szCs w:val="20"/>
                <w:color w:val="auto"/>
              </w:rPr>
            </w:pPr>
            <w:r>
              <w:rPr>
                <w:rFonts w:ascii="Arial" w:cs="Arial" w:eastAsia="Arial" w:hAnsi="Arial"/>
                <w:sz w:val="16"/>
                <w:szCs w:val="16"/>
                <w:color w:val="auto"/>
              </w:rPr>
              <w:t>primary  responsibility  for  assisting  in</w:t>
            </w:r>
          </w:p>
        </w:tc>
        <w:tc>
          <w:tcPr>
            <w:tcW w:w="3240" w:type="dxa"/>
            <w:vAlign w:val="bottom"/>
          </w:tcPr>
          <w:p>
            <w:pPr>
              <w:ind w:left="60"/>
              <w:spacing w:after="0"/>
              <w:rPr>
                <w:sz w:val="20"/>
                <w:szCs w:val="20"/>
                <w:color w:val="auto"/>
              </w:rPr>
            </w:pPr>
            <w:r>
              <w:rPr>
                <w:rFonts w:ascii="Arial" w:cs="Arial" w:eastAsia="Arial" w:hAnsi="Arial"/>
                <w:sz w:val="16"/>
                <w:szCs w:val="16"/>
                <w:color w:val="auto"/>
              </w:rPr>
              <w:t>executive  compensation.</w:t>
            </w:r>
          </w:p>
        </w:tc>
        <w:tc>
          <w:tcPr>
            <w:tcW w:w="3220" w:type="dxa"/>
            <w:vAlign w:val="bottom"/>
          </w:tcPr>
          <w:p>
            <w:pPr>
              <w:ind w:left="80"/>
              <w:spacing w:after="0"/>
              <w:rPr>
                <w:sz w:val="20"/>
                <w:szCs w:val="20"/>
                <w:color w:val="auto"/>
              </w:rPr>
            </w:pPr>
            <w:r>
              <w:rPr>
                <w:rFonts w:ascii="Arial" w:cs="Arial" w:eastAsia="Arial" w:hAnsi="Arial"/>
                <w:sz w:val="16"/>
                <w:szCs w:val="16"/>
                <w:color w:val="auto"/>
              </w:rPr>
              <w:t>and  labor  relations.</w:t>
            </w:r>
          </w:p>
        </w:tc>
      </w:tr>
      <w:tr>
        <w:trPr>
          <w:trHeight w:val="203"/>
        </w:trPr>
        <w:tc>
          <w:tcPr>
            <w:tcW w:w="3180" w:type="dxa"/>
            <w:vAlign w:val="bottom"/>
          </w:tcPr>
          <w:p>
            <w:pPr>
              <w:spacing w:after="0"/>
              <w:rPr>
                <w:sz w:val="20"/>
                <w:szCs w:val="20"/>
                <w:color w:val="auto"/>
              </w:rPr>
            </w:pPr>
            <w:r>
              <w:rPr>
                <w:rFonts w:ascii="Arial" w:cs="Arial" w:eastAsia="Arial" w:hAnsi="Arial"/>
                <w:sz w:val="16"/>
                <w:szCs w:val="16"/>
                <w:color w:val="auto"/>
              </w:rPr>
              <w:t>Board  oversight  of  the  enterprise  risk</w:t>
            </w:r>
          </w:p>
        </w:tc>
        <w:tc>
          <w:tcPr>
            <w:tcW w:w="3240" w:type="dxa"/>
            <w:vAlign w:val="bottom"/>
          </w:tcPr>
          <w:p>
            <w:pPr>
              <w:spacing w:after="0"/>
              <w:rPr>
                <w:sz w:val="17"/>
                <w:szCs w:val="17"/>
                <w:color w:val="auto"/>
              </w:rPr>
            </w:pPr>
          </w:p>
        </w:tc>
        <w:tc>
          <w:tcPr>
            <w:tcW w:w="3220" w:type="dxa"/>
            <w:vAlign w:val="bottom"/>
          </w:tcPr>
          <w:p>
            <w:pPr>
              <w:spacing w:after="0"/>
              <w:rPr>
                <w:sz w:val="17"/>
                <w:szCs w:val="17"/>
                <w:color w:val="auto"/>
              </w:rPr>
            </w:pPr>
          </w:p>
        </w:tc>
      </w:tr>
      <w:tr>
        <w:trPr>
          <w:trHeight w:val="235"/>
        </w:trPr>
        <w:tc>
          <w:tcPr>
            <w:tcW w:w="3180" w:type="dxa"/>
            <w:vAlign w:val="bottom"/>
          </w:tcPr>
          <w:p>
            <w:pPr>
              <w:spacing w:after="0"/>
              <w:rPr>
                <w:sz w:val="20"/>
                <w:szCs w:val="20"/>
                <w:color w:val="auto"/>
              </w:rPr>
            </w:pPr>
            <w:r>
              <w:rPr>
                <w:rFonts w:ascii="Arial" w:cs="Arial" w:eastAsia="Arial" w:hAnsi="Arial"/>
                <w:sz w:val="16"/>
                <w:szCs w:val="16"/>
                <w:color w:val="auto"/>
              </w:rPr>
              <w:t>management  program.</w:t>
            </w:r>
          </w:p>
        </w:tc>
        <w:tc>
          <w:tcPr>
            <w:tcW w:w="3240" w:type="dxa"/>
            <w:vAlign w:val="bottom"/>
          </w:tcPr>
          <w:p>
            <w:pPr>
              <w:spacing w:after="0"/>
              <w:rPr>
                <w:sz w:val="20"/>
                <w:szCs w:val="20"/>
                <w:color w:val="auto"/>
              </w:rPr>
            </w:pPr>
          </w:p>
        </w:tc>
        <w:tc>
          <w:tcPr>
            <w:tcW w:w="3220" w:type="dxa"/>
            <w:vAlign w:val="bottom"/>
          </w:tcPr>
          <w:p>
            <w:pPr>
              <w:spacing w:after="0"/>
              <w:rPr>
                <w:sz w:val="20"/>
                <w:szCs w:val="20"/>
                <w:color w:val="auto"/>
              </w:rPr>
            </w:pPr>
          </w:p>
        </w:tc>
      </w:tr>
    </w:tbl>
    <w:p>
      <w:pPr>
        <w:spacing w:after="0" w:line="129"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3180" w:type="dxa"/>
            <w:vAlign w:val="bottom"/>
          </w:tcPr>
          <w:p>
            <w:pPr>
              <w:spacing w:after="0"/>
              <w:rPr>
                <w:sz w:val="20"/>
                <w:szCs w:val="20"/>
                <w:color w:val="auto"/>
              </w:rPr>
            </w:pPr>
            <w:r>
              <w:rPr>
                <w:rFonts w:ascii="Arial" w:cs="Arial" w:eastAsia="Arial" w:hAnsi="Arial"/>
                <w:sz w:val="16"/>
                <w:szCs w:val="16"/>
                <w:b w:val="1"/>
                <w:bCs w:val="1"/>
                <w:color w:val="auto"/>
              </w:rPr>
              <w:t>Finance Committee</w:t>
            </w:r>
          </w:p>
        </w:tc>
        <w:tc>
          <w:tcPr>
            <w:tcW w:w="3180" w:type="dxa"/>
            <w:vAlign w:val="bottom"/>
          </w:tcPr>
          <w:p>
            <w:pPr>
              <w:ind w:left="60"/>
              <w:spacing w:after="0"/>
              <w:rPr>
                <w:sz w:val="20"/>
                <w:szCs w:val="20"/>
                <w:color w:val="auto"/>
              </w:rPr>
            </w:pPr>
            <w:r>
              <w:rPr>
                <w:rFonts w:ascii="Arial" w:cs="Arial" w:eastAsia="Arial" w:hAnsi="Arial"/>
                <w:sz w:val="16"/>
                <w:szCs w:val="16"/>
                <w:b w:val="1"/>
                <w:bCs w:val="1"/>
                <w:color w:val="auto"/>
              </w:rPr>
              <w:t>Nominating/Governance Committee</w:t>
            </w:r>
          </w:p>
        </w:tc>
        <w:tc>
          <w:tcPr>
            <w:tcW w:w="3260" w:type="dxa"/>
            <w:vAlign w:val="bottom"/>
          </w:tcPr>
          <w:p>
            <w:pPr>
              <w:ind w:left="140"/>
              <w:spacing w:after="0"/>
              <w:rPr>
                <w:sz w:val="20"/>
                <w:szCs w:val="20"/>
                <w:color w:val="auto"/>
              </w:rPr>
            </w:pPr>
            <w:r>
              <w:rPr>
                <w:rFonts w:ascii="Arial" w:cs="Arial" w:eastAsia="Arial" w:hAnsi="Arial"/>
                <w:sz w:val="16"/>
                <w:szCs w:val="16"/>
                <w:b w:val="1"/>
                <w:bCs w:val="1"/>
                <w:color w:val="auto"/>
              </w:rPr>
              <w:t>Public Responsibility Committee</w:t>
            </w:r>
          </w:p>
        </w:tc>
      </w:tr>
      <w:tr>
        <w:trPr>
          <w:trHeight w:val="251"/>
        </w:trPr>
        <w:tc>
          <w:tcPr>
            <w:tcW w:w="3180" w:type="dxa"/>
            <w:vAlign w:val="bottom"/>
          </w:tcPr>
          <w:p>
            <w:pPr>
              <w:spacing w:after="0"/>
              <w:rPr>
                <w:sz w:val="20"/>
                <w:szCs w:val="20"/>
                <w:color w:val="auto"/>
              </w:rPr>
            </w:pPr>
            <w:r>
              <w:rPr>
                <w:rFonts w:ascii="Arial" w:cs="Arial" w:eastAsia="Arial" w:hAnsi="Arial"/>
                <w:sz w:val="16"/>
                <w:szCs w:val="16"/>
                <w:color w:val="auto"/>
              </w:rPr>
              <w:t>Oversees  fnancial  and  strategic  planning</w:t>
            </w:r>
          </w:p>
        </w:tc>
        <w:tc>
          <w:tcPr>
            <w:tcW w:w="3180" w:type="dxa"/>
            <w:vAlign w:val="bottom"/>
          </w:tcPr>
          <w:p>
            <w:pPr>
              <w:ind w:left="60"/>
              <w:spacing w:after="0"/>
              <w:rPr>
                <w:sz w:val="20"/>
                <w:szCs w:val="20"/>
                <w:color w:val="auto"/>
              </w:rPr>
            </w:pPr>
            <w:r>
              <w:rPr>
                <w:rFonts w:ascii="Arial" w:cs="Arial" w:eastAsia="Arial" w:hAnsi="Arial"/>
                <w:sz w:val="16"/>
                <w:szCs w:val="16"/>
                <w:color w:val="auto"/>
              </w:rPr>
              <w:t>Oversees  Board  structure,  governance,</w:t>
            </w:r>
          </w:p>
        </w:tc>
        <w:tc>
          <w:tcPr>
            <w:tcW w:w="3260" w:type="dxa"/>
            <w:vAlign w:val="bottom"/>
          </w:tcPr>
          <w:p>
            <w:pPr>
              <w:ind w:left="140"/>
              <w:spacing w:after="0"/>
              <w:rPr>
                <w:sz w:val="20"/>
                <w:szCs w:val="20"/>
                <w:color w:val="auto"/>
              </w:rPr>
            </w:pPr>
            <w:r>
              <w:rPr>
                <w:rFonts w:ascii="Arial" w:cs="Arial" w:eastAsia="Arial" w:hAnsi="Arial"/>
                <w:sz w:val="16"/>
                <w:szCs w:val="16"/>
                <w:color w:val="auto"/>
              </w:rPr>
              <w:t>Oversees  the  design  and  administration</w:t>
            </w:r>
          </w:p>
        </w:tc>
      </w:tr>
      <w:tr>
        <w:trPr>
          <w:trHeight w:val="202"/>
        </w:trPr>
        <w:tc>
          <w:tcPr>
            <w:tcW w:w="3180" w:type="dxa"/>
            <w:vAlign w:val="bottom"/>
          </w:tcPr>
          <w:p>
            <w:pPr>
              <w:spacing w:after="0"/>
              <w:rPr>
                <w:sz w:val="20"/>
                <w:szCs w:val="20"/>
                <w:color w:val="auto"/>
              </w:rPr>
            </w:pPr>
            <w:r>
              <w:rPr>
                <w:rFonts w:ascii="Arial" w:cs="Arial" w:eastAsia="Arial" w:hAnsi="Arial"/>
                <w:sz w:val="16"/>
                <w:szCs w:val="16"/>
                <w:color w:val="auto"/>
              </w:rPr>
              <w:t>and  has  primary  responsibility  for</w:t>
            </w:r>
          </w:p>
        </w:tc>
        <w:tc>
          <w:tcPr>
            <w:tcW w:w="6440" w:type="dxa"/>
            <w:vAlign w:val="bottom"/>
            <w:gridSpan w:val="2"/>
          </w:tcPr>
          <w:p>
            <w:pPr>
              <w:ind w:left="60"/>
              <w:spacing w:after="0"/>
              <w:rPr>
                <w:sz w:val="20"/>
                <w:szCs w:val="20"/>
                <w:color w:val="auto"/>
              </w:rPr>
            </w:pPr>
            <w:r>
              <w:rPr>
                <w:rFonts w:ascii="Arial" w:cs="Arial" w:eastAsia="Arial" w:hAnsi="Arial"/>
                <w:sz w:val="16"/>
                <w:szCs w:val="16"/>
                <w:color w:val="auto"/>
              </w:rPr>
              <w:t>independence  and  director  compensation  of  our  safety  and  health,  community</w:t>
            </w:r>
          </w:p>
        </w:tc>
      </w:tr>
      <w:tr>
        <w:trPr>
          <w:trHeight w:val="203"/>
        </w:trPr>
        <w:tc>
          <w:tcPr>
            <w:tcW w:w="3180" w:type="dxa"/>
            <w:vAlign w:val="bottom"/>
          </w:tcPr>
          <w:p>
            <w:pPr>
              <w:spacing w:after="0"/>
              <w:rPr>
                <w:sz w:val="20"/>
                <w:szCs w:val="20"/>
                <w:color w:val="auto"/>
              </w:rPr>
            </w:pPr>
            <w:r>
              <w:rPr>
                <w:rFonts w:ascii="Arial" w:cs="Arial" w:eastAsia="Arial" w:hAnsi="Arial"/>
                <w:sz w:val="16"/>
                <w:szCs w:val="16"/>
                <w:color w:val="auto"/>
              </w:rPr>
              <w:t>assisting  the  Board  with  oversight  of</w:t>
            </w:r>
          </w:p>
        </w:tc>
        <w:tc>
          <w:tcPr>
            <w:tcW w:w="3180" w:type="dxa"/>
            <w:vAlign w:val="bottom"/>
          </w:tcPr>
          <w:p>
            <w:pPr>
              <w:ind w:left="60"/>
              <w:spacing w:after="0"/>
              <w:rPr>
                <w:sz w:val="20"/>
                <w:szCs w:val="20"/>
                <w:color w:val="auto"/>
              </w:rPr>
            </w:pPr>
            <w:r>
              <w:rPr>
                <w:rFonts w:ascii="Arial" w:cs="Arial" w:eastAsia="Arial" w:hAnsi="Arial"/>
                <w:sz w:val="16"/>
                <w:szCs w:val="16"/>
                <w:color w:val="auto"/>
              </w:rPr>
              <w:t>and  has  primary  responsibility  for</w:t>
            </w:r>
          </w:p>
        </w:tc>
        <w:tc>
          <w:tcPr>
            <w:tcW w:w="3260" w:type="dxa"/>
            <w:vAlign w:val="bottom"/>
          </w:tcPr>
          <w:p>
            <w:pPr>
              <w:ind w:left="140"/>
              <w:spacing w:after="0"/>
              <w:rPr>
                <w:sz w:val="20"/>
                <w:szCs w:val="20"/>
                <w:color w:val="auto"/>
              </w:rPr>
            </w:pPr>
            <w:r>
              <w:rPr>
                <w:rFonts w:ascii="Arial" w:cs="Arial" w:eastAsia="Arial" w:hAnsi="Arial"/>
                <w:sz w:val="16"/>
                <w:szCs w:val="16"/>
                <w:color w:val="auto"/>
              </w:rPr>
              <w:t>impact,  environmental  sustainability  and</w:t>
            </w:r>
          </w:p>
        </w:tc>
      </w:tr>
      <w:tr>
        <w:trPr>
          <w:trHeight w:val="203"/>
        </w:trPr>
        <w:tc>
          <w:tcPr>
            <w:tcW w:w="3180" w:type="dxa"/>
            <w:vAlign w:val="bottom"/>
          </w:tcPr>
          <w:p>
            <w:pPr>
              <w:spacing w:after="0"/>
              <w:rPr>
                <w:sz w:val="20"/>
                <w:szCs w:val="20"/>
                <w:color w:val="auto"/>
              </w:rPr>
            </w:pPr>
            <w:r>
              <w:rPr>
                <w:rFonts w:ascii="Arial" w:cs="Arial" w:eastAsia="Arial" w:hAnsi="Arial"/>
                <w:sz w:val="16"/>
                <w:szCs w:val="16"/>
                <w:color w:val="auto"/>
              </w:rPr>
              <w:t>matters  relating  to  our  treasury  and</w:t>
            </w:r>
          </w:p>
        </w:tc>
        <w:tc>
          <w:tcPr>
            <w:tcW w:w="3180" w:type="dxa"/>
            <w:vAlign w:val="bottom"/>
          </w:tcPr>
          <w:p>
            <w:pPr>
              <w:ind w:left="60"/>
              <w:spacing w:after="0"/>
              <w:rPr>
                <w:sz w:val="20"/>
                <w:szCs w:val="20"/>
                <w:color w:val="auto"/>
              </w:rPr>
            </w:pPr>
            <w:r>
              <w:rPr>
                <w:rFonts w:ascii="Arial" w:cs="Arial" w:eastAsia="Arial" w:hAnsi="Arial"/>
                <w:sz w:val="16"/>
                <w:szCs w:val="16"/>
                <w:color w:val="auto"/>
              </w:rPr>
              <w:t>assisting  the  Board  with  its  oversight  of</w:t>
            </w:r>
          </w:p>
        </w:tc>
        <w:tc>
          <w:tcPr>
            <w:tcW w:w="3260" w:type="dxa"/>
            <w:vAlign w:val="bottom"/>
          </w:tcPr>
          <w:p>
            <w:pPr>
              <w:ind w:left="140"/>
              <w:spacing w:after="0"/>
              <w:rPr>
                <w:sz w:val="20"/>
                <w:szCs w:val="20"/>
                <w:color w:val="auto"/>
              </w:rPr>
            </w:pPr>
            <w:r>
              <w:rPr>
                <w:rFonts w:ascii="Arial" w:cs="Arial" w:eastAsia="Arial" w:hAnsi="Arial"/>
                <w:sz w:val="16"/>
                <w:szCs w:val="16"/>
                <w:color w:val="auto"/>
              </w:rPr>
              <w:t>climate-related,  people  impact,</w:t>
            </w:r>
          </w:p>
        </w:tc>
      </w:tr>
      <w:tr>
        <w:trPr>
          <w:trHeight w:val="216"/>
        </w:trPr>
        <w:tc>
          <w:tcPr>
            <w:tcW w:w="3180" w:type="dxa"/>
            <w:vAlign w:val="bottom"/>
          </w:tcPr>
          <w:p>
            <w:pPr>
              <w:spacing w:after="0"/>
              <w:rPr>
                <w:sz w:val="20"/>
                <w:szCs w:val="20"/>
                <w:color w:val="auto"/>
              </w:rPr>
            </w:pPr>
            <w:r>
              <w:rPr>
                <w:rFonts w:ascii="Arial" w:cs="Arial" w:eastAsia="Arial" w:hAnsi="Arial"/>
                <w:sz w:val="16"/>
                <w:szCs w:val="16"/>
                <w:color w:val="auto"/>
              </w:rPr>
              <w:t>capital  structure.</w:t>
            </w:r>
          </w:p>
        </w:tc>
        <w:tc>
          <w:tcPr>
            <w:tcW w:w="3180" w:type="dxa"/>
            <w:vAlign w:val="bottom"/>
          </w:tcPr>
          <w:p>
            <w:pPr>
              <w:ind w:left="60"/>
              <w:spacing w:after="0"/>
              <w:rPr>
                <w:sz w:val="20"/>
                <w:szCs w:val="20"/>
                <w:color w:val="auto"/>
              </w:rPr>
            </w:pPr>
            <w:r>
              <w:rPr>
                <w:rFonts w:ascii="Arial" w:cs="Arial" w:eastAsia="Arial" w:hAnsi="Arial"/>
                <w:sz w:val="16"/>
                <w:szCs w:val="16"/>
                <w:color w:val="auto"/>
              </w:rPr>
              <w:t>Board  succession  planning  and</w:t>
            </w:r>
          </w:p>
        </w:tc>
        <w:tc>
          <w:tcPr>
            <w:tcW w:w="3260" w:type="dxa"/>
            <w:vAlign w:val="bottom"/>
          </w:tcPr>
          <w:p>
            <w:pPr>
              <w:ind w:left="140"/>
              <w:spacing w:after="0"/>
              <w:rPr>
                <w:sz w:val="20"/>
                <w:szCs w:val="20"/>
                <w:color w:val="auto"/>
              </w:rPr>
            </w:pPr>
            <w:r>
              <w:rPr>
                <w:rFonts w:ascii="Arial" w:cs="Arial" w:eastAsia="Arial" w:hAnsi="Arial"/>
                <w:sz w:val="16"/>
                <w:szCs w:val="16"/>
                <w:color w:val="auto"/>
              </w:rPr>
              <w:t>responsible  sourcing  and  government</w:t>
            </w:r>
          </w:p>
        </w:tc>
      </w:tr>
      <w:tr>
        <w:trPr>
          <w:trHeight w:val="203"/>
        </w:trPr>
        <w:tc>
          <w:tcPr>
            <w:tcW w:w="3180" w:type="dxa"/>
            <w:vAlign w:val="bottom"/>
          </w:tcPr>
          <w:p>
            <w:pPr>
              <w:spacing w:after="0"/>
              <w:rPr>
                <w:sz w:val="17"/>
                <w:szCs w:val="17"/>
                <w:color w:val="auto"/>
              </w:rPr>
            </w:pPr>
          </w:p>
        </w:tc>
        <w:tc>
          <w:tcPr>
            <w:tcW w:w="3180" w:type="dxa"/>
            <w:vAlign w:val="bottom"/>
          </w:tcPr>
          <w:p>
            <w:pPr>
              <w:ind w:left="60"/>
              <w:spacing w:after="0"/>
              <w:rPr>
                <w:sz w:val="20"/>
                <w:szCs w:val="20"/>
                <w:color w:val="auto"/>
              </w:rPr>
            </w:pPr>
            <w:r>
              <w:rPr>
                <w:rFonts w:ascii="Arial" w:cs="Arial" w:eastAsia="Arial" w:hAnsi="Arial"/>
                <w:sz w:val="16"/>
                <w:szCs w:val="16"/>
                <w:color w:val="auto"/>
              </w:rPr>
              <w:t>management  succession  planning.</w:t>
            </w:r>
          </w:p>
        </w:tc>
        <w:tc>
          <w:tcPr>
            <w:tcW w:w="3260" w:type="dxa"/>
            <w:vAlign w:val="bottom"/>
          </w:tcPr>
          <w:p>
            <w:pPr>
              <w:ind w:left="140"/>
              <w:spacing w:after="0"/>
              <w:rPr>
                <w:sz w:val="20"/>
                <w:szCs w:val="20"/>
                <w:color w:val="auto"/>
              </w:rPr>
            </w:pPr>
            <w:r>
              <w:rPr>
                <w:rFonts w:ascii="Arial" w:cs="Arial" w:eastAsia="Arial" w:hAnsi="Arial"/>
                <w:sz w:val="16"/>
                <w:szCs w:val="16"/>
                <w:color w:val="auto"/>
              </w:rPr>
              <w:t>afairs  initiatives,  risks  and  opportunities,</w:t>
            </w:r>
          </w:p>
        </w:tc>
      </w:tr>
      <w:tr>
        <w:trPr>
          <w:trHeight w:val="235"/>
        </w:trPr>
        <w:tc>
          <w:tcPr>
            <w:tcW w:w="318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3260" w:type="dxa"/>
            <w:vAlign w:val="bottom"/>
          </w:tcPr>
          <w:p>
            <w:pPr>
              <w:ind w:left="140"/>
              <w:spacing w:after="0"/>
              <w:rPr>
                <w:sz w:val="20"/>
                <w:szCs w:val="20"/>
                <w:color w:val="auto"/>
              </w:rPr>
            </w:pPr>
            <w:r>
              <w:rPr>
                <w:rFonts w:ascii="Arial" w:cs="Arial" w:eastAsia="Arial" w:hAnsi="Arial"/>
                <w:sz w:val="16"/>
                <w:szCs w:val="16"/>
                <w:color w:val="auto"/>
              </w:rPr>
              <w:t>including  strategic  goals  and  objectives.</w:t>
            </w:r>
          </w:p>
        </w:tc>
      </w:tr>
    </w:tbl>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FFFFFF"/>
        </w:rPr>
        <w:t>MANAGEMENT</w:t>
      </w:r>
    </w:p>
    <w:p>
      <w:pPr>
        <w:spacing w:after="0" w:line="136" w:lineRule="exact"/>
        <w:rPr>
          <w:sz w:val="20"/>
          <w:szCs w:val="20"/>
          <w:color w:val="auto"/>
        </w:rPr>
      </w:pPr>
    </w:p>
    <w:p>
      <w:pPr>
        <w:ind w:right="420"/>
        <w:spacing w:after="0" w:line="330" w:lineRule="auto"/>
        <w:rPr>
          <w:sz w:val="20"/>
          <w:szCs w:val="20"/>
          <w:color w:val="auto"/>
        </w:rPr>
      </w:pPr>
      <w:r>
        <w:rPr>
          <w:rFonts w:ascii="Arial" w:cs="Arial" w:eastAsia="Arial" w:hAnsi="Arial"/>
          <w:sz w:val="16"/>
          <w:szCs w:val="16"/>
          <w:color w:val="FFFFFF"/>
        </w:rPr>
        <w:t>Led by our CEO and executive team, implements and supervises day-to-day risk management processes and reports to the Board and its Committees on signifcant matters.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5"/>
        </w:trPr>
        <w:tc>
          <w:tcPr>
            <w:tcW w:w="20" w:type="dxa"/>
            <w:vAlign w:val="bottom"/>
          </w:tcPr>
          <w:p>
            <w:pPr>
              <w:spacing w:after="0"/>
              <w:rPr>
                <w:sz w:val="2"/>
                <w:szCs w:val="2"/>
                <w:color w:val="auto"/>
              </w:rPr>
            </w:pPr>
          </w:p>
        </w:tc>
        <w:tc>
          <w:tcPr>
            <w:tcW w:w="48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Internal Audit</w:t>
            </w:r>
          </w:p>
        </w:tc>
        <w:tc>
          <w:tcPr>
            <w:tcW w:w="20" w:type="dxa"/>
            <w:vAlign w:val="bottom"/>
          </w:tcPr>
          <w:p>
            <w:pPr>
              <w:spacing w:after="0"/>
              <w:rPr>
                <w:sz w:val="2"/>
                <w:szCs w:val="2"/>
                <w:color w:val="auto"/>
              </w:rPr>
            </w:pPr>
          </w:p>
        </w:tc>
        <w:tc>
          <w:tcPr>
            <w:tcW w:w="4840" w:type="dxa"/>
            <w:vAlign w:val="bottom"/>
            <w:tcBorders>
              <w:right w:val="single" w:sz="8" w:color="1414D2"/>
            </w:tcBorders>
            <w:vMerge w:val="restart"/>
          </w:tcPr>
          <w:p>
            <w:pPr>
              <w:jc w:val="center"/>
              <w:spacing w:after="0"/>
              <w:rPr>
                <w:sz w:val="20"/>
                <w:szCs w:val="20"/>
                <w:color w:val="auto"/>
              </w:rPr>
            </w:pPr>
            <w:r>
              <w:rPr>
                <w:rFonts w:ascii="Arial" w:cs="Arial" w:eastAsia="Arial" w:hAnsi="Arial"/>
                <w:sz w:val="16"/>
                <w:szCs w:val="16"/>
                <w:b w:val="1"/>
                <w:bCs w:val="1"/>
                <w:color w:val="auto"/>
              </w:rPr>
              <w:t>Enterprise Risk Management Program</w:t>
            </w:r>
          </w:p>
        </w:tc>
        <w:tc>
          <w:tcPr>
            <w:tcW w:w="0" w:type="dxa"/>
            <w:vAlign w:val="bottom"/>
          </w:tcPr>
          <w:p>
            <w:pPr>
              <w:spacing w:after="0" w:line="20" w:lineRule="exact"/>
              <w:rPr>
                <w:sz w:val="1"/>
                <w:szCs w:val="1"/>
                <w:color w:val="auto"/>
              </w:rPr>
            </w:pPr>
          </w:p>
        </w:tc>
      </w:tr>
      <w:tr>
        <w:trPr>
          <w:trHeight w:val="211"/>
        </w:trPr>
        <w:tc>
          <w:tcPr>
            <w:tcW w:w="20" w:type="dxa"/>
            <w:vAlign w:val="bottom"/>
            <w:shd w:val="clear" w:color="auto" w:fill="1414D2"/>
          </w:tcPr>
          <w:p>
            <w:pPr>
              <w:spacing w:after="0"/>
              <w:rPr>
                <w:sz w:val="18"/>
                <w:szCs w:val="18"/>
                <w:color w:val="auto"/>
              </w:rPr>
            </w:pPr>
          </w:p>
        </w:tc>
        <w:tc>
          <w:tcPr>
            <w:tcW w:w="4860" w:type="dxa"/>
            <w:vAlign w:val="bottom"/>
            <w:vMerge w:val="continue"/>
          </w:tcPr>
          <w:p>
            <w:pPr>
              <w:spacing w:after="0"/>
              <w:rPr>
                <w:sz w:val="18"/>
                <w:szCs w:val="18"/>
                <w:color w:val="auto"/>
              </w:rPr>
            </w:pPr>
          </w:p>
        </w:tc>
        <w:tc>
          <w:tcPr>
            <w:tcW w:w="20" w:type="dxa"/>
            <w:vAlign w:val="bottom"/>
            <w:shd w:val="clear" w:color="auto" w:fill="1414D2"/>
          </w:tcPr>
          <w:p>
            <w:pPr>
              <w:spacing w:after="0"/>
              <w:rPr>
                <w:sz w:val="18"/>
                <w:szCs w:val="18"/>
                <w:color w:val="auto"/>
              </w:rPr>
            </w:pPr>
          </w:p>
        </w:tc>
        <w:tc>
          <w:tcPr>
            <w:tcW w:w="4840" w:type="dxa"/>
            <w:vAlign w:val="bottom"/>
            <w:tcBorders>
              <w:right w:val="single" w:sz="8" w:color="1414D2"/>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shd w:val="clear" w:color="auto" w:fill="1414D2"/>
          </w:tcPr>
          <w:p>
            <w:pPr>
              <w:spacing w:after="0"/>
              <w:rPr>
                <w:sz w:val="8"/>
                <w:szCs w:val="8"/>
                <w:color w:val="auto"/>
              </w:rPr>
            </w:pPr>
          </w:p>
        </w:tc>
        <w:tc>
          <w:tcPr>
            <w:tcW w:w="4860" w:type="dxa"/>
            <w:vAlign w:val="bottom"/>
            <w:vMerge w:val="restart"/>
          </w:tcPr>
          <w:p>
            <w:pPr>
              <w:jc w:val="center"/>
              <w:spacing w:after="0"/>
              <w:rPr>
                <w:sz w:val="20"/>
                <w:szCs w:val="20"/>
                <w:color w:val="auto"/>
              </w:rPr>
            </w:pPr>
            <w:r>
              <w:rPr>
                <w:rFonts w:ascii="Arial" w:cs="Arial" w:eastAsia="Arial" w:hAnsi="Arial"/>
                <w:sz w:val="16"/>
                <w:szCs w:val="16"/>
                <w:color w:val="auto"/>
              </w:rPr>
              <w:t>Identifes  and  helps  mitigate  risk  and  improves  internal</w:t>
            </w:r>
          </w:p>
        </w:tc>
        <w:tc>
          <w:tcPr>
            <w:tcW w:w="20" w:type="dxa"/>
            <w:vAlign w:val="bottom"/>
            <w:shd w:val="clear" w:color="auto" w:fill="1414D2"/>
          </w:tcPr>
          <w:p>
            <w:pPr>
              <w:spacing w:after="0"/>
              <w:rPr>
                <w:sz w:val="8"/>
                <w:szCs w:val="8"/>
                <w:color w:val="auto"/>
              </w:rPr>
            </w:pPr>
          </w:p>
        </w:tc>
        <w:tc>
          <w:tcPr>
            <w:tcW w:w="4840" w:type="dxa"/>
            <w:vAlign w:val="bottom"/>
            <w:tcBorders>
              <w:right w:val="single" w:sz="8" w:color="1414D2"/>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20" w:type="dxa"/>
            <w:vAlign w:val="bottom"/>
            <w:shd w:val="clear" w:color="auto" w:fill="1414D2"/>
          </w:tcPr>
          <w:p>
            <w:pPr>
              <w:spacing w:after="0"/>
              <w:rPr>
                <w:sz w:val="11"/>
                <w:szCs w:val="11"/>
                <w:color w:val="auto"/>
              </w:rPr>
            </w:pPr>
          </w:p>
        </w:tc>
        <w:tc>
          <w:tcPr>
            <w:tcW w:w="4860" w:type="dxa"/>
            <w:vAlign w:val="bottom"/>
            <w:vMerge w:val="continue"/>
          </w:tcPr>
          <w:p>
            <w:pPr>
              <w:spacing w:after="0"/>
              <w:rPr>
                <w:sz w:val="11"/>
                <w:szCs w:val="11"/>
                <w:color w:val="auto"/>
              </w:rPr>
            </w:pPr>
          </w:p>
        </w:tc>
        <w:tc>
          <w:tcPr>
            <w:tcW w:w="20" w:type="dxa"/>
            <w:vAlign w:val="bottom"/>
            <w:shd w:val="clear" w:color="auto" w:fill="1414D2"/>
          </w:tcPr>
          <w:p>
            <w:pPr>
              <w:spacing w:after="0"/>
              <w:rPr>
                <w:sz w:val="11"/>
                <w:szCs w:val="11"/>
                <w:color w:val="auto"/>
              </w:rPr>
            </w:pPr>
          </w:p>
        </w:tc>
        <w:tc>
          <w:tcPr>
            <w:tcW w:w="4840" w:type="dxa"/>
            <w:vAlign w:val="bottom"/>
            <w:tcBorders>
              <w:right w:val="single" w:sz="8" w:color="1414D2"/>
            </w:tcBorders>
            <w:vMerge w:val="restart"/>
          </w:tcPr>
          <w:p>
            <w:pPr>
              <w:jc w:val="center"/>
              <w:spacing w:after="0"/>
              <w:rPr>
                <w:sz w:val="20"/>
                <w:szCs w:val="20"/>
                <w:color w:val="auto"/>
              </w:rPr>
            </w:pPr>
            <w:r>
              <w:rPr>
                <w:rFonts w:ascii="Arial" w:cs="Arial" w:eastAsia="Arial" w:hAnsi="Arial"/>
                <w:sz w:val="16"/>
                <w:szCs w:val="16"/>
                <w:color w:val="auto"/>
                <w:w w:val="98"/>
              </w:rPr>
              <w:t>Designed  to  identify,  assess  and  monitor  our  business  risks,</w:t>
            </w:r>
          </w:p>
        </w:tc>
        <w:tc>
          <w:tcPr>
            <w:tcW w:w="0" w:type="dxa"/>
            <w:vAlign w:val="bottom"/>
          </w:tcPr>
          <w:p>
            <w:pPr>
              <w:spacing w:after="0"/>
              <w:rPr>
                <w:sz w:val="1"/>
                <w:szCs w:val="1"/>
                <w:color w:val="auto"/>
              </w:rPr>
            </w:pPr>
          </w:p>
        </w:tc>
      </w:tr>
      <w:tr>
        <w:trPr>
          <w:trHeight w:val="95"/>
        </w:trPr>
        <w:tc>
          <w:tcPr>
            <w:tcW w:w="20" w:type="dxa"/>
            <w:vAlign w:val="bottom"/>
            <w:shd w:val="clear" w:color="auto" w:fill="1414D2"/>
          </w:tcPr>
          <w:p>
            <w:pPr>
              <w:spacing w:after="0"/>
              <w:rPr>
                <w:sz w:val="8"/>
                <w:szCs w:val="8"/>
                <w:color w:val="auto"/>
              </w:rPr>
            </w:pPr>
          </w:p>
        </w:tc>
        <w:tc>
          <w:tcPr>
            <w:tcW w:w="4860" w:type="dxa"/>
            <w:vAlign w:val="bottom"/>
            <w:vMerge w:val="restart"/>
          </w:tcPr>
          <w:p>
            <w:pPr>
              <w:jc w:val="center"/>
              <w:spacing w:after="0"/>
              <w:rPr>
                <w:sz w:val="20"/>
                <w:szCs w:val="20"/>
                <w:color w:val="auto"/>
              </w:rPr>
            </w:pPr>
            <w:r>
              <w:rPr>
                <w:rFonts w:ascii="Arial" w:cs="Arial" w:eastAsia="Arial" w:hAnsi="Arial"/>
                <w:sz w:val="16"/>
                <w:szCs w:val="16"/>
                <w:color w:val="auto"/>
                <w:w w:val="99"/>
              </w:rPr>
              <w:t>controls.  The  internal  audit  function  is  directly  overseen  by  the</w:t>
            </w:r>
          </w:p>
        </w:tc>
        <w:tc>
          <w:tcPr>
            <w:tcW w:w="20" w:type="dxa"/>
            <w:vAlign w:val="bottom"/>
            <w:shd w:val="clear" w:color="auto" w:fill="1414D2"/>
          </w:tcPr>
          <w:p>
            <w:pPr>
              <w:spacing w:after="0"/>
              <w:rPr>
                <w:sz w:val="8"/>
                <w:szCs w:val="8"/>
                <w:color w:val="auto"/>
              </w:rPr>
            </w:pPr>
          </w:p>
        </w:tc>
        <w:tc>
          <w:tcPr>
            <w:tcW w:w="4840" w:type="dxa"/>
            <w:vAlign w:val="bottom"/>
            <w:tcBorders>
              <w:right w:val="single" w:sz="8" w:color="1414D2"/>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shd w:val="clear" w:color="auto" w:fill="1414D2"/>
          </w:tcPr>
          <w:p>
            <w:pPr>
              <w:spacing w:after="0"/>
              <w:rPr>
                <w:sz w:val="8"/>
                <w:szCs w:val="8"/>
                <w:color w:val="auto"/>
              </w:rPr>
            </w:pPr>
          </w:p>
        </w:tc>
        <w:tc>
          <w:tcPr>
            <w:tcW w:w="4860" w:type="dxa"/>
            <w:vAlign w:val="bottom"/>
            <w:vMerge w:val="continue"/>
          </w:tcPr>
          <w:p>
            <w:pPr>
              <w:spacing w:after="0"/>
              <w:rPr>
                <w:sz w:val="8"/>
                <w:szCs w:val="8"/>
                <w:color w:val="auto"/>
              </w:rPr>
            </w:pPr>
          </w:p>
        </w:tc>
        <w:tc>
          <w:tcPr>
            <w:tcW w:w="20" w:type="dxa"/>
            <w:vAlign w:val="bottom"/>
            <w:shd w:val="clear" w:color="auto" w:fill="1414D2"/>
          </w:tcPr>
          <w:p>
            <w:pPr>
              <w:spacing w:after="0"/>
              <w:rPr>
                <w:sz w:val="8"/>
                <w:szCs w:val="8"/>
                <w:color w:val="auto"/>
              </w:rPr>
            </w:pPr>
          </w:p>
        </w:tc>
        <w:tc>
          <w:tcPr>
            <w:tcW w:w="4840" w:type="dxa"/>
            <w:vAlign w:val="bottom"/>
            <w:tcBorders>
              <w:right w:val="single" w:sz="8" w:color="1414D2"/>
            </w:tcBorders>
            <w:vMerge w:val="restart"/>
          </w:tcPr>
          <w:p>
            <w:pPr>
              <w:jc w:val="center"/>
              <w:spacing w:after="0"/>
              <w:rPr>
                <w:sz w:val="20"/>
                <w:szCs w:val="20"/>
                <w:color w:val="auto"/>
              </w:rPr>
            </w:pPr>
            <w:r>
              <w:rPr>
                <w:rFonts w:ascii="Arial" w:cs="Arial" w:eastAsia="Arial" w:hAnsi="Arial"/>
                <w:sz w:val="16"/>
                <w:szCs w:val="16"/>
                <w:color w:val="auto"/>
              </w:rPr>
              <w:t>including  fnancial,  operational,  compliance,  safety  and</w:t>
            </w:r>
          </w:p>
        </w:tc>
        <w:tc>
          <w:tcPr>
            <w:tcW w:w="0" w:type="dxa"/>
            <w:vAlign w:val="bottom"/>
          </w:tcPr>
          <w:p>
            <w:pPr>
              <w:spacing w:after="0"/>
              <w:rPr>
                <w:sz w:val="1"/>
                <w:szCs w:val="1"/>
                <w:color w:val="auto"/>
              </w:rPr>
            </w:pPr>
          </w:p>
        </w:tc>
      </w:tr>
      <w:tr>
        <w:trPr>
          <w:trHeight w:val="95"/>
        </w:trPr>
        <w:tc>
          <w:tcPr>
            <w:tcW w:w="20" w:type="dxa"/>
            <w:vAlign w:val="bottom"/>
            <w:shd w:val="clear" w:color="auto" w:fill="1414D2"/>
          </w:tcPr>
          <w:p>
            <w:pPr>
              <w:spacing w:after="0"/>
              <w:rPr>
                <w:sz w:val="8"/>
                <w:szCs w:val="8"/>
                <w:color w:val="auto"/>
              </w:rPr>
            </w:pPr>
          </w:p>
        </w:tc>
        <w:tc>
          <w:tcPr>
            <w:tcW w:w="4860" w:type="dxa"/>
            <w:vAlign w:val="bottom"/>
            <w:vMerge w:val="restart"/>
          </w:tcPr>
          <w:p>
            <w:pPr>
              <w:jc w:val="center"/>
              <w:spacing w:after="0"/>
              <w:rPr>
                <w:sz w:val="20"/>
                <w:szCs w:val="20"/>
                <w:color w:val="auto"/>
              </w:rPr>
            </w:pPr>
            <w:r>
              <w:rPr>
                <w:rFonts w:ascii="Arial" w:cs="Arial" w:eastAsia="Arial" w:hAnsi="Arial"/>
                <w:sz w:val="16"/>
                <w:szCs w:val="16"/>
                <w:color w:val="auto"/>
                <w:w w:val="98"/>
              </w:rPr>
              <w:t>Audit  Committee  and  operates  pursuant  to  a  charter,  which  is</w:t>
            </w:r>
          </w:p>
        </w:tc>
        <w:tc>
          <w:tcPr>
            <w:tcW w:w="20" w:type="dxa"/>
            <w:vAlign w:val="bottom"/>
            <w:shd w:val="clear" w:color="auto" w:fill="1414D2"/>
          </w:tcPr>
          <w:p>
            <w:pPr>
              <w:spacing w:after="0"/>
              <w:rPr>
                <w:sz w:val="8"/>
                <w:szCs w:val="8"/>
                <w:color w:val="auto"/>
              </w:rPr>
            </w:pPr>
          </w:p>
        </w:tc>
        <w:tc>
          <w:tcPr>
            <w:tcW w:w="4840" w:type="dxa"/>
            <w:vAlign w:val="bottom"/>
            <w:tcBorders>
              <w:right w:val="single" w:sz="8" w:color="1414D2"/>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shd w:val="clear" w:color="auto" w:fill="1414D2"/>
          </w:tcPr>
          <w:p>
            <w:pPr>
              <w:spacing w:after="0"/>
              <w:rPr>
                <w:sz w:val="8"/>
                <w:szCs w:val="8"/>
                <w:color w:val="auto"/>
              </w:rPr>
            </w:pPr>
          </w:p>
        </w:tc>
        <w:tc>
          <w:tcPr>
            <w:tcW w:w="4860" w:type="dxa"/>
            <w:vAlign w:val="bottom"/>
            <w:vMerge w:val="continue"/>
          </w:tcPr>
          <w:p>
            <w:pPr>
              <w:spacing w:after="0"/>
              <w:rPr>
                <w:sz w:val="8"/>
                <w:szCs w:val="8"/>
                <w:color w:val="auto"/>
              </w:rPr>
            </w:pPr>
          </w:p>
        </w:tc>
        <w:tc>
          <w:tcPr>
            <w:tcW w:w="20" w:type="dxa"/>
            <w:vAlign w:val="bottom"/>
            <w:shd w:val="clear" w:color="auto" w:fill="1414D2"/>
          </w:tcPr>
          <w:p>
            <w:pPr>
              <w:spacing w:after="0"/>
              <w:rPr>
                <w:sz w:val="8"/>
                <w:szCs w:val="8"/>
                <w:color w:val="auto"/>
              </w:rPr>
            </w:pPr>
          </w:p>
        </w:tc>
        <w:tc>
          <w:tcPr>
            <w:tcW w:w="4840" w:type="dxa"/>
            <w:vAlign w:val="bottom"/>
            <w:tcBorders>
              <w:right w:val="single" w:sz="8" w:color="1414D2"/>
            </w:tcBorders>
            <w:vMerge w:val="restart"/>
          </w:tcPr>
          <w:p>
            <w:pPr>
              <w:jc w:val="center"/>
              <w:spacing w:after="0"/>
              <w:rPr>
                <w:sz w:val="20"/>
                <w:szCs w:val="20"/>
                <w:color w:val="auto"/>
              </w:rPr>
            </w:pPr>
            <w:r>
              <w:rPr>
                <w:rFonts w:ascii="Arial" w:cs="Arial" w:eastAsia="Arial" w:hAnsi="Arial"/>
                <w:sz w:val="16"/>
                <w:szCs w:val="16"/>
                <w:color w:val="auto"/>
              </w:rPr>
              <w:t>reputational  risks.</w:t>
            </w:r>
          </w:p>
        </w:tc>
        <w:tc>
          <w:tcPr>
            <w:tcW w:w="0" w:type="dxa"/>
            <w:vAlign w:val="bottom"/>
          </w:tcPr>
          <w:p>
            <w:pPr>
              <w:spacing w:after="0"/>
              <w:rPr>
                <w:sz w:val="1"/>
                <w:szCs w:val="1"/>
                <w:color w:val="auto"/>
              </w:rPr>
            </w:pPr>
          </w:p>
        </w:tc>
      </w:tr>
      <w:tr>
        <w:trPr>
          <w:trHeight w:val="141"/>
        </w:trPr>
        <w:tc>
          <w:tcPr>
            <w:tcW w:w="20" w:type="dxa"/>
            <w:vAlign w:val="bottom"/>
            <w:shd w:val="clear" w:color="auto" w:fill="1414D2"/>
          </w:tcPr>
          <w:p>
            <w:pPr>
              <w:spacing w:after="0"/>
              <w:rPr>
                <w:sz w:val="12"/>
                <w:szCs w:val="12"/>
                <w:color w:val="auto"/>
              </w:rPr>
            </w:pPr>
          </w:p>
        </w:tc>
        <w:tc>
          <w:tcPr>
            <w:tcW w:w="4860" w:type="dxa"/>
            <w:vAlign w:val="bottom"/>
            <w:vMerge w:val="restart"/>
          </w:tcPr>
          <w:p>
            <w:pPr>
              <w:jc w:val="center"/>
              <w:spacing w:after="0"/>
              <w:rPr>
                <w:sz w:val="20"/>
                <w:szCs w:val="20"/>
                <w:color w:val="auto"/>
              </w:rPr>
            </w:pPr>
            <w:r>
              <w:rPr>
                <w:rFonts w:ascii="Arial" w:cs="Arial" w:eastAsia="Arial" w:hAnsi="Arial"/>
                <w:sz w:val="16"/>
                <w:szCs w:val="16"/>
                <w:color w:val="auto"/>
                <w:w w:val="99"/>
              </w:rPr>
              <w:t>reviewed  and  approved  annually  by  the  Audit  Committee.</w:t>
            </w:r>
          </w:p>
        </w:tc>
        <w:tc>
          <w:tcPr>
            <w:tcW w:w="20" w:type="dxa"/>
            <w:vAlign w:val="bottom"/>
            <w:shd w:val="clear" w:color="auto" w:fill="1414D2"/>
          </w:tcPr>
          <w:p>
            <w:pPr>
              <w:spacing w:after="0"/>
              <w:rPr>
                <w:sz w:val="12"/>
                <w:szCs w:val="12"/>
                <w:color w:val="auto"/>
              </w:rPr>
            </w:pPr>
          </w:p>
        </w:tc>
        <w:tc>
          <w:tcPr>
            <w:tcW w:w="4840" w:type="dxa"/>
            <w:vAlign w:val="bottom"/>
            <w:tcBorders>
              <w:right w:val="single" w:sz="8" w:color="1414D2"/>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1414D2"/>
            </w:tcBorders>
            <w:shd w:val="clear" w:color="auto" w:fill="1414D2"/>
          </w:tcPr>
          <w:p>
            <w:pPr>
              <w:spacing w:after="0"/>
              <w:rPr>
                <w:sz w:val="7"/>
                <w:szCs w:val="7"/>
                <w:color w:val="auto"/>
              </w:rPr>
            </w:pPr>
          </w:p>
        </w:tc>
        <w:tc>
          <w:tcPr>
            <w:tcW w:w="4860" w:type="dxa"/>
            <w:vAlign w:val="bottom"/>
            <w:tcBorders>
              <w:bottom w:val="single" w:sz="8" w:color="1414D2"/>
            </w:tcBorders>
            <w:vMerge w:val="continue"/>
          </w:tcPr>
          <w:p>
            <w:pPr>
              <w:spacing w:after="0"/>
              <w:rPr>
                <w:sz w:val="7"/>
                <w:szCs w:val="7"/>
                <w:color w:val="auto"/>
              </w:rPr>
            </w:pPr>
          </w:p>
        </w:tc>
        <w:tc>
          <w:tcPr>
            <w:tcW w:w="20" w:type="dxa"/>
            <w:vAlign w:val="bottom"/>
            <w:tcBorders>
              <w:bottom w:val="single" w:sz="8" w:color="1414D2"/>
            </w:tcBorders>
            <w:shd w:val="clear" w:color="auto" w:fill="1414D2"/>
          </w:tcPr>
          <w:p>
            <w:pPr>
              <w:spacing w:after="0"/>
              <w:rPr>
                <w:sz w:val="7"/>
                <w:szCs w:val="7"/>
                <w:color w:val="auto"/>
              </w:rPr>
            </w:pPr>
          </w:p>
        </w:tc>
        <w:tc>
          <w:tcPr>
            <w:tcW w:w="4840" w:type="dxa"/>
            <w:vAlign w:val="bottom"/>
            <w:tcBorders>
              <w:bottom w:val="single" w:sz="8" w:color="1414D2"/>
              <w:right w:val="single" w:sz="8" w:color="1414D2"/>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2026  Proxy  Statement</w:t>
      </w:r>
    </w:p>
    <w:p>
      <w:pPr>
        <w:spacing w:after="0" w:line="167" w:lineRule="exact"/>
        <w:rPr>
          <w:sz w:val="20"/>
          <w:szCs w:val="20"/>
          <w:color w:val="auto"/>
        </w:rPr>
      </w:pPr>
    </w:p>
    <w:p>
      <w:pPr>
        <w:jc w:val="right"/>
        <w:ind w:right="20"/>
        <w:spacing w:after="0"/>
        <w:rPr>
          <w:sz w:val="20"/>
          <w:szCs w:val="20"/>
          <w:color w:val="auto"/>
        </w:rPr>
      </w:pPr>
      <w:r>
        <w:rPr>
          <w:rFonts w:ascii="Arial" w:cs="Arial" w:eastAsia="Arial" w:hAnsi="Arial"/>
          <w:sz w:val="16"/>
          <w:szCs w:val="16"/>
          <w:b w:val="1"/>
          <w:bCs w:val="1"/>
          <w:color w:val="1414D2"/>
        </w:rPr>
        <w:t>41</w:t>
      </w:r>
    </w:p>
    <w:p>
      <w:pPr>
        <w:sectPr>
          <w:pgSz w:w="11900" w:h="16838" w:orient="portrait"/>
          <w:cols w:equalWidth="0" w:num="1">
            <w:col w:w="9740"/>
          </w:cols>
          <w:pgMar w:left="1080" w:top="695" w:right="1079" w:bottom="1440" w:gutter="0" w:footer="0" w:header="0"/>
        </w:sectPr>
      </w:pPr>
    </w:p>
    <w:bookmarkStart w:id="52" w:name="page53"/>
    <w:bookmarkEnd w:id="52"/>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6D6F71"/>
        </w:rPr>
        <w:t>Board  and  Corporate  Governance  Matters</w:t>
      </w:r>
    </w:p>
    <w:p>
      <w:pPr>
        <w:sectPr>
          <w:pgSz w:w="11900" w:h="16838" w:orient="portrait"/>
          <w:cols w:equalWidth="0" w:num="1">
            <w:col w:w="9720"/>
          </w:cols>
          <w:pgMar w:left="1080" w:top="695" w:right="1099" w:bottom="1440" w:gutter="0" w:footer="0" w:header="0"/>
        </w:sectPr>
      </w:pPr>
    </w:p>
    <w:p>
      <w:pPr>
        <w:spacing w:after="0" w:line="319" w:lineRule="exact"/>
        <w:rPr>
          <w:sz w:val="20"/>
          <w:szCs w:val="20"/>
          <w:color w:val="auto"/>
        </w:rPr>
      </w:pPr>
    </w:p>
    <w:p>
      <w:pPr>
        <w:ind w:left="340"/>
        <w:spacing w:after="0" w:line="330" w:lineRule="auto"/>
        <w:rPr>
          <w:sz w:val="20"/>
          <w:szCs w:val="20"/>
          <w:color w:val="auto"/>
        </w:rPr>
      </w:pPr>
      <w:r>
        <w:rPr>
          <w:rFonts w:ascii="Arial" w:cs="Arial" w:eastAsia="Arial" w:hAnsi="Arial"/>
          <w:sz w:val="16"/>
          <w:szCs w:val="16"/>
          <w:b w:val="1"/>
          <w:bCs w:val="1"/>
          <w:color w:val="1414D2"/>
        </w:rPr>
        <w:t>OVERSIGHT OF SAFETY</w:t>
      </w:r>
    </w:p>
    <w:p>
      <w:pPr>
        <w:spacing w:after="0" w:line="20" w:lineRule="exact"/>
        <w:rPr>
          <w:sz w:val="20"/>
          <w:szCs w:val="20"/>
          <w:color w:val="auto"/>
        </w:rPr>
      </w:pPr>
      <w:r>
        <w:rPr>
          <w:sz w:val="20"/>
          <w:szCs w:val="20"/>
          <w:color w:val="auto"/>
        </w:rPr>
        <w:br w:type="column"/>
      </w:r>
    </w:p>
    <w:p>
      <w:pPr>
        <w:spacing w:after="0" w:line="305" w:lineRule="exact"/>
        <w:rPr>
          <w:sz w:val="20"/>
          <w:szCs w:val="20"/>
          <w:color w:val="auto"/>
        </w:rPr>
      </w:pPr>
    </w:p>
    <w:p>
      <w:pPr>
        <w:ind w:right="300"/>
        <w:spacing w:after="0" w:line="261" w:lineRule="auto"/>
        <w:rPr>
          <w:sz w:val="20"/>
          <w:szCs w:val="20"/>
          <w:color w:val="auto"/>
        </w:rPr>
      </w:pPr>
      <w:r>
        <w:rPr>
          <w:rFonts w:ascii="Arial" w:cs="Arial" w:eastAsia="Arial" w:hAnsi="Arial"/>
          <w:sz w:val="14"/>
          <w:szCs w:val="14"/>
          <w:color w:val="auto"/>
        </w:rPr>
        <w:t>At United, safety is frst in everything that the Company does and is our frst service standard of our Core4 standards (we are safe, then caring, dependable and efcient). Our Board provides signifcant oversight of our</w:t>
      </w:r>
    </w:p>
    <w:p>
      <w:pPr>
        <w:spacing w:after="0" w:line="1" w:lineRule="exact"/>
        <w:rPr>
          <w:sz w:val="20"/>
          <w:szCs w:val="20"/>
          <w:color w:val="auto"/>
        </w:rPr>
      </w:pPr>
    </w:p>
    <w:p>
      <w:pPr>
        <w:ind w:right="240"/>
        <w:spacing w:after="0" w:line="251" w:lineRule="auto"/>
        <w:rPr>
          <w:sz w:val="20"/>
          <w:szCs w:val="20"/>
          <w:color w:val="auto"/>
        </w:rPr>
      </w:pPr>
      <w:r>
        <w:rPr>
          <w:rFonts w:ascii="Arial" w:cs="Arial" w:eastAsia="Arial" w:hAnsi="Arial"/>
          <w:sz w:val="14"/>
          <w:szCs w:val="14"/>
          <w:color w:val="auto"/>
        </w:rPr>
        <w:t>safety processes and procedures, which includes a review of management’s development, implementation and maintenance of the Company’s safety management system, objectives, culture, training and reporting. Board</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meeting  sessions  typically  start  with  a  presentation  on  current  and  potential  future  safety  considerations  afecting</w:t>
      </w:r>
    </w:p>
    <w:p>
      <w:pPr>
        <w:spacing w:after="0" w:line="15" w:lineRule="exact"/>
        <w:rPr>
          <w:sz w:val="20"/>
          <w:szCs w:val="20"/>
          <w:color w:val="auto"/>
        </w:rPr>
      </w:pPr>
    </w:p>
    <w:p>
      <w:pPr>
        <w:ind w:right="320"/>
        <w:spacing w:after="0" w:line="251" w:lineRule="auto"/>
        <w:rPr>
          <w:sz w:val="20"/>
          <w:szCs w:val="20"/>
          <w:color w:val="auto"/>
        </w:rPr>
      </w:pPr>
      <w:r>
        <w:rPr>
          <w:rFonts w:ascii="Arial" w:cs="Arial" w:eastAsia="Arial" w:hAnsi="Arial"/>
          <w:sz w:val="14"/>
          <w:szCs w:val="14"/>
          <w:color w:val="auto"/>
        </w:rPr>
        <w:t>the Company—both in the air and on the ground. The topics may include discussions regarding current and proposed safety procedures, programs and goals; reports and matters related to our and the industry’s safety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performance  (e.g.,  our  customer  and  employee  injuries  (including  turbulence-related,  heat-related  and  ergonomic</w:t>
      </w:r>
    </w:p>
    <w:p>
      <w:pPr>
        <w:spacing w:after="0" w:line="15" w:lineRule="exact"/>
        <w:rPr>
          <w:sz w:val="20"/>
          <w:szCs w:val="20"/>
          <w:color w:val="auto"/>
        </w:rPr>
      </w:pPr>
    </w:p>
    <w:p>
      <w:pPr>
        <w:ind w:right="120"/>
        <w:spacing w:after="0" w:line="311" w:lineRule="auto"/>
        <w:rPr>
          <w:sz w:val="20"/>
          <w:szCs w:val="20"/>
          <w:color w:val="auto"/>
        </w:rPr>
      </w:pPr>
      <w:r>
        <w:rPr>
          <w:rFonts w:ascii="Arial" w:cs="Arial" w:eastAsia="Arial" w:hAnsi="Arial"/>
          <w:sz w:val="14"/>
          <w:szCs w:val="14"/>
          <w:color w:val="auto"/>
        </w:rPr>
        <w:t>injuries) as well as our aircraft damages); our safety-related regulatory compliance requirements; and our eforts to collaborate with global regulators, airline operators and other industry stakeholders to improve airline safety.</w:t>
      </w:r>
    </w:p>
    <w:p>
      <w:pPr>
        <w:spacing w:after="0" w:line="200" w:lineRule="exact"/>
        <w:rPr>
          <w:sz w:val="20"/>
          <w:szCs w:val="20"/>
          <w:color w:val="auto"/>
        </w:rPr>
      </w:pPr>
    </w:p>
    <w:p>
      <w:pPr>
        <w:sectPr>
          <w:pgSz w:w="11900" w:h="16838" w:orient="portrait"/>
          <w:cols w:equalWidth="0" w:num="2">
            <w:col w:w="1520" w:space="480"/>
            <w:col w:w="7720"/>
          </w:cols>
          <w:pgMar w:left="1080" w:top="695" w:right="1099" w:bottom="1440" w:gutter="0" w:footer="0" w:header="0"/>
          <w:type w:val="continuous"/>
        </w:sectPr>
      </w:pPr>
    </w:p>
    <w:p>
      <w:pPr>
        <w:spacing w:after="0" w:line="11" w:lineRule="exact"/>
        <w:rPr>
          <w:sz w:val="20"/>
          <w:szCs w:val="20"/>
          <w:color w:val="auto"/>
        </w:rPr>
      </w:pPr>
    </w:p>
    <w:p>
      <w:pPr>
        <w:ind w:left="340"/>
        <w:spacing w:after="0"/>
        <w:rPr>
          <w:sz w:val="20"/>
          <w:szCs w:val="20"/>
          <w:color w:val="auto"/>
        </w:rPr>
      </w:pPr>
      <w:r>
        <w:rPr>
          <w:rFonts w:ascii="Arial" w:cs="Arial" w:eastAsia="Arial" w:hAnsi="Arial"/>
          <w:sz w:val="15"/>
          <w:szCs w:val="15"/>
          <w:b w:val="1"/>
          <w:bCs w:val="1"/>
          <w:color w:val="1414D2"/>
        </w:rPr>
        <w:t>OVERSIGHT OF</w:t>
      </w:r>
    </w:p>
    <w:p>
      <w:pPr>
        <w:spacing w:after="0" w:line="30"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1414D2"/>
        </w:rPr>
        <w:t>BUSINESS</w:t>
      </w:r>
    </w:p>
    <w:p>
      <w:pPr>
        <w:spacing w:after="0" w:line="5"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1414D2"/>
        </w:rPr>
        <w:t>STRATEGY</w:t>
      </w:r>
    </w:p>
    <w:p>
      <w:pPr>
        <w:spacing w:after="0" w:line="20" w:lineRule="exact"/>
        <w:rPr>
          <w:sz w:val="20"/>
          <w:szCs w:val="20"/>
          <w:color w:val="auto"/>
        </w:rPr>
      </w:pPr>
      <w:r>
        <w:rPr>
          <w:sz w:val="20"/>
          <w:szCs w:val="20"/>
          <w:color w:val="auto"/>
        </w:rPr>
        <w:br w:type="column"/>
      </w:r>
    </w:p>
    <w:p>
      <w:pPr>
        <w:ind w:right="80"/>
        <w:spacing w:after="0" w:line="261" w:lineRule="auto"/>
        <w:rPr>
          <w:sz w:val="20"/>
          <w:szCs w:val="20"/>
          <w:color w:val="auto"/>
        </w:rPr>
      </w:pPr>
      <w:r>
        <w:rPr>
          <w:rFonts w:ascii="Arial" w:cs="Arial" w:eastAsia="Arial" w:hAnsi="Arial"/>
          <w:sz w:val="14"/>
          <w:szCs w:val="14"/>
          <w:color w:val="auto"/>
        </w:rPr>
        <w:t>Overseeing management’s formulation, implementation and ongoing execution of the Company’s strategy is one of our Board’s primary responsibilities. The Board believes that a fundamental understanding of the Company’s</w:t>
      </w:r>
    </w:p>
    <w:p>
      <w:pPr>
        <w:spacing w:after="0" w:line="1" w:lineRule="exact"/>
        <w:rPr>
          <w:sz w:val="20"/>
          <w:szCs w:val="20"/>
          <w:color w:val="auto"/>
        </w:rPr>
      </w:pPr>
    </w:p>
    <w:p>
      <w:pPr>
        <w:spacing w:after="0" w:line="251" w:lineRule="auto"/>
        <w:rPr>
          <w:sz w:val="20"/>
          <w:szCs w:val="20"/>
          <w:color w:val="auto"/>
        </w:rPr>
      </w:pPr>
      <w:r>
        <w:rPr>
          <w:rFonts w:ascii="Arial" w:cs="Arial" w:eastAsia="Arial" w:hAnsi="Arial"/>
          <w:sz w:val="14"/>
          <w:szCs w:val="14"/>
          <w:color w:val="auto"/>
        </w:rPr>
        <w:t>strategy assists it in fulflling its oversight role on behalf of the Company’s stockholders and other stakeholders. As part of its oversight role, the Board regularly reviews the Company’s strategy, controls and procedures, as well as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issues  and  opportunities  facing  the  Company  in  light  of  trends  and  developments  in  the  aviation  industry  and</w:t>
      </w:r>
    </w:p>
    <w:p>
      <w:pPr>
        <w:spacing w:after="0" w:line="15" w:lineRule="exact"/>
        <w:rPr>
          <w:sz w:val="20"/>
          <w:szCs w:val="20"/>
          <w:color w:val="auto"/>
        </w:rPr>
      </w:pPr>
    </w:p>
    <w:p>
      <w:pPr>
        <w:ind w:right="220"/>
        <w:spacing w:after="0" w:line="301" w:lineRule="auto"/>
        <w:rPr>
          <w:sz w:val="20"/>
          <w:szCs w:val="20"/>
          <w:color w:val="auto"/>
        </w:rPr>
      </w:pPr>
      <w:r>
        <w:rPr>
          <w:rFonts w:ascii="Arial" w:cs="Arial" w:eastAsia="Arial" w:hAnsi="Arial"/>
          <w:sz w:val="14"/>
          <w:szCs w:val="14"/>
          <w:color w:val="auto"/>
        </w:rPr>
        <w:t>broader business environment. The Board’s Committees oversee elements of our strategy associated with their respective areas of responsibility.</w:t>
      </w:r>
    </w:p>
    <w:p>
      <w:pPr>
        <w:spacing w:after="0" w:line="1" w:lineRule="exact"/>
        <w:rPr>
          <w:sz w:val="20"/>
          <w:szCs w:val="20"/>
          <w:color w:val="auto"/>
        </w:rPr>
      </w:pPr>
    </w:p>
    <w:p>
      <w:pPr>
        <w:ind w:right="40"/>
        <w:spacing w:after="0" w:line="261" w:lineRule="auto"/>
        <w:rPr>
          <w:sz w:val="20"/>
          <w:szCs w:val="20"/>
          <w:color w:val="auto"/>
        </w:rPr>
      </w:pPr>
      <w:r>
        <w:rPr>
          <w:rFonts w:ascii="Arial" w:cs="Arial" w:eastAsia="Arial" w:hAnsi="Arial"/>
          <w:sz w:val="14"/>
          <w:szCs w:val="14"/>
          <w:color w:val="auto"/>
        </w:rPr>
        <w:t>Throughout the year, the Board provides guidance to management on strategy and helps to refne operating plans to implement the strategy. Every regularly-scheduled meeting of the Board includes updates from Company</w:t>
      </w:r>
    </w:p>
    <w:p>
      <w:pPr>
        <w:spacing w:after="0" w:line="1" w:lineRule="exact"/>
        <w:rPr>
          <w:sz w:val="20"/>
          <w:szCs w:val="20"/>
          <w:color w:val="auto"/>
        </w:rPr>
      </w:pPr>
    </w:p>
    <w:p>
      <w:pPr>
        <w:ind w:right="220"/>
        <w:spacing w:after="0" w:line="251" w:lineRule="auto"/>
        <w:rPr>
          <w:sz w:val="20"/>
          <w:szCs w:val="20"/>
          <w:color w:val="auto"/>
        </w:rPr>
      </w:pPr>
      <w:r>
        <w:rPr>
          <w:rFonts w:ascii="Arial" w:cs="Arial" w:eastAsia="Arial" w:hAnsi="Arial"/>
          <w:sz w:val="14"/>
          <w:szCs w:val="14"/>
          <w:color w:val="auto"/>
        </w:rPr>
        <w:t>management regarding the Company’s strategy and the Board holds an annual multi-day strategy session with the Company’s senior leadership team and other members of management who present our Board with</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important  information  about  the  Company’s  short-term  and  long-term  strategic  plans,  including  their</w:t>
      </w:r>
    </w:p>
    <w:p>
      <w:pPr>
        <w:spacing w:after="0" w:line="15" w:lineRule="exact"/>
        <w:rPr>
          <w:sz w:val="20"/>
          <w:szCs w:val="20"/>
          <w:color w:val="auto"/>
        </w:rPr>
      </w:pPr>
    </w:p>
    <w:p>
      <w:pPr>
        <w:ind w:right="240"/>
        <w:spacing w:after="0" w:line="251" w:lineRule="auto"/>
        <w:rPr>
          <w:sz w:val="20"/>
          <w:szCs w:val="20"/>
          <w:color w:val="auto"/>
        </w:rPr>
      </w:pPr>
      <w:r>
        <w:rPr>
          <w:rFonts w:ascii="Arial" w:cs="Arial" w:eastAsia="Arial" w:hAnsi="Arial"/>
          <w:sz w:val="14"/>
          <w:szCs w:val="14"/>
          <w:color w:val="auto"/>
        </w:rPr>
        <w:t>development, execution, ongoing implementation, performance relative to goals under the strategic plans and the principal issues that the Company will face in the future. Engagement of the Board on matters of strategic</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importance  continues  in  between  meetings,  including  through  updates  to  the  Board.</w:t>
      </w:r>
    </w:p>
    <w:p>
      <w:pPr>
        <w:spacing w:after="0" w:line="200" w:lineRule="exact"/>
        <w:rPr>
          <w:sz w:val="20"/>
          <w:szCs w:val="20"/>
          <w:color w:val="auto"/>
        </w:rPr>
      </w:pPr>
    </w:p>
    <w:p>
      <w:pPr>
        <w:sectPr>
          <w:pgSz w:w="11900" w:h="16838" w:orient="portrait"/>
          <w:cols w:equalWidth="0" w:num="2">
            <w:col w:w="1520" w:space="480"/>
            <w:col w:w="7720"/>
          </w:cols>
          <w:pgMar w:left="1080" w:top="695" w:right="1099" w:bottom="1440" w:gutter="0" w:footer="0" w:header="0"/>
          <w:type w:val="continuous"/>
        </w:sectPr>
      </w:pP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200" w:type="dxa"/>
            <w:vAlign w:val="bottom"/>
            <w:tcBorders>
              <w:top w:val="single" w:sz="8" w:color="1414D2"/>
            </w:tcBorders>
            <w:shd w:val="clear" w:color="auto" w:fill="1414D2"/>
          </w:tcPr>
          <w:p>
            <w:pPr>
              <w:spacing w:after="0"/>
              <w:rPr>
                <w:sz w:val="22"/>
                <w:szCs w:val="22"/>
                <w:color w:val="auto"/>
              </w:rPr>
            </w:pPr>
          </w:p>
        </w:tc>
        <w:tc>
          <w:tcPr>
            <w:tcW w:w="1560" w:type="dxa"/>
            <w:vAlign w:val="bottom"/>
            <w:tcBorders>
              <w:top w:val="single" w:sz="8" w:color="1414D2"/>
            </w:tcBorders>
          </w:tcPr>
          <w:p>
            <w:pPr>
              <w:ind w:left="140"/>
              <w:spacing w:after="0"/>
              <w:rPr>
                <w:sz w:val="20"/>
                <w:szCs w:val="20"/>
                <w:color w:val="auto"/>
              </w:rPr>
            </w:pPr>
            <w:r>
              <w:rPr>
                <w:rFonts w:ascii="Arial" w:cs="Arial" w:eastAsia="Arial" w:hAnsi="Arial"/>
                <w:sz w:val="16"/>
                <w:szCs w:val="16"/>
                <w:b w:val="1"/>
                <w:bCs w:val="1"/>
                <w:color w:val="1414D2"/>
              </w:rPr>
              <w:t>OVERSIGHT OF</w:t>
            </w:r>
          </w:p>
        </w:tc>
        <w:tc>
          <w:tcPr>
            <w:tcW w:w="7960" w:type="dxa"/>
            <w:vAlign w:val="bottom"/>
            <w:tcBorders>
              <w:top w:val="single" w:sz="8" w:color="1414D2"/>
            </w:tcBorders>
          </w:tcPr>
          <w:p>
            <w:pPr>
              <w:ind w:left="240"/>
              <w:spacing w:after="0"/>
              <w:rPr>
                <w:sz w:val="20"/>
                <w:szCs w:val="20"/>
                <w:color w:val="auto"/>
              </w:rPr>
            </w:pPr>
            <w:r>
              <w:rPr>
                <w:rFonts w:ascii="Arial" w:cs="Arial" w:eastAsia="Arial" w:hAnsi="Arial"/>
                <w:sz w:val="14"/>
                <w:szCs w:val="14"/>
                <w:color w:val="auto"/>
              </w:rPr>
              <w:t>The  Board  has  been  actively  involved  in  the  development  of  the  Company’s  United  Next  plan  since  its  inception.</w:t>
            </w:r>
          </w:p>
        </w:tc>
      </w:tr>
      <w:tr>
        <w:trPr>
          <w:trHeight w:val="189"/>
        </w:trPr>
        <w:tc>
          <w:tcPr>
            <w:tcW w:w="200" w:type="dxa"/>
            <w:vAlign w:val="bottom"/>
            <w:shd w:val="clear" w:color="auto" w:fill="1414D2"/>
          </w:tcPr>
          <w:p>
            <w:pPr>
              <w:spacing w:after="0"/>
              <w:rPr>
                <w:sz w:val="16"/>
                <w:szCs w:val="16"/>
                <w:color w:val="auto"/>
              </w:rPr>
            </w:pPr>
          </w:p>
        </w:tc>
        <w:tc>
          <w:tcPr>
            <w:tcW w:w="1560" w:type="dxa"/>
            <w:vAlign w:val="bottom"/>
          </w:tcPr>
          <w:p>
            <w:pPr>
              <w:ind w:left="140"/>
              <w:spacing w:after="0"/>
              <w:rPr>
                <w:sz w:val="20"/>
                <w:szCs w:val="20"/>
                <w:color w:val="auto"/>
              </w:rPr>
            </w:pPr>
            <w:r>
              <w:rPr>
                <w:rFonts w:ascii="Arial" w:cs="Arial" w:eastAsia="Arial" w:hAnsi="Arial"/>
                <w:sz w:val="16"/>
                <w:szCs w:val="16"/>
                <w:b w:val="1"/>
                <w:bCs w:val="1"/>
                <w:color w:val="1414D2"/>
              </w:rPr>
              <w:t>UNITED NEXT</w:t>
            </w:r>
          </w:p>
        </w:tc>
        <w:tc>
          <w:tcPr>
            <w:tcW w:w="7960" w:type="dxa"/>
            <w:vAlign w:val="bottom"/>
          </w:tcPr>
          <w:p>
            <w:pPr>
              <w:ind w:left="240"/>
              <w:spacing w:after="0"/>
              <w:rPr>
                <w:sz w:val="20"/>
                <w:szCs w:val="20"/>
                <w:color w:val="auto"/>
              </w:rPr>
            </w:pPr>
            <w:r>
              <w:rPr>
                <w:rFonts w:ascii="Arial" w:cs="Arial" w:eastAsia="Arial" w:hAnsi="Arial"/>
                <w:sz w:val="14"/>
                <w:szCs w:val="14"/>
                <w:color w:val="auto"/>
              </w:rPr>
              <w:t>United  Next  aims  to  increase  customer  choice  and  win  brand-loyal  customers  by  ofering  a  diversity  of  products,</w:t>
            </w:r>
          </w:p>
        </w:tc>
      </w:tr>
      <w:tr>
        <w:trPr>
          <w:trHeight w:val="195"/>
        </w:trPr>
        <w:tc>
          <w:tcPr>
            <w:tcW w:w="200" w:type="dxa"/>
            <w:vAlign w:val="bottom"/>
            <w:shd w:val="clear" w:color="auto" w:fill="1414D2"/>
          </w:tcPr>
          <w:p>
            <w:pPr>
              <w:spacing w:after="0"/>
              <w:rPr>
                <w:sz w:val="16"/>
                <w:szCs w:val="16"/>
                <w:color w:val="auto"/>
              </w:rPr>
            </w:pPr>
          </w:p>
        </w:tc>
        <w:tc>
          <w:tcPr>
            <w:tcW w:w="1560" w:type="dxa"/>
            <w:vAlign w:val="bottom"/>
          </w:tcPr>
          <w:p>
            <w:pPr>
              <w:ind w:left="140"/>
              <w:spacing w:after="0"/>
              <w:rPr>
                <w:sz w:val="20"/>
                <w:szCs w:val="20"/>
                <w:color w:val="auto"/>
              </w:rPr>
            </w:pPr>
            <w:r>
              <w:rPr>
                <w:rFonts w:ascii="Arial" w:cs="Arial" w:eastAsia="Arial" w:hAnsi="Arial"/>
                <w:sz w:val="16"/>
                <w:szCs w:val="16"/>
                <w:b w:val="1"/>
                <w:bCs w:val="1"/>
                <w:color w:val="1414D2"/>
              </w:rPr>
              <w:t>PLAN</w:t>
            </w:r>
          </w:p>
        </w:tc>
        <w:tc>
          <w:tcPr>
            <w:tcW w:w="7960" w:type="dxa"/>
            <w:vAlign w:val="bottom"/>
          </w:tcPr>
          <w:p>
            <w:pPr>
              <w:ind w:left="240"/>
              <w:spacing w:after="0"/>
              <w:rPr>
                <w:sz w:val="20"/>
                <w:szCs w:val="20"/>
                <w:color w:val="auto"/>
              </w:rPr>
            </w:pPr>
            <w:r>
              <w:rPr>
                <w:rFonts w:ascii="Arial" w:cs="Arial" w:eastAsia="Arial" w:hAnsi="Arial"/>
                <w:sz w:val="14"/>
                <w:szCs w:val="14"/>
                <w:color w:val="auto"/>
              </w:rPr>
              <w:t>ranging  from  Basic  Economy  to  United  Polaris,  and  growing  our  leading  global  network,  which  the  Company</w:t>
            </w:r>
          </w:p>
        </w:tc>
      </w:tr>
      <w:tr>
        <w:trPr>
          <w:trHeight w:val="189"/>
        </w:trPr>
        <w:tc>
          <w:tcPr>
            <w:tcW w:w="200" w:type="dxa"/>
            <w:vAlign w:val="bottom"/>
            <w:shd w:val="clear" w:color="auto" w:fill="1414D2"/>
          </w:tcPr>
          <w:p>
            <w:pPr>
              <w:spacing w:after="0"/>
              <w:rPr>
                <w:sz w:val="16"/>
                <w:szCs w:val="16"/>
                <w:color w:val="auto"/>
              </w:rPr>
            </w:pPr>
          </w:p>
        </w:tc>
        <w:tc>
          <w:tcPr>
            <w:tcW w:w="1560" w:type="dxa"/>
            <w:vAlign w:val="bottom"/>
          </w:tcPr>
          <w:p>
            <w:pPr>
              <w:spacing w:after="0"/>
              <w:rPr>
                <w:sz w:val="16"/>
                <w:szCs w:val="16"/>
                <w:color w:val="auto"/>
              </w:rPr>
            </w:pPr>
          </w:p>
        </w:tc>
        <w:tc>
          <w:tcPr>
            <w:tcW w:w="7960" w:type="dxa"/>
            <w:vAlign w:val="bottom"/>
          </w:tcPr>
          <w:p>
            <w:pPr>
              <w:ind w:left="240"/>
              <w:spacing w:after="0"/>
              <w:rPr>
                <w:sz w:val="20"/>
                <w:szCs w:val="20"/>
                <w:color w:val="auto"/>
              </w:rPr>
            </w:pPr>
            <w:r>
              <w:rPr>
                <w:rFonts w:ascii="Arial" w:cs="Arial" w:eastAsia="Arial" w:hAnsi="Arial"/>
                <w:sz w:val="14"/>
                <w:szCs w:val="14"/>
                <w:color w:val="auto"/>
              </w:rPr>
              <w:t>believes  will  lead  to  diverse  revenue  streams  for  the  Company.  The  Board  has  centered  its  focus  on  drawing  on</w:t>
            </w:r>
          </w:p>
        </w:tc>
      </w:tr>
      <w:tr>
        <w:trPr>
          <w:trHeight w:val="189"/>
        </w:trPr>
        <w:tc>
          <w:tcPr>
            <w:tcW w:w="200" w:type="dxa"/>
            <w:vAlign w:val="bottom"/>
            <w:shd w:val="clear" w:color="auto" w:fill="1414D2"/>
          </w:tcPr>
          <w:p>
            <w:pPr>
              <w:spacing w:after="0"/>
              <w:rPr>
                <w:sz w:val="16"/>
                <w:szCs w:val="16"/>
                <w:color w:val="auto"/>
              </w:rPr>
            </w:pPr>
          </w:p>
        </w:tc>
        <w:tc>
          <w:tcPr>
            <w:tcW w:w="1560" w:type="dxa"/>
            <w:vAlign w:val="bottom"/>
          </w:tcPr>
          <w:p>
            <w:pPr>
              <w:spacing w:after="0"/>
              <w:rPr>
                <w:sz w:val="16"/>
                <w:szCs w:val="16"/>
                <w:color w:val="auto"/>
              </w:rPr>
            </w:pPr>
          </w:p>
        </w:tc>
        <w:tc>
          <w:tcPr>
            <w:tcW w:w="7960" w:type="dxa"/>
            <w:vAlign w:val="bottom"/>
          </w:tcPr>
          <w:p>
            <w:pPr>
              <w:ind w:left="240"/>
              <w:spacing w:after="0"/>
              <w:rPr>
                <w:sz w:val="20"/>
                <w:szCs w:val="20"/>
                <w:color w:val="auto"/>
              </w:rPr>
            </w:pPr>
            <w:r>
              <w:rPr>
                <w:rFonts w:ascii="Arial" w:cs="Arial" w:eastAsia="Arial" w:hAnsi="Arial"/>
                <w:sz w:val="14"/>
                <w:szCs w:val="14"/>
                <w:color w:val="auto"/>
              </w:rPr>
              <w:t>its  collective  leadership  experiences  and  areas  of  expertise  to  provide  guidance  on  the  Company’s  execution  of</w:t>
            </w:r>
          </w:p>
        </w:tc>
      </w:tr>
      <w:tr>
        <w:trPr>
          <w:trHeight w:val="189"/>
        </w:trPr>
        <w:tc>
          <w:tcPr>
            <w:tcW w:w="200" w:type="dxa"/>
            <w:vAlign w:val="bottom"/>
            <w:shd w:val="clear" w:color="auto" w:fill="1414D2"/>
          </w:tcPr>
          <w:p>
            <w:pPr>
              <w:spacing w:after="0"/>
              <w:rPr>
                <w:sz w:val="16"/>
                <w:szCs w:val="16"/>
                <w:color w:val="auto"/>
              </w:rPr>
            </w:pPr>
          </w:p>
        </w:tc>
        <w:tc>
          <w:tcPr>
            <w:tcW w:w="1560" w:type="dxa"/>
            <w:vAlign w:val="bottom"/>
          </w:tcPr>
          <w:p>
            <w:pPr>
              <w:spacing w:after="0"/>
              <w:rPr>
                <w:sz w:val="16"/>
                <w:szCs w:val="16"/>
                <w:color w:val="auto"/>
              </w:rPr>
            </w:pPr>
          </w:p>
        </w:tc>
        <w:tc>
          <w:tcPr>
            <w:tcW w:w="7960" w:type="dxa"/>
            <w:vAlign w:val="bottom"/>
          </w:tcPr>
          <w:p>
            <w:pPr>
              <w:ind w:left="240"/>
              <w:spacing w:after="0"/>
              <w:rPr>
                <w:sz w:val="20"/>
                <w:szCs w:val="20"/>
                <w:color w:val="auto"/>
              </w:rPr>
            </w:pPr>
            <w:r>
              <w:rPr>
                <w:rFonts w:ascii="Arial" w:cs="Arial" w:eastAsia="Arial" w:hAnsi="Arial"/>
                <w:sz w:val="14"/>
                <w:szCs w:val="14"/>
                <w:color w:val="auto"/>
              </w:rPr>
              <w:t>its  United  Next  plan,  including  increasing  our  employee  headcount;  introducing  hundreds  of  new  and  retroftted</w:t>
            </w:r>
          </w:p>
        </w:tc>
      </w:tr>
      <w:tr>
        <w:trPr>
          <w:trHeight w:val="168"/>
        </w:trPr>
        <w:tc>
          <w:tcPr>
            <w:tcW w:w="200" w:type="dxa"/>
            <w:vAlign w:val="bottom"/>
            <w:shd w:val="clear" w:color="auto" w:fill="1414D2"/>
          </w:tcPr>
          <w:p>
            <w:pPr>
              <w:spacing w:after="0"/>
              <w:rPr>
                <w:sz w:val="14"/>
                <w:szCs w:val="14"/>
                <w:color w:val="auto"/>
              </w:rPr>
            </w:pPr>
          </w:p>
        </w:tc>
        <w:tc>
          <w:tcPr>
            <w:tcW w:w="1560" w:type="dxa"/>
            <w:vAlign w:val="bottom"/>
          </w:tcPr>
          <w:p>
            <w:pPr>
              <w:spacing w:after="0"/>
              <w:rPr>
                <w:sz w:val="14"/>
                <w:szCs w:val="14"/>
                <w:color w:val="auto"/>
              </w:rPr>
            </w:pPr>
          </w:p>
        </w:tc>
        <w:tc>
          <w:tcPr>
            <w:tcW w:w="7960" w:type="dxa"/>
            <w:vAlign w:val="bottom"/>
          </w:tcPr>
          <w:p>
            <w:pPr>
              <w:ind w:left="240"/>
              <w:spacing w:after="0"/>
              <w:rPr>
                <w:sz w:val="20"/>
                <w:szCs w:val="20"/>
                <w:color w:val="auto"/>
              </w:rPr>
            </w:pPr>
            <w:r>
              <w:rPr>
                <w:rFonts w:ascii="Arial" w:cs="Arial" w:eastAsia="Arial" w:hAnsi="Arial"/>
                <w:sz w:val="14"/>
                <w:szCs w:val="14"/>
                <w:color w:val="auto"/>
              </w:rPr>
              <w:t>aircraft  featuring  United’s  signature  interior  to  the  United  feet;  expanding  our  global  network;  inaugurating</w:t>
            </w:r>
          </w:p>
        </w:tc>
      </w:tr>
      <w:tr>
        <w:trPr>
          <w:trHeight w:val="210"/>
        </w:trPr>
        <w:tc>
          <w:tcPr>
            <w:tcW w:w="200" w:type="dxa"/>
            <w:vAlign w:val="bottom"/>
            <w:shd w:val="clear" w:color="auto" w:fill="1414D2"/>
          </w:tcPr>
          <w:p>
            <w:pPr>
              <w:spacing w:after="0"/>
              <w:rPr>
                <w:sz w:val="18"/>
                <w:szCs w:val="18"/>
                <w:color w:val="auto"/>
              </w:rPr>
            </w:pPr>
          </w:p>
        </w:tc>
        <w:tc>
          <w:tcPr>
            <w:tcW w:w="1560" w:type="dxa"/>
            <w:vAlign w:val="bottom"/>
          </w:tcPr>
          <w:p>
            <w:pPr>
              <w:spacing w:after="0"/>
              <w:rPr>
                <w:sz w:val="18"/>
                <w:szCs w:val="18"/>
                <w:color w:val="auto"/>
              </w:rPr>
            </w:pPr>
          </w:p>
        </w:tc>
        <w:tc>
          <w:tcPr>
            <w:tcW w:w="7960" w:type="dxa"/>
            <w:vAlign w:val="bottom"/>
          </w:tcPr>
          <w:p>
            <w:pPr>
              <w:ind w:left="240"/>
              <w:spacing w:after="0"/>
              <w:rPr>
                <w:sz w:val="20"/>
                <w:szCs w:val="20"/>
                <w:color w:val="auto"/>
              </w:rPr>
            </w:pPr>
            <w:r>
              <w:rPr>
                <w:rFonts w:ascii="Arial" w:cs="Arial" w:eastAsia="Arial" w:hAnsi="Arial"/>
                <w:sz w:val="14"/>
                <w:szCs w:val="14"/>
                <w:color w:val="auto"/>
              </w:rPr>
              <w:t>service  to  new  destinations;  launching  Kinective  Media</w:t>
            </w:r>
            <w:r>
              <w:rPr>
                <w:rFonts w:ascii="Arial" w:cs="Arial" w:eastAsia="Arial" w:hAnsi="Arial"/>
                <w:sz w:val="17"/>
                <w:szCs w:val="17"/>
                <w:color w:val="auto"/>
                <w:highlight w:val="white"/>
                <w:vertAlign w:val="superscript"/>
              </w:rPr>
              <w:t>SM</w:t>
            </w:r>
            <w:r>
              <w:rPr>
                <w:rFonts w:ascii="Arial" w:cs="Arial" w:eastAsia="Arial" w:hAnsi="Arial"/>
                <w:sz w:val="14"/>
                <w:szCs w:val="14"/>
                <w:color w:val="auto"/>
              </w:rPr>
              <w:t>;  bringing  Starlink’s  Wi-Fi  service  to  our  United  Express</w:t>
            </w:r>
          </w:p>
        </w:tc>
      </w:tr>
      <w:tr>
        <w:trPr>
          <w:trHeight w:val="189"/>
        </w:trPr>
        <w:tc>
          <w:tcPr>
            <w:tcW w:w="200" w:type="dxa"/>
            <w:vAlign w:val="bottom"/>
            <w:shd w:val="clear" w:color="auto" w:fill="1414D2"/>
          </w:tcPr>
          <w:p>
            <w:pPr>
              <w:spacing w:after="0"/>
              <w:rPr>
                <w:sz w:val="16"/>
                <w:szCs w:val="16"/>
                <w:color w:val="auto"/>
              </w:rPr>
            </w:pPr>
          </w:p>
        </w:tc>
        <w:tc>
          <w:tcPr>
            <w:tcW w:w="1560" w:type="dxa"/>
            <w:vAlign w:val="bottom"/>
          </w:tcPr>
          <w:p>
            <w:pPr>
              <w:spacing w:after="0"/>
              <w:rPr>
                <w:sz w:val="16"/>
                <w:szCs w:val="16"/>
                <w:color w:val="auto"/>
              </w:rPr>
            </w:pPr>
          </w:p>
        </w:tc>
        <w:tc>
          <w:tcPr>
            <w:tcW w:w="7960" w:type="dxa"/>
            <w:vAlign w:val="bottom"/>
          </w:tcPr>
          <w:p>
            <w:pPr>
              <w:ind w:left="240"/>
              <w:spacing w:after="0"/>
              <w:rPr>
                <w:sz w:val="20"/>
                <w:szCs w:val="20"/>
                <w:color w:val="auto"/>
              </w:rPr>
            </w:pPr>
            <w:r>
              <w:rPr>
                <w:rFonts w:ascii="Arial" w:cs="Arial" w:eastAsia="Arial" w:hAnsi="Arial"/>
                <w:sz w:val="14"/>
                <w:szCs w:val="14"/>
                <w:color w:val="auto"/>
              </w:rPr>
              <w:t>aircraft  and  beginning  installation  on  our  mainline  aircraft;  and  making  signifcant  technology  changes  that</w:t>
            </w:r>
          </w:p>
        </w:tc>
      </w:tr>
      <w:tr>
        <w:trPr>
          <w:trHeight w:val="189"/>
        </w:trPr>
        <w:tc>
          <w:tcPr>
            <w:tcW w:w="200" w:type="dxa"/>
            <w:vAlign w:val="bottom"/>
            <w:shd w:val="clear" w:color="auto" w:fill="1414D2"/>
          </w:tcPr>
          <w:p>
            <w:pPr>
              <w:spacing w:after="0"/>
              <w:rPr>
                <w:sz w:val="16"/>
                <w:szCs w:val="16"/>
                <w:color w:val="auto"/>
              </w:rPr>
            </w:pPr>
          </w:p>
        </w:tc>
        <w:tc>
          <w:tcPr>
            <w:tcW w:w="1560" w:type="dxa"/>
            <w:vAlign w:val="bottom"/>
          </w:tcPr>
          <w:p>
            <w:pPr>
              <w:spacing w:after="0"/>
              <w:rPr>
                <w:sz w:val="16"/>
                <w:szCs w:val="16"/>
                <w:color w:val="auto"/>
              </w:rPr>
            </w:pPr>
          </w:p>
        </w:tc>
        <w:tc>
          <w:tcPr>
            <w:tcW w:w="7960" w:type="dxa"/>
            <w:vAlign w:val="bottom"/>
          </w:tcPr>
          <w:p>
            <w:pPr>
              <w:ind w:left="240"/>
              <w:spacing w:after="0"/>
              <w:rPr>
                <w:sz w:val="20"/>
                <w:szCs w:val="20"/>
                <w:color w:val="auto"/>
              </w:rPr>
            </w:pPr>
            <w:r>
              <w:rPr>
                <w:rFonts w:ascii="Arial" w:cs="Arial" w:eastAsia="Arial" w:hAnsi="Arial"/>
                <w:sz w:val="14"/>
                <w:szCs w:val="14"/>
                <w:color w:val="auto"/>
              </w:rPr>
              <w:t>empower  the  Company’s  employees  and  improve  the  customer  experience.  Management  is  focused  on  the</w:t>
            </w:r>
          </w:p>
        </w:tc>
      </w:tr>
      <w:tr>
        <w:trPr>
          <w:trHeight w:val="189"/>
        </w:trPr>
        <w:tc>
          <w:tcPr>
            <w:tcW w:w="200" w:type="dxa"/>
            <w:vAlign w:val="bottom"/>
            <w:shd w:val="clear" w:color="auto" w:fill="1414D2"/>
          </w:tcPr>
          <w:p>
            <w:pPr>
              <w:spacing w:after="0"/>
              <w:rPr>
                <w:sz w:val="16"/>
                <w:szCs w:val="16"/>
                <w:color w:val="auto"/>
              </w:rPr>
            </w:pPr>
          </w:p>
        </w:tc>
        <w:tc>
          <w:tcPr>
            <w:tcW w:w="1560" w:type="dxa"/>
            <w:vAlign w:val="bottom"/>
          </w:tcPr>
          <w:p>
            <w:pPr>
              <w:spacing w:after="0"/>
              <w:rPr>
                <w:sz w:val="16"/>
                <w:szCs w:val="16"/>
                <w:color w:val="auto"/>
              </w:rPr>
            </w:pPr>
          </w:p>
        </w:tc>
        <w:tc>
          <w:tcPr>
            <w:tcW w:w="7960" w:type="dxa"/>
            <w:vAlign w:val="bottom"/>
          </w:tcPr>
          <w:p>
            <w:pPr>
              <w:ind w:left="240"/>
              <w:spacing w:after="0"/>
              <w:rPr>
                <w:sz w:val="20"/>
                <w:szCs w:val="20"/>
                <w:color w:val="auto"/>
              </w:rPr>
            </w:pPr>
            <w:r>
              <w:rPr>
                <w:rFonts w:ascii="Arial" w:cs="Arial" w:eastAsia="Arial" w:hAnsi="Arial"/>
                <w:sz w:val="14"/>
                <w:szCs w:val="14"/>
                <w:color w:val="auto"/>
              </w:rPr>
              <w:t>various  components  of  the  United  Next  strategy,  utilizing  the  resources  of  all  operational  groups  to  ensure  the</w:t>
            </w:r>
          </w:p>
        </w:tc>
      </w:tr>
      <w:tr>
        <w:trPr>
          <w:trHeight w:val="189"/>
        </w:trPr>
        <w:tc>
          <w:tcPr>
            <w:tcW w:w="200" w:type="dxa"/>
            <w:vAlign w:val="bottom"/>
            <w:shd w:val="clear" w:color="auto" w:fill="1414D2"/>
          </w:tcPr>
          <w:p>
            <w:pPr>
              <w:spacing w:after="0"/>
              <w:rPr>
                <w:sz w:val="16"/>
                <w:szCs w:val="16"/>
                <w:color w:val="auto"/>
              </w:rPr>
            </w:pPr>
          </w:p>
        </w:tc>
        <w:tc>
          <w:tcPr>
            <w:tcW w:w="1560" w:type="dxa"/>
            <w:vAlign w:val="bottom"/>
          </w:tcPr>
          <w:p>
            <w:pPr>
              <w:spacing w:after="0"/>
              <w:rPr>
                <w:sz w:val="16"/>
                <w:szCs w:val="16"/>
                <w:color w:val="auto"/>
              </w:rPr>
            </w:pPr>
          </w:p>
        </w:tc>
        <w:tc>
          <w:tcPr>
            <w:tcW w:w="7960" w:type="dxa"/>
            <w:vAlign w:val="bottom"/>
          </w:tcPr>
          <w:p>
            <w:pPr>
              <w:ind w:left="240"/>
              <w:spacing w:after="0"/>
              <w:rPr>
                <w:sz w:val="20"/>
                <w:szCs w:val="20"/>
                <w:color w:val="auto"/>
              </w:rPr>
            </w:pPr>
            <w:r>
              <w:rPr>
                <w:rFonts w:ascii="Arial" w:cs="Arial" w:eastAsia="Arial" w:hAnsi="Arial"/>
                <w:sz w:val="14"/>
                <w:szCs w:val="14"/>
                <w:color w:val="auto"/>
              </w:rPr>
              <w:t>successful  execution  of  our  United  Next  strategy.  The  Board  receives  updates  and  engages  in  dialogue  with  the</w:t>
            </w:r>
          </w:p>
        </w:tc>
      </w:tr>
      <w:tr>
        <w:trPr>
          <w:trHeight w:val="189"/>
        </w:trPr>
        <w:tc>
          <w:tcPr>
            <w:tcW w:w="200" w:type="dxa"/>
            <w:vAlign w:val="bottom"/>
            <w:shd w:val="clear" w:color="auto" w:fill="1414D2"/>
          </w:tcPr>
          <w:p>
            <w:pPr>
              <w:spacing w:after="0"/>
              <w:rPr>
                <w:sz w:val="16"/>
                <w:szCs w:val="16"/>
                <w:color w:val="auto"/>
              </w:rPr>
            </w:pPr>
          </w:p>
        </w:tc>
        <w:tc>
          <w:tcPr>
            <w:tcW w:w="1560" w:type="dxa"/>
            <w:vAlign w:val="bottom"/>
          </w:tcPr>
          <w:p>
            <w:pPr>
              <w:spacing w:after="0"/>
              <w:rPr>
                <w:sz w:val="16"/>
                <w:szCs w:val="16"/>
                <w:color w:val="auto"/>
              </w:rPr>
            </w:pPr>
          </w:p>
        </w:tc>
        <w:tc>
          <w:tcPr>
            <w:tcW w:w="7960" w:type="dxa"/>
            <w:vAlign w:val="bottom"/>
          </w:tcPr>
          <w:p>
            <w:pPr>
              <w:ind w:left="240"/>
              <w:spacing w:after="0"/>
              <w:rPr>
                <w:sz w:val="20"/>
                <w:szCs w:val="20"/>
                <w:color w:val="auto"/>
              </w:rPr>
            </w:pPr>
            <w:r>
              <w:rPr>
                <w:rFonts w:ascii="Arial" w:cs="Arial" w:eastAsia="Arial" w:hAnsi="Arial"/>
                <w:sz w:val="14"/>
                <w:szCs w:val="14"/>
                <w:color w:val="auto"/>
              </w:rPr>
              <w:t>members  of  our  executive  management  team  on  various  aspects  of  the  United  Next  plan  at  each  Board</w:t>
            </w:r>
          </w:p>
        </w:tc>
      </w:tr>
      <w:tr>
        <w:trPr>
          <w:trHeight w:val="208"/>
        </w:trPr>
        <w:tc>
          <w:tcPr>
            <w:tcW w:w="200" w:type="dxa"/>
            <w:vAlign w:val="bottom"/>
            <w:shd w:val="clear" w:color="auto" w:fill="1414D2"/>
          </w:tcPr>
          <w:p>
            <w:pPr>
              <w:spacing w:after="0"/>
              <w:rPr>
                <w:sz w:val="18"/>
                <w:szCs w:val="18"/>
                <w:color w:val="auto"/>
              </w:rPr>
            </w:pPr>
          </w:p>
        </w:tc>
        <w:tc>
          <w:tcPr>
            <w:tcW w:w="1560" w:type="dxa"/>
            <w:vAlign w:val="bottom"/>
          </w:tcPr>
          <w:p>
            <w:pPr>
              <w:spacing w:after="0"/>
              <w:rPr>
                <w:sz w:val="18"/>
                <w:szCs w:val="18"/>
                <w:color w:val="auto"/>
              </w:rPr>
            </w:pPr>
          </w:p>
        </w:tc>
        <w:tc>
          <w:tcPr>
            <w:tcW w:w="7960" w:type="dxa"/>
            <w:vAlign w:val="bottom"/>
          </w:tcPr>
          <w:p>
            <w:pPr>
              <w:ind w:left="240"/>
              <w:spacing w:after="0"/>
              <w:rPr>
                <w:sz w:val="20"/>
                <w:szCs w:val="20"/>
                <w:color w:val="auto"/>
              </w:rPr>
            </w:pPr>
            <w:r>
              <w:rPr>
                <w:rFonts w:ascii="Arial" w:cs="Arial" w:eastAsia="Arial" w:hAnsi="Arial"/>
                <w:sz w:val="14"/>
                <w:szCs w:val="14"/>
                <w:color w:val="auto"/>
              </w:rPr>
              <w:t>meeting.</w:t>
            </w:r>
          </w:p>
        </w:tc>
      </w:tr>
      <w:tr>
        <w:trPr>
          <w:trHeight w:val="68"/>
        </w:trPr>
        <w:tc>
          <w:tcPr>
            <w:tcW w:w="200" w:type="dxa"/>
            <w:vAlign w:val="bottom"/>
            <w:tcBorders>
              <w:bottom w:val="single" w:sz="8" w:color="1414D2"/>
            </w:tcBorders>
            <w:shd w:val="clear" w:color="auto" w:fill="1414D2"/>
          </w:tcPr>
          <w:p>
            <w:pPr>
              <w:spacing w:after="0"/>
              <w:rPr>
                <w:sz w:val="5"/>
                <w:szCs w:val="5"/>
                <w:color w:val="auto"/>
              </w:rPr>
            </w:pPr>
          </w:p>
        </w:tc>
        <w:tc>
          <w:tcPr>
            <w:tcW w:w="1560" w:type="dxa"/>
            <w:vAlign w:val="bottom"/>
            <w:tcBorders>
              <w:bottom w:val="single" w:sz="8" w:color="1414D2"/>
            </w:tcBorders>
          </w:tcPr>
          <w:p>
            <w:pPr>
              <w:spacing w:after="0"/>
              <w:rPr>
                <w:sz w:val="5"/>
                <w:szCs w:val="5"/>
                <w:color w:val="auto"/>
              </w:rPr>
            </w:pPr>
          </w:p>
        </w:tc>
        <w:tc>
          <w:tcPr>
            <w:tcW w:w="7960" w:type="dxa"/>
            <w:vAlign w:val="bottom"/>
            <w:tcBorders>
              <w:bottom w:val="single" w:sz="8" w:color="1414D2"/>
            </w:tcBorders>
          </w:tcPr>
          <w:p>
            <w:pPr>
              <w:spacing w:after="0"/>
              <w:rPr>
                <w:sz w:val="5"/>
                <w:szCs w:val="5"/>
                <w:color w:val="auto"/>
              </w:rPr>
            </w:pPr>
          </w:p>
        </w:tc>
      </w:tr>
      <w:tr>
        <w:trPr>
          <w:trHeight w:val="128"/>
        </w:trPr>
        <w:tc>
          <w:tcPr>
            <w:tcW w:w="200" w:type="dxa"/>
            <w:vAlign w:val="bottom"/>
          </w:tcPr>
          <w:p>
            <w:pPr>
              <w:spacing w:after="0"/>
              <w:rPr>
                <w:sz w:val="11"/>
                <w:szCs w:val="11"/>
                <w:color w:val="auto"/>
              </w:rPr>
            </w:pPr>
          </w:p>
        </w:tc>
        <w:tc>
          <w:tcPr>
            <w:tcW w:w="1560" w:type="dxa"/>
            <w:vAlign w:val="bottom"/>
            <w:tcBorders>
              <w:bottom w:val="single" w:sz="8" w:color="1414D2"/>
            </w:tcBorders>
          </w:tcPr>
          <w:p>
            <w:pPr>
              <w:spacing w:after="0"/>
              <w:rPr>
                <w:sz w:val="11"/>
                <w:szCs w:val="11"/>
                <w:color w:val="auto"/>
              </w:rPr>
            </w:pPr>
          </w:p>
        </w:tc>
        <w:tc>
          <w:tcPr>
            <w:tcW w:w="7960" w:type="dxa"/>
            <w:vAlign w:val="bottom"/>
            <w:tcBorders>
              <w:bottom w:val="single" w:sz="8" w:color="1414D2"/>
            </w:tcBorders>
          </w:tcPr>
          <w:p>
            <w:pPr>
              <w:spacing w:after="0"/>
              <w:rPr>
                <w:sz w:val="11"/>
                <w:szCs w:val="11"/>
                <w:color w:val="auto"/>
              </w:rPr>
            </w:pPr>
          </w:p>
        </w:tc>
      </w:tr>
    </w:tbl>
    <w:p>
      <w:pPr>
        <w:spacing w:after="0" w:line="43" w:lineRule="exact"/>
        <w:rPr>
          <w:sz w:val="20"/>
          <w:szCs w:val="20"/>
          <w:color w:val="auto"/>
        </w:rPr>
      </w:pPr>
    </w:p>
    <w:p>
      <w:pPr>
        <w:sectPr>
          <w:pgSz w:w="11900" w:h="16838" w:orient="portrait"/>
          <w:cols w:equalWidth="0" w:num="1">
            <w:col w:w="9720"/>
          </w:cols>
          <w:pgMar w:left="1080" w:top="695" w:right="1099" w:bottom="1440" w:gutter="0" w:footer="0" w:header="0"/>
          <w:type w:val="continuous"/>
        </w:sectPr>
      </w:pPr>
    </w:p>
    <w:p>
      <w:pPr>
        <w:ind w:left="340"/>
        <w:spacing w:after="0"/>
        <w:rPr>
          <w:sz w:val="20"/>
          <w:szCs w:val="20"/>
          <w:color w:val="auto"/>
        </w:rPr>
      </w:pPr>
      <w:r>
        <w:rPr>
          <w:rFonts w:ascii="Arial" w:cs="Arial" w:eastAsia="Arial" w:hAnsi="Arial"/>
          <w:sz w:val="16"/>
          <w:szCs w:val="16"/>
          <w:b w:val="1"/>
          <w:bCs w:val="1"/>
          <w:color w:val="1414D2"/>
        </w:rPr>
        <w:t>OVERSIGHT OF</w:t>
      </w:r>
    </w:p>
    <w:p>
      <w:pPr>
        <w:spacing w:after="0" w:line="19" w:lineRule="exact"/>
        <w:rPr>
          <w:sz w:val="20"/>
          <w:szCs w:val="20"/>
          <w:color w:val="auto"/>
        </w:rPr>
      </w:pPr>
    </w:p>
    <w:p>
      <w:pPr>
        <w:ind w:left="340"/>
        <w:spacing w:after="0" w:line="279" w:lineRule="auto"/>
        <w:rPr>
          <w:sz w:val="20"/>
          <w:szCs w:val="20"/>
          <w:color w:val="auto"/>
        </w:rPr>
      </w:pPr>
      <w:r>
        <w:rPr>
          <w:rFonts w:ascii="Arial" w:cs="Arial" w:eastAsia="Arial" w:hAnsi="Arial"/>
          <w:sz w:val="16"/>
          <w:szCs w:val="16"/>
          <w:b w:val="1"/>
          <w:bCs w:val="1"/>
          <w:color w:val="1414D2"/>
        </w:rPr>
        <w:t>FINANCIAL AND COMPETITIVE PERFORMANCE</w:t>
      </w:r>
    </w:p>
    <w:p>
      <w:pPr>
        <w:spacing w:after="0" w:line="20" w:lineRule="exact"/>
        <w:rPr>
          <w:sz w:val="20"/>
          <w:szCs w:val="20"/>
          <w:color w:val="auto"/>
        </w:rPr>
      </w:pPr>
      <w:r>
        <w:rPr>
          <w:sz w:val="20"/>
          <w:szCs w:val="20"/>
          <w:color w:val="auto"/>
        </w:rPr>
        <w:br w:type="column"/>
      </w:r>
    </w:p>
    <w:p>
      <w:pPr>
        <w:ind w:right="240"/>
        <w:spacing w:after="0" w:line="261" w:lineRule="auto"/>
        <w:rPr>
          <w:sz w:val="20"/>
          <w:szCs w:val="20"/>
          <w:color w:val="auto"/>
        </w:rPr>
      </w:pPr>
      <w:r>
        <w:rPr>
          <w:rFonts w:ascii="Arial" w:cs="Arial" w:eastAsia="Arial" w:hAnsi="Arial"/>
          <w:sz w:val="14"/>
          <w:szCs w:val="14"/>
          <w:color w:val="auto"/>
        </w:rPr>
        <w:t>Throughout the year, the Board reviews the Company’s fnancial and competitive performance and fnancial condition, including overseeing management’s execution against the Company’s capital, liquidity, strategic and</w:t>
      </w:r>
    </w:p>
    <w:p>
      <w:pPr>
        <w:spacing w:after="0" w:line="1" w:lineRule="exact"/>
        <w:rPr>
          <w:sz w:val="20"/>
          <w:szCs w:val="20"/>
          <w:color w:val="auto"/>
        </w:rPr>
      </w:pPr>
    </w:p>
    <w:p>
      <w:pPr>
        <w:ind w:right="320"/>
        <w:spacing w:after="0" w:line="311" w:lineRule="auto"/>
        <w:rPr>
          <w:sz w:val="20"/>
          <w:szCs w:val="20"/>
          <w:color w:val="auto"/>
        </w:rPr>
      </w:pPr>
      <w:r>
        <w:rPr>
          <w:rFonts w:ascii="Arial" w:cs="Arial" w:eastAsia="Arial" w:hAnsi="Arial"/>
          <w:sz w:val="14"/>
          <w:szCs w:val="14"/>
          <w:color w:val="auto"/>
        </w:rPr>
        <w:t>fnancial operating plans. The Board, through the Finance Committee, dedicates signifcant focus to reviewing our capital allocation strategy.</w:t>
      </w:r>
    </w:p>
    <w:p>
      <w:pPr>
        <w:spacing w:after="0" w:line="270" w:lineRule="exact"/>
        <w:rPr>
          <w:sz w:val="20"/>
          <w:szCs w:val="20"/>
          <w:color w:val="auto"/>
        </w:rPr>
      </w:pPr>
    </w:p>
    <w:p>
      <w:pPr>
        <w:sectPr>
          <w:pgSz w:w="11900" w:h="16838" w:orient="portrait"/>
          <w:cols w:equalWidth="0" w:num="2">
            <w:col w:w="1640" w:space="360"/>
            <w:col w:w="7720"/>
          </w:cols>
          <w:pgMar w:left="1080" w:top="695" w:right="10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right"/>
        <w:ind w:right="7720"/>
        <w:spacing w:after="0"/>
        <w:rPr>
          <w:sz w:val="20"/>
          <w:szCs w:val="20"/>
          <w:color w:val="auto"/>
        </w:rPr>
      </w:pPr>
      <w:r>
        <w:rPr>
          <w:rFonts w:ascii="Arial" w:cs="Arial" w:eastAsia="Arial" w:hAnsi="Arial"/>
          <w:sz w:val="16"/>
          <w:szCs w:val="16"/>
          <w:color w:val="auto"/>
        </w:rPr>
        <w:t>​​2026​  Proxy</w:t>
      </w:r>
    </w:p>
    <w:p>
      <w:pPr>
        <w:spacing w:after="0" w:line="5" w:lineRule="exact"/>
        <w:rPr>
          <w:sz w:val="20"/>
          <w:szCs w:val="20"/>
          <w:color w:val="auto"/>
        </w:rPr>
      </w:pPr>
    </w:p>
    <w:p>
      <w:pPr>
        <w:ind w:left="660" w:hanging="656"/>
        <w:spacing w:after="0"/>
        <w:tabs>
          <w:tab w:leader="none" w:pos="660" w:val="left"/>
        </w:tabs>
        <w:numPr>
          <w:ilvl w:val="0"/>
          <w:numId w:val="40"/>
        </w:numPr>
        <w:rPr>
          <w:rFonts w:ascii="Arial" w:cs="Arial" w:eastAsia="Arial" w:hAnsi="Arial"/>
          <w:sz w:val="16"/>
          <w:szCs w:val="16"/>
          <w:b w:val="1"/>
          <w:bCs w:val="1"/>
          <w:color w:val="1414D2"/>
        </w:rPr>
      </w:pPr>
      <w:r>
        <w:rPr>
          <w:rFonts w:ascii="Arial" w:cs="Arial" w:eastAsia="Arial" w:hAnsi="Arial"/>
          <w:sz w:val="16"/>
          <w:szCs w:val="16"/>
          <w:color w:val="auto"/>
        </w:rPr>
        <w:t>Statement</w:t>
      </w:r>
    </w:p>
    <w:p>
      <w:pPr>
        <w:sectPr>
          <w:pgSz w:w="11900" w:h="16838" w:orient="portrait"/>
          <w:cols w:equalWidth="0" w:num="1">
            <w:col w:w="9720"/>
          </w:cols>
          <w:pgMar w:left="1080" w:top="695" w:right="1099"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27" w:lineRule="exact"/>
        <w:rPr>
          <w:sz w:val="20"/>
          <w:szCs w:val="20"/>
          <w:color w:val="auto"/>
        </w:rPr>
      </w:pPr>
    </w:p>
    <w:p>
      <w:pPr>
        <w:jc w:val="right"/>
        <w:spacing w:after="0"/>
        <w:rPr>
          <w:sz w:val="20"/>
          <w:szCs w:val="20"/>
          <w:color w:val="auto"/>
        </w:rPr>
      </w:pPr>
      <w:r>
        <w:rPr>
          <w:rFonts w:ascii="Arial" w:cs="Arial" w:eastAsia="Arial" w:hAnsi="Arial"/>
          <w:sz w:val="14"/>
          <w:szCs w:val="14"/>
          <w:color w:val="6D6F71"/>
        </w:rPr>
        <w:t>Board  and  Corporate  Governance  Matters</w:t>
      </w:r>
    </w:p>
    <w:p>
      <w:pPr>
        <w:sectPr>
          <w:pgSz w:w="11900" w:h="16838" w:orient="portrait"/>
          <w:cols w:equalWidth="0" w:num="1">
            <w:col w:w="9720"/>
          </w:cols>
          <w:pgMar w:left="1080" w:top="695" w:right="1099" w:bottom="1440" w:gutter="0" w:footer="0" w:header="0"/>
        </w:sectPr>
      </w:pPr>
    </w:p>
    <w:p>
      <w:pPr>
        <w:spacing w:after="0" w:line="333" w:lineRule="exact"/>
        <w:rPr>
          <w:sz w:val="20"/>
          <w:szCs w:val="20"/>
          <w:color w:val="auto"/>
        </w:rPr>
      </w:pPr>
    </w:p>
    <w:p>
      <w:pPr>
        <w:ind w:left="340"/>
        <w:spacing w:after="0"/>
        <w:rPr>
          <w:sz w:val="20"/>
          <w:szCs w:val="20"/>
          <w:color w:val="auto"/>
        </w:rPr>
      </w:pPr>
      <w:r>
        <w:rPr>
          <w:rFonts w:ascii="Arial" w:cs="Arial" w:eastAsia="Arial" w:hAnsi="Arial"/>
          <w:sz w:val="15"/>
          <w:szCs w:val="15"/>
          <w:b w:val="1"/>
          <w:bCs w:val="1"/>
          <w:color w:val="1414D2"/>
        </w:rPr>
        <w:t>OVERSIGHT OF</w:t>
      </w:r>
    </w:p>
    <w:p>
      <w:pPr>
        <w:spacing w:after="0" w:line="30" w:lineRule="exact"/>
        <w:rPr>
          <w:sz w:val="20"/>
          <w:szCs w:val="20"/>
          <w:color w:val="auto"/>
        </w:rPr>
      </w:pPr>
    </w:p>
    <w:p>
      <w:pPr>
        <w:jc w:val="both"/>
        <w:ind w:left="340" w:right="160"/>
        <w:spacing w:after="0" w:line="306" w:lineRule="auto"/>
        <w:rPr>
          <w:sz w:val="20"/>
          <w:szCs w:val="20"/>
          <w:color w:val="auto"/>
        </w:rPr>
      </w:pPr>
      <w:r>
        <w:rPr>
          <w:rFonts w:ascii="Arial" w:cs="Arial" w:eastAsia="Arial" w:hAnsi="Arial"/>
          <w:sz w:val="15"/>
          <w:szCs w:val="15"/>
          <w:b w:val="1"/>
          <w:bCs w:val="1"/>
          <w:color w:val="1414D2"/>
        </w:rPr>
        <w:t>CORPORATE CITIZENSHIP APPROACH</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ind w:right="140"/>
        <w:spacing w:after="0" w:line="261" w:lineRule="auto"/>
        <w:rPr>
          <w:sz w:val="20"/>
          <w:szCs w:val="20"/>
          <w:color w:val="auto"/>
        </w:rPr>
      </w:pPr>
      <w:r>
        <w:rPr>
          <w:rFonts w:ascii="Arial" w:cs="Arial" w:eastAsia="Arial" w:hAnsi="Arial"/>
          <w:sz w:val="14"/>
          <w:szCs w:val="14"/>
          <w:color w:val="auto"/>
        </w:rPr>
        <w:t>Our governance framework includes direct oversight by our Board and our various Committees of our corporate citizenship goals, targets, strategies, initiatives, risks, assessments, disclosures and external engagement and</w:t>
      </w:r>
    </w:p>
    <w:p>
      <w:pPr>
        <w:spacing w:after="0" w:line="1" w:lineRule="exact"/>
        <w:rPr>
          <w:sz w:val="20"/>
          <w:szCs w:val="20"/>
          <w:color w:val="auto"/>
        </w:rPr>
      </w:pPr>
    </w:p>
    <w:p>
      <w:pPr>
        <w:ind w:right="240"/>
        <w:spacing w:after="0" w:line="251" w:lineRule="auto"/>
        <w:rPr>
          <w:sz w:val="20"/>
          <w:szCs w:val="20"/>
          <w:color w:val="auto"/>
        </w:rPr>
      </w:pPr>
      <w:r>
        <w:rPr>
          <w:rFonts w:ascii="Arial" w:cs="Arial" w:eastAsia="Arial" w:hAnsi="Arial"/>
          <w:sz w:val="14"/>
          <w:szCs w:val="14"/>
          <w:color w:val="auto"/>
        </w:rPr>
        <w:t>related matters. The Public Responsibility Committee, the Audit Committee, the Nominating/Governance Committee, the Executive Committee and the Compensation Committee each have key responsibilities relating</w:t>
      </w:r>
    </w:p>
    <w:p>
      <w:pPr>
        <w:spacing w:after="0" w:line="1" w:lineRule="exact"/>
        <w:rPr>
          <w:sz w:val="20"/>
          <w:szCs w:val="20"/>
          <w:color w:val="auto"/>
        </w:rPr>
      </w:pPr>
    </w:p>
    <w:p>
      <w:pPr>
        <w:ind w:right="120"/>
        <w:spacing w:after="0" w:line="285" w:lineRule="auto"/>
        <w:rPr>
          <w:sz w:val="20"/>
          <w:szCs w:val="20"/>
          <w:color w:val="auto"/>
        </w:rPr>
      </w:pPr>
      <w:r>
        <w:rPr>
          <w:rFonts w:ascii="Arial" w:cs="Arial" w:eastAsia="Arial" w:hAnsi="Arial"/>
          <w:sz w:val="14"/>
          <w:szCs w:val="14"/>
          <w:color w:val="auto"/>
        </w:rPr>
        <w:t>to corporate citizenship topics and they align and collaborate to enable achievement of our corporate citizenship goals.</w:t>
      </w:r>
    </w:p>
    <w:p>
      <w:pPr>
        <w:spacing w:after="0" w:line="227" w:lineRule="exact"/>
        <w:rPr>
          <w:sz w:val="20"/>
          <w:szCs w:val="20"/>
          <w:color w:val="auto"/>
        </w:rPr>
      </w:pPr>
    </w:p>
    <w:p>
      <w:pPr>
        <w:ind w:right="180"/>
        <w:spacing w:after="0" w:line="251" w:lineRule="auto"/>
        <w:rPr>
          <w:sz w:val="20"/>
          <w:szCs w:val="20"/>
          <w:color w:val="auto"/>
        </w:rPr>
      </w:pPr>
      <w:r>
        <w:rPr>
          <w:rFonts w:ascii="Arial" w:cs="Arial" w:eastAsia="Arial" w:hAnsi="Arial"/>
          <w:sz w:val="14"/>
          <w:szCs w:val="14"/>
          <w:color w:val="auto"/>
        </w:rPr>
        <w:t>Management is responsible for reviewing, refning and implementing long-term corporate citizenship strategies and periodically updating the full Board and its Committees, as applicable, on issues related to the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implementation  of  our  corporate  citizenship  strategies.</w:t>
      </w:r>
    </w:p>
    <w:p>
      <w:pPr>
        <w:spacing w:after="0" w:line="200" w:lineRule="exact"/>
        <w:rPr>
          <w:sz w:val="20"/>
          <w:szCs w:val="20"/>
          <w:color w:val="auto"/>
        </w:rPr>
      </w:pPr>
    </w:p>
    <w:p>
      <w:pPr>
        <w:sectPr>
          <w:pgSz w:w="11900" w:h="16838" w:orient="portrait"/>
          <w:cols w:equalWidth="0" w:num="2">
            <w:col w:w="1520" w:space="480"/>
            <w:col w:w="7720"/>
          </w:cols>
          <w:pgMar w:left="1080" w:top="695" w:right="1099" w:bottom="1440" w:gutter="0" w:footer="0" w:header="0"/>
          <w:type w:val="continuous"/>
        </w:sectPr>
      </w:pPr>
    </w:p>
    <w:p>
      <w:pPr>
        <w:spacing w:after="0" w:line="92"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1414D2"/>
        </w:rPr>
        <w:t>OVERSIGHT OF</w:t>
      </w:r>
    </w:p>
    <w:p>
      <w:pPr>
        <w:spacing w:after="0" w:line="19" w:lineRule="exact"/>
        <w:rPr>
          <w:sz w:val="20"/>
          <w:szCs w:val="20"/>
          <w:color w:val="auto"/>
        </w:rPr>
      </w:pPr>
    </w:p>
    <w:p>
      <w:pPr>
        <w:ind w:left="340"/>
        <w:spacing w:after="0" w:line="392" w:lineRule="auto"/>
        <w:rPr>
          <w:sz w:val="20"/>
          <w:szCs w:val="20"/>
          <w:color w:val="auto"/>
        </w:rPr>
      </w:pPr>
      <w:r>
        <w:rPr>
          <w:rFonts w:ascii="Arial" w:cs="Arial" w:eastAsia="Arial" w:hAnsi="Arial"/>
          <w:sz w:val="14"/>
          <w:szCs w:val="14"/>
          <w:b w:val="1"/>
          <w:bCs w:val="1"/>
          <w:color w:val="1414D2"/>
        </w:rPr>
        <w:t>CYBERSECURITY RISKS</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ind w:right="540"/>
        <w:spacing w:after="0" w:line="261" w:lineRule="auto"/>
        <w:rPr>
          <w:sz w:val="20"/>
          <w:szCs w:val="20"/>
          <w:color w:val="auto"/>
        </w:rPr>
      </w:pPr>
      <w:r>
        <w:rPr>
          <w:rFonts w:ascii="Arial" w:cs="Arial" w:eastAsia="Arial" w:hAnsi="Arial"/>
          <w:sz w:val="14"/>
          <w:szCs w:val="14"/>
          <w:color w:val="auto"/>
          <w:highlight w:val="white"/>
        </w:rPr>
        <w:t xml:space="preserve">The Company considers management of cybersecurity and digital risk as essential for enabling its success. </w:t>
      </w:r>
      <w:r>
        <w:rPr>
          <w:rFonts w:ascii="Arial" w:cs="Arial" w:eastAsia="Arial" w:hAnsi="Arial"/>
          <w:sz w:val="14"/>
          <w:szCs w:val="14"/>
          <w:color w:val="auto"/>
        </w:rPr>
        <w:t>United has developed a risk-based cybersecurity and digital risk management strategy. This program is</w:t>
      </w:r>
    </w:p>
    <w:p>
      <w:pPr>
        <w:spacing w:after="0" w:line="1" w:lineRule="exact"/>
        <w:rPr>
          <w:sz w:val="20"/>
          <w:szCs w:val="20"/>
          <w:color w:val="auto"/>
        </w:rPr>
      </w:pPr>
    </w:p>
    <w:p>
      <w:pPr>
        <w:ind w:right="160"/>
        <w:spacing w:after="0" w:line="251" w:lineRule="auto"/>
        <w:rPr>
          <w:sz w:val="20"/>
          <w:szCs w:val="20"/>
          <w:color w:val="auto"/>
        </w:rPr>
      </w:pPr>
      <w:r>
        <w:rPr>
          <w:rFonts w:ascii="Arial" w:cs="Arial" w:eastAsia="Arial" w:hAnsi="Arial"/>
          <w:sz w:val="14"/>
          <w:szCs w:val="14"/>
          <w:color w:val="auto"/>
        </w:rPr>
        <w:t>informed by industry-recognized frameworks and standards, including those published by the National Institute of Standards and Technology (“NIST”), and is tailored to the Company’s risk profle and regulatory environment.</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The  Company  is  also  subject  to  extensive  cybersecurity  regulation,  including  but  not  limited  to  those  regulations</w:t>
      </w:r>
    </w:p>
    <w:p>
      <w:pPr>
        <w:spacing w:after="0" w:line="15" w:lineRule="exact"/>
        <w:rPr>
          <w:sz w:val="20"/>
          <w:szCs w:val="20"/>
          <w:color w:val="auto"/>
        </w:rPr>
      </w:pPr>
    </w:p>
    <w:p>
      <w:pPr>
        <w:ind w:right="300"/>
        <w:spacing w:after="0" w:line="251" w:lineRule="auto"/>
        <w:rPr>
          <w:sz w:val="20"/>
          <w:szCs w:val="20"/>
          <w:color w:val="auto"/>
        </w:rPr>
      </w:pPr>
      <w:r>
        <w:rPr>
          <w:rFonts w:ascii="Arial" w:cs="Arial" w:eastAsia="Arial" w:hAnsi="Arial"/>
          <w:sz w:val="14"/>
          <w:szCs w:val="14"/>
          <w:color w:val="auto"/>
        </w:rPr>
        <w:t>overseen by the Federal Aviation Administration, Transportation Security Administration and Department of Transportation. This risk-based framework is also integrated into the Company’s Enterprise Risk Management</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("ERM")  process  that  is  subject  to  oversight  by  the  Audit  Committee.  Cybersecurity  risks  are  one  of  the  key  risks</w:t>
      </w:r>
    </w:p>
    <w:p>
      <w:pPr>
        <w:spacing w:after="0" w:line="26" w:lineRule="exact"/>
        <w:rPr>
          <w:sz w:val="20"/>
          <w:szCs w:val="20"/>
          <w:color w:val="auto"/>
        </w:rPr>
      </w:pPr>
    </w:p>
    <w:p>
      <w:pPr>
        <w:ind w:right="280"/>
        <w:spacing w:after="0" w:line="251" w:lineRule="auto"/>
        <w:rPr>
          <w:sz w:val="20"/>
          <w:szCs w:val="20"/>
          <w:color w:val="auto"/>
        </w:rPr>
      </w:pPr>
      <w:r>
        <w:rPr>
          <w:rFonts w:ascii="Arial" w:cs="Arial" w:eastAsia="Arial" w:hAnsi="Arial"/>
          <w:sz w:val="14"/>
          <w:szCs w:val="14"/>
          <w:color w:val="auto"/>
        </w:rPr>
        <w:t>regularly evaluated, assessed and monitored as part of the Company's overall ERM process. The Company’s Cybersecurity and Digital Risk (“CDR”) organization is responsible for establishing and advancing this program,</w:t>
      </w:r>
    </w:p>
    <w:p>
      <w:pPr>
        <w:spacing w:after="0" w:line="1" w:lineRule="exact"/>
        <w:rPr>
          <w:sz w:val="20"/>
          <w:szCs w:val="20"/>
          <w:color w:val="auto"/>
        </w:rPr>
      </w:pPr>
    </w:p>
    <w:p>
      <w:pPr>
        <w:spacing w:after="0"/>
        <w:tabs>
          <w:tab w:leader="none" w:pos="6220" w:val="left"/>
        </w:tabs>
        <w:rPr>
          <w:sz w:val="20"/>
          <w:szCs w:val="20"/>
          <w:color w:val="auto"/>
        </w:rPr>
      </w:pPr>
      <w:r>
        <w:rPr>
          <w:rFonts w:ascii="Arial" w:cs="Arial" w:eastAsia="Arial" w:hAnsi="Arial"/>
          <w:sz w:val="14"/>
          <w:szCs w:val="14"/>
          <w:color w:val="auto"/>
        </w:rPr>
        <w:t>including  capabilities  to  prevent,  detect,  respond  to  and  recover  from  cybersecurity  threats.</w:t>
        <w:tab/>
        <w:t>The  Company</w:t>
      </w:r>
    </w:p>
    <w:p>
      <w:pPr>
        <w:spacing w:after="0" w:line="15" w:lineRule="exact"/>
        <w:rPr>
          <w:sz w:val="20"/>
          <w:szCs w:val="20"/>
          <w:color w:val="auto"/>
        </w:rPr>
      </w:pPr>
    </w:p>
    <w:p>
      <w:pPr>
        <w:ind w:right="180"/>
        <w:spacing w:after="0" w:line="251" w:lineRule="auto"/>
        <w:rPr>
          <w:sz w:val="20"/>
          <w:szCs w:val="20"/>
          <w:color w:val="auto"/>
        </w:rPr>
      </w:pPr>
      <w:r>
        <w:rPr>
          <w:rFonts w:ascii="Arial" w:cs="Arial" w:eastAsia="Arial" w:hAnsi="Arial"/>
          <w:sz w:val="14"/>
          <w:szCs w:val="14"/>
          <w:color w:val="auto"/>
        </w:rPr>
        <w:t>incorporates regular information security training as part of its employee education and development program. The Company also participates in various information-sharing organizations to timely share and receive threat</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information,  thereby  improving  the  collective  defense  of  the  aviation,  retail  and  hospitality  and  other  critical</w:t>
      </w:r>
    </w:p>
    <w:p>
      <w:pPr>
        <w:spacing w:after="0" w:line="15" w:lineRule="exact"/>
        <w:rPr>
          <w:sz w:val="20"/>
          <w:szCs w:val="20"/>
          <w:color w:val="auto"/>
        </w:rPr>
      </w:pPr>
    </w:p>
    <w:p>
      <w:pPr>
        <w:ind w:right="320"/>
        <w:spacing w:after="0" w:line="251" w:lineRule="auto"/>
        <w:rPr>
          <w:sz w:val="20"/>
          <w:szCs w:val="20"/>
          <w:color w:val="auto"/>
        </w:rPr>
      </w:pPr>
      <w:r>
        <w:rPr>
          <w:rFonts w:ascii="Arial" w:cs="Arial" w:eastAsia="Arial" w:hAnsi="Arial"/>
          <w:sz w:val="14"/>
          <w:szCs w:val="14"/>
          <w:color w:val="auto"/>
        </w:rPr>
        <w:t>infrastructure sectors. The Company regularly seeks opportunities to improve its capabilities to protect the Company and its customers, including through cybersecurity trainings and skill development programs for its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CDR  organization  members.</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United’s  Chief  Information  Security  Ofcer  (“CISO”)  oversees  the  CDR  organization  and  the  Company’s  approach</w:t>
      </w:r>
    </w:p>
    <w:p>
      <w:pPr>
        <w:spacing w:after="0" w:line="15" w:lineRule="exact"/>
        <w:rPr>
          <w:sz w:val="20"/>
          <w:szCs w:val="20"/>
          <w:color w:val="auto"/>
        </w:rPr>
      </w:pPr>
    </w:p>
    <w:p>
      <w:pPr>
        <w:ind w:right="260"/>
        <w:spacing w:after="0" w:line="251" w:lineRule="auto"/>
        <w:rPr>
          <w:sz w:val="20"/>
          <w:szCs w:val="20"/>
          <w:color w:val="auto"/>
        </w:rPr>
      </w:pPr>
      <w:r>
        <w:rPr>
          <w:rFonts w:ascii="Arial" w:cs="Arial" w:eastAsia="Arial" w:hAnsi="Arial"/>
          <w:sz w:val="14"/>
          <w:szCs w:val="14"/>
          <w:color w:val="auto"/>
        </w:rPr>
        <w:t>to prevent, detect, mitigate and remediate cybersecurity and digital risk. The CISO works in close coordination with senior leaders across Digital Technology, Legal, Audit, Human Resources, Safety, Corporate Risk and other</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functions.</w:t>
      </w:r>
    </w:p>
    <w:p>
      <w:pPr>
        <w:spacing w:after="0" w:line="82" w:lineRule="exact"/>
        <w:rPr>
          <w:sz w:val="20"/>
          <w:szCs w:val="20"/>
          <w:color w:val="auto"/>
        </w:rPr>
      </w:pPr>
    </w:p>
    <w:p>
      <w:pPr>
        <w:ind w:right="600"/>
        <w:spacing w:after="0" w:line="261" w:lineRule="auto"/>
        <w:rPr>
          <w:sz w:val="20"/>
          <w:szCs w:val="20"/>
          <w:color w:val="auto"/>
        </w:rPr>
      </w:pPr>
      <w:r>
        <w:rPr>
          <w:rFonts w:ascii="Arial" w:cs="Arial" w:eastAsia="Arial" w:hAnsi="Arial"/>
          <w:sz w:val="14"/>
          <w:szCs w:val="14"/>
          <w:color w:val="auto"/>
        </w:rPr>
        <w:t>The Audit Committee provides oversight of the Company’s assessment and risk management policies and strategies with respect to signifcant business risks, including cybersecurity and digital risk. Our Audit</w:t>
      </w:r>
    </w:p>
    <w:p>
      <w:pPr>
        <w:spacing w:after="0" w:line="1" w:lineRule="exact"/>
        <w:rPr>
          <w:sz w:val="20"/>
          <w:szCs w:val="20"/>
          <w:color w:val="auto"/>
        </w:rPr>
      </w:pPr>
    </w:p>
    <w:p>
      <w:pPr>
        <w:ind w:right="240"/>
        <w:spacing w:after="0" w:line="251" w:lineRule="auto"/>
        <w:rPr>
          <w:sz w:val="20"/>
          <w:szCs w:val="20"/>
          <w:color w:val="auto"/>
        </w:rPr>
      </w:pPr>
      <w:r>
        <w:rPr>
          <w:rFonts w:ascii="Arial" w:cs="Arial" w:eastAsia="Arial" w:hAnsi="Arial"/>
          <w:sz w:val="14"/>
          <w:szCs w:val="14"/>
          <w:color w:val="auto"/>
        </w:rPr>
        <w:t>Committee is provided with regular quarterly updates regarding the Company’s cybersecurity and digital risk program, including information security, data protection and operational resilience. This includes, on a regular</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basis,  the  Audit  Committee  receiving  reports  from  the  Company's  CISO  as  well  as  its  Chief  Information  Ofcer,</w:t>
      </w:r>
    </w:p>
    <w:p>
      <w:pPr>
        <w:spacing w:after="0" w:line="15" w:lineRule="exact"/>
        <w:rPr>
          <w:sz w:val="20"/>
          <w:szCs w:val="20"/>
          <w:color w:val="auto"/>
        </w:rPr>
      </w:pPr>
    </w:p>
    <w:p>
      <w:pPr>
        <w:ind w:right="580"/>
        <w:spacing w:after="0" w:line="251" w:lineRule="auto"/>
        <w:rPr>
          <w:sz w:val="20"/>
          <w:szCs w:val="20"/>
          <w:color w:val="auto"/>
        </w:rPr>
      </w:pPr>
      <w:r>
        <w:rPr>
          <w:rFonts w:ascii="Arial" w:cs="Arial" w:eastAsia="Arial" w:hAnsi="Arial"/>
          <w:sz w:val="14"/>
          <w:szCs w:val="14"/>
          <w:color w:val="auto"/>
        </w:rPr>
        <w:t>Chief Risk Ofcer, Chief Legal Ofcer and Chief Compliance Ofcer regarding the Company’s processes for assessing, identifying and managing cybersecurity risks, including when applicable, notable cybersecurity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threats  or  incidents  impacting  the  aviation  sector  or  the  Company;  results  of  independent  third-party</w:t>
      </w:r>
    </w:p>
    <w:p>
      <w:pPr>
        <w:spacing w:after="0" w:line="15" w:lineRule="exact"/>
        <w:rPr>
          <w:sz w:val="20"/>
          <w:szCs w:val="20"/>
          <w:color w:val="auto"/>
        </w:rPr>
      </w:pPr>
    </w:p>
    <w:p>
      <w:pPr>
        <w:ind w:right="700"/>
        <w:spacing w:after="0" w:line="251" w:lineRule="auto"/>
        <w:rPr>
          <w:sz w:val="20"/>
          <w:szCs w:val="20"/>
          <w:color w:val="auto"/>
        </w:rPr>
      </w:pPr>
      <w:r>
        <w:rPr>
          <w:rFonts w:ascii="Arial" w:cs="Arial" w:eastAsia="Arial" w:hAnsi="Arial"/>
          <w:sz w:val="14"/>
          <w:szCs w:val="14"/>
          <w:color w:val="auto"/>
        </w:rPr>
        <w:t>assessments of the Company's cybersecurity program; key metrics, capabilities, resourcing and strategy regarding the Company's cybersecurity program; and updates related to cybersecurity regulatory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developments.  The  Chair  of  the  Audit  Committee  regularly  reports  its  activities-including  those  related  to</w:t>
      </w:r>
    </w:p>
    <w:p>
      <w:pPr>
        <w:spacing w:after="0" w:line="15" w:lineRule="exact"/>
        <w:rPr>
          <w:sz w:val="20"/>
          <w:szCs w:val="20"/>
          <w:color w:val="auto"/>
        </w:rPr>
      </w:pPr>
    </w:p>
    <w:p>
      <w:pPr>
        <w:ind w:right="240"/>
        <w:spacing w:after="0" w:line="251" w:lineRule="auto"/>
        <w:rPr>
          <w:sz w:val="20"/>
          <w:szCs w:val="20"/>
          <w:color w:val="auto"/>
        </w:rPr>
      </w:pPr>
      <w:r>
        <w:rPr>
          <w:rFonts w:ascii="Arial" w:cs="Arial" w:eastAsia="Arial" w:hAnsi="Arial"/>
          <w:sz w:val="14"/>
          <w:szCs w:val="14"/>
          <w:color w:val="auto"/>
        </w:rPr>
        <w:t>cybersecurity risks-to the Board and, as necessary, recommends actions to the Board that the Audit Committee deems appropriate. We periodically engage an independent external auditor to assess our cybersecurity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program  against  the  NIST  Cybersecurity  Framework  and  we  report  the  results  of  such  assessment  to  the  Audit</w:t>
      </w:r>
    </w:p>
    <w:p>
      <w:pPr>
        <w:spacing w:after="0" w:line="15" w:lineRule="exact"/>
        <w:rPr>
          <w:sz w:val="20"/>
          <w:szCs w:val="20"/>
          <w:color w:val="auto"/>
        </w:rPr>
      </w:pPr>
    </w:p>
    <w:p>
      <w:pPr>
        <w:ind w:right="360"/>
        <w:spacing w:after="0" w:line="251" w:lineRule="auto"/>
        <w:rPr>
          <w:sz w:val="20"/>
          <w:szCs w:val="20"/>
          <w:color w:val="auto"/>
        </w:rPr>
      </w:pPr>
      <w:r>
        <w:rPr>
          <w:rFonts w:ascii="Arial" w:cs="Arial" w:eastAsia="Arial" w:hAnsi="Arial"/>
          <w:sz w:val="14"/>
          <w:szCs w:val="14"/>
          <w:color w:val="auto"/>
        </w:rPr>
        <w:t>Committee. Further, certain aspects of our cybersecurity program are externally reviewed by applicable overseeing authorities, including through our annual obtainment of a Payment Card Industry (PCI) Report on</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Compliance,  our  attestation  of  our  cybersecurity  program  to  the  Department  of  Defense,  the  review  of  our</w:t>
      </w:r>
    </w:p>
    <w:p>
      <w:pPr>
        <w:spacing w:after="0" w:line="15" w:lineRule="exact"/>
        <w:rPr>
          <w:sz w:val="20"/>
          <w:szCs w:val="20"/>
          <w:color w:val="auto"/>
        </w:rPr>
      </w:pPr>
    </w:p>
    <w:p>
      <w:pPr>
        <w:ind w:right="280"/>
        <w:spacing w:after="0" w:line="301" w:lineRule="auto"/>
        <w:rPr>
          <w:sz w:val="20"/>
          <w:szCs w:val="20"/>
          <w:color w:val="auto"/>
        </w:rPr>
      </w:pPr>
      <w:r>
        <w:rPr>
          <w:rFonts w:ascii="Arial" w:cs="Arial" w:eastAsia="Arial" w:hAnsi="Arial"/>
          <w:sz w:val="14"/>
          <w:szCs w:val="14"/>
          <w:color w:val="auto"/>
        </w:rPr>
        <w:t>program through the International Air Transport Association Operational Safety Audit, and, beginning in 2025, the Transportation Security Administration’s Cybersecurity Evaluation.</w:t>
      </w:r>
    </w:p>
    <w:p>
      <w:pPr>
        <w:spacing w:after="0" w:line="1" w:lineRule="exact"/>
        <w:rPr>
          <w:sz w:val="20"/>
          <w:szCs w:val="20"/>
          <w:color w:val="auto"/>
        </w:rPr>
      </w:pPr>
    </w:p>
    <w:p>
      <w:pPr>
        <w:ind w:right="160"/>
        <w:spacing w:after="0" w:line="331" w:lineRule="auto"/>
        <w:rPr>
          <w:sz w:val="20"/>
          <w:szCs w:val="20"/>
          <w:color w:val="auto"/>
        </w:rPr>
      </w:pPr>
      <w:r>
        <w:rPr>
          <w:rFonts w:ascii="Arial" w:cs="Arial" w:eastAsia="Arial" w:hAnsi="Arial"/>
          <w:sz w:val="14"/>
          <w:szCs w:val="14"/>
          <w:color w:val="auto"/>
        </w:rPr>
        <w:t>For more information, please see Item 1C, “Cybersecurity” in the Company’s Annual Report on Form 10-K for the fscal year ended December 31, 2025.</w:t>
      </w:r>
    </w:p>
    <w:p>
      <w:pPr>
        <w:spacing w:after="0" w:line="200" w:lineRule="exact"/>
        <w:rPr>
          <w:sz w:val="20"/>
          <w:szCs w:val="20"/>
          <w:color w:val="auto"/>
        </w:rPr>
      </w:pPr>
    </w:p>
    <w:p>
      <w:pPr>
        <w:sectPr>
          <w:pgSz w:w="11900" w:h="16838" w:orient="portrait"/>
          <w:cols w:equalWidth="0" w:num="2">
            <w:col w:w="1620" w:space="380"/>
            <w:col w:w="7720"/>
          </w:cols>
          <w:pgMar w:left="1080" w:top="695" w:right="10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2026  Proxy  Statement</w:t>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1414D2"/>
        </w:rPr>
        <w:t>43</w:t>
      </w:r>
    </w:p>
    <w:p>
      <w:pPr>
        <w:sectPr>
          <w:pgSz w:w="11900" w:h="16838" w:orient="portrait"/>
          <w:cols w:equalWidth="0" w:num="1">
            <w:col w:w="9720"/>
          </w:cols>
          <w:pgMar w:left="1080" w:top="695" w:right="1099" w:bottom="1440" w:gutter="0" w:footer="0" w:header="0"/>
          <w:type w:val="continuous"/>
        </w:sectPr>
      </w:pPr>
    </w:p>
    <w:bookmarkStart w:id="54" w:name="page55"/>
    <w:bookmarkEnd w:id="54"/>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6D6F71"/>
        </w:rPr>
        <w:t>Board  and  Corporate  Governance  Matters</w:t>
      </w:r>
    </w:p>
    <w:p>
      <w:pPr>
        <w:sectPr>
          <w:pgSz w:w="11900" w:h="16838" w:orient="portrait"/>
          <w:cols w:equalWidth="0" w:num="1">
            <w:col w:w="9580"/>
          </w:cols>
          <w:pgMar w:left="1080" w:top="695" w:right="1239" w:bottom="1440" w:gutter="0" w:footer="0" w:header="0"/>
        </w:sectPr>
      </w:pPr>
    </w:p>
    <w:p>
      <w:pPr>
        <w:spacing w:after="0" w:line="333" w:lineRule="exact"/>
        <w:rPr>
          <w:sz w:val="20"/>
          <w:szCs w:val="20"/>
          <w:color w:val="auto"/>
        </w:rPr>
      </w:pPr>
    </w:p>
    <w:p>
      <w:pPr>
        <w:ind w:left="340"/>
        <w:spacing w:after="0"/>
        <w:rPr>
          <w:sz w:val="20"/>
          <w:szCs w:val="20"/>
          <w:color w:val="auto"/>
        </w:rPr>
      </w:pPr>
      <w:r>
        <w:rPr>
          <w:rFonts w:ascii="Arial" w:cs="Arial" w:eastAsia="Arial" w:hAnsi="Arial"/>
          <w:sz w:val="15"/>
          <w:szCs w:val="15"/>
          <w:b w:val="1"/>
          <w:bCs w:val="1"/>
          <w:color w:val="1414D2"/>
        </w:rPr>
        <w:t>OVERSIGHT OF</w:t>
      </w:r>
    </w:p>
    <w:p>
      <w:pPr>
        <w:spacing w:after="0" w:line="30" w:lineRule="exact"/>
        <w:rPr>
          <w:sz w:val="20"/>
          <w:szCs w:val="20"/>
          <w:color w:val="auto"/>
        </w:rPr>
      </w:pPr>
    </w:p>
    <w:p>
      <w:pPr>
        <w:ind w:left="340" w:right="20"/>
        <w:spacing w:after="0" w:line="350" w:lineRule="auto"/>
        <w:rPr>
          <w:sz w:val="20"/>
          <w:szCs w:val="20"/>
          <w:color w:val="auto"/>
        </w:rPr>
      </w:pPr>
      <w:r>
        <w:rPr>
          <w:rFonts w:ascii="Arial" w:cs="Arial" w:eastAsia="Arial" w:hAnsi="Arial"/>
          <w:sz w:val="15"/>
          <w:szCs w:val="15"/>
          <w:b w:val="1"/>
          <w:bCs w:val="1"/>
          <w:color w:val="1414D2"/>
        </w:rPr>
        <w:t>ARTIFICIAL INTELLIGENCE</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ind w:right="260"/>
        <w:spacing w:after="0" w:line="261" w:lineRule="auto"/>
        <w:rPr>
          <w:sz w:val="20"/>
          <w:szCs w:val="20"/>
          <w:color w:val="auto"/>
        </w:rPr>
      </w:pPr>
      <w:r>
        <w:rPr>
          <w:rFonts w:ascii="Arial" w:cs="Arial" w:eastAsia="Arial" w:hAnsi="Arial"/>
          <w:sz w:val="14"/>
          <w:szCs w:val="14"/>
          <w:color w:val="auto"/>
        </w:rPr>
        <w:t>The Audit Committee provides oversight with respect to the Company’s various business risk exposures, including, but not limited to, those relating to artifcial intelligence. Further, the Audit Committee periodically</w:t>
      </w:r>
    </w:p>
    <w:p>
      <w:pPr>
        <w:spacing w:after="0" w:line="1" w:lineRule="exact"/>
        <w:rPr>
          <w:sz w:val="20"/>
          <w:szCs w:val="20"/>
          <w:color w:val="auto"/>
        </w:rPr>
      </w:pPr>
    </w:p>
    <w:p>
      <w:pPr>
        <w:ind w:right="160"/>
        <w:spacing w:after="0" w:line="251" w:lineRule="auto"/>
        <w:rPr>
          <w:sz w:val="20"/>
          <w:szCs w:val="20"/>
          <w:color w:val="auto"/>
        </w:rPr>
      </w:pPr>
      <w:r>
        <w:rPr>
          <w:rFonts w:ascii="Arial" w:cs="Arial" w:eastAsia="Arial" w:hAnsi="Arial"/>
          <w:sz w:val="14"/>
          <w:szCs w:val="14"/>
          <w:color w:val="auto"/>
        </w:rPr>
        <w:t>reviews with management the steps management has taken to monitor and manage artifcial intelligence and information security risk exposure. The Company’s Chief Information Ofcer and the CISO provide regular</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updates  to  the  Board  on  the  Company’s  use  of  artifcial  intelligence.  These  updates  include  the  Company’s</w:t>
      </w:r>
    </w:p>
    <w:p>
      <w:pPr>
        <w:spacing w:after="0" w:line="15" w:lineRule="exact"/>
        <w:rPr>
          <w:sz w:val="20"/>
          <w:szCs w:val="20"/>
          <w:color w:val="auto"/>
        </w:rPr>
      </w:pPr>
    </w:p>
    <w:p>
      <w:pPr>
        <w:ind w:right="480"/>
        <w:spacing w:after="0" w:line="301" w:lineRule="auto"/>
        <w:rPr>
          <w:sz w:val="20"/>
          <w:szCs w:val="20"/>
          <w:color w:val="auto"/>
        </w:rPr>
      </w:pPr>
      <w:r>
        <w:rPr>
          <w:rFonts w:ascii="Arial" w:cs="Arial" w:eastAsia="Arial" w:hAnsi="Arial"/>
          <w:sz w:val="14"/>
          <w:szCs w:val="14"/>
          <w:color w:val="auto"/>
        </w:rPr>
        <w:t>digital technology strategy, governance framework, risk profle and the measures in place to manage and mitigate associated risks.</w:t>
      </w:r>
    </w:p>
    <w:p>
      <w:pPr>
        <w:spacing w:after="0" w:line="1" w:lineRule="exact"/>
        <w:rPr>
          <w:sz w:val="20"/>
          <w:szCs w:val="20"/>
          <w:color w:val="auto"/>
        </w:rPr>
      </w:pPr>
    </w:p>
    <w:p>
      <w:pPr>
        <w:ind w:right="140"/>
        <w:spacing w:after="0" w:line="261" w:lineRule="auto"/>
        <w:rPr>
          <w:sz w:val="20"/>
          <w:szCs w:val="20"/>
          <w:color w:val="auto"/>
        </w:rPr>
      </w:pPr>
      <w:r>
        <w:rPr>
          <w:rFonts w:ascii="Arial" w:cs="Arial" w:eastAsia="Arial" w:hAnsi="Arial"/>
          <w:sz w:val="14"/>
          <w:szCs w:val="14"/>
          <w:color w:val="auto"/>
        </w:rPr>
        <w:t>The Company also has established the Responsible AI Executive Board, comprised of senior leaders across key business and corporate functions. This group meets regularly to defne and oversee artifcial intelligence</w:t>
      </w:r>
    </w:p>
    <w:p>
      <w:pPr>
        <w:spacing w:after="0" w:line="1" w:lineRule="exact"/>
        <w:rPr>
          <w:sz w:val="20"/>
          <w:szCs w:val="20"/>
          <w:color w:val="auto"/>
        </w:rPr>
      </w:pPr>
    </w:p>
    <w:p>
      <w:pPr>
        <w:ind w:right="400"/>
        <w:spacing w:after="0" w:line="251" w:lineRule="auto"/>
        <w:rPr>
          <w:sz w:val="20"/>
          <w:szCs w:val="20"/>
          <w:color w:val="auto"/>
        </w:rPr>
      </w:pPr>
      <w:r>
        <w:rPr>
          <w:rFonts w:ascii="Arial" w:cs="Arial" w:eastAsia="Arial" w:hAnsi="Arial"/>
          <w:sz w:val="14"/>
          <w:szCs w:val="14"/>
          <w:color w:val="auto"/>
        </w:rPr>
        <w:t>governance practices, guide responsible use and mitigate risks associated with the deployment of artifcial intelligence across our operations, in alignment with the Company’s enterprise risk management and</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compliance  frameworks.</w:t>
      </w:r>
    </w:p>
    <w:p>
      <w:pPr>
        <w:spacing w:after="0" w:line="200" w:lineRule="exact"/>
        <w:rPr>
          <w:sz w:val="20"/>
          <w:szCs w:val="20"/>
          <w:color w:val="auto"/>
        </w:rPr>
      </w:pPr>
    </w:p>
    <w:p>
      <w:pPr>
        <w:sectPr>
          <w:pgSz w:w="11900" w:h="16838" w:orient="portrait"/>
          <w:cols w:equalWidth="0" w:num="2">
            <w:col w:w="1520" w:space="480"/>
            <w:col w:w="7580"/>
          </w:cols>
          <w:pgMar w:left="1080" w:top="695" w:right="1239" w:bottom="1440" w:gutter="0" w:footer="0" w:header="0"/>
          <w:type w:val="continuous"/>
        </w:sectPr>
      </w:pPr>
    </w:p>
    <w:p>
      <w:pPr>
        <w:spacing w:after="0" w:line="106" w:lineRule="exact"/>
        <w:rPr>
          <w:sz w:val="20"/>
          <w:szCs w:val="20"/>
          <w:color w:val="auto"/>
        </w:rPr>
      </w:pPr>
    </w:p>
    <w:p>
      <w:pPr>
        <w:ind w:left="2000" w:right="100" w:hanging="1665"/>
        <w:spacing w:after="0" w:line="265" w:lineRule="auto"/>
        <w:tabs>
          <w:tab w:leader="none" w:pos="1980" w:val="left"/>
        </w:tabs>
        <w:rPr>
          <w:sz w:val="20"/>
          <w:szCs w:val="20"/>
          <w:color w:val="auto"/>
        </w:rPr>
      </w:pPr>
      <w:r>
        <w:rPr>
          <w:rFonts w:ascii="Arial" w:cs="Arial" w:eastAsia="Arial" w:hAnsi="Arial"/>
          <w:sz w:val="16"/>
          <w:szCs w:val="16"/>
          <w:b w:val="1"/>
          <w:bCs w:val="1"/>
          <w:color w:val="1414D2"/>
        </w:rPr>
        <w:t>INTERNAL AUDIT</w:t>
      </w:r>
      <w:r>
        <w:rPr>
          <w:sz w:val="20"/>
          <w:szCs w:val="20"/>
          <w:color w:val="auto"/>
        </w:rPr>
        <w:tab/>
      </w:r>
      <w:r>
        <w:rPr>
          <w:rFonts w:ascii="Arial" w:cs="Arial" w:eastAsia="Arial" w:hAnsi="Arial"/>
          <w:sz w:val="14"/>
          <w:szCs w:val="14"/>
          <w:color w:val="auto"/>
        </w:rPr>
        <w:t>The Company’s internal audit function identifes and helps mitigate risk and improves internal controls. The internal audit function is directly overseen by the Audit Committee and operates pursuant to a charter, which is</w:t>
      </w:r>
    </w:p>
    <w:p>
      <w:pPr>
        <w:spacing w:after="0" w:line="1" w:lineRule="exact"/>
        <w:rPr>
          <w:sz w:val="20"/>
          <w:szCs w:val="20"/>
          <w:color w:val="auto"/>
        </w:rPr>
      </w:pPr>
    </w:p>
    <w:p>
      <w:pPr>
        <w:ind w:left="2000"/>
        <w:spacing w:after="0"/>
        <w:rPr>
          <w:sz w:val="20"/>
          <w:szCs w:val="20"/>
          <w:color w:val="auto"/>
        </w:rPr>
      </w:pPr>
      <w:r>
        <w:rPr>
          <w:rFonts w:ascii="Arial" w:cs="Arial" w:eastAsia="Arial" w:hAnsi="Arial"/>
          <w:sz w:val="14"/>
          <w:szCs w:val="14"/>
          <w:color w:val="auto"/>
        </w:rPr>
        <w:t>reviewed  and  approved  annually  by  the  Audit  Committee.</w:t>
      </w:r>
    </w:p>
    <w:p>
      <w:pPr>
        <w:spacing w:after="0" w:line="82" w:lineRule="exact"/>
        <w:rPr>
          <w:sz w:val="20"/>
          <w:szCs w:val="20"/>
          <w:color w:val="auto"/>
        </w:rPr>
      </w:pPr>
    </w:p>
    <w:p>
      <w:pPr>
        <w:ind w:left="2000" w:right="20"/>
        <w:spacing w:after="0" w:line="251" w:lineRule="auto"/>
        <w:rPr>
          <w:sz w:val="20"/>
          <w:szCs w:val="20"/>
          <w:color w:val="auto"/>
        </w:rPr>
      </w:pPr>
      <w:r>
        <w:rPr>
          <w:rFonts w:ascii="Arial" w:cs="Arial" w:eastAsia="Arial" w:hAnsi="Arial"/>
          <w:sz w:val="14"/>
          <w:szCs w:val="14"/>
          <w:color w:val="auto"/>
        </w:rPr>
        <w:t>The Audit Committee is responsible for reviewing and approving management’s appointment, replacement, reassignment or dismissal of the Chief Risk Ofcer (or any other individual performing the function of the senior</w:t>
      </w:r>
    </w:p>
    <w:p>
      <w:pPr>
        <w:spacing w:after="0" w:line="1" w:lineRule="exact"/>
        <w:rPr>
          <w:sz w:val="20"/>
          <w:szCs w:val="20"/>
          <w:color w:val="auto"/>
        </w:rPr>
      </w:pPr>
    </w:p>
    <w:p>
      <w:pPr>
        <w:ind w:left="2000"/>
        <w:spacing w:after="0"/>
        <w:rPr>
          <w:sz w:val="20"/>
          <w:szCs w:val="20"/>
          <w:color w:val="auto"/>
        </w:rPr>
      </w:pPr>
      <w:r>
        <w:rPr>
          <w:rFonts w:ascii="Arial" w:cs="Arial" w:eastAsia="Arial" w:hAnsi="Arial"/>
          <w:sz w:val="14"/>
          <w:szCs w:val="14"/>
          <w:color w:val="auto"/>
        </w:rPr>
        <w:t>internal  audit  executive  (the  “Chief  Audit  Executive"  or  the  "CAE”)).  The  Audit  Committee  reviews  the  summaries</w:t>
      </w:r>
    </w:p>
    <w:p>
      <w:pPr>
        <w:spacing w:after="0" w:line="15" w:lineRule="exact"/>
        <w:rPr>
          <w:sz w:val="20"/>
          <w:szCs w:val="20"/>
          <w:color w:val="auto"/>
        </w:rPr>
      </w:pPr>
    </w:p>
    <w:p>
      <w:pPr>
        <w:ind w:left="2000" w:right="560"/>
        <w:spacing w:after="0" w:line="251" w:lineRule="auto"/>
        <w:rPr>
          <w:sz w:val="20"/>
          <w:szCs w:val="20"/>
          <w:color w:val="auto"/>
        </w:rPr>
      </w:pPr>
      <w:r>
        <w:rPr>
          <w:rFonts w:ascii="Arial" w:cs="Arial" w:eastAsia="Arial" w:hAnsi="Arial"/>
          <w:sz w:val="14"/>
          <w:szCs w:val="14"/>
          <w:color w:val="auto"/>
        </w:rPr>
        <w:t>of the internal audit reports to management and management’s responses and discussion with the CAE, management and the independent auditors, as appropriate. The Audit Committee further reviews the</w:t>
      </w:r>
    </w:p>
    <w:p>
      <w:pPr>
        <w:spacing w:after="0" w:line="1" w:lineRule="exact"/>
        <w:rPr>
          <w:sz w:val="20"/>
          <w:szCs w:val="20"/>
          <w:color w:val="auto"/>
        </w:rPr>
      </w:pPr>
    </w:p>
    <w:p>
      <w:pPr>
        <w:ind w:left="2000"/>
        <w:spacing w:after="0"/>
        <w:rPr>
          <w:sz w:val="20"/>
          <w:szCs w:val="20"/>
          <w:color w:val="auto"/>
        </w:rPr>
      </w:pPr>
      <w:r>
        <w:rPr>
          <w:rFonts w:ascii="Arial" w:cs="Arial" w:eastAsia="Arial" w:hAnsi="Arial"/>
          <w:sz w:val="14"/>
          <w:szCs w:val="14"/>
          <w:color w:val="auto"/>
        </w:rPr>
        <w:t>signifcant  internal  audit  fndings  and  management’s  responses  to  such  fndings.</w:t>
      </w:r>
    </w:p>
    <w:p>
      <w:pPr>
        <w:spacing w:after="0" w:line="82" w:lineRule="exact"/>
        <w:rPr>
          <w:sz w:val="20"/>
          <w:szCs w:val="20"/>
          <w:color w:val="auto"/>
        </w:rPr>
      </w:pPr>
    </w:p>
    <w:p>
      <w:pPr>
        <w:ind w:left="2000"/>
        <w:spacing w:after="0"/>
        <w:rPr>
          <w:sz w:val="20"/>
          <w:szCs w:val="20"/>
          <w:color w:val="auto"/>
        </w:rPr>
      </w:pPr>
      <w:r>
        <w:rPr>
          <w:rFonts w:ascii="Arial" w:cs="Arial" w:eastAsia="Arial" w:hAnsi="Arial"/>
          <w:sz w:val="14"/>
          <w:szCs w:val="14"/>
          <w:color w:val="auto"/>
        </w:rPr>
        <w:t>The  Audit  Committee  reviews  with  independent  auditors,  the  CAE  and  management  the  extent  to  which  changes</w:t>
      </w:r>
    </w:p>
    <w:p>
      <w:pPr>
        <w:spacing w:after="0" w:line="15" w:lineRule="exact"/>
        <w:rPr>
          <w:sz w:val="20"/>
          <w:szCs w:val="20"/>
          <w:color w:val="auto"/>
        </w:rPr>
      </w:pPr>
    </w:p>
    <w:p>
      <w:pPr>
        <w:ind w:left="2000" w:right="40"/>
        <w:spacing w:after="0" w:line="301" w:lineRule="auto"/>
        <w:rPr>
          <w:sz w:val="20"/>
          <w:szCs w:val="20"/>
          <w:color w:val="auto"/>
        </w:rPr>
      </w:pPr>
      <w:r>
        <w:rPr>
          <w:rFonts w:ascii="Arial" w:cs="Arial" w:eastAsia="Arial" w:hAnsi="Arial"/>
          <w:sz w:val="14"/>
          <w:szCs w:val="14"/>
          <w:color w:val="auto"/>
        </w:rPr>
        <w:t>or improvements in fnancial or accounting practices and internal controls that were previously reviewed and/or approved by the Audit Committee have been implemented.</w:t>
      </w:r>
    </w:p>
    <w:p>
      <w:pPr>
        <w:spacing w:after="0" w:line="1" w:lineRule="exact"/>
        <w:rPr>
          <w:sz w:val="20"/>
          <w:szCs w:val="20"/>
          <w:color w:val="auto"/>
        </w:rPr>
      </w:pPr>
    </w:p>
    <w:p>
      <w:pPr>
        <w:ind w:left="2000" w:right="200"/>
        <w:spacing w:after="0" w:line="285" w:lineRule="auto"/>
        <w:rPr>
          <w:sz w:val="20"/>
          <w:szCs w:val="20"/>
          <w:color w:val="auto"/>
        </w:rPr>
      </w:pPr>
      <w:r>
        <w:rPr>
          <w:rFonts w:ascii="Arial" w:cs="Arial" w:eastAsia="Arial" w:hAnsi="Arial"/>
          <w:sz w:val="14"/>
          <w:szCs w:val="14"/>
          <w:color w:val="auto"/>
        </w:rPr>
        <w:t>The Audit Committee also periodically meets separately with management, the independent auditors and the CAE.</w:t>
      </w:r>
    </w:p>
    <w:p>
      <w:pPr>
        <w:sectPr>
          <w:pgSz w:w="11900" w:h="16838" w:orient="portrait"/>
          <w:cols w:equalWidth="0" w:num="1">
            <w:col w:w="9580"/>
          </w:cols>
          <w:pgMar w:left="1080" w:top="695" w:right="1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right"/>
        <w:ind w:right="7580"/>
        <w:spacing w:after="0"/>
        <w:rPr>
          <w:sz w:val="20"/>
          <w:szCs w:val="20"/>
          <w:color w:val="auto"/>
        </w:rPr>
      </w:pPr>
      <w:r>
        <w:rPr>
          <w:rFonts w:ascii="Arial" w:cs="Arial" w:eastAsia="Arial" w:hAnsi="Arial"/>
          <w:sz w:val="16"/>
          <w:szCs w:val="16"/>
          <w:color w:val="auto"/>
        </w:rPr>
        <w:t>​​2026​  Proxy</w:t>
      </w:r>
    </w:p>
    <w:p>
      <w:pPr>
        <w:spacing w:after="0" w:line="5" w:lineRule="exact"/>
        <w:rPr>
          <w:sz w:val="20"/>
          <w:szCs w:val="20"/>
          <w:color w:val="auto"/>
        </w:rPr>
      </w:pPr>
    </w:p>
    <w:p>
      <w:pPr>
        <w:ind w:left="660" w:hanging="656"/>
        <w:spacing w:after="0"/>
        <w:tabs>
          <w:tab w:leader="none" w:pos="660" w:val="left"/>
        </w:tabs>
        <w:numPr>
          <w:ilvl w:val="0"/>
          <w:numId w:val="41"/>
        </w:numPr>
        <w:rPr>
          <w:rFonts w:ascii="Arial" w:cs="Arial" w:eastAsia="Arial" w:hAnsi="Arial"/>
          <w:sz w:val="16"/>
          <w:szCs w:val="16"/>
          <w:b w:val="1"/>
          <w:bCs w:val="1"/>
          <w:color w:val="1414D2"/>
        </w:rPr>
      </w:pPr>
      <w:r>
        <w:rPr>
          <w:rFonts w:ascii="Arial" w:cs="Arial" w:eastAsia="Arial" w:hAnsi="Arial"/>
          <w:sz w:val="16"/>
          <w:szCs w:val="16"/>
          <w:color w:val="auto"/>
        </w:rPr>
        <w:t>Statement</w:t>
      </w:r>
    </w:p>
    <w:p>
      <w:pPr>
        <w:sectPr>
          <w:pgSz w:w="11900" w:h="16838" w:orient="portrait"/>
          <w:cols w:equalWidth="0" w:num="1">
            <w:col w:w="9580"/>
          </w:cols>
          <w:pgMar w:left="1080" w:top="695" w:right="1239" w:bottom="1440" w:gutter="0" w:footer="0" w:header="0"/>
          <w:type w:val="continuous"/>
        </w:sectPr>
      </w:pPr>
    </w:p>
    <w:bookmarkStart w:id="55" w:name="page56"/>
    <w:bookmarkEnd w:id="55"/>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27" w:lineRule="exact"/>
        <w:rPr>
          <w:sz w:val="20"/>
          <w:szCs w:val="20"/>
          <w:color w:val="auto"/>
        </w:rPr>
      </w:pPr>
    </w:p>
    <w:p>
      <w:pPr>
        <w:ind w:left="6900"/>
        <w:spacing w:after="0"/>
        <w:rPr>
          <w:sz w:val="20"/>
          <w:szCs w:val="20"/>
          <w:color w:val="auto"/>
        </w:rPr>
      </w:pPr>
      <w:r>
        <w:rPr>
          <w:rFonts w:ascii="Arial" w:cs="Arial" w:eastAsia="Arial" w:hAnsi="Arial"/>
          <w:sz w:val="14"/>
          <w:szCs w:val="14"/>
          <w:color w:val="6D6F71"/>
        </w:rPr>
        <w:t>Board  and  Corporate  Governance  Matters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MANAGEMENT SUCCESSION PLANNING AND TALENT DEVELOPMENT</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One  of  the  primary  responsibilities  of  the  Board  is  to  ensure  that  United  has  a  high-performing  executive  leadership  team.  To</w:t>
      </w:r>
    </w:p>
    <w:p>
      <w:pPr>
        <w:spacing w:after="0" w:line="19"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meet that goal, especially in light of the critical importance of executive leadership to United’s business strategy and the Company’s overall success, we have an annual succession planning process that is enterprise-wide and designed to help ensure that an appropriate succession plan is in place for our CEO and other members of senior management. Our talent management and succession planning process is designed to help ensure continuity of leadership, provide for a talent-rich leadership</w:t>
      </w:r>
    </w:p>
    <w:p>
      <w:pPr>
        <w:spacing w:after="0" w:line="3" w:lineRule="exact"/>
        <w:rPr>
          <w:sz w:val="20"/>
          <w:szCs w:val="20"/>
          <w:color w:val="auto"/>
        </w:rPr>
      </w:pPr>
    </w:p>
    <w:p>
      <w:pPr>
        <w:ind w:right="280"/>
        <w:spacing w:after="0" w:line="313" w:lineRule="auto"/>
        <w:rPr>
          <w:sz w:val="20"/>
          <w:szCs w:val="20"/>
          <w:color w:val="auto"/>
        </w:rPr>
      </w:pPr>
      <w:r>
        <w:rPr>
          <w:rFonts w:ascii="Arial" w:cs="Arial" w:eastAsia="Arial" w:hAnsi="Arial"/>
          <w:sz w:val="16"/>
          <w:szCs w:val="16"/>
          <w:color w:val="auto"/>
        </w:rPr>
        <w:t>organization that can drive the Company’s strategic objectives and prepare us for expected transitions (such as those arising from promotions, retirements and other role changes) as well as unexpected departures.</w:t>
      </w:r>
    </w:p>
    <w:p>
      <w:pPr>
        <w:spacing w:after="0" w:line="6" w:lineRule="exact"/>
        <w:rPr>
          <w:sz w:val="20"/>
          <w:szCs w:val="20"/>
          <w:color w:val="auto"/>
        </w:rPr>
      </w:pPr>
    </w:p>
    <w:p>
      <w:pPr>
        <w:ind w:right="460"/>
        <w:spacing w:after="0" w:line="255" w:lineRule="auto"/>
        <w:rPr>
          <w:sz w:val="20"/>
          <w:szCs w:val="20"/>
          <w:color w:val="auto"/>
        </w:rPr>
      </w:pPr>
      <w:r>
        <w:rPr>
          <w:rFonts w:ascii="Arial" w:cs="Arial" w:eastAsia="Arial" w:hAnsi="Arial"/>
          <w:sz w:val="16"/>
          <w:szCs w:val="16"/>
          <w:color w:val="auto"/>
        </w:rPr>
        <w:t>The Board maintains an efective planning process to select successors to the CEO and other members of executive management. Our Board’s involvement in our annual succession planning process is outlined in the Company’s Corporate</w:t>
      </w:r>
    </w:p>
    <w:p>
      <w:pPr>
        <w:spacing w:after="0" w:line="1"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Governance Guidelines. Our Board believes that the directors and the CEO should collaborate on succession planning and that the Board should be involved in the critical aspects of the management succession planning process. The Board has assigned to the Nominating/Governance Committee and the Executive Committee the responsibility to oversee the Company’s talent</w:t>
      </w:r>
    </w:p>
    <w:p>
      <w:pPr>
        <w:spacing w:after="0" w:line="1"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management and succession planning process, including long-term succession plans for the CEO and other executive ofcers as well as oversight of the Company’s readiness for turnover in key positions and ability to act swiftly in response to unplanned turnover</w:t>
      </w:r>
      <w:r>
        <w:rPr>
          <w:rFonts w:ascii="Arial" w:cs="Arial" w:eastAsia="Arial" w:hAnsi="Arial"/>
          <w:sz w:val="13"/>
          <w:szCs w:val="13"/>
          <w:color w:val="auto"/>
        </w:rPr>
        <w:t>.</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The  CEO,  our  Executive  Vice  President,  Human  Resources  and  Labor  Relations  and  other  executives  report  annually  to  the</w:t>
      </w:r>
    </w:p>
    <w:p>
      <w:pPr>
        <w:spacing w:after="0" w:line="19" w:lineRule="exact"/>
        <w:rPr>
          <w:sz w:val="20"/>
          <w:szCs w:val="20"/>
          <w:color w:val="auto"/>
        </w:rPr>
      </w:pPr>
    </w:p>
    <w:p>
      <w:pPr>
        <w:ind w:right="180"/>
        <w:spacing w:after="0" w:line="250" w:lineRule="auto"/>
        <w:rPr>
          <w:sz w:val="20"/>
          <w:szCs w:val="20"/>
          <w:color w:val="auto"/>
        </w:rPr>
      </w:pPr>
      <w:r>
        <w:rPr>
          <w:rFonts w:ascii="Arial" w:cs="Arial" w:eastAsia="Arial" w:hAnsi="Arial"/>
          <w:sz w:val="16"/>
          <w:szCs w:val="16"/>
          <w:color w:val="auto"/>
        </w:rPr>
        <w:t>Nominating/Governance Committee on succession planning (including plans in the event of an emergency) and management development and provide the Nominating/Governance Committee with an assessment of persons considered potential successors to certain senior management positions. The Board may review development and succession planning more frequently as it deems necessary or desirable. The Executive Committee also is regularly updated on key talent indicators for</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the  overall  workforce.</w:t>
      </w:r>
    </w:p>
    <w:p>
      <w:pPr>
        <w:spacing w:after="0" w:line="113" w:lineRule="exact"/>
        <w:rPr>
          <w:sz w:val="20"/>
          <w:szCs w:val="20"/>
          <w:color w:val="auto"/>
        </w:rPr>
      </w:pPr>
    </w:p>
    <w:p>
      <w:pPr>
        <w:ind w:right="120"/>
        <w:spacing w:after="0" w:line="252" w:lineRule="auto"/>
        <w:rPr>
          <w:sz w:val="20"/>
          <w:szCs w:val="20"/>
          <w:color w:val="auto"/>
        </w:rPr>
      </w:pPr>
      <w:r>
        <w:rPr>
          <w:rFonts w:ascii="Arial" w:cs="Arial" w:eastAsia="Arial" w:hAnsi="Arial"/>
          <w:sz w:val="16"/>
          <w:szCs w:val="16"/>
          <w:color w:val="auto"/>
        </w:rPr>
        <w:t>More broadly, our talent review process for senior management roles involves the Board engaging with the Company’s leadership team on matters of talent and culture, including the development of the Company’s talent pipeline and review of talent for business and function groups across the Company. As a part of this process, potential successors engage with Board</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members  through  formal  presentations  and  during  informal  events.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POLITICAL CONTRIBUTIONS AND LOBBYING EXPENDITURE OVERSIGHT AND DISCLOSURE TRANSPARENCY</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United  works  with  government  ofcials  at  all  levels  (international,  federal,  state  and  local),  as  well  as  our  extensive  network  of</w:t>
      </w:r>
    </w:p>
    <w:p>
      <w:pPr>
        <w:spacing w:after="0" w:line="19"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partners and stakeholders to advocate for policies and a regulatory environment to enable our industry to safely and sustainably grow and contribute to the economy. We participate in the political and policy process via regular engagement with government ofcials and policymakers, by making contributions to candidates and organizations and by encouraging political engagement by our employees in order to advocate for the long-term interests of the Company. We advocate for policies that</w:t>
      </w:r>
    </w:p>
    <w:p>
      <w:pPr>
        <w:spacing w:after="0" w:line="3"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 xml:space="preserve">modernize infrastructure and improve safety, rationalize our tax burden, reduce unnecessary regulation, enhance the customer experience, mitigate fuel cost and enhance global competitiveness in the airline industry, among other items. More information and additional disclosures referenced below can be found in our Political and Lobbying Policy, available at </w:t>
      </w:r>
      <w:r>
        <w:rPr>
          <w:rFonts w:ascii="Arial" w:cs="Arial" w:eastAsia="Arial" w:hAnsi="Arial"/>
          <w:sz w:val="16"/>
          <w:szCs w:val="16"/>
          <w:b w:val="1"/>
          <w:bCs w:val="1"/>
          <w:color w:val="1414D2"/>
        </w:rPr>
        <w:t>https://corporateimpact.united.com</w:t>
      </w:r>
      <w:r>
        <w:rPr>
          <w:rFonts w:ascii="Arial" w:cs="Arial" w:eastAsia="Arial" w:hAnsi="Arial"/>
          <w:sz w:val="16"/>
          <w:szCs w:val="16"/>
          <w:color w:val="000000"/>
        </w:rPr>
        <w:t>.</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414D2"/>
        </w:rPr>
        <w:t>Corporate Political Contributions</w:t>
      </w:r>
    </w:p>
    <w:p>
      <w:pPr>
        <w:spacing w:after="0" w:line="115" w:lineRule="exact"/>
        <w:rPr>
          <w:sz w:val="20"/>
          <w:szCs w:val="20"/>
          <w:color w:val="auto"/>
        </w:rPr>
      </w:pPr>
    </w:p>
    <w:p>
      <w:pPr>
        <w:ind w:left="320" w:right="60" w:hanging="316"/>
        <w:spacing w:after="0" w:line="278" w:lineRule="auto"/>
        <w:tabs>
          <w:tab w:leader="none" w:pos="320" w:val="left"/>
        </w:tabs>
        <w:numPr>
          <w:ilvl w:val="0"/>
          <w:numId w:val="42"/>
        </w:numPr>
        <w:rPr>
          <w:rFonts w:ascii="Times New Roman" w:cs="Times New Roman" w:eastAsia="Times New Roman" w:hAnsi="Times New Roman"/>
          <w:sz w:val="16"/>
          <w:szCs w:val="16"/>
          <w:color w:val="auto"/>
        </w:rPr>
      </w:pPr>
      <w:r>
        <w:rPr>
          <w:rFonts w:ascii="Arial" w:cs="Arial" w:eastAsia="Arial" w:hAnsi="Arial"/>
          <w:sz w:val="16"/>
          <w:szCs w:val="16"/>
          <w:color w:val="auto"/>
        </w:rPr>
        <w:t>The Company may make contributions to state or local candidate campaigns, parties, political committees and ballot measures that enhance the interests of the Company’s stakeholders, to the extent permitted by applicable law, and subject to the approval of the board of directors (“UAPAC Board of Directors”) of the United Airlines, Inc. Political Action Committee (“UAPAC”).</w:t>
      </w:r>
    </w:p>
    <w:p>
      <w:pPr>
        <w:spacing w:after="0" w:line="250" w:lineRule="exact"/>
        <w:rPr>
          <w:rFonts w:ascii="Times New Roman" w:cs="Times New Roman" w:eastAsia="Times New Roman" w:hAnsi="Times New Roman"/>
          <w:sz w:val="16"/>
          <w:szCs w:val="16"/>
          <w:color w:val="auto"/>
        </w:rPr>
      </w:pPr>
    </w:p>
    <w:p>
      <w:pPr>
        <w:ind w:left="320" w:right="120" w:hanging="316"/>
        <w:spacing w:after="0" w:line="327" w:lineRule="auto"/>
        <w:tabs>
          <w:tab w:leader="none" w:pos="320" w:val="left"/>
        </w:tabs>
        <w:numPr>
          <w:ilvl w:val="0"/>
          <w:numId w:val="42"/>
        </w:numPr>
        <w:rPr>
          <w:rFonts w:ascii="Times New Roman" w:cs="Times New Roman" w:eastAsia="Times New Roman" w:hAnsi="Times New Roman"/>
          <w:sz w:val="16"/>
          <w:szCs w:val="16"/>
          <w:color w:val="auto"/>
        </w:rPr>
      </w:pPr>
      <w:r>
        <w:rPr>
          <w:rFonts w:ascii="Arial" w:cs="Arial" w:eastAsia="Arial" w:hAnsi="Arial"/>
          <w:sz w:val="16"/>
          <w:szCs w:val="16"/>
          <w:color w:val="auto"/>
        </w:rPr>
        <w:t>We fle publicly available reports that disclose our political contributions with state and local agencies as required by state and local law. We provide information regarding our corporate political contributions on our website that is updated semi-annually.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2026  Proxy  Statement</w:t>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1414D2"/>
        </w:rPr>
        <w:t>45</w:t>
      </w:r>
    </w:p>
    <w:p>
      <w:pPr>
        <w:sectPr>
          <w:pgSz w:w="11900" w:h="16838" w:orient="portrait"/>
          <w:cols w:equalWidth="0" w:num="1">
            <w:col w:w="9720"/>
          </w:cols>
          <w:pgMar w:left="1080" w:top="695" w:right="1099" w:bottom="1440" w:gutter="0" w:footer="0" w:header="0"/>
        </w:sectPr>
      </w:pPr>
    </w:p>
    <w:bookmarkStart w:id="56" w:name="page57"/>
    <w:bookmarkEnd w:id="56"/>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6D6F71"/>
        </w:rPr>
        <w:t>Board  and  Corporate  Governance  Matters</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414D2"/>
        </w:rPr>
        <w:t>Lobbying Expenditures</w:t>
      </w:r>
    </w:p>
    <w:p>
      <w:pPr>
        <w:spacing w:after="0" w:line="115" w:lineRule="exact"/>
        <w:rPr>
          <w:sz w:val="20"/>
          <w:szCs w:val="20"/>
          <w:color w:val="auto"/>
        </w:rPr>
      </w:pPr>
    </w:p>
    <w:p>
      <w:pPr>
        <w:ind w:left="320" w:right="140" w:hanging="316"/>
        <w:spacing w:after="0" w:line="288" w:lineRule="auto"/>
        <w:tabs>
          <w:tab w:leader="none" w:pos="320" w:val="left"/>
        </w:tabs>
        <w:numPr>
          <w:ilvl w:val="0"/>
          <w:numId w:val="43"/>
        </w:numPr>
        <w:rPr>
          <w:rFonts w:ascii="Times New Roman" w:cs="Times New Roman" w:eastAsia="Times New Roman" w:hAnsi="Times New Roman"/>
          <w:sz w:val="16"/>
          <w:szCs w:val="16"/>
          <w:color w:val="auto"/>
        </w:rPr>
      </w:pPr>
      <w:r>
        <w:rPr>
          <w:rFonts w:ascii="Arial" w:cs="Arial" w:eastAsia="Arial" w:hAnsi="Arial"/>
          <w:sz w:val="16"/>
          <w:szCs w:val="16"/>
          <w:color w:val="auto"/>
        </w:rPr>
        <w:t>Our lobbying activities are governed by policies and practices designed to facilitate compliance with laws and regulations, including those relating to the lobbying of government ofcials, the duty to track and report lobbying activities and the obligation to treat lobbying costs and expenses as nondeductible for tax purposes.</w:t>
      </w:r>
    </w:p>
    <w:p>
      <w:pPr>
        <w:spacing w:after="0" w:line="25" w:lineRule="exact"/>
        <w:rPr>
          <w:rFonts w:ascii="Times New Roman" w:cs="Times New Roman" w:eastAsia="Times New Roman" w:hAnsi="Times New Roman"/>
          <w:sz w:val="16"/>
          <w:szCs w:val="16"/>
          <w:color w:val="auto"/>
        </w:rPr>
      </w:pPr>
    </w:p>
    <w:p>
      <w:pPr>
        <w:ind w:left="320" w:right="560" w:hanging="316"/>
        <w:spacing w:after="0" w:line="325" w:lineRule="auto"/>
        <w:tabs>
          <w:tab w:leader="none" w:pos="320" w:val="left"/>
        </w:tabs>
        <w:numPr>
          <w:ilvl w:val="0"/>
          <w:numId w:val="43"/>
        </w:numPr>
        <w:rPr>
          <w:rFonts w:ascii="Times New Roman" w:cs="Times New Roman" w:eastAsia="Times New Roman" w:hAnsi="Times New Roman"/>
          <w:sz w:val="16"/>
          <w:szCs w:val="16"/>
          <w:color w:val="auto"/>
        </w:rPr>
      </w:pPr>
      <w:r>
        <w:rPr>
          <w:rFonts w:ascii="Arial" w:cs="Arial" w:eastAsia="Arial" w:hAnsi="Arial"/>
          <w:sz w:val="16"/>
          <w:szCs w:val="16"/>
          <w:color w:val="auto"/>
        </w:rPr>
        <w:t>The Company fully supports appropriate disclosure of its lobbying criteria, activities and expenditures. Our lobbying disclosures are made on a regular basis as required by federal, state, or local jurisdictions.</w:t>
      </w:r>
    </w:p>
    <w:p>
      <w:pPr>
        <w:ind w:left="320" w:right="20" w:hanging="316"/>
        <w:spacing w:after="0" w:line="267" w:lineRule="auto"/>
        <w:tabs>
          <w:tab w:leader="none" w:pos="320" w:val="left"/>
        </w:tabs>
        <w:numPr>
          <w:ilvl w:val="0"/>
          <w:numId w:val="43"/>
        </w:numPr>
        <w:rPr>
          <w:rFonts w:ascii="Times New Roman" w:cs="Times New Roman" w:eastAsia="Times New Roman" w:hAnsi="Times New Roman"/>
          <w:sz w:val="16"/>
          <w:szCs w:val="16"/>
          <w:color w:val="auto"/>
        </w:rPr>
      </w:pPr>
      <w:r>
        <w:rPr>
          <w:rFonts w:ascii="Arial" w:cs="Arial" w:eastAsia="Arial" w:hAnsi="Arial"/>
          <w:sz w:val="16"/>
          <w:szCs w:val="16"/>
          <w:color w:val="auto"/>
        </w:rPr>
        <w:t xml:space="preserve">We also provide annual disclosure of the member organizations where our dues and other contributions used for non-deductible activity such as lobbying activities exceed $25,000, the amount of such dues attributable to lobbying activity and the Company’s total spending on lobbying as defned in the Internal Revenue Code. Additionally, we provide annual disclosure of any 501(c)(4) organization to which we paid more than $25,000 and the total amount of such payments. This disclosure is available at </w:t>
      </w:r>
      <w:r>
        <w:rPr>
          <w:rFonts w:ascii="Arial" w:cs="Arial" w:eastAsia="Arial" w:hAnsi="Arial"/>
          <w:sz w:val="16"/>
          <w:szCs w:val="16"/>
          <w:b w:val="1"/>
          <w:bCs w:val="1"/>
          <w:color w:val="1414D2"/>
        </w:rPr>
        <w:t>https://corporateimpact.united.com</w:t>
      </w:r>
      <w:r>
        <w:rPr>
          <w:rFonts w:ascii="Arial" w:cs="Arial" w:eastAsia="Arial" w:hAnsi="Arial"/>
          <w:sz w:val="16"/>
          <w:szCs w:val="16"/>
          <w:color w:val="auto"/>
        </w:rPr>
        <w:t>.</w:t>
      </w:r>
    </w:p>
    <w:p>
      <w:pPr>
        <w:spacing w:after="0" w:line="42" w:lineRule="exact"/>
        <w:rPr>
          <w:rFonts w:ascii="Times New Roman" w:cs="Times New Roman" w:eastAsia="Times New Roman" w:hAnsi="Times New Roman"/>
          <w:sz w:val="16"/>
          <w:szCs w:val="16"/>
          <w:color w:val="auto"/>
        </w:rPr>
      </w:pPr>
    </w:p>
    <w:p>
      <w:pPr>
        <w:ind w:left="320" w:right="160" w:hanging="316"/>
        <w:spacing w:after="0" w:line="288" w:lineRule="auto"/>
        <w:tabs>
          <w:tab w:leader="none" w:pos="320" w:val="left"/>
        </w:tabs>
        <w:numPr>
          <w:ilvl w:val="0"/>
          <w:numId w:val="43"/>
        </w:numPr>
        <w:rPr>
          <w:rFonts w:ascii="Times New Roman" w:cs="Times New Roman" w:eastAsia="Times New Roman" w:hAnsi="Times New Roman"/>
          <w:sz w:val="16"/>
          <w:szCs w:val="16"/>
          <w:color w:val="auto"/>
        </w:rPr>
      </w:pPr>
      <w:r>
        <w:rPr>
          <w:rFonts w:ascii="Arial" w:cs="Arial" w:eastAsia="Arial" w:hAnsi="Arial"/>
          <w:sz w:val="16"/>
          <w:szCs w:val="16"/>
          <w:color w:val="auto"/>
        </w:rPr>
        <w:t xml:space="preserve">In addition, we published our “Climate Lobbying Report: Aligning Climate Leadership with Advocacy” in 2022, which is available on our investor relations website at </w:t>
      </w:r>
      <w:r>
        <w:rPr>
          <w:rFonts w:ascii="Arial" w:cs="Arial" w:eastAsia="Arial" w:hAnsi="Arial"/>
          <w:sz w:val="16"/>
          <w:szCs w:val="16"/>
          <w:b w:val="1"/>
          <w:bCs w:val="1"/>
          <w:color w:val="1414D2"/>
        </w:rPr>
        <w:t>ir.united.com</w:t>
      </w:r>
      <w:r>
        <w:rPr>
          <w:rFonts w:ascii="Arial" w:cs="Arial" w:eastAsia="Arial" w:hAnsi="Arial"/>
          <w:sz w:val="16"/>
          <w:szCs w:val="16"/>
          <w:color w:val="auto"/>
        </w:rPr>
        <w:t>. This report describes how our lobbying practices are aligned with our corporate climate strategy.</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414D2"/>
        </w:rPr>
        <w:t>Oversight</w:t>
      </w:r>
    </w:p>
    <w:p>
      <w:pPr>
        <w:spacing w:after="0" w:line="129" w:lineRule="exact"/>
        <w:rPr>
          <w:sz w:val="20"/>
          <w:szCs w:val="20"/>
          <w:color w:val="auto"/>
        </w:rPr>
      </w:pPr>
    </w:p>
    <w:p>
      <w:pPr>
        <w:ind w:left="320" w:right="60" w:hanging="316"/>
        <w:spacing w:after="0" w:line="267" w:lineRule="auto"/>
        <w:tabs>
          <w:tab w:leader="none" w:pos="320" w:val="left"/>
        </w:tabs>
        <w:numPr>
          <w:ilvl w:val="0"/>
          <w:numId w:val="44"/>
        </w:numPr>
        <w:rPr>
          <w:rFonts w:ascii="Times New Roman" w:cs="Times New Roman" w:eastAsia="Times New Roman" w:hAnsi="Times New Roman"/>
          <w:sz w:val="16"/>
          <w:szCs w:val="16"/>
          <w:color w:val="auto"/>
        </w:rPr>
      </w:pPr>
      <w:r>
        <w:rPr>
          <w:rFonts w:ascii="Arial" w:cs="Arial" w:eastAsia="Arial" w:hAnsi="Arial"/>
          <w:sz w:val="16"/>
          <w:szCs w:val="16"/>
          <w:color w:val="auto"/>
        </w:rPr>
        <w:t>The Board has delegated oversight responsibility of our political contributions to its Public Responsibility Committee. Our Government Afairs and Global Public Policy organization makes recommendations on political contributions to the UAPAC Board of Directors, which in turn reviews and approves all UAPAC and corporate political contributions. Our Executive Vice President, Government Afairs and Global Public Policy or her representative provides the Public Responsibility Committee an annual report on political contributions of the Company and the UAPAC for the prior year.</w:t>
      </w:r>
    </w:p>
    <w:p>
      <w:pPr>
        <w:spacing w:after="0" w:line="42" w:lineRule="exact"/>
        <w:rPr>
          <w:rFonts w:ascii="Times New Roman" w:cs="Times New Roman" w:eastAsia="Times New Roman" w:hAnsi="Times New Roman"/>
          <w:sz w:val="16"/>
          <w:szCs w:val="16"/>
          <w:color w:val="auto"/>
        </w:rPr>
      </w:pPr>
    </w:p>
    <w:p>
      <w:pPr>
        <w:ind w:left="320"/>
        <w:spacing w:after="0" w:line="263" w:lineRule="auto"/>
        <w:rPr>
          <w:rFonts w:ascii="Times New Roman" w:cs="Times New Roman" w:eastAsia="Times New Roman" w:hAnsi="Times New Roman"/>
          <w:sz w:val="16"/>
          <w:szCs w:val="16"/>
          <w:color w:val="auto"/>
        </w:rPr>
      </w:pPr>
      <w:r>
        <w:rPr>
          <w:rFonts w:ascii="Arial" w:cs="Arial" w:eastAsia="Arial" w:hAnsi="Arial"/>
          <w:sz w:val="16"/>
          <w:szCs w:val="16"/>
          <w:color w:val="auto"/>
        </w:rPr>
        <w:t>Our policy advocacy and lobbying activities are determined by senior management with oversight by the Board, which has delegated this oversight responsibility to its Public Responsibility Committee. Our Government Afairs and Global Public Policy organization oversees and executes our policy advocacy, lobbying expenditures and related activities. Our Executive Vice President, Government Afairs and Global Public Policy or her representative also reports regularly to the Board on our policy advocacy, lobbying expenditures and related activities, periodically reviewing with the Public Responsibility Committee the strategic priorities for the Company’s lobbying activity.</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MEETINGS AND DIRECTOR ATTENDANCE</w:t>
      </w:r>
    </w:p>
    <w:p>
      <w:pPr>
        <w:spacing w:after="0" w:line="113" w:lineRule="exact"/>
        <w:rPr>
          <w:sz w:val="20"/>
          <w:szCs w:val="20"/>
          <w:color w:val="auto"/>
        </w:rPr>
      </w:pPr>
    </w:p>
    <w:p>
      <w:pPr>
        <w:spacing w:after="0"/>
        <w:rPr>
          <w:sz w:val="20"/>
          <w:szCs w:val="20"/>
          <w:color w:val="auto"/>
        </w:rPr>
      </w:pPr>
      <w:r>
        <w:rPr>
          <w:rFonts w:ascii="Arial" w:cs="Arial" w:eastAsia="Arial" w:hAnsi="Arial"/>
          <w:sz w:val="15"/>
          <w:szCs w:val="15"/>
          <w:color w:val="auto"/>
        </w:rPr>
        <w:t>Each  quarter,  our  Board  holds  a  series  of  two-day  meetings  of  the  Board  and  its  Committees  to  review  signifcant  developments</w:t>
      </w:r>
    </w:p>
    <w:p>
      <w:pPr>
        <w:spacing w:after="0" w:line="30" w:lineRule="exact"/>
        <w:rPr>
          <w:sz w:val="20"/>
          <w:szCs w:val="20"/>
          <w:color w:val="auto"/>
        </w:rPr>
      </w:pPr>
    </w:p>
    <w:p>
      <w:pPr>
        <w:ind w:right="100"/>
        <w:spacing w:after="0" w:line="252" w:lineRule="auto"/>
        <w:rPr>
          <w:sz w:val="20"/>
          <w:szCs w:val="20"/>
          <w:color w:val="auto"/>
        </w:rPr>
      </w:pPr>
      <w:r>
        <w:rPr>
          <w:rFonts w:ascii="Arial" w:cs="Arial" w:eastAsia="Arial" w:hAnsi="Arial"/>
          <w:sz w:val="16"/>
          <w:szCs w:val="16"/>
          <w:color w:val="auto"/>
        </w:rPr>
        <w:t>afecting the Company and to act on matters requiring Board approval. Committee meetings occur the frst and second day before the full Board meeting. In addition to the quarterly meetings, there are other regularly scheduled Committee meetings and several special Board and Committee meetings each year. Members of senior management regularly attend Board</w:t>
      </w:r>
    </w:p>
    <w:p>
      <w:pPr>
        <w:spacing w:after="0" w:line="1" w:lineRule="exact"/>
        <w:rPr>
          <w:sz w:val="20"/>
          <w:szCs w:val="20"/>
          <w:color w:val="auto"/>
        </w:rPr>
      </w:pPr>
    </w:p>
    <w:p>
      <w:pPr>
        <w:ind w:right="220"/>
        <w:spacing w:after="0" w:line="279" w:lineRule="auto"/>
        <w:rPr>
          <w:sz w:val="20"/>
          <w:szCs w:val="20"/>
          <w:color w:val="auto"/>
        </w:rPr>
      </w:pPr>
      <w:r>
        <w:rPr>
          <w:rFonts w:ascii="Arial" w:cs="Arial" w:eastAsia="Arial" w:hAnsi="Arial"/>
          <w:sz w:val="16"/>
          <w:szCs w:val="16"/>
          <w:color w:val="auto"/>
        </w:rPr>
        <w:t>meetings to report on and discuss their areas of responsibility. Directors are expected to attend all Board meetings and meetings of the Committees on which they serve. Our Board met nine times in 2025 and our Committees met the number of times shown beginning on page 51.</w:t>
      </w:r>
    </w:p>
    <w:p>
      <w:pPr>
        <w:spacing w:after="0" w:line="33" w:lineRule="exact"/>
        <w:rPr>
          <w:sz w:val="20"/>
          <w:szCs w:val="20"/>
          <w:color w:val="auto"/>
        </w:rPr>
      </w:pPr>
    </w:p>
    <w:p>
      <w:pPr>
        <w:spacing w:after="0"/>
        <w:tabs>
          <w:tab w:leader="none" w:pos="6680" w:val="left"/>
        </w:tabs>
        <w:rPr>
          <w:sz w:val="20"/>
          <w:szCs w:val="20"/>
          <w:color w:val="auto"/>
        </w:rPr>
      </w:pPr>
      <w:r>
        <w:rPr>
          <w:rFonts w:ascii="Arial" w:cs="Arial" w:eastAsia="Arial" w:hAnsi="Arial"/>
          <w:sz w:val="16"/>
          <w:szCs w:val="16"/>
          <w:color w:val="auto"/>
        </w:rPr>
        <w:t>Each  incumbent  director  nominee  attended  at  least  75%  of  the  aggregate  number  of  (i)</w:t>
        <w:tab/>
        <w:t>Board  meetings  held  during  their</w:t>
      </w:r>
    </w:p>
    <w:p>
      <w:pPr>
        <w:spacing w:after="0" w:line="19" w:lineRule="exact"/>
        <w:rPr>
          <w:sz w:val="20"/>
          <w:szCs w:val="20"/>
          <w:color w:val="auto"/>
        </w:rPr>
      </w:pPr>
    </w:p>
    <w:p>
      <w:pPr>
        <w:ind w:right="40"/>
        <w:spacing w:after="0" w:line="313" w:lineRule="auto"/>
        <w:rPr>
          <w:sz w:val="20"/>
          <w:szCs w:val="20"/>
          <w:color w:val="auto"/>
        </w:rPr>
      </w:pPr>
      <w:r>
        <w:rPr>
          <w:rFonts w:ascii="Arial" w:cs="Arial" w:eastAsia="Arial" w:hAnsi="Arial"/>
          <w:sz w:val="16"/>
          <w:szCs w:val="16"/>
          <w:color w:val="auto"/>
        </w:rPr>
        <w:t>tenure as directors during 2025 and (ii) meetings of any Committees held during their tenure as members of such Committees during 2025.</w:t>
      </w:r>
    </w:p>
    <w:p>
      <w:pPr>
        <w:spacing w:after="0" w:line="6" w:lineRule="exact"/>
        <w:rPr>
          <w:sz w:val="20"/>
          <w:szCs w:val="20"/>
          <w:color w:val="auto"/>
        </w:rPr>
      </w:pPr>
    </w:p>
    <w:p>
      <w:pPr>
        <w:ind w:right="80"/>
        <w:spacing w:after="0" w:line="313" w:lineRule="auto"/>
        <w:rPr>
          <w:sz w:val="20"/>
          <w:szCs w:val="20"/>
          <w:color w:val="auto"/>
        </w:rPr>
      </w:pPr>
      <w:r>
        <w:rPr>
          <w:rFonts w:ascii="Arial" w:cs="Arial" w:eastAsia="Arial" w:hAnsi="Arial"/>
          <w:sz w:val="16"/>
          <w:szCs w:val="16"/>
          <w:color w:val="auto"/>
        </w:rPr>
        <w:t>In addition, absent extenuating circumstances, directors are required to attend our annual meetings of stockholders. All of the directors who stood for election in 2025 attended our 2025 annual meeting of stockholders.</w:t>
      </w:r>
    </w:p>
    <w:p>
      <w:pPr>
        <w:sectPr>
          <w:pgSz w:w="11900" w:h="16838" w:orient="portrait"/>
          <w:cols w:equalWidth="0" w:num="1">
            <w:col w:w="9680"/>
          </w:cols>
          <w:pgMar w:left="1080" w:top="695" w:right="1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ind w:right="7680"/>
        <w:spacing w:after="0"/>
        <w:rPr>
          <w:sz w:val="20"/>
          <w:szCs w:val="20"/>
          <w:color w:val="auto"/>
        </w:rPr>
      </w:pPr>
      <w:r>
        <w:rPr>
          <w:rFonts w:ascii="Arial" w:cs="Arial" w:eastAsia="Arial" w:hAnsi="Arial"/>
          <w:sz w:val="16"/>
          <w:szCs w:val="16"/>
          <w:color w:val="auto"/>
        </w:rPr>
        <w:t>​​2026​  Proxy</w:t>
      </w:r>
    </w:p>
    <w:p>
      <w:pPr>
        <w:spacing w:after="0" w:line="5" w:lineRule="exact"/>
        <w:rPr>
          <w:sz w:val="20"/>
          <w:szCs w:val="20"/>
          <w:color w:val="auto"/>
        </w:rPr>
      </w:pPr>
    </w:p>
    <w:p>
      <w:pPr>
        <w:ind w:left="660" w:hanging="656"/>
        <w:spacing w:after="0"/>
        <w:tabs>
          <w:tab w:leader="none" w:pos="660" w:val="left"/>
        </w:tabs>
        <w:numPr>
          <w:ilvl w:val="0"/>
          <w:numId w:val="45"/>
        </w:numPr>
        <w:rPr>
          <w:rFonts w:ascii="Arial" w:cs="Arial" w:eastAsia="Arial" w:hAnsi="Arial"/>
          <w:sz w:val="16"/>
          <w:szCs w:val="16"/>
          <w:b w:val="1"/>
          <w:bCs w:val="1"/>
          <w:color w:val="1414D2"/>
        </w:rPr>
      </w:pPr>
      <w:r>
        <w:rPr>
          <w:rFonts w:ascii="Arial" w:cs="Arial" w:eastAsia="Arial" w:hAnsi="Arial"/>
          <w:sz w:val="16"/>
          <w:szCs w:val="16"/>
          <w:color w:val="auto"/>
        </w:rPr>
        <w:t>Statement</w:t>
      </w:r>
    </w:p>
    <w:p>
      <w:pPr>
        <w:sectPr>
          <w:pgSz w:w="11900" w:h="16838" w:orient="portrait"/>
          <w:cols w:equalWidth="0" w:num="1">
            <w:col w:w="9680"/>
          </w:cols>
          <w:pgMar w:left="1080" w:top="695" w:right="1139" w:bottom="1440" w:gutter="0" w:footer="0" w:header="0"/>
          <w:type w:val="continuous"/>
        </w:sectPr>
      </w:pPr>
    </w:p>
    <w:bookmarkStart w:id="57" w:name="page58"/>
    <w:bookmarkEnd w:id="57"/>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27" w:lineRule="exact"/>
        <w:rPr>
          <w:sz w:val="20"/>
          <w:szCs w:val="20"/>
          <w:color w:val="auto"/>
        </w:rPr>
      </w:pPr>
    </w:p>
    <w:p>
      <w:pPr>
        <w:ind w:left="6900"/>
        <w:spacing w:after="0"/>
        <w:rPr>
          <w:sz w:val="20"/>
          <w:szCs w:val="20"/>
          <w:color w:val="auto"/>
        </w:rPr>
      </w:pPr>
      <w:r>
        <w:rPr>
          <w:rFonts w:ascii="Arial" w:cs="Arial" w:eastAsia="Arial" w:hAnsi="Arial"/>
          <w:sz w:val="14"/>
          <w:szCs w:val="14"/>
          <w:color w:val="6D6F71"/>
        </w:rPr>
        <w:t>Board  and  Corporate  Governance  Matters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SESSIONS OF INDEPENDENT DIRECTORS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Our  independent  directors  meet  separately  in  executive  session  outside  the  presence  of  any  management  director  at  each</w:t>
      </w:r>
    </w:p>
    <w:p>
      <w:pPr>
        <w:spacing w:after="0" w:line="19" w:lineRule="exact"/>
        <w:rPr>
          <w:sz w:val="20"/>
          <w:szCs w:val="20"/>
          <w:color w:val="auto"/>
        </w:rPr>
      </w:pPr>
    </w:p>
    <w:p>
      <w:pPr>
        <w:ind w:right="100"/>
        <w:spacing w:after="0" w:line="268" w:lineRule="auto"/>
        <w:rPr>
          <w:sz w:val="20"/>
          <w:szCs w:val="20"/>
          <w:color w:val="auto"/>
        </w:rPr>
      </w:pPr>
      <w:r>
        <w:rPr>
          <w:rFonts w:ascii="Arial" w:cs="Arial" w:eastAsia="Arial" w:hAnsi="Arial"/>
          <w:sz w:val="16"/>
          <w:szCs w:val="16"/>
          <w:color w:val="auto"/>
        </w:rPr>
        <w:t>Board meeting. Our Corporate Governance Guidelines provide that the Chairman preside over independent director executive sessions. When deemed appropriate, the Chairman invites the Chief Executive Ofcer and the President to join a portion of the executive session to receive feedback from the Board and to provide direct insight on relevant topics. Executive sessions are also scheduled for each regular quarterly meeting of each Committee.</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ORIENTATION AND CONTINUING EDUCATION</w:t>
      </w:r>
    </w:p>
    <w:p>
      <w:pPr>
        <w:spacing w:after="0" w:line="113" w:lineRule="exact"/>
        <w:rPr>
          <w:sz w:val="20"/>
          <w:szCs w:val="20"/>
          <w:color w:val="auto"/>
        </w:rPr>
      </w:pPr>
    </w:p>
    <w:p>
      <w:pPr>
        <w:jc w:val="both"/>
        <w:ind w:right="160"/>
        <w:spacing w:after="0" w:line="252" w:lineRule="auto"/>
        <w:rPr>
          <w:sz w:val="20"/>
          <w:szCs w:val="20"/>
          <w:color w:val="auto"/>
        </w:rPr>
      </w:pPr>
      <w:r>
        <w:rPr>
          <w:rFonts w:ascii="Arial" w:cs="Arial" w:eastAsia="Arial" w:hAnsi="Arial"/>
          <w:sz w:val="16"/>
          <w:szCs w:val="16"/>
          <w:color w:val="auto"/>
        </w:rPr>
        <w:t>Upon joining our Board, in accordance with our Corporate Governance Guidelines, all new non-employee directors participate in the Company’s orientation program with senior management from all areas of the Company who provide the new directors with a thorough understanding of their fduciary duties as well as an overview of the Company’s business, performance,</w:t>
      </w:r>
    </w:p>
    <w:p>
      <w:pPr>
        <w:spacing w:after="0" w:line="1" w:lineRule="exact"/>
        <w:rPr>
          <w:sz w:val="20"/>
          <w:szCs w:val="20"/>
          <w:color w:val="auto"/>
        </w:rPr>
      </w:pPr>
    </w:p>
    <w:p>
      <w:pPr>
        <w:jc w:val="both"/>
        <w:ind w:right="160"/>
        <w:spacing w:after="0" w:line="313" w:lineRule="auto"/>
        <w:rPr>
          <w:sz w:val="20"/>
          <w:szCs w:val="20"/>
          <w:color w:val="auto"/>
        </w:rPr>
      </w:pPr>
      <w:r>
        <w:rPr>
          <w:rFonts w:ascii="Arial" w:cs="Arial" w:eastAsia="Arial" w:hAnsi="Arial"/>
          <w:sz w:val="16"/>
          <w:szCs w:val="16"/>
          <w:color w:val="auto"/>
        </w:rPr>
        <w:t>corporate governance and key policies and practices. Directors typically attend site visits to one or more of our locations. The Nominating/Governance Committee develops and oversees this orientation program with the assistance of our management.</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On  an  ongoing  basis,  senior  management  and  experts  outside  of  the  Company  are  periodically  invited  to  attend  portions  of</w:t>
      </w:r>
    </w:p>
    <w:p>
      <w:pPr>
        <w:spacing w:after="0" w:line="19" w:lineRule="exact"/>
        <w:rPr>
          <w:sz w:val="20"/>
          <w:szCs w:val="20"/>
          <w:color w:val="auto"/>
        </w:rPr>
      </w:pPr>
    </w:p>
    <w:p>
      <w:pPr>
        <w:ind w:right="420"/>
        <w:spacing w:after="0" w:line="313" w:lineRule="auto"/>
        <w:rPr>
          <w:sz w:val="20"/>
          <w:szCs w:val="20"/>
          <w:color w:val="auto"/>
        </w:rPr>
      </w:pPr>
      <w:r>
        <w:rPr>
          <w:rFonts w:ascii="Arial" w:cs="Arial" w:eastAsia="Arial" w:hAnsi="Arial"/>
          <w:sz w:val="16"/>
          <w:szCs w:val="16"/>
          <w:color w:val="auto"/>
        </w:rPr>
        <w:t>Board and Committee meetings to provide presentations on a variety of topics related to the aviation industry and general industry trends, governance, regulatory, legal and fnancial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2026  Proxy  Statement</w:t>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1414D2"/>
        </w:rPr>
        <w:t>47</w:t>
      </w:r>
    </w:p>
    <w:p>
      <w:pPr>
        <w:sectPr>
          <w:pgSz w:w="11900" w:h="16838" w:orient="portrait"/>
          <w:cols w:equalWidth="0" w:num="1">
            <w:col w:w="9720"/>
          </w:cols>
          <w:pgMar w:left="1080" w:top="695" w:right="1099" w:bottom="1440" w:gutter="0" w:footer="0" w:header="0"/>
        </w:sectPr>
      </w:pPr>
    </w:p>
    <w:bookmarkStart w:id="58" w:name="page59"/>
    <w:bookmarkEnd w:id="58"/>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6D6F71"/>
        </w:rPr>
        <w:t>Board  and  Corporate  Governance  Matters</w:t>
      </w:r>
    </w:p>
    <w:p>
      <w:pPr>
        <w:spacing w:after="0" w:line="223" w:lineRule="exact"/>
        <w:rPr>
          <w:sz w:val="20"/>
          <w:szCs w:val="20"/>
          <w:color w:val="auto"/>
        </w:rPr>
      </w:pPr>
    </w:p>
    <w:p>
      <w:pPr>
        <w:spacing w:after="0"/>
        <w:rPr>
          <w:sz w:val="20"/>
          <w:szCs w:val="20"/>
          <w:color w:val="auto"/>
        </w:rPr>
      </w:pPr>
      <w:r>
        <w:rPr>
          <w:rFonts w:ascii="Arial" w:cs="Arial" w:eastAsia="Arial" w:hAnsi="Arial"/>
          <w:sz w:val="25"/>
          <w:szCs w:val="25"/>
          <w:b w:val="1"/>
          <w:bCs w:val="1"/>
          <w:color w:val="1414D2"/>
        </w:rPr>
        <w:t>Governance Policies and Principles</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CERTAIN RELATIONSHIPS AND RELATED TRANSACTIONS</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414D2"/>
        </w:rPr>
        <w:t>Policy Statement Regarding Related Party Transactions</w:t>
      </w:r>
    </w:p>
    <w:p>
      <w:pPr>
        <w:spacing w:after="0" w:line="115" w:lineRule="exact"/>
        <w:rPr>
          <w:sz w:val="20"/>
          <w:szCs w:val="20"/>
          <w:color w:val="auto"/>
        </w:rPr>
      </w:pPr>
    </w:p>
    <w:p>
      <w:pPr>
        <w:jc w:val="both"/>
        <w:ind w:right="380"/>
        <w:spacing w:after="0" w:line="279" w:lineRule="auto"/>
        <w:rPr>
          <w:sz w:val="20"/>
          <w:szCs w:val="20"/>
          <w:color w:val="auto"/>
        </w:rPr>
      </w:pPr>
      <w:r>
        <w:rPr>
          <w:rFonts w:ascii="Arial" w:cs="Arial" w:eastAsia="Arial" w:hAnsi="Arial"/>
          <w:sz w:val="16"/>
          <w:szCs w:val="16"/>
          <w:color w:val="auto"/>
        </w:rPr>
        <w:t>The Board recognizes that transactions involving the Company and related parties present a heightened risk of conficts of interest. To enable the Company to act in the best interests of its stockholders, it has a written Policy Statement Regarding Related Party Transactions (the “Related Party Transaction Policy”).</w:t>
      </w:r>
    </w:p>
    <w:p>
      <w:pPr>
        <w:spacing w:after="0" w:line="47" w:lineRule="exact"/>
        <w:rPr>
          <w:sz w:val="20"/>
          <w:szCs w:val="20"/>
          <w:color w:val="auto"/>
        </w:rPr>
      </w:pPr>
    </w:p>
    <w:p>
      <w:pPr>
        <w:ind w:right="120"/>
        <w:spacing w:after="0" w:line="250" w:lineRule="auto"/>
        <w:rPr>
          <w:sz w:val="20"/>
          <w:szCs w:val="20"/>
          <w:color w:val="auto"/>
        </w:rPr>
      </w:pPr>
      <w:r>
        <w:rPr>
          <w:rFonts w:ascii="Arial" w:cs="Arial" w:eastAsia="Arial" w:hAnsi="Arial"/>
          <w:sz w:val="16"/>
          <w:szCs w:val="16"/>
          <w:color w:val="auto"/>
        </w:rPr>
        <w:t>Except for a limited set of transactions previously reviewed and approved, a Related Party Transaction (as defned below) must be reviewed and approved or ratifed by the Audit Committee or the Chair of the Audit Committee if approval by the entire committee is impractical. In reviewing a proposed transaction, the Audit Committee or the Chair of the Audit Committee must consider all the material information available to them regarding the proposed transaction or Related Party that would be</w:t>
      </w:r>
    </w:p>
    <w:p>
      <w:pPr>
        <w:spacing w:after="0" w:line="3" w:lineRule="exact"/>
        <w:rPr>
          <w:sz w:val="20"/>
          <w:szCs w:val="20"/>
          <w:color w:val="auto"/>
        </w:rPr>
      </w:pPr>
    </w:p>
    <w:p>
      <w:pPr>
        <w:ind w:right="520"/>
        <w:spacing w:after="0" w:line="313" w:lineRule="auto"/>
        <w:rPr>
          <w:sz w:val="20"/>
          <w:szCs w:val="20"/>
          <w:color w:val="auto"/>
        </w:rPr>
      </w:pPr>
      <w:r>
        <w:rPr>
          <w:rFonts w:ascii="Arial" w:cs="Arial" w:eastAsia="Arial" w:hAnsi="Arial"/>
          <w:sz w:val="16"/>
          <w:szCs w:val="16"/>
          <w:color w:val="auto"/>
        </w:rPr>
        <w:t>material to investors in light of the circumstances of the transaction, which includes whether the transaction is fair to the Company and is not inconsistent with the best interests of the Company and its stockholders.</w:t>
      </w:r>
    </w:p>
    <w:p>
      <w:pPr>
        <w:spacing w:after="0" w:line="6"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If the Company enters into a transaction that (i) the Company was not aware constituted a Related Party Transaction at the time it was entered into but which it subsequently determines is a Related Party Transaction or (ii) did not constitute a Related Party</w:t>
      </w:r>
    </w:p>
    <w:p>
      <w:pPr>
        <w:spacing w:after="0" w:line="1" w:lineRule="exact"/>
        <w:rPr>
          <w:sz w:val="20"/>
          <w:szCs w:val="20"/>
          <w:color w:val="auto"/>
        </w:rPr>
      </w:pPr>
    </w:p>
    <w:p>
      <w:pPr>
        <w:ind w:right="520"/>
        <w:spacing w:after="0" w:line="313" w:lineRule="auto"/>
        <w:rPr>
          <w:sz w:val="20"/>
          <w:szCs w:val="20"/>
          <w:color w:val="auto"/>
        </w:rPr>
      </w:pPr>
      <w:r>
        <w:rPr>
          <w:rFonts w:ascii="Arial" w:cs="Arial" w:eastAsia="Arial" w:hAnsi="Arial"/>
          <w:sz w:val="16"/>
          <w:szCs w:val="16"/>
          <w:color w:val="auto"/>
        </w:rPr>
        <w:t>Transaction at the time such transaction was entered into but thereafter becomes a Related Party Transaction, then such transaction shall be presented for ratifcation by the Audit Committee or the Chair of the Audit Committee.</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A  “Related  Party  Transaction”  generally  is  a  transaction  in  which:</w:t>
      </w:r>
    </w:p>
    <w:p>
      <w:pPr>
        <w:spacing w:after="0" w:line="86" w:lineRule="exact"/>
        <w:rPr>
          <w:sz w:val="20"/>
          <w:szCs w:val="20"/>
          <w:color w:val="auto"/>
        </w:rPr>
      </w:pPr>
    </w:p>
    <w:p>
      <w:pPr>
        <w:ind w:left="680" w:hanging="325"/>
        <w:spacing w:after="0"/>
        <w:tabs>
          <w:tab w:leader="none" w:pos="680" w:val="left"/>
        </w:tabs>
        <w:numPr>
          <w:ilvl w:val="0"/>
          <w:numId w:val="46"/>
        </w:numPr>
        <w:rPr>
          <w:rFonts w:ascii="Arial" w:cs="Arial" w:eastAsia="Arial" w:hAnsi="Arial"/>
          <w:sz w:val="24"/>
          <w:szCs w:val="24"/>
          <w:color w:val="auto"/>
          <w:vertAlign w:val="superscript"/>
        </w:rPr>
      </w:pPr>
      <w:r>
        <w:rPr>
          <w:rFonts w:ascii="Arial" w:cs="Arial" w:eastAsia="Arial" w:hAnsi="Arial"/>
          <w:sz w:val="16"/>
          <w:szCs w:val="16"/>
          <w:color w:val="auto"/>
        </w:rPr>
        <w:t>the  aggregate  amount  involved  exceeds  or  is  expected  to  exceed  $120,000;</w:t>
      </w:r>
    </w:p>
    <w:p>
      <w:pPr>
        <w:spacing w:after="0" w:line="61" w:lineRule="exact"/>
        <w:rPr>
          <w:rFonts w:ascii="Arial" w:cs="Arial" w:eastAsia="Arial" w:hAnsi="Arial"/>
          <w:sz w:val="24"/>
          <w:szCs w:val="24"/>
          <w:color w:val="auto"/>
          <w:vertAlign w:val="superscript"/>
        </w:rPr>
      </w:pPr>
    </w:p>
    <w:p>
      <w:pPr>
        <w:ind w:left="680" w:right="260" w:hanging="325"/>
        <w:spacing w:after="0" w:line="228" w:lineRule="auto"/>
        <w:tabs>
          <w:tab w:leader="none" w:pos="680" w:val="left"/>
        </w:tabs>
        <w:numPr>
          <w:ilvl w:val="0"/>
          <w:numId w:val="46"/>
        </w:numPr>
        <w:rPr>
          <w:rFonts w:ascii="Arial" w:cs="Arial" w:eastAsia="Arial" w:hAnsi="Arial"/>
          <w:sz w:val="24"/>
          <w:szCs w:val="24"/>
          <w:color w:val="auto"/>
          <w:vertAlign w:val="superscript"/>
        </w:rPr>
      </w:pPr>
      <w:r>
        <w:rPr>
          <w:rFonts w:ascii="Arial" w:cs="Arial" w:eastAsia="Arial" w:hAnsi="Arial"/>
          <w:sz w:val="16"/>
          <w:szCs w:val="16"/>
          <w:color w:val="auto"/>
        </w:rPr>
        <w:t>a Related Party had, has or will have a direct or indirect material interest (other than solely as a result of being a director, limited partner or less than 10% benefcial owner (together with all other Related Parties) of another entity that is party to the transaction); and</w:t>
      </w:r>
    </w:p>
    <w:p>
      <w:pPr>
        <w:spacing w:after="0" w:line="35" w:lineRule="exact"/>
        <w:rPr>
          <w:rFonts w:ascii="Arial" w:cs="Arial" w:eastAsia="Arial" w:hAnsi="Arial"/>
          <w:sz w:val="24"/>
          <w:szCs w:val="24"/>
          <w:color w:val="auto"/>
          <w:vertAlign w:val="superscript"/>
        </w:rPr>
      </w:pPr>
    </w:p>
    <w:p>
      <w:pPr>
        <w:ind w:left="680" w:hanging="325"/>
        <w:spacing w:after="0"/>
        <w:tabs>
          <w:tab w:leader="none" w:pos="680" w:val="left"/>
        </w:tabs>
        <w:numPr>
          <w:ilvl w:val="0"/>
          <w:numId w:val="46"/>
        </w:numPr>
        <w:rPr>
          <w:rFonts w:ascii="Arial" w:cs="Arial" w:eastAsia="Arial" w:hAnsi="Arial"/>
          <w:sz w:val="24"/>
          <w:szCs w:val="24"/>
          <w:color w:val="auto"/>
          <w:vertAlign w:val="superscript"/>
        </w:rPr>
      </w:pPr>
      <w:r>
        <w:rPr>
          <w:rFonts w:ascii="Arial" w:cs="Arial" w:eastAsia="Arial" w:hAnsi="Arial"/>
          <w:sz w:val="16"/>
          <w:szCs w:val="16"/>
          <w:color w:val="auto"/>
        </w:rPr>
        <w:t>the  Company  is  a  participant.</w:t>
      </w:r>
    </w:p>
    <w:p>
      <w:pPr>
        <w:spacing w:after="0" w:line="62" w:lineRule="exact"/>
        <w:rPr>
          <w:sz w:val="20"/>
          <w:szCs w:val="20"/>
          <w:color w:val="auto"/>
        </w:rPr>
      </w:pPr>
    </w:p>
    <w:p>
      <w:pPr>
        <w:ind w:right="220"/>
        <w:spacing w:after="0" w:line="313" w:lineRule="auto"/>
        <w:rPr>
          <w:sz w:val="20"/>
          <w:szCs w:val="20"/>
          <w:color w:val="auto"/>
        </w:rPr>
      </w:pPr>
      <w:r>
        <w:rPr>
          <w:rFonts w:ascii="Arial" w:cs="Arial" w:eastAsia="Arial" w:hAnsi="Arial"/>
          <w:sz w:val="16"/>
          <w:szCs w:val="16"/>
          <w:color w:val="auto"/>
        </w:rPr>
        <w:t>A “Related Party” is a director, director nominee or executive ofcer of the Company, benefcial owner of more than 5% of the Company’s voting securities or such person’s immediate family member.</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414D2"/>
        </w:rPr>
        <w:t>Related Party Transactions Since January 1, 2025</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color w:val="auto"/>
        </w:rPr>
        <w:t>John  Gebo,  Senior  Vice  President,  Treasury,  Fleet  &amp;  Fuel  of  United  Airlines, Inc.,  is  the  spouse  of  Kate  Gebo,  Executive  Vice</w:t>
      </w:r>
    </w:p>
    <w:p>
      <w:pPr>
        <w:spacing w:after="0" w:line="19" w:lineRule="exact"/>
        <w:rPr>
          <w:sz w:val="20"/>
          <w:szCs w:val="20"/>
          <w:color w:val="auto"/>
        </w:rPr>
      </w:pPr>
    </w:p>
    <w:p>
      <w:pPr>
        <w:ind w:right="140"/>
        <w:spacing w:after="0" w:line="250" w:lineRule="auto"/>
        <w:rPr>
          <w:sz w:val="20"/>
          <w:szCs w:val="20"/>
          <w:color w:val="auto"/>
        </w:rPr>
      </w:pPr>
      <w:r>
        <w:rPr>
          <w:rFonts w:ascii="Arial" w:cs="Arial" w:eastAsia="Arial" w:hAnsi="Arial"/>
          <w:sz w:val="16"/>
          <w:szCs w:val="16"/>
          <w:color w:val="auto"/>
        </w:rPr>
        <w:t>President, Human Resources and Labor Relations, of the Company. For 2025, Mr. Gebo received compensation, including base salary, incentive compensation awards and other customary ofcer and employee benefts that were determined in the ordinary course consistent with the process used for determining compensation levels for other ofcers and employees of United. The 2025 cash compensation and equity award values for Mr. Gebo were approximately $2,019,000. Mr. Gebo and</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Ms. Gebo  do  not  report  to,  or  determine  the  compensation  of,  each  other.</w:t>
      </w:r>
    </w:p>
    <w:p>
      <w:pPr>
        <w:sectPr>
          <w:pgSz w:w="11900" w:h="16838" w:orient="portrait"/>
          <w:cols w:equalWidth="0" w:num="1">
            <w:col w:w="9680"/>
          </w:cols>
          <w:pgMar w:left="1080" w:top="695" w:right="1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right"/>
        <w:ind w:right="7680"/>
        <w:spacing w:after="0"/>
        <w:rPr>
          <w:sz w:val="20"/>
          <w:szCs w:val="20"/>
          <w:color w:val="auto"/>
        </w:rPr>
      </w:pPr>
      <w:r>
        <w:rPr>
          <w:rFonts w:ascii="Arial" w:cs="Arial" w:eastAsia="Arial" w:hAnsi="Arial"/>
          <w:sz w:val="16"/>
          <w:szCs w:val="16"/>
          <w:color w:val="auto"/>
        </w:rPr>
        <w:t>​​2026​  Proxy</w:t>
      </w:r>
    </w:p>
    <w:p>
      <w:pPr>
        <w:spacing w:after="0" w:line="5" w:lineRule="exact"/>
        <w:rPr>
          <w:sz w:val="20"/>
          <w:szCs w:val="20"/>
          <w:color w:val="auto"/>
        </w:rPr>
      </w:pPr>
    </w:p>
    <w:p>
      <w:pPr>
        <w:ind w:left="660" w:hanging="656"/>
        <w:spacing w:after="0"/>
        <w:tabs>
          <w:tab w:leader="none" w:pos="660" w:val="left"/>
        </w:tabs>
        <w:numPr>
          <w:ilvl w:val="0"/>
          <w:numId w:val="47"/>
        </w:numPr>
        <w:rPr>
          <w:rFonts w:ascii="Arial" w:cs="Arial" w:eastAsia="Arial" w:hAnsi="Arial"/>
          <w:sz w:val="16"/>
          <w:szCs w:val="16"/>
          <w:b w:val="1"/>
          <w:bCs w:val="1"/>
          <w:color w:val="1414D2"/>
        </w:rPr>
      </w:pPr>
      <w:r>
        <w:rPr>
          <w:rFonts w:ascii="Arial" w:cs="Arial" w:eastAsia="Arial" w:hAnsi="Arial"/>
          <w:sz w:val="16"/>
          <w:szCs w:val="16"/>
          <w:color w:val="auto"/>
        </w:rPr>
        <w:t>Statement</w:t>
      </w:r>
    </w:p>
    <w:p>
      <w:pPr>
        <w:sectPr>
          <w:pgSz w:w="11900" w:h="16838" w:orient="portrait"/>
          <w:cols w:equalWidth="0" w:num="1">
            <w:col w:w="9680"/>
          </w:cols>
          <w:pgMar w:left="1080" w:top="695" w:right="1139" w:bottom="1440" w:gutter="0" w:footer="0" w:header="0"/>
          <w:type w:val="continuous"/>
        </w:sectPr>
      </w:pPr>
    </w:p>
    <w:bookmarkStart w:id="59" w:name="page60"/>
    <w:bookmarkEnd w:id="59"/>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27" w:lineRule="exact"/>
        <w:rPr>
          <w:sz w:val="20"/>
          <w:szCs w:val="20"/>
          <w:color w:val="auto"/>
        </w:rPr>
      </w:pPr>
    </w:p>
    <w:p>
      <w:pPr>
        <w:ind w:left="6900"/>
        <w:spacing w:after="0"/>
        <w:rPr>
          <w:sz w:val="20"/>
          <w:szCs w:val="20"/>
          <w:color w:val="auto"/>
        </w:rPr>
      </w:pPr>
      <w:r>
        <w:rPr>
          <w:rFonts w:ascii="Arial" w:cs="Arial" w:eastAsia="Arial" w:hAnsi="Arial"/>
          <w:sz w:val="14"/>
          <w:szCs w:val="14"/>
          <w:color w:val="6D6F71"/>
        </w:rPr>
        <w:t>Board  and  Corporate  Governance  Matters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CONFLICT AND CODE OF ETHICS AND BUSINESS CONDUCT</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Related  Party  Transaction  Policy  operates  in  conjunction  with  other  aspects  of  the  Company’s  compliance  program,</w:t>
      </w:r>
    </w:p>
    <w:p>
      <w:pPr>
        <w:spacing w:after="0" w:line="19" w:lineRule="exact"/>
        <w:rPr>
          <w:sz w:val="20"/>
          <w:szCs w:val="20"/>
          <w:color w:val="auto"/>
        </w:rPr>
      </w:pPr>
    </w:p>
    <w:p>
      <w:pPr>
        <w:ind w:right="40"/>
        <w:spacing w:after="0" w:line="268" w:lineRule="auto"/>
        <w:rPr>
          <w:sz w:val="20"/>
          <w:szCs w:val="20"/>
          <w:color w:val="auto"/>
        </w:rPr>
      </w:pPr>
      <w:r>
        <w:rPr>
          <w:rFonts w:ascii="Arial" w:cs="Arial" w:eastAsia="Arial" w:hAnsi="Arial"/>
          <w:sz w:val="16"/>
          <w:szCs w:val="16"/>
          <w:color w:val="auto"/>
        </w:rPr>
        <w:t>including the requirement in the Corporate Governance Guidelines that directors disclose any potential confict of interest to the Chairman before any decision is made related to the matter. If the Chairman, in consultation with legal counsel, determines that a confict exists, or that the perception of a confict is likely to be signifcant, then the director is obligated to recuse himself or herself from any discussion or vote related to the matter.</w:t>
      </w:r>
    </w:p>
    <w:p>
      <w:pPr>
        <w:spacing w:after="0" w:line="56" w:lineRule="exact"/>
        <w:rPr>
          <w:sz w:val="20"/>
          <w:szCs w:val="20"/>
          <w:color w:val="auto"/>
        </w:rPr>
      </w:pPr>
    </w:p>
    <w:p>
      <w:pPr>
        <w:ind w:right="120"/>
        <w:spacing w:after="0" w:line="250" w:lineRule="auto"/>
        <w:rPr>
          <w:sz w:val="20"/>
          <w:szCs w:val="20"/>
          <w:color w:val="auto"/>
        </w:rPr>
      </w:pPr>
      <w:r>
        <w:rPr>
          <w:rFonts w:ascii="Arial" w:cs="Arial" w:eastAsia="Arial" w:hAnsi="Arial"/>
          <w:sz w:val="16"/>
          <w:szCs w:val="16"/>
          <w:color w:val="auto"/>
        </w:rPr>
        <w:t>The Company has a code of ethics, the “Code of Ethics and Business Conduct,” (the “Code of Conduct”) for its directors, ofcers and employees. The Code of Conduct serves as a “Code of Ethics” as defned by SEC regulations and as a “Code of Conduct” under Nasdaq Listing Rule 5610. The Code of Conduct addresses conficts of interest, including disclosure of any situations or activities that might be perceived as a confict of interest. The Code of Conduct is available on the Company’s investor relations</w:t>
      </w:r>
    </w:p>
    <w:p>
      <w:pPr>
        <w:spacing w:after="0" w:line="3" w:lineRule="exact"/>
        <w:rPr>
          <w:sz w:val="20"/>
          <w:szCs w:val="20"/>
          <w:color w:val="auto"/>
        </w:rPr>
      </w:pPr>
    </w:p>
    <w:p>
      <w:pPr>
        <w:ind w:right="540"/>
        <w:spacing w:after="0" w:line="313" w:lineRule="auto"/>
        <w:rPr>
          <w:sz w:val="20"/>
          <w:szCs w:val="20"/>
          <w:color w:val="auto"/>
        </w:rPr>
      </w:pPr>
      <w:r>
        <w:rPr>
          <w:rFonts w:ascii="Arial" w:cs="Arial" w:eastAsia="Arial" w:hAnsi="Arial"/>
          <w:sz w:val="16"/>
          <w:szCs w:val="16"/>
          <w:color w:val="auto"/>
        </w:rPr>
        <w:t xml:space="preserve">website at </w:t>
      </w:r>
      <w:r>
        <w:rPr>
          <w:rFonts w:ascii="Arial" w:cs="Arial" w:eastAsia="Arial" w:hAnsi="Arial"/>
          <w:sz w:val="16"/>
          <w:szCs w:val="16"/>
          <w:b w:val="1"/>
          <w:bCs w:val="1"/>
          <w:color w:val="1414D2"/>
        </w:rPr>
        <w:t>ir.united.com</w:t>
      </w:r>
      <w:r>
        <w:rPr>
          <w:rFonts w:ascii="Arial" w:cs="Arial" w:eastAsia="Arial" w:hAnsi="Arial"/>
          <w:sz w:val="16"/>
          <w:szCs w:val="16"/>
          <w:color w:val="auto"/>
        </w:rPr>
        <w:t>. Waivers granted to certain ofcers from compliance with or future amendments to the Code of Conduct will be disclosed on the Company’s investor relations website in accordance with Item 5.05 of Form 8-K.</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SECURITIES TRADING POLICY</w:t>
      </w:r>
    </w:p>
    <w:p>
      <w:pPr>
        <w:spacing w:after="0" w:line="127"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The Company has adopted a Securities Trading Policy that governs the purchase, sale and any other dispositions of the Company’s securities by the Company’s directors, ofcers and employees and by the Company itself. The Company believes that this policy is reasonably designed to promote compliance with insider trading laws, rules and regulations, as well as the Nasdaq listing standards. A copy or our Securities Trading Policy is fled as Exhibit 19 to our Annual Report on Form 10-K for the 2025</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fscal  year.</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PROHIBITION ON HEDGING AND PLEDGING</w:t>
      </w:r>
    </w:p>
    <w:p>
      <w:pPr>
        <w:spacing w:after="0" w:line="113" w:lineRule="exact"/>
        <w:rPr>
          <w:sz w:val="20"/>
          <w:szCs w:val="20"/>
          <w:color w:val="auto"/>
        </w:rPr>
      </w:pPr>
    </w:p>
    <w:p>
      <w:pPr>
        <w:ind w:right="80"/>
        <w:spacing w:after="0" w:line="255" w:lineRule="auto"/>
        <w:rPr>
          <w:sz w:val="20"/>
          <w:szCs w:val="20"/>
          <w:color w:val="auto"/>
        </w:rPr>
      </w:pPr>
      <w:r>
        <w:rPr>
          <w:rFonts w:ascii="Arial" w:cs="Arial" w:eastAsia="Arial" w:hAnsi="Arial"/>
          <w:sz w:val="16"/>
          <w:szCs w:val="16"/>
          <w:color w:val="auto"/>
        </w:rPr>
        <w:t>Under our Securities Trading Policy, ofcers, directors and all of our management and administrative employees are prohibited from engaging in speculative and derivative trading, short-selling or otherwise hedging our securities. This restriction includes</w:t>
      </w:r>
    </w:p>
    <w:p>
      <w:pPr>
        <w:spacing w:after="0" w:line="1" w:lineRule="exact"/>
        <w:rPr>
          <w:sz w:val="20"/>
          <w:szCs w:val="20"/>
          <w:color w:val="auto"/>
        </w:rPr>
      </w:pPr>
    </w:p>
    <w:p>
      <w:pPr>
        <w:ind w:right="80"/>
        <w:spacing w:after="0" w:line="272" w:lineRule="auto"/>
        <w:rPr>
          <w:sz w:val="20"/>
          <w:szCs w:val="20"/>
          <w:color w:val="auto"/>
        </w:rPr>
      </w:pPr>
      <w:r>
        <w:rPr>
          <w:rFonts w:ascii="Arial" w:cs="Arial" w:eastAsia="Arial" w:hAnsi="Arial"/>
          <w:sz w:val="16"/>
          <w:szCs w:val="16"/>
          <w:color w:val="auto"/>
        </w:rPr>
        <w:t>“short sales,” “short sales against the box,” the purchase and sale of “put” and “call” options, warrants and hedging transactions (such as forward-sale contracts, equity swaps, collars and exchange funds). Our ofcers, directors and management and administrative employees are also prohibited from holding Company securities in a margin account or pledging our securities as collateral for a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2026  Proxy  Statement</w:t>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1414D2"/>
        </w:rPr>
        <w:t>49</w:t>
      </w:r>
    </w:p>
    <w:p>
      <w:pPr>
        <w:sectPr>
          <w:pgSz w:w="11900" w:h="16838" w:orient="portrait"/>
          <w:cols w:equalWidth="0" w:num="1">
            <w:col w:w="9720"/>
          </w:cols>
          <w:pgMar w:left="1080" w:top="695" w:right="1099" w:bottom="1440" w:gutter="0" w:footer="0" w:header="0"/>
        </w:sectPr>
      </w:pPr>
    </w:p>
    <w:bookmarkStart w:id="60" w:name="page61"/>
    <w:bookmarkEnd w:id="60"/>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6D6F71"/>
        </w:rPr>
        <w:t>Board  and  Corporate  Governance  Matters</w:t>
      </w:r>
    </w:p>
    <w:p>
      <w:pPr>
        <w:spacing w:after="0" w:line="223" w:lineRule="exact"/>
        <w:rPr>
          <w:sz w:val="20"/>
          <w:szCs w:val="20"/>
          <w:color w:val="auto"/>
        </w:rPr>
      </w:pPr>
    </w:p>
    <w:p>
      <w:pPr>
        <w:spacing w:after="0"/>
        <w:rPr>
          <w:sz w:val="20"/>
          <w:szCs w:val="20"/>
          <w:color w:val="auto"/>
        </w:rPr>
      </w:pPr>
      <w:r>
        <w:rPr>
          <w:rFonts w:ascii="Arial" w:cs="Arial" w:eastAsia="Arial" w:hAnsi="Arial"/>
          <w:sz w:val="25"/>
          <w:szCs w:val="25"/>
          <w:b w:val="1"/>
          <w:bCs w:val="1"/>
          <w:color w:val="1414D2"/>
        </w:rPr>
        <w:t>How the Board Is Organized</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LEADERSHIP STRUCTURE</w:t>
      </w:r>
    </w:p>
    <w:p>
      <w:pPr>
        <w:spacing w:after="0" w:line="127"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The Board recognizes that one of its key responsibilities is to evaluate and determine its optimal leadership structure to ensure both independent oversight of management and a highly engaged and high-functioning Board. Our Corporate Governance Guidelines state that the ofces of the Chairman of the Board and Chief Executive Ofcer may be either combined or separated, in the Board’s discretion, and establish well-defned responsibilities with respect to the Chairman and Lead Independent</w:t>
      </w:r>
    </w:p>
    <w:p>
      <w:pPr>
        <w:spacing w:after="0" w:line="3" w:lineRule="exact"/>
        <w:rPr>
          <w:sz w:val="20"/>
          <w:szCs w:val="20"/>
          <w:color w:val="auto"/>
        </w:rPr>
      </w:pPr>
    </w:p>
    <w:p>
      <w:pPr>
        <w:ind w:right="280"/>
        <w:spacing w:after="0" w:line="279" w:lineRule="auto"/>
        <w:rPr>
          <w:sz w:val="20"/>
          <w:szCs w:val="20"/>
          <w:color w:val="auto"/>
        </w:rPr>
      </w:pPr>
      <w:r>
        <w:rPr>
          <w:rFonts w:ascii="Arial" w:cs="Arial" w:eastAsia="Arial" w:hAnsi="Arial"/>
          <w:sz w:val="16"/>
          <w:szCs w:val="16"/>
          <w:color w:val="auto"/>
        </w:rPr>
        <w:t>Director roles, including the requirement that the Board have a Lead Independent Director if the Chairman is not an independent director. The Board regularly reevaluates its Board leadership structure as part of the Board evaluation process described and also considers stockholder feedback on the topic.</w:t>
      </w:r>
    </w:p>
    <w:p>
      <w:pPr>
        <w:spacing w:after="0" w:line="74"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Our Company has separate Chairman and Chief Executive Ofcer roles, which the Board believes currently best serves its ability to carry out its roles and responsibilities on behalf of the Company and its stockholders. Our independent Chairman oversees</w:t>
      </w:r>
    </w:p>
    <w:p>
      <w:pPr>
        <w:spacing w:after="0" w:line="1"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corporate governance matters, helping to ensure that the Board provides strong oversight of management and the Company’s strategy and business and that all directors have access to the resources required to discharge their duties appropriately. Our Chief Executive Ofcer is in charge of the business and strategic direction of the Company, subject to the overall direction and supervision of the Board and its Committees. The Board does not have a Lead Independent Director given that the Chairman is</w:t>
      </w:r>
    </w:p>
    <w:p>
      <w:pPr>
        <w:spacing w:after="0" w:line="3" w:lineRule="exact"/>
        <w:rPr>
          <w:sz w:val="20"/>
          <w:szCs w:val="20"/>
          <w:color w:val="auto"/>
        </w:rPr>
      </w:pPr>
    </w:p>
    <w:p>
      <w:pPr>
        <w:ind w:right="300"/>
        <w:spacing w:after="0" w:line="272" w:lineRule="auto"/>
        <w:rPr>
          <w:sz w:val="20"/>
          <w:szCs w:val="20"/>
          <w:color w:val="auto"/>
        </w:rPr>
      </w:pPr>
      <w:r>
        <w:rPr>
          <w:rFonts w:ascii="Arial" w:cs="Arial" w:eastAsia="Arial" w:hAnsi="Arial"/>
          <w:sz w:val="16"/>
          <w:szCs w:val="16"/>
          <w:color w:val="auto"/>
        </w:rPr>
        <w:t>currently an independent director. The duties of the Chairman are substantially similar to those of the Lead Independent Director. In addition, independent directors chair our Board Committees. Our overall structure promotes efective oversight, strengthens our Board’s independent leadership and supports our commitment to enhancing stockholder value and strong governance.</w:t>
      </w:r>
    </w:p>
    <w:p>
      <w:pPr>
        <w:spacing w:after="0" w:line="279" w:lineRule="exact"/>
        <w:rPr>
          <w:sz w:val="20"/>
          <w:szCs w:val="20"/>
          <w:color w:val="auto"/>
        </w:rPr>
      </w:pPr>
    </w:p>
    <w:p>
      <w:pPr>
        <w:spacing w:after="0"/>
        <w:rPr>
          <w:sz w:val="20"/>
          <w:szCs w:val="20"/>
          <w:color w:val="auto"/>
        </w:rPr>
      </w:pPr>
      <w:r>
        <w:rPr>
          <w:rFonts w:ascii="Arial" w:cs="Arial" w:eastAsia="Arial" w:hAnsi="Arial"/>
          <w:sz w:val="15"/>
          <w:szCs w:val="15"/>
          <w:color w:val="auto"/>
        </w:rPr>
        <w:t>Edward  “Ted”  Philip  has  served  as  our  independent  Chairman  of  the  Board  since  May  2021.  Mr.  Philip  has  a  wealth  of  leadership</w:t>
      </w:r>
    </w:p>
    <w:p>
      <w:pPr>
        <w:spacing w:after="0" w:line="30"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experience and deep understanding of the Board from his experience as Lead Independent Director of the Board from 2020 to 2021 and serving as a director of the Board since 2016. Mr. Philip manages the relationship between the Board and the Chief Executive Ofcer and other executive ofcers as needed and seeks to ensure that interactions with the directors facilitate a useful exchange of viewpoints. Mr. Kirby is available to all directors between meetings and meets regularly with the Chairman</w:t>
      </w:r>
    </w:p>
    <w:p>
      <w:pPr>
        <w:spacing w:after="0" w:line="3" w:lineRule="exact"/>
        <w:rPr>
          <w:sz w:val="20"/>
          <w:szCs w:val="20"/>
          <w:color w:val="auto"/>
        </w:rPr>
      </w:pPr>
    </w:p>
    <w:p>
      <w:pPr>
        <w:ind w:right="120"/>
        <w:spacing w:after="0" w:line="268" w:lineRule="auto"/>
        <w:rPr>
          <w:sz w:val="20"/>
          <w:szCs w:val="20"/>
          <w:color w:val="auto"/>
        </w:rPr>
      </w:pPr>
      <w:r>
        <w:rPr>
          <w:rFonts w:ascii="Arial" w:cs="Arial" w:eastAsia="Arial" w:hAnsi="Arial"/>
          <w:sz w:val="16"/>
          <w:szCs w:val="16"/>
          <w:color w:val="auto"/>
        </w:rPr>
        <w:t>and with the directors as a group to advise on the Company’s business and afairs and to receive feedback from the Board. Mr. Philip’s collaboration with Mr. Kirby allows the Board to focus attention on the issues of greatest importance to the Company and its stockholders and Mr. Kirby to focus primarily on executing the Company’s business and strategic goals in his role as Chief Executive Ofcer.</w:t>
      </w:r>
    </w:p>
    <w:p>
      <w:pPr>
        <w:sectPr>
          <w:pgSz w:w="11900" w:h="16838" w:orient="portrait"/>
          <w:cols w:equalWidth="0" w:num="1">
            <w:col w:w="9700"/>
          </w:cols>
          <w:pgMar w:left="1080" w:top="695" w:right="11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left="220"/>
        <w:spacing w:after="0"/>
        <w:rPr>
          <w:sz w:val="20"/>
          <w:szCs w:val="20"/>
          <w:color w:val="auto"/>
        </w:rPr>
      </w:pPr>
      <w:r>
        <w:rPr>
          <w:rFonts w:ascii="Arial" w:cs="Arial" w:eastAsia="Arial" w:hAnsi="Arial"/>
          <w:sz w:val="16"/>
          <w:szCs w:val="16"/>
          <w:b w:val="1"/>
          <w:bCs w:val="1"/>
          <w:color w:val="1414D2"/>
        </w:rPr>
        <w:t>EDWARD M. PHILIP</w:t>
      </w:r>
    </w:p>
    <w:p>
      <w:pPr>
        <w:spacing w:after="0" w:line="5" w:lineRule="exact"/>
        <w:rPr>
          <w:sz w:val="20"/>
          <w:szCs w:val="20"/>
          <w:color w:val="auto"/>
        </w:rPr>
      </w:pPr>
    </w:p>
    <w:p>
      <w:pPr>
        <w:jc w:val="center"/>
        <w:ind w:left="220"/>
        <w:spacing w:after="0"/>
        <w:rPr>
          <w:sz w:val="20"/>
          <w:szCs w:val="20"/>
          <w:color w:val="auto"/>
        </w:rPr>
      </w:pPr>
      <w:r>
        <w:rPr>
          <w:rFonts w:ascii="Arial" w:cs="Arial" w:eastAsia="Arial" w:hAnsi="Arial"/>
          <w:sz w:val="16"/>
          <w:szCs w:val="16"/>
          <w:b w:val="1"/>
          <w:bCs w:val="1"/>
          <w:color w:val="auto"/>
        </w:rPr>
        <w:t>Chairman of the</w:t>
      </w:r>
    </w:p>
    <w:p>
      <w:pPr>
        <w:spacing w:after="0" w:line="19" w:lineRule="exact"/>
        <w:rPr>
          <w:sz w:val="20"/>
          <w:szCs w:val="20"/>
          <w:color w:val="auto"/>
        </w:rPr>
      </w:pPr>
    </w:p>
    <w:p>
      <w:pPr>
        <w:jc w:val="center"/>
        <w:ind w:left="220"/>
        <w:spacing w:after="0"/>
        <w:rPr>
          <w:sz w:val="20"/>
          <w:szCs w:val="20"/>
          <w:color w:val="auto"/>
        </w:rPr>
      </w:pPr>
      <w:r>
        <w:rPr>
          <w:rFonts w:ascii="Arial" w:cs="Arial" w:eastAsia="Arial" w:hAnsi="Arial"/>
          <w:sz w:val="16"/>
          <w:szCs w:val="16"/>
          <w:b w:val="1"/>
          <w:bCs w:val="1"/>
          <w:color w:val="auto"/>
        </w:rPr>
        <w:t>Board (Since 2021)</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ROBUST RESPONSIBILITIES:</w:t>
      </w:r>
    </w:p>
    <w:p>
      <w:pPr>
        <w:spacing w:after="0" w:line="127" w:lineRule="exact"/>
        <w:rPr>
          <w:sz w:val="20"/>
          <w:szCs w:val="20"/>
          <w:color w:val="auto"/>
        </w:rPr>
      </w:pPr>
    </w:p>
    <w:p>
      <w:pPr>
        <w:ind w:left="326" w:right="600" w:hanging="326"/>
        <w:spacing w:after="0" w:line="312" w:lineRule="auto"/>
        <w:tabs>
          <w:tab w:leader="none" w:pos="326" w:val="left"/>
        </w:tabs>
        <w:numPr>
          <w:ilvl w:val="0"/>
          <w:numId w:val="48"/>
        </w:numPr>
        <w:rPr>
          <w:rFonts w:ascii="Times New Roman" w:cs="Times New Roman" w:eastAsia="Times New Roman" w:hAnsi="Times New Roman"/>
          <w:sz w:val="16"/>
          <w:szCs w:val="16"/>
          <w:color w:val="auto"/>
        </w:rPr>
      </w:pPr>
      <w:r>
        <w:rPr>
          <w:rFonts w:ascii="Arial" w:cs="Arial" w:eastAsia="Arial" w:hAnsi="Arial"/>
          <w:sz w:val="16"/>
          <w:szCs w:val="16"/>
          <w:color w:val="auto"/>
        </w:rPr>
        <w:t>Convene meetings. Has the authority to convene meetings of the Board and executive sessions consisting solely of independent directors.</w:t>
      </w:r>
    </w:p>
    <w:p>
      <w:pPr>
        <w:spacing w:after="0" w:line="20" w:lineRule="exact"/>
        <w:rPr>
          <w:rFonts w:ascii="Times New Roman" w:cs="Times New Roman" w:eastAsia="Times New Roman" w:hAnsi="Times New Roman"/>
          <w:sz w:val="16"/>
          <w:szCs w:val="16"/>
          <w:color w:val="auto"/>
        </w:rPr>
      </w:pPr>
    </w:p>
    <w:p>
      <w:pPr>
        <w:ind w:left="326" w:right="440" w:hanging="326"/>
        <w:spacing w:after="0" w:line="312" w:lineRule="auto"/>
        <w:tabs>
          <w:tab w:leader="none" w:pos="326" w:val="left"/>
        </w:tabs>
        <w:numPr>
          <w:ilvl w:val="0"/>
          <w:numId w:val="48"/>
        </w:numPr>
        <w:rPr>
          <w:rFonts w:ascii="Times New Roman" w:cs="Times New Roman" w:eastAsia="Times New Roman" w:hAnsi="Times New Roman"/>
          <w:sz w:val="16"/>
          <w:szCs w:val="16"/>
          <w:color w:val="auto"/>
        </w:rPr>
      </w:pPr>
      <w:r>
        <w:rPr>
          <w:rFonts w:ascii="Arial" w:cs="Arial" w:eastAsia="Arial" w:hAnsi="Arial"/>
          <w:sz w:val="16"/>
          <w:szCs w:val="16"/>
          <w:color w:val="auto"/>
        </w:rPr>
        <w:t>Preside at certain meetings. Presides at all meetings of the Board at which he is present, including executive sessions of independent directors and stockholder meetings.</w:t>
      </w:r>
    </w:p>
    <w:p>
      <w:pPr>
        <w:spacing w:after="0" w:line="20" w:lineRule="exact"/>
        <w:rPr>
          <w:rFonts w:ascii="Times New Roman" w:cs="Times New Roman" w:eastAsia="Times New Roman" w:hAnsi="Times New Roman"/>
          <w:sz w:val="16"/>
          <w:szCs w:val="16"/>
          <w:color w:val="auto"/>
        </w:rPr>
      </w:pPr>
    </w:p>
    <w:p>
      <w:pPr>
        <w:ind w:left="326" w:right="440" w:hanging="326"/>
        <w:spacing w:after="0" w:line="312" w:lineRule="auto"/>
        <w:tabs>
          <w:tab w:leader="none" w:pos="326" w:val="left"/>
        </w:tabs>
        <w:numPr>
          <w:ilvl w:val="0"/>
          <w:numId w:val="48"/>
        </w:numPr>
        <w:rPr>
          <w:rFonts w:ascii="Times New Roman" w:cs="Times New Roman" w:eastAsia="Times New Roman" w:hAnsi="Times New Roman"/>
          <w:sz w:val="16"/>
          <w:szCs w:val="16"/>
          <w:color w:val="auto"/>
        </w:rPr>
      </w:pPr>
      <w:r>
        <w:rPr>
          <w:rFonts w:ascii="Arial" w:cs="Arial" w:eastAsia="Arial" w:hAnsi="Arial"/>
          <w:sz w:val="16"/>
          <w:szCs w:val="16"/>
          <w:color w:val="auto"/>
        </w:rPr>
        <w:t>CEO performance review. Consults with the Compensation Committee as it conducts the annual performance review of the CEO.</w:t>
      </w:r>
    </w:p>
    <w:p>
      <w:pPr>
        <w:spacing w:after="0" w:line="20" w:lineRule="exact"/>
        <w:rPr>
          <w:rFonts w:ascii="Times New Roman" w:cs="Times New Roman" w:eastAsia="Times New Roman" w:hAnsi="Times New Roman"/>
          <w:sz w:val="16"/>
          <w:szCs w:val="16"/>
          <w:color w:val="auto"/>
        </w:rPr>
      </w:pPr>
    </w:p>
    <w:p>
      <w:pPr>
        <w:ind w:left="326" w:right="420" w:hanging="326"/>
        <w:spacing w:after="0" w:line="312" w:lineRule="auto"/>
        <w:tabs>
          <w:tab w:leader="none" w:pos="326" w:val="left"/>
        </w:tabs>
        <w:numPr>
          <w:ilvl w:val="0"/>
          <w:numId w:val="48"/>
        </w:numPr>
        <w:rPr>
          <w:rFonts w:ascii="Times New Roman" w:cs="Times New Roman" w:eastAsia="Times New Roman" w:hAnsi="Times New Roman"/>
          <w:sz w:val="16"/>
          <w:szCs w:val="16"/>
          <w:color w:val="auto"/>
        </w:rPr>
      </w:pPr>
      <w:r>
        <w:rPr>
          <w:rFonts w:ascii="Arial" w:cs="Arial" w:eastAsia="Arial" w:hAnsi="Arial"/>
          <w:sz w:val="16"/>
          <w:szCs w:val="16"/>
          <w:color w:val="auto"/>
        </w:rPr>
        <w:t>Director liaison. Serves as liaison between the CEO and the directors by facilitating open, transparent and candid dialogue.</w:t>
      </w:r>
    </w:p>
    <w:p>
      <w:pPr>
        <w:spacing w:after="0" w:line="20" w:lineRule="exact"/>
        <w:rPr>
          <w:rFonts w:ascii="Times New Roman" w:cs="Times New Roman" w:eastAsia="Times New Roman" w:hAnsi="Times New Roman"/>
          <w:sz w:val="16"/>
          <w:szCs w:val="16"/>
          <w:color w:val="auto"/>
        </w:rPr>
      </w:pPr>
    </w:p>
    <w:p>
      <w:pPr>
        <w:ind w:left="326" w:right="320" w:hanging="326"/>
        <w:spacing w:after="0" w:line="279" w:lineRule="auto"/>
        <w:tabs>
          <w:tab w:leader="none" w:pos="326" w:val="left"/>
        </w:tabs>
        <w:numPr>
          <w:ilvl w:val="0"/>
          <w:numId w:val="48"/>
        </w:numPr>
        <w:rPr>
          <w:rFonts w:ascii="Times New Roman" w:cs="Times New Roman" w:eastAsia="Times New Roman" w:hAnsi="Times New Roman"/>
          <w:sz w:val="16"/>
          <w:szCs w:val="16"/>
          <w:color w:val="auto"/>
        </w:rPr>
      </w:pPr>
      <w:r>
        <w:rPr>
          <w:rFonts w:ascii="Arial" w:cs="Arial" w:eastAsia="Arial" w:hAnsi="Arial"/>
          <w:sz w:val="16"/>
          <w:szCs w:val="16"/>
          <w:color w:val="auto"/>
        </w:rPr>
        <w:t>Meeting schedules, agendas and information. Approves meeting schedules, agendas and the information furnished to the Board in connection with Board meetings or other Board action to ensure that the Board has sufcient time and information for discussion.</w:t>
      </w:r>
    </w:p>
    <w:p>
      <w:pPr>
        <w:spacing w:after="0" w:line="46" w:lineRule="exact"/>
        <w:rPr>
          <w:rFonts w:ascii="Times New Roman" w:cs="Times New Roman" w:eastAsia="Times New Roman" w:hAnsi="Times New Roman"/>
          <w:sz w:val="16"/>
          <w:szCs w:val="16"/>
          <w:color w:val="auto"/>
        </w:rPr>
      </w:pPr>
    </w:p>
    <w:p>
      <w:pPr>
        <w:ind w:left="326" w:right="420" w:hanging="326"/>
        <w:spacing w:after="0" w:line="312" w:lineRule="auto"/>
        <w:tabs>
          <w:tab w:leader="none" w:pos="326" w:val="left"/>
        </w:tabs>
        <w:numPr>
          <w:ilvl w:val="0"/>
          <w:numId w:val="48"/>
        </w:numPr>
        <w:rPr>
          <w:rFonts w:ascii="Times New Roman" w:cs="Times New Roman" w:eastAsia="Times New Roman" w:hAnsi="Times New Roman"/>
          <w:sz w:val="16"/>
          <w:szCs w:val="16"/>
          <w:color w:val="auto"/>
        </w:rPr>
      </w:pPr>
      <w:r>
        <w:rPr>
          <w:rFonts w:ascii="Arial" w:cs="Arial" w:eastAsia="Arial" w:hAnsi="Arial"/>
          <w:sz w:val="16"/>
          <w:szCs w:val="16"/>
          <w:color w:val="auto"/>
        </w:rPr>
        <w:t>Stockholder engagement. Engages in consultation and direct communication with major stockholders, as appropriate.</w:t>
      </w:r>
    </w:p>
    <w:p>
      <w:pPr>
        <w:spacing w:after="0" w:line="20" w:lineRule="exact"/>
        <w:rPr>
          <w:rFonts w:ascii="Times New Roman" w:cs="Times New Roman" w:eastAsia="Times New Roman" w:hAnsi="Times New Roman"/>
          <w:sz w:val="16"/>
          <w:szCs w:val="16"/>
          <w:color w:val="auto"/>
        </w:rPr>
      </w:pPr>
    </w:p>
    <w:p>
      <w:pPr>
        <w:ind w:left="326" w:right="300" w:hanging="326"/>
        <w:spacing w:after="0" w:line="271" w:lineRule="auto"/>
        <w:tabs>
          <w:tab w:leader="none" w:pos="326" w:val="left"/>
        </w:tabs>
        <w:numPr>
          <w:ilvl w:val="0"/>
          <w:numId w:val="48"/>
        </w:numPr>
        <w:rPr>
          <w:rFonts w:ascii="Times New Roman" w:cs="Times New Roman" w:eastAsia="Times New Roman" w:hAnsi="Times New Roman"/>
          <w:sz w:val="16"/>
          <w:szCs w:val="16"/>
          <w:color w:val="auto"/>
        </w:rPr>
      </w:pPr>
      <w:r>
        <w:rPr>
          <w:rFonts w:ascii="Arial" w:cs="Arial" w:eastAsia="Arial" w:hAnsi="Arial"/>
          <w:sz w:val="16"/>
          <w:szCs w:val="16"/>
          <w:color w:val="auto"/>
        </w:rPr>
        <w:t>Composition and director succession planning. Consults with the Nominating/Governance Committee regarding Board and Committee composition, Committee Chair selection, the annual performance review of the Board and its Committees and director succession planning.</w:t>
      </w:r>
    </w:p>
    <w:p>
      <w:pPr>
        <w:spacing w:after="0" w:line="200" w:lineRule="exact"/>
        <w:rPr>
          <w:sz w:val="20"/>
          <w:szCs w:val="20"/>
          <w:color w:val="auto"/>
        </w:rPr>
      </w:pPr>
    </w:p>
    <w:p>
      <w:pPr>
        <w:sectPr>
          <w:pgSz w:w="11900" w:h="16838" w:orient="portrait"/>
          <w:cols w:equalWidth="0" w:num="2">
            <w:col w:w="1740" w:space="494"/>
            <w:col w:w="7466"/>
          </w:cols>
          <w:pgMar w:left="1080" w:top="695" w:right="11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right"/>
        <w:ind w:right="7700"/>
        <w:spacing w:after="0"/>
        <w:rPr>
          <w:sz w:val="20"/>
          <w:szCs w:val="20"/>
          <w:color w:val="auto"/>
        </w:rPr>
      </w:pPr>
      <w:r>
        <w:rPr>
          <w:rFonts w:ascii="Arial" w:cs="Arial" w:eastAsia="Arial" w:hAnsi="Arial"/>
          <w:sz w:val="16"/>
          <w:szCs w:val="16"/>
          <w:color w:val="auto"/>
        </w:rPr>
        <w:t>​​2026​  Proxy</w:t>
      </w:r>
    </w:p>
    <w:p>
      <w:pPr>
        <w:spacing w:after="0" w:line="5" w:lineRule="exact"/>
        <w:rPr>
          <w:sz w:val="20"/>
          <w:szCs w:val="20"/>
          <w:color w:val="auto"/>
        </w:rPr>
      </w:pPr>
    </w:p>
    <w:p>
      <w:pPr>
        <w:ind w:left="660" w:hanging="656"/>
        <w:spacing w:after="0"/>
        <w:tabs>
          <w:tab w:leader="none" w:pos="660" w:val="left"/>
        </w:tabs>
        <w:numPr>
          <w:ilvl w:val="0"/>
          <w:numId w:val="49"/>
        </w:numPr>
        <w:rPr>
          <w:rFonts w:ascii="Arial" w:cs="Arial" w:eastAsia="Arial" w:hAnsi="Arial"/>
          <w:sz w:val="16"/>
          <w:szCs w:val="16"/>
          <w:b w:val="1"/>
          <w:bCs w:val="1"/>
          <w:color w:val="1414D2"/>
        </w:rPr>
      </w:pPr>
      <w:r>
        <w:rPr>
          <w:rFonts w:ascii="Arial" w:cs="Arial" w:eastAsia="Arial" w:hAnsi="Arial"/>
          <w:sz w:val="16"/>
          <w:szCs w:val="16"/>
          <w:color w:val="auto"/>
        </w:rPr>
        <w:t>Statement</w:t>
      </w:r>
    </w:p>
    <w:p>
      <w:pPr>
        <w:sectPr>
          <w:pgSz w:w="11900" w:h="16838" w:orient="portrait"/>
          <w:cols w:equalWidth="0" w:num="1">
            <w:col w:w="9700"/>
          </w:cols>
          <w:pgMar w:left="1080" w:top="695" w:right="1119" w:bottom="1440" w:gutter="0" w:footer="0" w:header="0"/>
          <w:type w:val="continuous"/>
        </w:sectPr>
      </w:pPr>
    </w:p>
    <w:bookmarkStart w:id="61" w:name="page62"/>
    <w:bookmarkEnd w:id="61"/>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27" w:lineRule="exact"/>
        <w:rPr>
          <w:sz w:val="20"/>
          <w:szCs w:val="20"/>
          <w:color w:val="auto"/>
        </w:rPr>
      </w:pPr>
    </w:p>
    <w:p>
      <w:pPr>
        <w:jc w:val="right"/>
        <w:spacing w:after="0"/>
        <w:rPr>
          <w:sz w:val="20"/>
          <w:szCs w:val="20"/>
          <w:color w:val="auto"/>
        </w:rPr>
      </w:pPr>
      <w:r>
        <w:rPr>
          <w:rFonts w:ascii="Arial" w:cs="Arial" w:eastAsia="Arial" w:hAnsi="Arial"/>
          <w:sz w:val="14"/>
          <w:szCs w:val="14"/>
          <w:color w:val="6D6F71"/>
        </w:rPr>
        <w:t>Board  and  Corporate  Governance  Matters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COMMITTEES OF THE BOARD</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Board  has  six  standing  Committees:  Audit,  Compensation,  Executive,  Finance,  Nominating/Governance  and  Public</w:t>
      </w:r>
    </w:p>
    <w:p>
      <w:pPr>
        <w:spacing w:after="0" w:line="19" w:lineRule="exact"/>
        <w:rPr>
          <w:sz w:val="20"/>
          <w:szCs w:val="20"/>
          <w:color w:val="auto"/>
        </w:rPr>
      </w:pPr>
    </w:p>
    <w:p>
      <w:pPr>
        <w:ind w:right="140"/>
        <w:spacing w:after="0" w:line="268" w:lineRule="auto"/>
        <w:rPr>
          <w:sz w:val="20"/>
          <w:szCs w:val="20"/>
          <w:color w:val="auto"/>
        </w:rPr>
      </w:pPr>
      <w:r>
        <w:rPr>
          <w:rFonts w:ascii="Arial" w:cs="Arial" w:eastAsia="Arial" w:hAnsi="Arial"/>
          <w:sz w:val="16"/>
          <w:szCs w:val="16"/>
          <w:color w:val="auto"/>
        </w:rPr>
        <w:t xml:space="preserve">Responsibility. The Audit Committee, Compensation Committee and Nominating/Governance Committee are composed solely of independent directors. The current membership and function of each standing Committee is described on the following pages. Each Committee operates under a written charter adopted by the Board, which is available on our investor relations website at </w:t>
      </w:r>
      <w:r>
        <w:rPr>
          <w:rFonts w:ascii="Arial" w:cs="Arial" w:eastAsia="Arial" w:hAnsi="Arial"/>
          <w:sz w:val="16"/>
          <w:szCs w:val="16"/>
          <w:b w:val="1"/>
          <w:bCs w:val="1"/>
          <w:color w:val="1414D2"/>
        </w:rPr>
        <w:t>ir.united.com</w:t>
      </w:r>
      <w:r>
        <w:rPr>
          <w:rFonts w:ascii="Arial" w:cs="Arial" w:eastAsia="Arial" w:hAnsi="Arial"/>
          <w:sz w:val="16"/>
          <w:szCs w:val="16"/>
          <w:color w:val="auto"/>
        </w:rPr>
        <w:t>. Each Committee reviews and assesses its charter annually.</w:t>
      </w:r>
    </w:p>
    <w:p>
      <w:pPr>
        <w:sectPr>
          <w:pgSz w:w="11900" w:h="16838" w:orient="portrait"/>
          <w:cols w:equalWidth="0" w:num="1">
            <w:col w:w="9720"/>
          </w:cols>
          <w:pgMar w:left="1080" w:top="695"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00"/>
        <w:spacing w:after="0"/>
        <w:rPr>
          <w:sz w:val="20"/>
          <w:szCs w:val="20"/>
          <w:color w:val="auto"/>
        </w:rPr>
      </w:pPr>
      <w:r>
        <w:rPr>
          <w:rFonts w:ascii="Arial" w:cs="Arial" w:eastAsia="Arial" w:hAnsi="Arial"/>
          <w:sz w:val="16"/>
          <w:szCs w:val="16"/>
          <w:b w:val="1"/>
          <w:bCs w:val="1"/>
          <w:i w:val="1"/>
          <w:iCs w:val="1"/>
          <w:color w:val="1414D2"/>
        </w:rPr>
        <w:t>Chair:</w:t>
      </w:r>
    </w:p>
    <w:p>
      <w:pPr>
        <w:spacing w:after="0" w:line="12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Michele  J.  Hooper</w:t>
      </w:r>
    </w:p>
    <w:p>
      <w:pPr>
        <w:spacing w:after="0" w:line="111" w:lineRule="exact"/>
        <w:rPr>
          <w:sz w:val="20"/>
          <w:szCs w:val="20"/>
          <w:color w:val="auto"/>
        </w:rPr>
      </w:pPr>
    </w:p>
    <w:p>
      <w:pPr>
        <w:ind w:left="100"/>
        <w:spacing w:after="0" w:line="339" w:lineRule="auto"/>
        <w:rPr>
          <w:sz w:val="20"/>
          <w:szCs w:val="20"/>
          <w:color w:val="auto"/>
        </w:rPr>
      </w:pPr>
      <w:r>
        <w:rPr>
          <w:rFonts w:ascii="Arial" w:cs="Arial" w:eastAsia="Arial" w:hAnsi="Arial"/>
          <w:sz w:val="15"/>
          <w:szCs w:val="15"/>
          <w:b w:val="1"/>
          <w:bCs w:val="1"/>
          <w:i w:val="1"/>
          <w:iCs w:val="1"/>
          <w:color w:val="1414D2"/>
        </w:rPr>
        <w:t>Additional Committee Members:</w:t>
      </w:r>
    </w:p>
    <w:p>
      <w:pPr>
        <w:spacing w:after="0" w:line="1" w:lineRule="exact"/>
        <w:rPr>
          <w:sz w:val="20"/>
          <w:szCs w:val="20"/>
          <w:color w:val="auto"/>
        </w:rPr>
      </w:pPr>
    </w:p>
    <w:p>
      <w:pPr>
        <w:ind w:left="100" w:right="280"/>
        <w:spacing w:after="0" w:line="391" w:lineRule="auto"/>
        <w:rPr>
          <w:sz w:val="20"/>
          <w:szCs w:val="20"/>
          <w:color w:val="auto"/>
        </w:rPr>
      </w:pPr>
      <w:r>
        <w:rPr>
          <w:rFonts w:ascii="Arial" w:cs="Arial" w:eastAsia="Arial" w:hAnsi="Arial"/>
          <w:sz w:val="16"/>
          <w:szCs w:val="16"/>
          <w:color w:val="auto"/>
        </w:rPr>
        <w:t>Matthew Friend Barney Harford Edward M. Philip Laysha Ward</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5"/>
          <w:szCs w:val="15"/>
          <w:b w:val="1"/>
          <w:bCs w:val="1"/>
          <w:i w:val="1"/>
          <w:iCs w:val="1"/>
          <w:color w:val="1414D2"/>
        </w:rPr>
        <w:t>FY25 Meetings Held:</w:t>
      </w:r>
    </w:p>
    <w:p>
      <w:pPr>
        <w:spacing w:after="0" w:line="140" w:lineRule="exact"/>
        <w:rPr>
          <w:sz w:val="20"/>
          <w:szCs w:val="20"/>
          <w:color w:val="auto"/>
        </w:rPr>
      </w:pPr>
    </w:p>
    <w:p>
      <w:pPr>
        <w:ind w:left="100"/>
        <w:spacing w:after="0"/>
        <w:rPr>
          <w:sz w:val="20"/>
          <w:szCs w:val="20"/>
          <w:color w:val="auto"/>
        </w:rPr>
      </w:pPr>
      <w:r>
        <w:rPr>
          <w:rFonts w:ascii="Arial" w:cs="Arial" w:eastAsia="Arial" w:hAnsi="Arial"/>
          <w:sz w:val="16"/>
          <w:szCs w:val="16"/>
          <w:color w:val="auto"/>
        </w:rPr>
        <w:t>9</w:t>
      </w:r>
    </w:p>
    <w:p>
      <w:pPr>
        <w:spacing w:after="0" w:line="111" w:lineRule="exact"/>
        <w:rPr>
          <w:sz w:val="20"/>
          <w:szCs w:val="20"/>
          <w:color w:val="auto"/>
        </w:rPr>
      </w:pPr>
    </w:p>
    <w:p>
      <w:pPr>
        <w:ind w:left="100"/>
        <w:spacing w:after="0"/>
        <w:rPr>
          <w:sz w:val="20"/>
          <w:szCs w:val="20"/>
          <w:color w:val="auto"/>
        </w:rPr>
      </w:pPr>
      <w:r>
        <w:rPr>
          <w:rFonts w:ascii="Arial" w:cs="Arial" w:eastAsia="Arial" w:hAnsi="Arial"/>
          <w:sz w:val="16"/>
          <w:szCs w:val="16"/>
          <w:b w:val="1"/>
          <w:bCs w:val="1"/>
          <w:i w:val="1"/>
          <w:iCs w:val="1"/>
          <w:color w:val="1414D2"/>
        </w:rPr>
        <w:t>Committee Report:</w:t>
      </w:r>
    </w:p>
    <w:p>
      <w:pPr>
        <w:spacing w:after="0" w:line="11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Page  72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AUDIT COMMITTEE</w:t>
      </w:r>
      <w:r>
        <w:rPr>
          <w:rFonts w:ascii="Arial" w:cs="Arial" w:eastAsia="Arial" w:hAnsi="Arial"/>
          <w:sz w:val="24"/>
          <w:szCs w:val="24"/>
          <w:b w:val="1"/>
          <w:bCs w:val="1"/>
          <w:color w:val="auto"/>
          <w:vertAlign w:val="superscript"/>
        </w:rPr>
        <w:t>(1)</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414D2"/>
        </w:rPr>
        <w:t>Primary Responsibilities</w:t>
      </w:r>
    </w:p>
    <w:p>
      <w:pPr>
        <w:spacing w:after="0" w:line="129" w:lineRule="exact"/>
        <w:rPr>
          <w:sz w:val="20"/>
          <w:szCs w:val="20"/>
          <w:color w:val="auto"/>
        </w:rPr>
      </w:pPr>
    </w:p>
    <w:p>
      <w:pPr>
        <w:ind w:left="520" w:right="160" w:hanging="316"/>
        <w:spacing w:after="0" w:line="312" w:lineRule="auto"/>
        <w:tabs>
          <w:tab w:leader="none" w:pos="520" w:val="left"/>
        </w:tabs>
        <w:numPr>
          <w:ilvl w:val="0"/>
          <w:numId w:val="50"/>
        </w:numPr>
        <w:rPr>
          <w:rFonts w:ascii="Times New Roman" w:cs="Times New Roman" w:eastAsia="Times New Roman" w:hAnsi="Times New Roman"/>
          <w:sz w:val="16"/>
          <w:szCs w:val="16"/>
          <w:color w:val="auto"/>
        </w:rPr>
      </w:pPr>
      <w:r>
        <w:rPr>
          <w:rFonts w:ascii="Arial" w:cs="Arial" w:eastAsia="Arial" w:hAnsi="Arial"/>
          <w:sz w:val="16"/>
          <w:szCs w:val="16"/>
          <w:color w:val="auto"/>
        </w:rPr>
        <w:t>Oversee the accounting and fnancial reporting processes of the Company and the audits of the fnancial statements of the Company;</w:t>
      </w:r>
    </w:p>
    <w:p>
      <w:pPr>
        <w:spacing w:after="0" w:line="6" w:lineRule="exact"/>
        <w:rPr>
          <w:rFonts w:ascii="Times New Roman" w:cs="Times New Roman" w:eastAsia="Times New Roman" w:hAnsi="Times New Roman"/>
          <w:sz w:val="16"/>
          <w:szCs w:val="16"/>
          <w:color w:val="auto"/>
        </w:rPr>
      </w:pPr>
    </w:p>
    <w:p>
      <w:pPr>
        <w:ind w:left="520" w:right="160" w:hanging="316"/>
        <w:spacing w:after="0" w:line="264" w:lineRule="auto"/>
        <w:tabs>
          <w:tab w:leader="none" w:pos="520" w:val="left"/>
        </w:tabs>
        <w:numPr>
          <w:ilvl w:val="0"/>
          <w:numId w:val="50"/>
        </w:numPr>
        <w:rPr>
          <w:rFonts w:ascii="Times New Roman" w:cs="Times New Roman" w:eastAsia="Times New Roman" w:hAnsi="Times New Roman"/>
          <w:sz w:val="16"/>
          <w:szCs w:val="16"/>
          <w:color w:val="auto"/>
        </w:rPr>
      </w:pPr>
      <w:r>
        <w:rPr>
          <w:rFonts w:ascii="Arial" w:cs="Arial" w:eastAsia="Arial" w:hAnsi="Arial"/>
          <w:sz w:val="16"/>
          <w:szCs w:val="16"/>
          <w:color w:val="auto"/>
        </w:rPr>
        <w:t>Assist the Board in fulflling its responsibility to oversee (a) the quality and integrity of the Company’s fnancial statements and related disclosures and adequacy of the Company’s system of disclosure controls and internal control over fnancial reporting and risk management, (b) the Company’s compliance with legal and regulatory requirements and ethical standards, (c) the independent auditors’ qualifcations, performance and independence and (d) the performance of the Company’s internal audit function and independent auditors;</w:t>
      </w:r>
    </w:p>
    <w:p>
      <w:pPr>
        <w:spacing w:after="0" w:line="242" w:lineRule="exact"/>
        <w:rPr>
          <w:rFonts w:ascii="Times New Roman" w:cs="Times New Roman" w:eastAsia="Times New Roman" w:hAnsi="Times New Roman"/>
          <w:sz w:val="16"/>
          <w:szCs w:val="16"/>
          <w:color w:val="auto"/>
        </w:rPr>
      </w:pPr>
    </w:p>
    <w:p>
      <w:pPr>
        <w:ind w:left="520" w:right="140" w:hanging="316"/>
        <w:spacing w:after="0" w:line="274" w:lineRule="auto"/>
        <w:tabs>
          <w:tab w:leader="none" w:pos="520" w:val="left"/>
        </w:tabs>
        <w:numPr>
          <w:ilvl w:val="0"/>
          <w:numId w:val="50"/>
        </w:numPr>
        <w:rPr>
          <w:rFonts w:ascii="Times New Roman" w:cs="Times New Roman" w:eastAsia="Times New Roman" w:hAnsi="Times New Roman"/>
          <w:sz w:val="16"/>
          <w:szCs w:val="16"/>
          <w:color w:val="auto"/>
        </w:rPr>
      </w:pPr>
      <w:r>
        <w:rPr>
          <w:rFonts w:ascii="Arial" w:cs="Arial" w:eastAsia="Arial" w:hAnsi="Arial"/>
          <w:sz w:val="16"/>
          <w:szCs w:val="16"/>
          <w:color w:val="auto"/>
        </w:rPr>
        <w:t>Oversee and periodically review with management the Company’s information technology systems and controls, including programs and defenses against cybersecurity threats and the steps management has taken to monitor and manage cybersecurity, artifcial intelligence and information security risk exposures;</w:t>
      </w:r>
    </w:p>
    <w:p>
      <w:pPr>
        <w:spacing w:after="0" w:line="36" w:lineRule="exact"/>
        <w:rPr>
          <w:rFonts w:ascii="Times New Roman" w:cs="Times New Roman" w:eastAsia="Times New Roman" w:hAnsi="Times New Roman"/>
          <w:sz w:val="16"/>
          <w:szCs w:val="16"/>
          <w:color w:val="auto"/>
        </w:rPr>
      </w:pPr>
    </w:p>
    <w:p>
      <w:pPr>
        <w:ind w:left="520" w:right="640" w:hanging="316"/>
        <w:spacing w:after="0" w:line="288" w:lineRule="auto"/>
        <w:tabs>
          <w:tab w:leader="none" w:pos="520" w:val="left"/>
        </w:tabs>
        <w:numPr>
          <w:ilvl w:val="0"/>
          <w:numId w:val="50"/>
        </w:numPr>
        <w:rPr>
          <w:rFonts w:ascii="Times New Roman" w:cs="Times New Roman" w:eastAsia="Times New Roman" w:hAnsi="Times New Roman"/>
          <w:sz w:val="16"/>
          <w:szCs w:val="16"/>
          <w:color w:val="auto"/>
        </w:rPr>
      </w:pPr>
      <w:r>
        <w:rPr>
          <w:rFonts w:ascii="Arial" w:cs="Arial" w:eastAsia="Arial" w:hAnsi="Arial"/>
          <w:sz w:val="16"/>
          <w:szCs w:val="16"/>
          <w:color w:val="auto"/>
        </w:rPr>
        <w:t>Oversee the Company’s controls and procedures relating to its material corporate citizenship-related disclosures and reporting, including assurance processes where applicable;</w:t>
      </w:r>
    </w:p>
    <w:p>
      <w:pPr>
        <w:spacing w:after="0" w:line="25" w:lineRule="exact"/>
        <w:rPr>
          <w:rFonts w:ascii="Times New Roman" w:cs="Times New Roman" w:eastAsia="Times New Roman" w:hAnsi="Times New Roman"/>
          <w:sz w:val="16"/>
          <w:szCs w:val="16"/>
          <w:color w:val="auto"/>
        </w:rPr>
      </w:pPr>
    </w:p>
    <w:p>
      <w:pPr>
        <w:ind w:left="520" w:right="200" w:hanging="316"/>
        <w:spacing w:after="0" w:line="312" w:lineRule="auto"/>
        <w:tabs>
          <w:tab w:leader="none" w:pos="520" w:val="left"/>
        </w:tabs>
        <w:numPr>
          <w:ilvl w:val="0"/>
          <w:numId w:val="50"/>
        </w:numPr>
        <w:rPr>
          <w:rFonts w:ascii="Times New Roman" w:cs="Times New Roman" w:eastAsia="Times New Roman" w:hAnsi="Times New Roman"/>
          <w:sz w:val="16"/>
          <w:szCs w:val="16"/>
          <w:color w:val="auto"/>
        </w:rPr>
      </w:pPr>
      <w:r>
        <w:rPr>
          <w:rFonts w:ascii="Arial" w:cs="Arial" w:eastAsia="Arial" w:hAnsi="Arial"/>
          <w:sz w:val="16"/>
          <w:szCs w:val="16"/>
          <w:color w:val="auto"/>
        </w:rPr>
        <w:t>Prepare an audit committee report as required by the rules and regulations of the SEC to be included in the Company’s annual proxy materials;</w:t>
      </w:r>
    </w:p>
    <w:p>
      <w:pPr>
        <w:spacing w:after="0" w:line="6" w:lineRule="exact"/>
        <w:rPr>
          <w:rFonts w:ascii="Times New Roman" w:cs="Times New Roman" w:eastAsia="Times New Roman" w:hAnsi="Times New Roman"/>
          <w:sz w:val="16"/>
          <w:szCs w:val="16"/>
          <w:color w:val="auto"/>
        </w:rPr>
      </w:pPr>
    </w:p>
    <w:p>
      <w:pPr>
        <w:ind w:left="520" w:hanging="316"/>
        <w:spacing w:after="0"/>
        <w:tabs>
          <w:tab w:leader="none" w:pos="520" w:val="left"/>
        </w:tabs>
        <w:numPr>
          <w:ilvl w:val="0"/>
          <w:numId w:val="50"/>
        </w:numPr>
        <w:rPr>
          <w:rFonts w:ascii="Times New Roman" w:cs="Times New Roman" w:eastAsia="Times New Roman" w:hAnsi="Times New Roman"/>
          <w:sz w:val="16"/>
          <w:szCs w:val="16"/>
          <w:color w:val="auto"/>
        </w:rPr>
      </w:pPr>
      <w:r>
        <w:rPr>
          <w:rFonts w:ascii="Arial" w:cs="Arial" w:eastAsia="Arial" w:hAnsi="Arial"/>
          <w:sz w:val="16"/>
          <w:szCs w:val="16"/>
          <w:color w:val="auto"/>
        </w:rPr>
        <w:t>Oversee  the  internal  audit  function;  and</w:t>
      </w:r>
    </w:p>
    <w:p>
      <w:pPr>
        <w:spacing w:after="0" w:line="125" w:lineRule="exact"/>
        <w:rPr>
          <w:rFonts w:ascii="Times New Roman" w:cs="Times New Roman" w:eastAsia="Times New Roman" w:hAnsi="Times New Roman"/>
          <w:sz w:val="16"/>
          <w:szCs w:val="16"/>
          <w:color w:val="auto"/>
        </w:rPr>
      </w:pPr>
    </w:p>
    <w:p>
      <w:pPr>
        <w:ind w:left="520" w:right="660" w:hanging="316"/>
        <w:spacing w:after="0" w:line="312" w:lineRule="auto"/>
        <w:tabs>
          <w:tab w:leader="none" w:pos="520" w:val="left"/>
        </w:tabs>
        <w:numPr>
          <w:ilvl w:val="0"/>
          <w:numId w:val="50"/>
        </w:numPr>
        <w:rPr>
          <w:rFonts w:ascii="Times New Roman" w:cs="Times New Roman" w:eastAsia="Times New Roman" w:hAnsi="Times New Roman"/>
          <w:sz w:val="16"/>
          <w:szCs w:val="16"/>
          <w:color w:val="auto"/>
        </w:rPr>
      </w:pPr>
      <w:r>
        <w:rPr>
          <w:rFonts w:ascii="Arial" w:cs="Arial" w:eastAsia="Arial" w:hAnsi="Arial"/>
          <w:sz w:val="16"/>
          <w:szCs w:val="16"/>
          <w:color w:val="auto"/>
        </w:rPr>
        <w:t>Provide an open avenue of communication between the independent auditors, the internal auditors, management and the Board.</w:t>
      </w:r>
    </w:p>
    <w:p>
      <w:pPr>
        <w:spacing w:after="0" w:line="148" w:lineRule="exact"/>
        <w:rPr>
          <w:sz w:val="20"/>
          <w:szCs w:val="20"/>
          <w:color w:val="auto"/>
        </w:rPr>
      </w:pPr>
    </w:p>
    <w:p>
      <w:pPr>
        <w:sectPr>
          <w:pgSz w:w="11900" w:h="16838" w:orient="portrait"/>
          <w:cols w:equalWidth="0" w:num="2">
            <w:col w:w="1660" w:space="600"/>
            <w:col w:w="7460"/>
          </w:cols>
          <w:pgMar w:left="1080" w:top="695" w:right="1099" w:bottom="1440" w:gutter="0" w:footer="0" w:header="0"/>
          <w:type w:val="continuous"/>
        </w:sectPr>
      </w:pPr>
    </w:p>
    <w:p>
      <w:pPr>
        <w:ind w:left="320" w:right="260" w:hanging="316"/>
        <w:spacing w:after="0" w:line="278" w:lineRule="auto"/>
        <w:tabs>
          <w:tab w:leader="none" w:pos="320" w:val="left"/>
        </w:tabs>
        <w:numPr>
          <w:ilvl w:val="0"/>
          <w:numId w:val="51"/>
        </w:numPr>
        <w:rPr>
          <w:rFonts w:ascii="Arial" w:cs="Arial" w:eastAsia="Arial" w:hAnsi="Arial"/>
          <w:sz w:val="11"/>
          <w:szCs w:val="11"/>
          <w:color w:val="auto"/>
        </w:rPr>
      </w:pPr>
      <w:r>
        <w:rPr>
          <w:rFonts w:ascii="Arial" w:cs="Arial" w:eastAsia="Arial" w:hAnsi="Arial"/>
          <w:sz w:val="14"/>
          <w:szCs w:val="14"/>
          <w:color w:val="auto"/>
        </w:rPr>
        <w:t>The Board has determined that all members of the Audit Committee are independent as defned by the applicable Nasdaq Listing Rules and SEC standards. The Board has determined that each of the Audit Committee members satisfes the fnancial literacy requirements under the Nasdaq Listing Rules and that each of Ms. Hooper and Messrs. Philip and Friend qualifes as an “audit committee fnancial expert” as defned by SEC regulations.</w:t>
      </w:r>
    </w:p>
    <w:p>
      <w:pPr>
        <w:spacing w:after="0" w:line="112" w:lineRule="exact"/>
        <w:rPr>
          <w:sz w:val="20"/>
          <w:szCs w:val="20"/>
          <w:color w:val="auto"/>
        </w:rPr>
      </w:pPr>
    </w:p>
    <w:p>
      <w:pPr>
        <w:ind w:right="220"/>
        <w:spacing w:after="0" w:line="255" w:lineRule="auto"/>
        <w:rPr>
          <w:sz w:val="20"/>
          <w:szCs w:val="20"/>
          <w:color w:val="auto"/>
        </w:rPr>
      </w:pPr>
      <w:r>
        <w:rPr>
          <w:rFonts w:ascii="Arial" w:cs="Arial" w:eastAsia="Arial" w:hAnsi="Arial"/>
          <w:sz w:val="16"/>
          <w:szCs w:val="16"/>
          <w:color w:val="auto"/>
        </w:rPr>
        <w:t>The Audit Committee also appoints the Company’s independent registered public accounting frm and pre-approves the services performed by them and their fees. Further details of the role of the Audit Committee, as well as the Audit Committee</w:t>
      </w:r>
    </w:p>
    <w:p>
      <w:pPr>
        <w:spacing w:after="0" w:line="1" w:lineRule="exact"/>
        <w:rPr>
          <w:sz w:val="20"/>
          <w:szCs w:val="20"/>
          <w:color w:val="auto"/>
        </w:rPr>
      </w:pPr>
    </w:p>
    <w:p>
      <w:pPr>
        <w:ind w:right="40"/>
        <w:spacing w:after="0" w:line="313" w:lineRule="auto"/>
        <w:rPr>
          <w:sz w:val="20"/>
          <w:szCs w:val="20"/>
          <w:color w:val="auto"/>
        </w:rPr>
      </w:pPr>
      <w:r>
        <w:rPr>
          <w:rFonts w:ascii="Arial" w:cs="Arial" w:eastAsia="Arial" w:hAnsi="Arial"/>
          <w:sz w:val="16"/>
          <w:szCs w:val="16"/>
          <w:color w:val="auto"/>
        </w:rPr>
        <w:t>Report, may be found in the section entitled “Item 2—Ratifcation of Appointment of Independent Registered Public Accounting Firm” beginning on page 71.</w:t>
      </w:r>
    </w:p>
    <w:p>
      <w:pPr>
        <w:spacing w:after="0" w:line="6" w:lineRule="exact"/>
        <w:rPr>
          <w:sz w:val="20"/>
          <w:szCs w:val="20"/>
          <w:color w:val="auto"/>
        </w:rPr>
      </w:pPr>
    </w:p>
    <w:p>
      <w:pPr>
        <w:ind w:right="260"/>
        <w:spacing w:after="0" w:line="313" w:lineRule="auto"/>
        <w:rPr>
          <w:sz w:val="20"/>
          <w:szCs w:val="20"/>
          <w:color w:val="auto"/>
        </w:rPr>
      </w:pPr>
      <w:r>
        <w:rPr>
          <w:rFonts w:ascii="Arial" w:cs="Arial" w:eastAsia="Arial" w:hAnsi="Arial"/>
          <w:sz w:val="16"/>
          <w:szCs w:val="16"/>
          <w:color w:val="auto"/>
        </w:rPr>
        <w:t>As provided in the Audit Committee’s charter, no member of the Audit Committee may serve on the audit committee of more than three public companies (including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2026  Proxy  Statement</w:t>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1414D2"/>
        </w:rPr>
        <w:t>51</w:t>
      </w:r>
    </w:p>
    <w:p>
      <w:pPr>
        <w:sectPr>
          <w:pgSz w:w="11900" w:h="16838" w:orient="portrait"/>
          <w:cols w:equalWidth="0" w:num="1">
            <w:col w:w="9720"/>
          </w:cols>
          <w:pgMar w:left="1080" w:top="695" w:right="1099" w:bottom="1440" w:gutter="0" w:footer="0" w:header="0"/>
          <w:type w:val="continuous"/>
        </w:sectPr>
      </w:pPr>
    </w:p>
    <w:bookmarkStart w:id="62" w:name="page63"/>
    <w:bookmarkEnd w:id="62"/>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6D6F71"/>
        </w:rPr>
        <w:t>Board  and  Corporate  Governance  Matters</w:t>
      </w:r>
    </w:p>
    <w:p>
      <w:pPr>
        <w:sectPr>
          <w:pgSz w:w="11900" w:h="16838" w:orient="portrait"/>
          <w:cols w:equalWidth="0" w:num="1">
            <w:col w:w="9700"/>
          </w:cols>
          <w:pgMar w:left="1080" w:top="695" w:right="11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100"/>
        <w:spacing w:after="0"/>
        <w:rPr>
          <w:sz w:val="20"/>
          <w:szCs w:val="20"/>
          <w:color w:val="auto"/>
        </w:rPr>
      </w:pPr>
      <w:r>
        <w:rPr>
          <w:rFonts w:ascii="Arial" w:cs="Arial" w:eastAsia="Arial" w:hAnsi="Arial"/>
          <w:sz w:val="16"/>
          <w:szCs w:val="16"/>
          <w:b w:val="1"/>
          <w:bCs w:val="1"/>
          <w:i w:val="1"/>
          <w:iCs w:val="1"/>
          <w:color w:val="1414D2"/>
        </w:rPr>
        <w:t>Chair:</w:t>
      </w:r>
    </w:p>
    <w:p>
      <w:pPr>
        <w:spacing w:after="0" w:line="115" w:lineRule="exact"/>
        <w:rPr>
          <w:sz w:val="20"/>
          <w:szCs w:val="20"/>
          <w:color w:val="auto"/>
        </w:rPr>
      </w:pPr>
    </w:p>
    <w:p>
      <w:pPr>
        <w:ind w:left="100"/>
        <w:spacing w:after="0"/>
        <w:rPr>
          <w:sz w:val="20"/>
          <w:szCs w:val="20"/>
          <w:color w:val="auto"/>
        </w:rPr>
      </w:pPr>
      <w:r>
        <w:rPr>
          <w:rFonts w:ascii="Arial" w:cs="Arial" w:eastAsia="Arial" w:hAnsi="Arial"/>
          <w:sz w:val="15"/>
          <w:szCs w:val="15"/>
          <w:color w:val="auto"/>
        </w:rPr>
        <w:t>James  M.  Whitehurst</w:t>
      </w:r>
    </w:p>
    <w:p>
      <w:pPr>
        <w:spacing w:after="0" w:line="123" w:lineRule="exact"/>
        <w:rPr>
          <w:sz w:val="20"/>
          <w:szCs w:val="20"/>
          <w:color w:val="auto"/>
        </w:rPr>
      </w:pPr>
    </w:p>
    <w:p>
      <w:pPr>
        <w:ind w:left="100" w:right="20"/>
        <w:spacing w:after="0" w:line="348" w:lineRule="auto"/>
        <w:rPr>
          <w:sz w:val="20"/>
          <w:szCs w:val="20"/>
          <w:color w:val="auto"/>
        </w:rPr>
      </w:pPr>
      <w:r>
        <w:rPr>
          <w:rFonts w:ascii="Arial" w:cs="Arial" w:eastAsia="Arial" w:hAnsi="Arial"/>
          <w:sz w:val="15"/>
          <w:szCs w:val="15"/>
          <w:b w:val="1"/>
          <w:bCs w:val="1"/>
          <w:i w:val="1"/>
          <w:iCs w:val="1"/>
          <w:color w:val="1414D2"/>
        </w:rPr>
        <w:t>Additional Committee Members:</w:t>
      </w:r>
    </w:p>
    <w:p>
      <w:pPr>
        <w:spacing w:after="0" w:line="1" w:lineRule="exact"/>
        <w:rPr>
          <w:sz w:val="20"/>
          <w:szCs w:val="20"/>
          <w:color w:val="auto"/>
        </w:rPr>
      </w:pPr>
    </w:p>
    <w:p>
      <w:pPr>
        <w:ind w:left="100" w:right="220"/>
        <w:spacing w:after="0" w:line="392" w:lineRule="auto"/>
        <w:rPr>
          <w:sz w:val="20"/>
          <w:szCs w:val="20"/>
          <w:color w:val="auto"/>
        </w:rPr>
      </w:pPr>
      <w:r>
        <w:rPr>
          <w:rFonts w:ascii="Arial" w:cs="Arial" w:eastAsia="Arial" w:hAnsi="Arial"/>
          <w:sz w:val="16"/>
          <w:szCs w:val="16"/>
          <w:color w:val="auto"/>
        </w:rPr>
        <w:t>Rosalind Brewer Matthew Friend Edward L. Shapiro</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6"/>
          <w:szCs w:val="16"/>
          <w:b w:val="1"/>
          <w:bCs w:val="1"/>
          <w:i w:val="1"/>
          <w:iCs w:val="1"/>
          <w:color w:val="1414D2"/>
        </w:rPr>
        <w:t>FY25 Meetings Held:</w:t>
      </w:r>
    </w:p>
    <w:p>
      <w:pPr>
        <w:spacing w:after="0" w:line="11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6</w:t>
      </w:r>
    </w:p>
    <w:p>
      <w:pPr>
        <w:spacing w:after="0" w:line="111" w:lineRule="exact"/>
        <w:rPr>
          <w:sz w:val="20"/>
          <w:szCs w:val="20"/>
          <w:color w:val="auto"/>
        </w:rPr>
      </w:pPr>
    </w:p>
    <w:p>
      <w:pPr>
        <w:ind w:left="100"/>
        <w:spacing w:after="0"/>
        <w:rPr>
          <w:sz w:val="20"/>
          <w:szCs w:val="20"/>
          <w:color w:val="auto"/>
        </w:rPr>
      </w:pPr>
      <w:r>
        <w:rPr>
          <w:rFonts w:ascii="Arial" w:cs="Arial" w:eastAsia="Arial" w:hAnsi="Arial"/>
          <w:sz w:val="16"/>
          <w:szCs w:val="16"/>
          <w:b w:val="1"/>
          <w:bCs w:val="1"/>
          <w:i w:val="1"/>
          <w:iCs w:val="1"/>
          <w:color w:val="1414D2"/>
        </w:rPr>
        <w:t>Committee Report:</w:t>
      </w:r>
    </w:p>
    <w:p>
      <w:pPr>
        <w:spacing w:after="0" w:line="11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Page  110</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COMMITTEE</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414D2"/>
        </w:rPr>
        <w:t>Primary Responsibilities</w:t>
      </w:r>
    </w:p>
    <w:p>
      <w:pPr>
        <w:spacing w:after="0" w:line="115" w:lineRule="exact"/>
        <w:rPr>
          <w:sz w:val="20"/>
          <w:szCs w:val="20"/>
          <w:color w:val="auto"/>
        </w:rPr>
      </w:pPr>
    </w:p>
    <w:p>
      <w:pPr>
        <w:ind w:left="520" w:right="240" w:hanging="316"/>
        <w:spacing w:after="0" w:line="312" w:lineRule="auto"/>
        <w:tabs>
          <w:tab w:leader="none" w:pos="520" w:val="left"/>
        </w:tabs>
        <w:numPr>
          <w:ilvl w:val="0"/>
          <w:numId w:val="52"/>
        </w:numPr>
        <w:rPr>
          <w:rFonts w:ascii="Times New Roman" w:cs="Times New Roman" w:eastAsia="Times New Roman" w:hAnsi="Times New Roman"/>
          <w:sz w:val="16"/>
          <w:szCs w:val="16"/>
          <w:color w:val="auto"/>
        </w:rPr>
      </w:pPr>
      <w:r>
        <w:rPr>
          <w:rFonts w:ascii="Arial" w:cs="Arial" w:eastAsia="Arial" w:hAnsi="Arial"/>
          <w:sz w:val="16"/>
          <w:szCs w:val="16"/>
          <w:color w:val="auto"/>
        </w:rPr>
        <w:t>Oversee the administration of the Company’s compensation plans, including the equity-based plans and executive compensation programs of the Company;</w:t>
      </w:r>
    </w:p>
    <w:p>
      <w:pPr>
        <w:spacing w:after="0" w:line="20" w:lineRule="exact"/>
        <w:rPr>
          <w:rFonts w:ascii="Times New Roman" w:cs="Times New Roman" w:eastAsia="Times New Roman" w:hAnsi="Times New Roman"/>
          <w:sz w:val="16"/>
          <w:szCs w:val="16"/>
          <w:color w:val="auto"/>
        </w:rPr>
      </w:pPr>
    </w:p>
    <w:p>
      <w:pPr>
        <w:ind w:left="520" w:right="280" w:hanging="316"/>
        <w:spacing w:after="0" w:line="312" w:lineRule="auto"/>
        <w:tabs>
          <w:tab w:leader="none" w:pos="520" w:val="left"/>
        </w:tabs>
        <w:numPr>
          <w:ilvl w:val="0"/>
          <w:numId w:val="52"/>
        </w:numPr>
        <w:rPr>
          <w:rFonts w:ascii="Times New Roman" w:cs="Times New Roman" w:eastAsia="Times New Roman" w:hAnsi="Times New Roman"/>
          <w:sz w:val="16"/>
          <w:szCs w:val="16"/>
          <w:color w:val="auto"/>
        </w:rPr>
      </w:pPr>
      <w:r>
        <w:rPr>
          <w:rFonts w:ascii="Arial" w:cs="Arial" w:eastAsia="Arial" w:hAnsi="Arial"/>
          <w:sz w:val="16"/>
          <w:szCs w:val="16"/>
          <w:color w:val="auto"/>
        </w:rPr>
        <w:t>Discharge the Board’s responsibilities relating to the performance evaluation of the Chief Executive Ofcer and the compensation of the Company’s Section 16 ofcers; and</w:t>
      </w:r>
    </w:p>
    <w:p>
      <w:pPr>
        <w:spacing w:after="0" w:line="20" w:lineRule="exact"/>
        <w:rPr>
          <w:rFonts w:ascii="Times New Roman" w:cs="Times New Roman" w:eastAsia="Times New Roman" w:hAnsi="Times New Roman"/>
          <w:sz w:val="16"/>
          <w:szCs w:val="16"/>
          <w:color w:val="auto"/>
        </w:rPr>
      </w:pPr>
    </w:p>
    <w:p>
      <w:pPr>
        <w:ind w:left="520" w:right="380" w:hanging="316"/>
        <w:spacing w:after="0" w:line="279" w:lineRule="auto"/>
        <w:tabs>
          <w:tab w:leader="none" w:pos="520" w:val="left"/>
        </w:tabs>
        <w:numPr>
          <w:ilvl w:val="0"/>
          <w:numId w:val="52"/>
        </w:numPr>
        <w:rPr>
          <w:rFonts w:ascii="Times New Roman" w:cs="Times New Roman" w:eastAsia="Times New Roman" w:hAnsi="Times New Roman"/>
          <w:sz w:val="16"/>
          <w:szCs w:val="16"/>
          <w:color w:val="auto"/>
        </w:rPr>
      </w:pPr>
      <w:r>
        <w:rPr>
          <w:rFonts w:ascii="Arial" w:cs="Arial" w:eastAsia="Arial" w:hAnsi="Arial"/>
          <w:sz w:val="16"/>
          <w:szCs w:val="16"/>
          <w:color w:val="auto"/>
        </w:rPr>
        <w:t>Prepare the compensation committee report required by the SEC to be included in the Company’s annual proxy statement or Form 10-K, which is set forth in this Proxy Statement under “Compensation Discussion and Analysis.”</w:t>
      </w:r>
    </w:p>
    <w:p>
      <w:pPr>
        <w:spacing w:after="0" w:line="2725" w:lineRule="exact"/>
        <w:rPr>
          <w:sz w:val="20"/>
          <w:szCs w:val="20"/>
          <w:color w:val="auto"/>
        </w:rPr>
      </w:pPr>
    </w:p>
    <w:p>
      <w:pPr>
        <w:sectPr>
          <w:pgSz w:w="11900" w:h="16838" w:orient="portrait"/>
          <w:cols w:equalWidth="0" w:num="2">
            <w:col w:w="1680" w:space="580"/>
            <w:col w:w="7440"/>
          </w:cols>
          <w:pgMar w:left="1080" w:top="695" w:right="1119" w:bottom="1440" w:gutter="0" w:footer="0" w:header="0"/>
          <w:type w:val="continuous"/>
        </w:sectPr>
      </w:pPr>
    </w:p>
    <w:p>
      <w:pPr>
        <w:spacing w:after="0" w:line="48"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The Compensation Committee also is responsible for reviewing and discussing with management the Compensation Discussion and Analysis (the “CD&amp;A”) and, based on such discussions, determining whether to recommend to the Board that the CD&amp;A be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included  in  the  Company’s  annual  proxy  statement  or  Form  10-K,  as  applicable.</w:t>
      </w:r>
    </w:p>
    <w:p>
      <w:pPr>
        <w:spacing w:after="0" w:line="113" w:lineRule="exact"/>
        <w:rPr>
          <w:sz w:val="20"/>
          <w:szCs w:val="20"/>
          <w:color w:val="auto"/>
        </w:rPr>
      </w:pPr>
    </w:p>
    <w:p>
      <w:pPr>
        <w:ind w:right="200"/>
        <w:spacing w:after="0" w:line="252" w:lineRule="auto"/>
        <w:rPr>
          <w:sz w:val="20"/>
          <w:szCs w:val="20"/>
          <w:color w:val="auto"/>
        </w:rPr>
      </w:pPr>
      <w:r>
        <w:rPr>
          <w:rFonts w:ascii="Arial" w:cs="Arial" w:eastAsia="Arial" w:hAnsi="Arial"/>
          <w:sz w:val="16"/>
          <w:szCs w:val="16"/>
          <w:color w:val="auto"/>
        </w:rPr>
        <w:t>The Compensation Committee has the authority, in its sole discretion, to retain or obtain, at the expense of the Company, the advice of a compensation consultant, independent legal counsel or other adviser (each, a “compensation adviser”). The Compensation Committee may select a compensation adviser only after taking into consideration all factors relevant to the</w:t>
      </w:r>
    </w:p>
    <w:p>
      <w:pPr>
        <w:spacing w:after="0" w:line="1" w:lineRule="exact"/>
        <w:rPr>
          <w:sz w:val="20"/>
          <w:szCs w:val="20"/>
          <w:color w:val="auto"/>
        </w:rPr>
      </w:pPr>
    </w:p>
    <w:p>
      <w:pPr>
        <w:ind w:right="60"/>
        <w:spacing w:after="0" w:line="252" w:lineRule="auto"/>
        <w:rPr>
          <w:sz w:val="20"/>
          <w:szCs w:val="20"/>
          <w:color w:val="auto"/>
        </w:rPr>
      </w:pPr>
      <w:r>
        <w:rPr>
          <w:rFonts w:ascii="Arial" w:cs="Arial" w:eastAsia="Arial" w:hAnsi="Arial"/>
          <w:sz w:val="16"/>
          <w:szCs w:val="16"/>
          <w:color w:val="auto"/>
        </w:rPr>
        <w:t>compensation adviser’s independence from management, including the factors specifed under applicable SEC rules and Nasdaq Listing Rules. The Compensation Committee has the authority to approve the appointment, compensation and oversight of the work of any compensation adviser retained by the Compensation Committee. It also has the authority, without</w:t>
      </w:r>
    </w:p>
    <w:p>
      <w:pPr>
        <w:spacing w:after="0" w:line="1" w:lineRule="exact"/>
        <w:rPr>
          <w:sz w:val="20"/>
          <w:szCs w:val="20"/>
          <w:color w:val="auto"/>
        </w:rPr>
      </w:pPr>
    </w:p>
    <w:p>
      <w:pPr>
        <w:ind w:right="400"/>
        <w:spacing w:after="0" w:line="279" w:lineRule="auto"/>
        <w:rPr>
          <w:sz w:val="20"/>
          <w:szCs w:val="20"/>
          <w:color w:val="auto"/>
        </w:rPr>
      </w:pPr>
      <w:r>
        <w:rPr>
          <w:rFonts w:ascii="Arial" w:cs="Arial" w:eastAsia="Arial" w:hAnsi="Arial"/>
          <w:sz w:val="16"/>
          <w:szCs w:val="16"/>
          <w:color w:val="auto"/>
        </w:rPr>
        <w:t>further Board approval, to obtain, at the expense of the Company, advice and assistance from internal and external legal, accounting or other advisers as it deems advisable. The Compensation Committee can also form and delegate authority to subcommittees.</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The  Compensation  Committee  has  delegated  to  the  Chief  Executive  Ofcer  the  authority  to  grant,  modify  and  interpret  the</w:t>
      </w:r>
    </w:p>
    <w:p>
      <w:pPr>
        <w:spacing w:after="0" w:line="19"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terms of stock awards to eligible participants (other than ofcers of the Company subject to Section 16 of the Exchange Act). Additionally, the Chief Executive Ofcer makes recommendations to the Compensation Committee regarding the compensation of the senior management team. His recommendations are based on input from the Executive Vice President, Human Resources and Labor Relations, her staf and the Compensation Committee’s independent compensation consultant. The</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Compensation  Committee  has  the  authority  to  review  and  approve  these  recommendations  as  it  deems  appropriate.</w:t>
      </w:r>
    </w:p>
    <w:p>
      <w:pPr>
        <w:sectPr>
          <w:pgSz w:w="11900" w:h="16838" w:orient="portrait"/>
          <w:cols w:equalWidth="0" w:num="1">
            <w:col w:w="9700"/>
          </w:cols>
          <w:pgMar w:left="1080" w:top="695" w:right="11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right"/>
        <w:ind w:right="7700"/>
        <w:spacing w:after="0"/>
        <w:rPr>
          <w:sz w:val="20"/>
          <w:szCs w:val="20"/>
          <w:color w:val="auto"/>
        </w:rPr>
      </w:pPr>
      <w:r>
        <w:rPr>
          <w:rFonts w:ascii="Arial" w:cs="Arial" w:eastAsia="Arial" w:hAnsi="Arial"/>
          <w:sz w:val="16"/>
          <w:szCs w:val="16"/>
          <w:color w:val="auto"/>
        </w:rPr>
        <w:t>​​2026​  Proxy</w:t>
      </w:r>
    </w:p>
    <w:p>
      <w:pPr>
        <w:spacing w:after="0" w:line="5" w:lineRule="exact"/>
        <w:rPr>
          <w:sz w:val="20"/>
          <w:szCs w:val="20"/>
          <w:color w:val="auto"/>
        </w:rPr>
      </w:pPr>
    </w:p>
    <w:p>
      <w:pPr>
        <w:ind w:left="660" w:hanging="656"/>
        <w:spacing w:after="0"/>
        <w:tabs>
          <w:tab w:leader="none" w:pos="660" w:val="left"/>
        </w:tabs>
        <w:numPr>
          <w:ilvl w:val="0"/>
          <w:numId w:val="53"/>
        </w:numPr>
        <w:rPr>
          <w:rFonts w:ascii="Arial" w:cs="Arial" w:eastAsia="Arial" w:hAnsi="Arial"/>
          <w:sz w:val="16"/>
          <w:szCs w:val="16"/>
          <w:b w:val="1"/>
          <w:bCs w:val="1"/>
          <w:color w:val="1414D2"/>
        </w:rPr>
      </w:pPr>
      <w:r>
        <w:rPr>
          <w:rFonts w:ascii="Arial" w:cs="Arial" w:eastAsia="Arial" w:hAnsi="Arial"/>
          <w:sz w:val="16"/>
          <w:szCs w:val="16"/>
          <w:color w:val="auto"/>
        </w:rPr>
        <w:t>Statement</w:t>
      </w:r>
    </w:p>
    <w:p>
      <w:pPr>
        <w:sectPr>
          <w:pgSz w:w="11900" w:h="16838" w:orient="portrait"/>
          <w:cols w:equalWidth="0" w:num="1">
            <w:col w:w="9700"/>
          </w:cols>
          <w:pgMar w:left="1080" w:top="695" w:right="1119" w:bottom="1440" w:gutter="0" w:footer="0" w:header="0"/>
          <w:type w:val="continuous"/>
        </w:sectPr>
      </w:pPr>
    </w:p>
    <w:bookmarkStart w:id="63" w:name="page64"/>
    <w:bookmarkEnd w:id="63"/>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27" w:lineRule="exact"/>
        <w:rPr>
          <w:sz w:val="20"/>
          <w:szCs w:val="20"/>
          <w:color w:val="auto"/>
        </w:rPr>
      </w:pPr>
    </w:p>
    <w:p>
      <w:pPr>
        <w:ind w:left="6900"/>
        <w:spacing w:after="0"/>
        <w:rPr>
          <w:sz w:val="20"/>
          <w:szCs w:val="20"/>
          <w:color w:val="auto"/>
        </w:rPr>
      </w:pPr>
      <w:r>
        <w:rPr>
          <w:rFonts w:ascii="Arial" w:cs="Arial" w:eastAsia="Arial" w:hAnsi="Arial"/>
          <w:sz w:val="14"/>
          <w:szCs w:val="14"/>
          <w:color w:val="6D6F71"/>
        </w:rPr>
        <w:t>Board  and  Corporate  Governance  Matters</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414D2"/>
        </w:rPr>
        <w:t>Compensation Committee Interlocks and Insider Participation</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color w:val="auto"/>
        </w:rPr>
        <w:t>During  2025  and  as  of  the  date  of  the  Proxy  Statement,  none  of  the  members  of  the  Compensation  Committee  was  or  is  an</w:t>
      </w:r>
    </w:p>
    <w:p>
      <w:pPr>
        <w:spacing w:after="0" w:line="19" w:lineRule="exact"/>
        <w:rPr>
          <w:sz w:val="20"/>
          <w:szCs w:val="20"/>
          <w:color w:val="auto"/>
        </w:rPr>
      </w:pPr>
    </w:p>
    <w:p>
      <w:pPr>
        <w:ind w:right="40"/>
        <w:spacing w:after="0" w:line="268" w:lineRule="auto"/>
        <w:rPr>
          <w:sz w:val="20"/>
          <w:szCs w:val="20"/>
          <w:color w:val="auto"/>
        </w:rPr>
      </w:pPr>
      <w:r>
        <w:rPr>
          <w:rFonts w:ascii="Arial" w:cs="Arial" w:eastAsia="Arial" w:hAnsi="Arial"/>
          <w:sz w:val="16"/>
          <w:szCs w:val="16"/>
          <w:color w:val="auto"/>
        </w:rPr>
        <w:t>ofcer or employee of the Company or its subsidiaries and no executive ofcer of the Company served or serves on the compensation committee (or its equivalent) or board of any company that employed or employs any member of the Company’s Compensation Committee or the Board. In addition, no member of the Compensation Committee had any relationship requiring disclosure under Item 404 of Regulation S-K promulgated by the SEC.</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414D2"/>
        </w:rPr>
        <w:t>Role of Compensation Consultant in Determining Executive Compensation</w:t>
      </w:r>
    </w:p>
    <w:p>
      <w:pPr>
        <w:spacing w:after="0" w:line="115"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The Compensation Committee has retained Exequity LLP (“Exequity”) as its independent compensation consultant. A representative of Exequity regularly attends Compensation Committee meetings, participates in discussions regarding executive compensation issues, and, in connection with setting incentive compensation targets, makes executive compensation</w:t>
      </w:r>
    </w:p>
    <w:p>
      <w:pPr>
        <w:spacing w:after="0" w:line="1" w:lineRule="exact"/>
        <w:rPr>
          <w:sz w:val="20"/>
          <w:szCs w:val="20"/>
          <w:color w:val="auto"/>
        </w:rPr>
      </w:pPr>
    </w:p>
    <w:p>
      <w:pPr>
        <w:ind w:right="220"/>
        <w:spacing w:after="0" w:line="252" w:lineRule="auto"/>
        <w:rPr>
          <w:sz w:val="20"/>
          <w:szCs w:val="20"/>
          <w:color w:val="auto"/>
        </w:rPr>
      </w:pPr>
      <w:r>
        <w:rPr>
          <w:rFonts w:ascii="Arial" w:cs="Arial" w:eastAsia="Arial" w:hAnsi="Arial"/>
          <w:sz w:val="16"/>
          <w:szCs w:val="16"/>
          <w:color w:val="auto"/>
        </w:rPr>
        <w:t>recommendations to the Compensation Committee based on available marketplace compensation data for U.S. peer airlines and certain non-airline companies with comparable revenue and other characteristics. Exequity reports exclusively to the Compensation Committee and does not provide any additional services to the Company other than advising the Nominating/</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Governance  Committee  with  respect  to  director  compensation.</w:t>
      </w:r>
    </w:p>
    <w:p>
      <w:pPr>
        <w:spacing w:after="0" w:line="113" w:lineRule="exact"/>
        <w:rPr>
          <w:sz w:val="20"/>
          <w:szCs w:val="20"/>
          <w:color w:val="auto"/>
        </w:rPr>
      </w:pPr>
    </w:p>
    <w:p>
      <w:pPr>
        <w:ind w:right="220"/>
        <w:spacing w:after="0" w:line="252" w:lineRule="auto"/>
        <w:rPr>
          <w:sz w:val="20"/>
          <w:szCs w:val="20"/>
          <w:color w:val="auto"/>
        </w:rPr>
      </w:pPr>
      <w:r>
        <w:rPr>
          <w:rFonts w:ascii="Arial" w:cs="Arial" w:eastAsia="Arial" w:hAnsi="Arial"/>
          <w:sz w:val="16"/>
          <w:szCs w:val="16"/>
          <w:color w:val="auto"/>
        </w:rPr>
        <w:t>The Compensation Committee maintains a confict of interest policy governing the relationship with its compensation consultant in order to ensure objectivity and minimize the potential for conficts of interest in the delivery of executive compensation advice. The policy establishes management’s obligation to report periodically to the Compensation Committee</w:t>
      </w:r>
    </w:p>
    <w:p>
      <w:pPr>
        <w:spacing w:after="0" w:line="1"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the scope and amount of work being performed by the consultant or its afliates for the Company. The policy also specifes that the consultant reports directly to the Compensation Committee and has direct access to the Compensation Committee through its Chair (or in the case of services being provided to the Board, through the Chairman of the Board or, as applicable, the Lead Independent Director). The policy prohibits the consultant from soliciting business from the Company other than work on</w:t>
      </w:r>
    </w:p>
    <w:p>
      <w:pPr>
        <w:spacing w:after="0" w:line="3"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behalf of the Compensation Committee or the Board and requires the consultant to develop policies and procedures to prevent any employee of the consultant who advises the Compensation Committee or the Board from discussing such services with other employees of the consultant who currently provide other services to the Company or who were providing other services during the prior year. The Compensation Committee has assessed the independence of Exequity pursuant to applicable SEC</w:t>
      </w:r>
    </w:p>
    <w:p>
      <w:pPr>
        <w:spacing w:after="0" w:line="3" w:lineRule="exact"/>
        <w:rPr>
          <w:sz w:val="20"/>
          <w:szCs w:val="20"/>
          <w:color w:val="auto"/>
        </w:rPr>
      </w:pPr>
    </w:p>
    <w:p>
      <w:pPr>
        <w:ind w:right="40"/>
        <w:spacing w:after="0" w:line="313" w:lineRule="auto"/>
        <w:rPr>
          <w:sz w:val="20"/>
          <w:szCs w:val="20"/>
          <w:color w:val="auto"/>
        </w:rPr>
      </w:pPr>
      <w:r>
        <w:rPr>
          <w:rFonts w:ascii="Arial" w:cs="Arial" w:eastAsia="Arial" w:hAnsi="Arial"/>
          <w:sz w:val="16"/>
          <w:szCs w:val="16"/>
          <w:color w:val="auto"/>
        </w:rPr>
        <w:t>rules and Nasdaq Listing Rules and concluded that Exequity’s work for the Compensation Committee does not raise any confict of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2026  Proxy  Statement</w:t>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1414D2"/>
        </w:rPr>
        <w:t>53</w:t>
      </w:r>
    </w:p>
    <w:p>
      <w:pPr>
        <w:sectPr>
          <w:pgSz w:w="11900" w:h="16838" w:orient="portrait"/>
          <w:cols w:equalWidth="0" w:num="1">
            <w:col w:w="9720"/>
          </w:cols>
          <w:pgMar w:left="1080" w:top="695" w:right="1099" w:bottom="1440" w:gutter="0" w:footer="0" w:header="0"/>
        </w:sectPr>
      </w:pPr>
    </w:p>
    <w:bookmarkStart w:id="64" w:name="page65"/>
    <w:bookmarkEnd w:id="64"/>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6D6F71"/>
        </w:rPr>
        <w:t>Board  and  Corporate  Governance  Matters</w:t>
      </w:r>
    </w:p>
    <w:p>
      <w:pPr>
        <w:sectPr>
          <w:pgSz w:w="11900" w:h="16838" w:orient="portrait"/>
          <w:cols w:equalWidth="0" w:num="1">
            <w:col w:w="9620"/>
          </w:cols>
          <w:pgMar w:left="1080" w:top="695" w:right="1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00"/>
        <w:spacing w:after="0"/>
        <w:rPr>
          <w:sz w:val="20"/>
          <w:szCs w:val="20"/>
          <w:color w:val="auto"/>
        </w:rPr>
      </w:pPr>
      <w:r>
        <w:rPr>
          <w:rFonts w:ascii="Arial" w:cs="Arial" w:eastAsia="Arial" w:hAnsi="Arial"/>
          <w:sz w:val="16"/>
          <w:szCs w:val="16"/>
          <w:b w:val="1"/>
          <w:bCs w:val="1"/>
          <w:i w:val="1"/>
          <w:iCs w:val="1"/>
          <w:color w:val="1414D2"/>
        </w:rPr>
        <w:t>Chair:</w:t>
      </w:r>
    </w:p>
    <w:p>
      <w:pPr>
        <w:spacing w:after="0" w:line="11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Edward  M.  Philip</w:t>
      </w:r>
    </w:p>
    <w:p>
      <w:pPr>
        <w:spacing w:after="0" w:line="125" w:lineRule="exact"/>
        <w:rPr>
          <w:sz w:val="20"/>
          <w:szCs w:val="20"/>
          <w:color w:val="auto"/>
        </w:rPr>
      </w:pPr>
    </w:p>
    <w:p>
      <w:pPr>
        <w:ind w:left="100" w:right="20"/>
        <w:spacing w:after="0" w:line="339" w:lineRule="auto"/>
        <w:rPr>
          <w:sz w:val="20"/>
          <w:szCs w:val="20"/>
          <w:color w:val="auto"/>
        </w:rPr>
      </w:pPr>
      <w:r>
        <w:rPr>
          <w:rFonts w:ascii="Arial" w:cs="Arial" w:eastAsia="Arial" w:hAnsi="Arial"/>
          <w:sz w:val="15"/>
          <w:szCs w:val="15"/>
          <w:b w:val="1"/>
          <w:bCs w:val="1"/>
          <w:i w:val="1"/>
          <w:iCs w:val="1"/>
          <w:color w:val="1414D2"/>
        </w:rPr>
        <w:t>Additional Committee Members:</w:t>
      </w:r>
    </w:p>
    <w:p>
      <w:pPr>
        <w:spacing w:after="0" w:line="1" w:lineRule="exact"/>
        <w:rPr>
          <w:sz w:val="20"/>
          <w:szCs w:val="20"/>
          <w:color w:val="auto"/>
        </w:rPr>
      </w:pPr>
    </w:p>
    <w:p>
      <w:pPr>
        <w:ind w:left="100"/>
        <w:spacing w:after="0" w:line="390" w:lineRule="auto"/>
        <w:rPr>
          <w:sz w:val="20"/>
          <w:szCs w:val="20"/>
          <w:color w:val="auto"/>
        </w:rPr>
      </w:pPr>
      <w:r>
        <w:rPr>
          <w:rFonts w:ascii="Arial" w:cs="Arial" w:eastAsia="Arial" w:hAnsi="Arial"/>
          <w:sz w:val="16"/>
          <w:szCs w:val="16"/>
          <w:color w:val="auto"/>
        </w:rPr>
        <w:t>Michele J. Hooper Walter Isaacson Scott Kirby Edward L. Shapiro James M. Whitehurst</w:t>
      </w:r>
    </w:p>
    <w:p>
      <w:pPr>
        <w:spacing w:after="0" w:line="2" w:lineRule="exact"/>
        <w:rPr>
          <w:sz w:val="20"/>
          <w:szCs w:val="20"/>
          <w:color w:val="auto"/>
        </w:rPr>
      </w:pPr>
    </w:p>
    <w:p>
      <w:pPr>
        <w:ind w:left="100"/>
        <w:spacing w:after="0"/>
        <w:rPr>
          <w:sz w:val="20"/>
          <w:szCs w:val="20"/>
          <w:color w:val="auto"/>
        </w:rPr>
      </w:pPr>
      <w:r>
        <w:rPr>
          <w:rFonts w:ascii="Arial" w:cs="Arial" w:eastAsia="Arial" w:hAnsi="Arial"/>
          <w:sz w:val="16"/>
          <w:szCs w:val="16"/>
          <w:b w:val="1"/>
          <w:bCs w:val="1"/>
          <w:i w:val="1"/>
          <w:iCs w:val="1"/>
          <w:color w:val="1414D2"/>
        </w:rPr>
        <w:t>FY25 Meetings Held:</w:t>
      </w:r>
    </w:p>
    <w:p>
      <w:pPr>
        <w:spacing w:after="0" w:line="12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COMMITTEE</w:t>
      </w:r>
      <w:r>
        <w:rPr>
          <w:rFonts w:ascii="Arial" w:cs="Arial" w:eastAsia="Arial" w:hAnsi="Arial"/>
          <w:sz w:val="24"/>
          <w:szCs w:val="24"/>
          <w:b w:val="1"/>
          <w:bCs w:val="1"/>
          <w:color w:val="auto"/>
          <w:vertAlign w:val="superscript"/>
        </w:rPr>
        <w:t>(1)</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414D2"/>
        </w:rPr>
        <w:t>Primary Responsibilities</w:t>
      </w:r>
    </w:p>
    <w:p>
      <w:pPr>
        <w:spacing w:after="0" w:line="115" w:lineRule="exact"/>
        <w:rPr>
          <w:sz w:val="20"/>
          <w:szCs w:val="20"/>
          <w:color w:val="auto"/>
        </w:rPr>
      </w:pPr>
    </w:p>
    <w:p>
      <w:pPr>
        <w:ind w:left="520" w:right="160" w:hanging="316"/>
        <w:spacing w:after="0" w:line="274" w:lineRule="auto"/>
        <w:tabs>
          <w:tab w:leader="none" w:pos="520" w:val="left"/>
        </w:tabs>
        <w:numPr>
          <w:ilvl w:val="0"/>
          <w:numId w:val="54"/>
        </w:numPr>
        <w:rPr>
          <w:rFonts w:ascii="Times New Roman" w:cs="Times New Roman" w:eastAsia="Times New Roman" w:hAnsi="Times New Roman"/>
          <w:sz w:val="16"/>
          <w:szCs w:val="16"/>
          <w:color w:val="auto"/>
        </w:rPr>
      </w:pPr>
      <w:r>
        <w:rPr>
          <w:rFonts w:ascii="Arial" w:cs="Arial" w:eastAsia="Arial" w:hAnsi="Arial"/>
          <w:sz w:val="16"/>
          <w:szCs w:val="16"/>
          <w:color w:val="auto"/>
        </w:rPr>
        <w:t>Act on such matters as are specifcally assigned to it from time to time by the Board and exercise all of the powers that are held by the Board with respect to management of the business and afairs of the Company to the extent permitted by law with certain exceptions enumerated its charter;</w:t>
      </w:r>
    </w:p>
    <w:p>
      <w:pPr>
        <w:spacing w:after="0" w:line="36" w:lineRule="exact"/>
        <w:rPr>
          <w:rFonts w:ascii="Times New Roman" w:cs="Times New Roman" w:eastAsia="Times New Roman" w:hAnsi="Times New Roman"/>
          <w:sz w:val="16"/>
          <w:szCs w:val="16"/>
          <w:color w:val="auto"/>
        </w:rPr>
      </w:pPr>
    </w:p>
    <w:p>
      <w:pPr>
        <w:ind w:left="520" w:right="640" w:hanging="316"/>
        <w:spacing w:after="0" w:line="325" w:lineRule="auto"/>
        <w:tabs>
          <w:tab w:leader="none" w:pos="520" w:val="left"/>
        </w:tabs>
        <w:numPr>
          <w:ilvl w:val="0"/>
          <w:numId w:val="54"/>
        </w:numPr>
        <w:rPr>
          <w:rFonts w:ascii="Times New Roman" w:cs="Times New Roman" w:eastAsia="Times New Roman" w:hAnsi="Times New Roman"/>
          <w:sz w:val="16"/>
          <w:szCs w:val="16"/>
          <w:color w:val="auto"/>
        </w:rPr>
      </w:pPr>
      <w:r>
        <w:rPr>
          <w:rFonts w:ascii="Arial" w:cs="Arial" w:eastAsia="Arial" w:hAnsi="Arial"/>
          <w:sz w:val="16"/>
          <w:szCs w:val="16"/>
          <w:color w:val="auto"/>
        </w:rPr>
        <w:t>Monitor trends, strategies, operational and fnancial matters and other items that materially afect, or could materially afect, the Company’s business; and</w:t>
      </w:r>
    </w:p>
    <w:p>
      <w:pPr>
        <w:ind w:left="520" w:right="520" w:hanging="316"/>
        <w:spacing w:after="0" w:line="330" w:lineRule="auto"/>
        <w:tabs>
          <w:tab w:leader="none" w:pos="520" w:val="left"/>
        </w:tabs>
        <w:numPr>
          <w:ilvl w:val="0"/>
          <w:numId w:val="54"/>
        </w:numPr>
        <w:rPr>
          <w:rFonts w:ascii="Times New Roman" w:cs="Times New Roman" w:eastAsia="Times New Roman" w:hAnsi="Times New Roman"/>
          <w:sz w:val="16"/>
          <w:szCs w:val="16"/>
          <w:color w:val="auto"/>
        </w:rPr>
      </w:pPr>
      <w:r>
        <w:rPr>
          <w:rFonts w:ascii="Arial" w:cs="Arial" w:eastAsia="Arial" w:hAnsi="Arial"/>
          <w:sz w:val="16"/>
          <w:szCs w:val="16"/>
          <w:color w:val="auto"/>
        </w:rPr>
        <w:t>Oversee the Company’s signifcant human resources and labor relations strategies, including, but not limited to, culture and talent management matters.</w:t>
      </w:r>
    </w:p>
    <w:p>
      <w:pPr>
        <w:spacing w:after="0" w:line="2496" w:lineRule="exact"/>
        <w:rPr>
          <w:sz w:val="20"/>
          <w:szCs w:val="20"/>
          <w:color w:val="auto"/>
        </w:rPr>
      </w:pPr>
    </w:p>
    <w:p>
      <w:pPr>
        <w:sectPr>
          <w:pgSz w:w="11900" w:h="16838" w:orient="portrait"/>
          <w:cols w:equalWidth="0" w:num="2">
            <w:col w:w="1680" w:space="580"/>
            <w:col w:w="7360"/>
          </w:cols>
          <w:pgMar w:left="1080" w:top="695" w:right="1199" w:bottom="1440" w:gutter="0" w:footer="0" w:header="0"/>
          <w:type w:val="continuous"/>
        </w:sectPr>
      </w:pPr>
    </w:p>
    <w:p>
      <w:pPr>
        <w:spacing w:after="0" w:line="54" w:lineRule="exact"/>
        <w:rPr>
          <w:sz w:val="20"/>
          <w:szCs w:val="20"/>
          <w:color w:val="auto"/>
        </w:rPr>
      </w:pPr>
    </w:p>
    <w:p>
      <w:pPr>
        <w:ind w:left="320" w:hanging="316"/>
        <w:spacing w:after="0" w:line="214" w:lineRule="auto"/>
        <w:tabs>
          <w:tab w:leader="none" w:pos="320" w:val="left"/>
        </w:tabs>
        <w:numPr>
          <w:ilvl w:val="0"/>
          <w:numId w:val="55"/>
        </w:numPr>
        <w:rPr>
          <w:rFonts w:ascii="Arial" w:cs="Arial" w:eastAsia="Arial" w:hAnsi="Arial"/>
          <w:sz w:val="22"/>
          <w:szCs w:val="22"/>
          <w:color w:val="auto"/>
          <w:vertAlign w:val="superscript"/>
        </w:rPr>
      </w:pPr>
      <w:r>
        <w:rPr>
          <w:rFonts w:ascii="Arial" w:cs="Arial" w:eastAsia="Arial" w:hAnsi="Arial"/>
          <w:sz w:val="14"/>
          <w:szCs w:val="14"/>
          <w:color w:val="auto"/>
        </w:rPr>
        <w:t>Consists of the Chairman of the Board, the Chairpersons of our fve other standing Committees, each of whom is an independent director, and our Chief Executive Ofcer.</w:t>
      </w:r>
    </w:p>
    <w:p>
      <w:pPr>
        <w:sectPr>
          <w:pgSz w:w="11900" w:h="16838" w:orient="portrait"/>
          <w:cols w:equalWidth="0" w:num="1">
            <w:col w:w="9620"/>
          </w:cols>
          <w:pgMar w:left="1080" w:top="695" w:right="11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00"/>
        <w:spacing w:after="0"/>
        <w:rPr>
          <w:sz w:val="20"/>
          <w:szCs w:val="20"/>
          <w:color w:val="auto"/>
        </w:rPr>
      </w:pPr>
      <w:r>
        <w:rPr>
          <w:rFonts w:ascii="Arial" w:cs="Arial" w:eastAsia="Arial" w:hAnsi="Arial"/>
          <w:sz w:val="16"/>
          <w:szCs w:val="16"/>
          <w:b w:val="1"/>
          <w:bCs w:val="1"/>
          <w:i w:val="1"/>
          <w:iCs w:val="1"/>
          <w:color w:val="1414D2"/>
        </w:rPr>
        <w:t>Chair:</w:t>
      </w:r>
    </w:p>
    <w:p>
      <w:pPr>
        <w:spacing w:after="0" w:line="11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Edward  L.  Shapiro</w:t>
      </w:r>
    </w:p>
    <w:p>
      <w:pPr>
        <w:spacing w:after="0" w:line="111" w:lineRule="exact"/>
        <w:rPr>
          <w:sz w:val="20"/>
          <w:szCs w:val="20"/>
          <w:color w:val="auto"/>
        </w:rPr>
      </w:pPr>
    </w:p>
    <w:p>
      <w:pPr>
        <w:ind w:left="100" w:right="340"/>
        <w:spacing w:after="0" w:line="348" w:lineRule="auto"/>
        <w:rPr>
          <w:sz w:val="20"/>
          <w:szCs w:val="20"/>
          <w:color w:val="auto"/>
        </w:rPr>
      </w:pPr>
      <w:r>
        <w:rPr>
          <w:rFonts w:ascii="Arial" w:cs="Arial" w:eastAsia="Arial" w:hAnsi="Arial"/>
          <w:sz w:val="15"/>
          <w:szCs w:val="15"/>
          <w:b w:val="1"/>
          <w:bCs w:val="1"/>
          <w:i w:val="1"/>
          <w:iCs w:val="1"/>
          <w:color w:val="1414D2"/>
        </w:rPr>
        <w:t>Additional Committee Members:</w:t>
      </w:r>
    </w:p>
    <w:p>
      <w:pPr>
        <w:spacing w:after="0" w:line="1" w:lineRule="exact"/>
        <w:rPr>
          <w:sz w:val="20"/>
          <w:szCs w:val="20"/>
          <w:color w:val="auto"/>
        </w:rPr>
      </w:pPr>
    </w:p>
    <w:p>
      <w:pPr>
        <w:ind w:left="100" w:right="660"/>
        <w:spacing w:after="0" w:line="390" w:lineRule="auto"/>
        <w:rPr>
          <w:sz w:val="20"/>
          <w:szCs w:val="20"/>
          <w:color w:val="auto"/>
        </w:rPr>
      </w:pPr>
      <w:r>
        <w:rPr>
          <w:rFonts w:ascii="Arial" w:cs="Arial" w:eastAsia="Arial" w:hAnsi="Arial"/>
          <w:sz w:val="16"/>
          <w:szCs w:val="16"/>
          <w:color w:val="auto"/>
        </w:rPr>
        <w:t>Rosalind Brewer Michelle Freyre Matthew Friend Barney Harford Scott Kirby</w:t>
      </w:r>
    </w:p>
    <w:p>
      <w:pPr>
        <w:spacing w:after="0" w:line="2" w:lineRule="exact"/>
        <w:rPr>
          <w:sz w:val="20"/>
          <w:szCs w:val="20"/>
          <w:color w:val="auto"/>
        </w:rPr>
      </w:pPr>
    </w:p>
    <w:p>
      <w:pPr>
        <w:ind w:left="100"/>
        <w:spacing w:after="0"/>
        <w:rPr>
          <w:sz w:val="20"/>
          <w:szCs w:val="20"/>
          <w:color w:val="auto"/>
        </w:rPr>
      </w:pPr>
      <w:r>
        <w:rPr>
          <w:rFonts w:ascii="Arial" w:cs="Arial" w:eastAsia="Arial" w:hAnsi="Arial"/>
          <w:sz w:val="16"/>
          <w:szCs w:val="16"/>
          <w:b w:val="1"/>
          <w:bCs w:val="1"/>
          <w:i w:val="1"/>
          <w:iCs w:val="1"/>
          <w:color w:val="1414D2"/>
        </w:rPr>
        <w:t>FY25 Meetings Held:</w:t>
      </w:r>
    </w:p>
    <w:p>
      <w:pPr>
        <w:spacing w:after="0" w:line="12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​​2026​  Proxy</w:t>
      </w:r>
    </w:p>
    <w:p>
      <w:pPr>
        <w:spacing w:after="0" w:line="5" w:lineRule="exact"/>
        <w:rPr>
          <w:sz w:val="20"/>
          <w:szCs w:val="20"/>
          <w:color w:val="auto"/>
        </w:rPr>
      </w:pPr>
    </w:p>
    <w:p>
      <w:pPr>
        <w:ind w:left="660" w:hanging="656"/>
        <w:spacing w:after="0"/>
        <w:tabs>
          <w:tab w:leader="none" w:pos="660" w:val="left"/>
        </w:tabs>
        <w:numPr>
          <w:ilvl w:val="0"/>
          <w:numId w:val="56"/>
        </w:numPr>
        <w:rPr>
          <w:rFonts w:ascii="Arial" w:cs="Arial" w:eastAsia="Arial" w:hAnsi="Arial"/>
          <w:sz w:val="16"/>
          <w:szCs w:val="16"/>
          <w:b w:val="1"/>
          <w:bCs w:val="1"/>
          <w:color w:val="1414D2"/>
        </w:rPr>
      </w:pPr>
      <w:r>
        <w:rPr>
          <w:rFonts w:ascii="Arial" w:cs="Arial" w:eastAsia="Arial" w:hAnsi="Arial"/>
          <w:sz w:val="16"/>
          <w:szCs w:val="16"/>
          <w:color w:val="auto"/>
        </w:rPr>
        <w:t>Statement</w:t>
      </w:r>
    </w:p>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FINANCE COMMITTEE</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414D2"/>
        </w:rPr>
        <w:t>Primary Responsibilities</w:t>
      </w:r>
    </w:p>
    <w:p>
      <w:pPr>
        <w:spacing w:after="0" w:line="115" w:lineRule="exact"/>
        <w:rPr>
          <w:sz w:val="20"/>
          <w:szCs w:val="20"/>
          <w:color w:val="auto"/>
        </w:rPr>
      </w:pPr>
    </w:p>
    <w:p>
      <w:pPr>
        <w:ind w:left="520" w:hanging="316"/>
        <w:spacing w:after="0"/>
        <w:tabs>
          <w:tab w:leader="none" w:pos="520" w:val="left"/>
        </w:tabs>
        <w:numPr>
          <w:ilvl w:val="0"/>
          <w:numId w:val="57"/>
        </w:numPr>
        <w:rPr>
          <w:rFonts w:ascii="Times New Roman" w:cs="Times New Roman" w:eastAsia="Times New Roman" w:hAnsi="Times New Roman"/>
          <w:sz w:val="16"/>
          <w:szCs w:val="16"/>
          <w:color w:val="auto"/>
        </w:rPr>
      </w:pPr>
      <w:r>
        <w:rPr>
          <w:rFonts w:ascii="Arial" w:cs="Arial" w:eastAsia="Arial" w:hAnsi="Arial"/>
          <w:sz w:val="16"/>
          <w:szCs w:val="16"/>
          <w:color w:val="auto"/>
        </w:rPr>
        <w:t>Review  fnancial  plans  and  cash  management  policies  and  activities;</w:t>
      </w:r>
    </w:p>
    <w:p>
      <w:pPr>
        <w:spacing w:after="0" w:line="112" w:lineRule="exact"/>
        <w:rPr>
          <w:rFonts w:ascii="Times New Roman" w:cs="Times New Roman" w:eastAsia="Times New Roman" w:hAnsi="Times New Roman"/>
          <w:sz w:val="16"/>
          <w:szCs w:val="16"/>
          <w:color w:val="auto"/>
        </w:rPr>
      </w:pPr>
    </w:p>
    <w:p>
      <w:pPr>
        <w:ind w:left="520" w:right="760" w:hanging="316"/>
        <w:spacing w:after="0" w:line="312" w:lineRule="auto"/>
        <w:tabs>
          <w:tab w:leader="none" w:pos="520" w:val="left"/>
        </w:tabs>
        <w:numPr>
          <w:ilvl w:val="0"/>
          <w:numId w:val="57"/>
        </w:numPr>
        <w:rPr>
          <w:rFonts w:ascii="Times New Roman" w:cs="Times New Roman" w:eastAsia="Times New Roman" w:hAnsi="Times New Roman"/>
          <w:sz w:val="16"/>
          <w:szCs w:val="16"/>
          <w:color w:val="auto"/>
        </w:rPr>
      </w:pPr>
      <w:r>
        <w:rPr>
          <w:rFonts w:ascii="Arial" w:cs="Arial" w:eastAsia="Arial" w:hAnsi="Arial"/>
          <w:sz w:val="16"/>
          <w:szCs w:val="16"/>
          <w:color w:val="auto"/>
        </w:rPr>
        <w:t>Evaluate and advise the Board on any proposed merger or consolidation, or any signifcant acquisition or disposition of assets;</w:t>
      </w:r>
    </w:p>
    <w:p>
      <w:pPr>
        <w:spacing w:after="0" w:line="20" w:lineRule="exact"/>
        <w:rPr>
          <w:rFonts w:ascii="Times New Roman" w:cs="Times New Roman" w:eastAsia="Times New Roman" w:hAnsi="Times New Roman"/>
          <w:sz w:val="16"/>
          <w:szCs w:val="16"/>
          <w:color w:val="auto"/>
        </w:rPr>
      </w:pPr>
    </w:p>
    <w:p>
      <w:pPr>
        <w:ind w:left="520" w:right="500" w:hanging="316"/>
        <w:spacing w:after="0" w:line="312" w:lineRule="auto"/>
        <w:tabs>
          <w:tab w:leader="none" w:pos="520" w:val="left"/>
        </w:tabs>
        <w:numPr>
          <w:ilvl w:val="0"/>
          <w:numId w:val="57"/>
        </w:numPr>
        <w:rPr>
          <w:rFonts w:ascii="Times New Roman" w:cs="Times New Roman" w:eastAsia="Times New Roman" w:hAnsi="Times New Roman"/>
          <w:sz w:val="16"/>
          <w:szCs w:val="16"/>
          <w:color w:val="auto"/>
        </w:rPr>
      </w:pPr>
      <w:r>
        <w:rPr>
          <w:rFonts w:ascii="Arial" w:cs="Arial" w:eastAsia="Arial" w:hAnsi="Arial"/>
          <w:sz w:val="16"/>
          <w:szCs w:val="16"/>
          <w:color w:val="auto"/>
        </w:rPr>
        <w:t>Evaluate and advise the Board on business opportunities, capital commitments and fnancing transactions;</w:t>
      </w:r>
    </w:p>
    <w:p>
      <w:pPr>
        <w:spacing w:after="0" w:line="20" w:lineRule="exact"/>
        <w:rPr>
          <w:rFonts w:ascii="Times New Roman" w:cs="Times New Roman" w:eastAsia="Times New Roman" w:hAnsi="Times New Roman"/>
          <w:sz w:val="16"/>
          <w:szCs w:val="16"/>
          <w:color w:val="auto"/>
        </w:rPr>
      </w:pPr>
    </w:p>
    <w:p>
      <w:pPr>
        <w:ind w:left="520" w:right="320" w:hanging="316"/>
        <w:spacing w:after="0" w:line="312" w:lineRule="auto"/>
        <w:tabs>
          <w:tab w:leader="none" w:pos="520" w:val="left"/>
        </w:tabs>
        <w:numPr>
          <w:ilvl w:val="0"/>
          <w:numId w:val="57"/>
        </w:numPr>
        <w:rPr>
          <w:rFonts w:ascii="Times New Roman" w:cs="Times New Roman" w:eastAsia="Times New Roman" w:hAnsi="Times New Roman"/>
          <w:sz w:val="16"/>
          <w:szCs w:val="16"/>
          <w:color w:val="auto"/>
        </w:rPr>
      </w:pPr>
      <w:r>
        <w:rPr>
          <w:rFonts w:ascii="Arial" w:cs="Arial" w:eastAsia="Arial" w:hAnsi="Arial"/>
          <w:sz w:val="16"/>
          <w:szCs w:val="16"/>
          <w:color w:val="auto"/>
        </w:rPr>
        <w:t>Evaluate the Company’s capital structure and recommend certain proposed issuances of securities; and</w:t>
      </w:r>
    </w:p>
    <w:p>
      <w:pPr>
        <w:spacing w:after="0" w:line="20" w:lineRule="exact"/>
        <w:rPr>
          <w:rFonts w:ascii="Times New Roman" w:cs="Times New Roman" w:eastAsia="Times New Roman" w:hAnsi="Times New Roman"/>
          <w:sz w:val="16"/>
          <w:szCs w:val="16"/>
          <w:color w:val="auto"/>
        </w:rPr>
      </w:pPr>
    </w:p>
    <w:p>
      <w:pPr>
        <w:ind w:left="520" w:hanging="316"/>
        <w:spacing w:after="0"/>
        <w:tabs>
          <w:tab w:leader="none" w:pos="520" w:val="left"/>
        </w:tabs>
        <w:numPr>
          <w:ilvl w:val="0"/>
          <w:numId w:val="57"/>
        </w:numPr>
        <w:rPr>
          <w:rFonts w:ascii="Times New Roman" w:cs="Times New Roman" w:eastAsia="Times New Roman" w:hAnsi="Times New Roman"/>
          <w:sz w:val="16"/>
          <w:szCs w:val="16"/>
          <w:color w:val="auto"/>
        </w:rPr>
      </w:pPr>
      <w:r>
        <w:rPr>
          <w:rFonts w:ascii="Arial" w:cs="Arial" w:eastAsia="Arial" w:hAnsi="Arial"/>
          <w:sz w:val="16"/>
          <w:szCs w:val="16"/>
          <w:color w:val="auto"/>
        </w:rPr>
        <w:t>Review  strategies  relating  to  fnancial,  operating  or  economic  risk.</w:t>
      </w:r>
    </w:p>
    <w:p>
      <w:pPr>
        <w:sectPr>
          <w:pgSz w:w="11900" w:h="16838" w:orient="portrait"/>
          <w:cols w:equalWidth="0" w:num="2">
            <w:col w:w="2000" w:space="260"/>
            <w:col w:w="7360"/>
          </w:cols>
          <w:pgMar w:left="1080" w:top="695" w:right="1199" w:bottom="1440" w:gutter="0" w:footer="0" w:header="0"/>
          <w:type w:val="continuous"/>
        </w:sectPr>
      </w:pPr>
    </w:p>
    <w:bookmarkStart w:id="65" w:name="page66"/>
    <w:bookmarkEnd w:id="65"/>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27" w:lineRule="exact"/>
        <w:rPr>
          <w:sz w:val="20"/>
          <w:szCs w:val="20"/>
          <w:color w:val="auto"/>
        </w:rPr>
      </w:pPr>
    </w:p>
    <w:p>
      <w:pPr>
        <w:jc w:val="right"/>
        <w:spacing w:after="0"/>
        <w:rPr>
          <w:sz w:val="20"/>
          <w:szCs w:val="20"/>
          <w:color w:val="auto"/>
        </w:rPr>
      </w:pPr>
      <w:r>
        <w:rPr>
          <w:rFonts w:ascii="Arial" w:cs="Arial" w:eastAsia="Arial" w:hAnsi="Arial"/>
          <w:sz w:val="14"/>
          <w:szCs w:val="14"/>
          <w:color w:val="6D6F71"/>
        </w:rPr>
        <w:t>Board  and  Corporate  Governance  Matters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345"/>
        </w:trPr>
        <w:tc>
          <w:tcPr>
            <w:tcW w:w="2040" w:type="dxa"/>
            <w:vAlign w:val="bottom"/>
            <w:tcBorders>
              <w:top w:val="single" w:sz="8" w:color="1414D2"/>
            </w:tcBorders>
            <w:shd w:val="clear" w:color="auto" w:fill="F2F2F2"/>
          </w:tcPr>
          <w:p>
            <w:pPr>
              <w:spacing w:after="0"/>
              <w:rPr>
                <w:sz w:val="24"/>
                <w:szCs w:val="24"/>
                <w:color w:val="auto"/>
              </w:rPr>
            </w:pPr>
          </w:p>
        </w:tc>
        <w:tc>
          <w:tcPr>
            <w:tcW w:w="7680" w:type="dxa"/>
            <w:vAlign w:val="bottom"/>
            <w:tcBorders>
              <w:top w:val="single" w:sz="8" w:color="1414D2"/>
            </w:tcBorders>
          </w:tcPr>
          <w:p>
            <w:pPr>
              <w:ind w:left="220"/>
              <w:spacing w:after="0"/>
              <w:rPr>
                <w:sz w:val="20"/>
                <w:szCs w:val="20"/>
                <w:color w:val="auto"/>
              </w:rPr>
            </w:pPr>
            <w:r>
              <w:rPr>
                <w:rFonts w:ascii="Arial" w:cs="Arial" w:eastAsia="Arial" w:hAnsi="Arial"/>
                <w:sz w:val="16"/>
                <w:szCs w:val="16"/>
                <w:b w:val="1"/>
                <w:bCs w:val="1"/>
                <w:color w:val="auto"/>
              </w:rPr>
              <w:t>NOMINATING/GOVERNANCE COMMITTEE</w:t>
            </w:r>
          </w:p>
        </w:tc>
        <w:tc>
          <w:tcPr>
            <w:tcW w:w="0" w:type="dxa"/>
            <w:vAlign w:val="bottom"/>
          </w:tcPr>
          <w:p>
            <w:pPr>
              <w:spacing w:after="0"/>
              <w:rPr>
                <w:sz w:val="1"/>
                <w:szCs w:val="1"/>
                <w:color w:val="auto"/>
              </w:rPr>
            </w:pPr>
          </w:p>
        </w:tc>
      </w:tr>
      <w:tr>
        <w:trPr>
          <w:trHeight w:val="405"/>
        </w:trPr>
        <w:tc>
          <w:tcPr>
            <w:tcW w:w="2040" w:type="dxa"/>
            <w:vAlign w:val="bottom"/>
            <w:shd w:val="clear" w:color="auto" w:fill="F2F2F2"/>
          </w:tcPr>
          <w:p>
            <w:pPr>
              <w:spacing w:after="0"/>
              <w:rPr>
                <w:sz w:val="24"/>
                <w:szCs w:val="24"/>
                <w:color w:val="auto"/>
              </w:rPr>
            </w:pPr>
          </w:p>
        </w:tc>
        <w:tc>
          <w:tcPr>
            <w:tcW w:w="7680" w:type="dxa"/>
            <w:vAlign w:val="bottom"/>
          </w:tcPr>
          <w:p>
            <w:pPr>
              <w:ind w:left="220"/>
              <w:spacing w:after="0"/>
              <w:rPr>
                <w:sz w:val="20"/>
                <w:szCs w:val="20"/>
                <w:color w:val="auto"/>
              </w:rPr>
            </w:pPr>
            <w:r>
              <w:rPr>
                <w:rFonts w:ascii="Arial" w:cs="Arial" w:eastAsia="Arial" w:hAnsi="Arial"/>
                <w:sz w:val="16"/>
                <w:szCs w:val="16"/>
                <w:b w:val="1"/>
                <w:bCs w:val="1"/>
                <w:i w:val="1"/>
                <w:iCs w:val="1"/>
                <w:color w:val="1414D2"/>
              </w:rPr>
              <w:t>Primary Responsibilities</w:t>
            </w:r>
          </w:p>
        </w:tc>
        <w:tc>
          <w:tcPr>
            <w:tcW w:w="0" w:type="dxa"/>
            <w:vAlign w:val="bottom"/>
          </w:tcPr>
          <w:p>
            <w:pPr>
              <w:spacing w:after="0"/>
              <w:rPr>
                <w:sz w:val="1"/>
                <w:szCs w:val="1"/>
                <w:color w:val="auto"/>
              </w:rPr>
            </w:pPr>
          </w:p>
        </w:tc>
      </w:tr>
      <w:tr>
        <w:trPr>
          <w:trHeight w:val="264"/>
        </w:trPr>
        <w:tc>
          <w:tcPr>
            <w:tcW w:w="2040" w:type="dxa"/>
            <w:vAlign w:val="bottom"/>
            <w:shd w:val="clear" w:color="auto" w:fill="F2F2F2"/>
          </w:tcPr>
          <w:p>
            <w:pPr>
              <w:spacing w:after="0"/>
              <w:rPr>
                <w:sz w:val="22"/>
                <w:szCs w:val="22"/>
                <w:color w:val="auto"/>
              </w:rPr>
            </w:pPr>
          </w:p>
        </w:tc>
        <w:tc>
          <w:tcPr>
            <w:tcW w:w="76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Identify,  evaluate  and  recommend  for  nomination  individuals  qualifed  to  be  Board</w:t>
            </w:r>
          </w:p>
        </w:tc>
        <w:tc>
          <w:tcPr>
            <w:tcW w:w="0" w:type="dxa"/>
            <w:vAlign w:val="bottom"/>
          </w:tcPr>
          <w:p>
            <w:pPr>
              <w:spacing w:after="0"/>
              <w:rPr>
                <w:sz w:val="1"/>
                <w:szCs w:val="1"/>
                <w:color w:val="auto"/>
              </w:rPr>
            </w:pPr>
          </w:p>
        </w:tc>
      </w:tr>
      <w:tr>
        <w:trPr>
          <w:trHeight w:val="235"/>
        </w:trPr>
        <w:tc>
          <w:tcPr>
            <w:tcW w:w="2040" w:type="dxa"/>
            <w:vAlign w:val="bottom"/>
            <w:shd w:val="clear" w:color="auto" w:fill="F2F2F2"/>
          </w:tcPr>
          <w:p>
            <w:pPr>
              <w:spacing w:after="0"/>
              <w:rPr>
                <w:sz w:val="20"/>
                <w:szCs w:val="20"/>
                <w:color w:val="auto"/>
              </w:rPr>
            </w:pPr>
          </w:p>
        </w:tc>
        <w:tc>
          <w:tcPr>
            <w:tcW w:w="7680" w:type="dxa"/>
            <w:vAlign w:val="bottom"/>
          </w:tcPr>
          <w:p>
            <w:pPr>
              <w:ind w:left="740"/>
              <w:spacing w:after="0"/>
              <w:rPr>
                <w:sz w:val="20"/>
                <w:szCs w:val="20"/>
                <w:color w:val="auto"/>
              </w:rPr>
            </w:pPr>
            <w:r>
              <w:rPr>
                <w:rFonts w:ascii="Arial" w:cs="Arial" w:eastAsia="Arial" w:hAnsi="Arial"/>
                <w:sz w:val="16"/>
                <w:szCs w:val="16"/>
                <w:color w:val="auto"/>
              </w:rPr>
              <w:t>members,  other  than  directors  appointed  by  holders  of  preferred  stock  of  the  Company;</w:t>
            </w:r>
          </w:p>
        </w:tc>
        <w:tc>
          <w:tcPr>
            <w:tcW w:w="0" w:type="dxa"/>
            <w:vAlign w:val="bottom"/>
          </w:tcPr>
          <w:p>
            <w:pPr>
              <w:spacing w:after="0"/>
              <w:rPr>
                <w:sz w:val="1"/>
                <w:szCs w:val="1"/>
                <w:color w:val="auto"/>
              </w:rPr>
            </w:pPr>
          </w:p>
        </w:tc>
      </w:tr>
      <w:tr>
        <w:trPr>
          <w:trHeight w:val="264"/>
        </w:trPr>
        <w:tc>
          <w:tcPr>
            <w:tcW w:w="2040" w:type="dxa"/>
            <w:vAlign w:val="bottom"/>
            <w:shd w:val="clear" w:color="auto" w:fill="F2F2F2"/>
          </w:tcPr>
          <w:p>
            <w:pPr>
              <w:spacing w:after="0"/>
              <w:rPr>
                <w:sz w:val="22"/>
                <w:szCs w:val="22"/>
                <w:color w:val="auto"/>
              </w:rPr>
            </w:pPr>
          </w:p>
        </w:tc>
        <w:tc>
          <w:tcPr>
            <w:tcW w:w="7680" w:type="dxa"/>
            <w:vAlign w:val="bottom"/>
          </w:tcPr>
          <w:p>
            <w:pPr>
              <w:ind w:left="420"/>
              <w:spacing w:after="0"/>
              <w:rPr>
                <w:sz w:val="20"/>
                <w:szCs w:val="20"/>
                <w:color w:val="auto"/>
              </w:rPr>
            </w:pPr>
            <w:r>
              <w:rPr>
                <w:rFonts w:ascii="Times New Roman" w:cs="Times New Roman" w:eastAsia="Times New Roman" w:hAnsi="Times New Roman"/>
                <w:sz w:val="16"/>
                <w:szCs w:val="16"/>
                <w:color w:val="auto"/>
                <w:w w:val="98"/>
              </w:rPr>
              <w:t>●</w:t>
            </w:r>
            <w:r>
              <w:rPr>
                <w:rFonts w:ascii="Arial" w:cs="Arial" w:eastAsia="Arial" w:hAnsi="Arial"/>
                <w:sz w:val="16"/>
                <w:szCs w:val="16"/>
                <w:color w:val="auto"/>
                <w:w w:val="98"/>
              </w:rPr>
              <w:t>Develop  and  recommend  to  the  Board  and  at  least  annually  review  the  Corporate</w:t>
            </w:r>
          </w:p>
        </w:tc>
        <w:tc>
          <w:tcPr>
            <w:tcW w:w="0" w:type="dxa"/>
            <w:vAlign w:val="bottom"/>
          </w:tcPr>
          <w:p>
            <w:pPr>
              <w:spacing w:after="0"/>
              <w:rPr>
                <w:sz w:val="1"/>
                <w:szCs w:val="1"/>
                <w:color w:val="auto"/>
              </w:rPr>
            </w:pPr>
          </w:p>
        </w:tc>
      </w:tr>
      <w:tr>
        <w:trPr>
          <w:trHeight w:val="235"/>
        </w:trPr>
        <w:tc>
          <w:tcPr>
            <w:tcW w:w="2040" w:type="dxa"/>
            <w:vAlign w:val="bottom"/>
            <w:shd w:val="clear" w:color="auto" w:fill="F2F2F2"/>
          </w:tcPr>
          <w:p>
            <w:pPr>
              <w:spacing w:after="0"/>
              <w:rPr>
                <w:sz w:val="20"/>
                <w:szCs w:val="20"/>
                <w:color w:val="auto"/>
              </w:rPr>
            </w:pPr>
          </w:p>
        </w:tc>
        <w:tc>
          <w:tcPr>
            <w:tcW w:w="7680" w:type="dxa"/>
            <w:vAlign w:val="bottom"/>
          </w:tcPr>
          <w:p>
            <w:pPr>
              <w:ind w:left="740"/>
              <w:spacing w:after="0"/>
              <w:rPr>
                <w:sz w:val="20"/>
                <w:szCs w:val="20"/>
                <w:color w:val="auto"/>
              </w:rPr>
            </w:pPr>
            <w:r>
              <w:rPr>
                <w:rFonts w:ascii="Arial" w:cs="Arial" w:eastAsia="Arial" w:hAnsi="Arial"/>
                <w:sz w:val="16"/>
                <w:szCs w:val="16"/>
                <w:color w:val="auto"/>
              </w:rPr>
              <w:t>Governance  Guidelines  and  oversee  corporate  governance  matters;</w:t>
            </w:r>
          </w:p>
        </w:tc>
        <w:tc>
          <w:tcPr>
            <w:tcW w:w="0" w:type="dxa"/>
            <w:vAlign w:val="bottom"/>
          </w:tcPr>
          <w:p>
            <w:pPr>
              <w:spacing w:after="0"/>
              <w:rPr>
                <w:sz w:val="1"/>
                <w:szCs w:val="1"/>
                <w:color w:val="auto"/>
              </w:rPr>
            </w:pPr>
          </w:p>
        </w:tc>
      </w:tr>
      <w:tr>
        <w:trPr>
          <w:trHeight w:val="264"/>
        </w:trPr>
        <w:tc>
          <w:tcPr>
            <w:tcW w:w="2040" w:type="dxa"/>
            <w:vAlign w:val="bottom"/>
            <w:vMerge w:val="restart"/>
            <w:shd w:val="clear" w:color="auto" w:fill="F2F2F2"/>
          </w:tcPr>
          <w:p>
            <w:pPr>
              <w:ind w:left="100"/>
              <w:spacing w:after="0"/>
              <w:rPr>
                <w:sz w:val="20"/>
                <w:szCs w:val="20"/>
                <w:color w:val="auto"/>
              </w:rPr>
            </w:pPr>
            <w:r>
              <w:rPr>
                <w:rFonts w:ascii="Arial" w:cs="Arial" w:eastAsia="Arial" w:hAnsi="Arial"/>
                <w:sz w:val="16"/>
                <w:szCs w:val="16"/>
                <w:b w:val="1"/>
                <w:bCs w:val="1"/>
                <w:i w:val="1"/>
                <w:iCs w:val="1"/>
                <w:color w:val="1414D2"/>
              </w:rPr>
              <w:t>Chair:</w:t>
            </w:r>
          </w:p>
        </w:tc>
        <w:tc>
          <w:tcPr>
            <w:tcW w:w="7680" w:type="dxa"/>
            <w:vAlign w:val="bottom"/>
          </w:tcPr>
          <w:p>
            <w:pPr>
              <w:ind w:left="420"/>
              <w:spacing w:after="0"/>
              <w:rPr>
                <w:sz w:val="20"/>
                <w:szCs w:val="20"/>
                <w:color w:val="auto"/>
              </w:rPr>
            </w:pPr>
            <w:r>
              <w:rPr>
                <w:rFonts w:ascii="Times New Roman" w:cs="Times New Roman" w:eastAsia="Times New Roman" w:hAnsi="Times New Roman"/>
                <w:sz w:val="16"/>
                <w:szCs w:val="16"/>
                <w:color w:val="auto"/>
                <w:w w:val="99"/>
              </w:rPr>
              <w:t>●</w:t>
            </w:r>
            <w:r>
              <w:rPr>
                <w:rFonts w:ascii="Arial" w:cs="Arial" w:eastAsia="Arial" w:hAnsi="Arial"/>
                <w:sz w:val="16"/>
                <w:szCs w:val="16"/>
                <w:color w:val="auto"/>
                <w:w w:val="99"/>
              </w:rPr>
              <w:t>Review  and  oversee  the  Company’s  succession  planning  process  for  executive  ofcers,</w:t>
            </w:r>
          </w:p>
        </w:tc>
        <w:tc>
          <w:tcPr>
            <w:tcW w:w="0" w:type="dxa"/>
            <w:vAlign w:val="bottom"/>
          </w:tcPr>
          <w:p>
            <w:pPr>
              <w:spacing w:after="0"/>
              <w:rPr>
                <w:sz w:val="1"/>
                <w:szCs w:val="1"/>
                <w:color w:val="auto"/>
              </w:rPr>
            </w:pPr>
          </w:p>
        </w:tc>
      </w:tr>
      <w:tr>
        <w:trPr>
          <w:trHeight w:val="235"/>
        </w:trPr>
        <w:tc>
          <w:tcPr>
            <w:tcW w:w="2040" w:type="dxa"/>
            <w:vAlign w:val="bottom"/>
            <w:vMerge w:val="continue"/>
            <w:shd w:val="clear" w:color="auto" w:fill="F2F2F2"/>
          </w:tcPr>
          <w:p>
            <w:pPr>
              <w:spacing w:after="0"/>
              <w:rPr>
                <w:sz w:val="20"/>
                <w:szCs w:val="20"/>
                <w:color w:val="auto"/>
              </w:rPr>
            </w:pPr>
          </w:p>
        </w:tc>
        <w:tc>
          <w:tcPr>
            <w:tcW w:w="7680" w:type="dxa"/>
            <w:vAlign w:val="bottom"/>
          </w:tcPr>
          <w:p>
            <w:pPr>
              <w:ind w:left="740"/>
              <w:spacing w:after="0"/>
              <w:rPr>
                <w:sz w:val="20"/>
                <w:szCs w:val="20"/>
                <w:color w:val="auto"/>
              </w:rPr>
            </w:pPr>
            <w:r>
              <w:rPr>
                <w:rFonts w:ascii="Arial" w:cs="Arial" w:eastAsia="Arial" w:hAnsi="Arial"/>
                <w:sz w:val="16"/>
                <w:szCs w:val="16"/>
                <w:color w:val="auto"/>
              </w:rPr>
              <w:t>including  the  Chief  Executive  Ofcer;</w:t>
            </w:r>
          </w:p>
        </w:tc>
        <w:tc>
          <w:tcPr>
            <w:tcW w:w="0" w:type="dxa"/>
            <w:vAlign w:val="bottom"/>
          </w:tcPr>
          <w:p>
            <w:pPr>
              <w:spacing w:after="0"/>
              <w:rPr>
                <w:sz w:val="1"/>
                <w:szCs w:val="1"/>
                <w:color w:val="auto"/>
              </w:rPr>
            </w:pPr>
          </w:p>
        </w:tc>
      </w:tr>
      <w:tr>
        <w:trPr>
          <w:trHeight w:val="264"/>
        </w:trPr>
        <w:tc>
          <w:tcPr>
            <w:tcW w:w="2040" w:type="dxa"/>
            <w:vAlign w:val="bottom"/>
            <w:shd w:val="clear" w:color="auto" w:fill="F2F2F2"/>
          </w:tcPr>
          <w:p>
            <w:pPr>
              <w:ind w:left="100"/>
              <w:spacing w:after="0"/>
              <w:rPr>
                <w:sz w:val="20"/>
                <w:szCs w:val="20"/>
                <w:color w:val="auto"/>
              </w:rPr>
            </w:pPr>
            <w:r>
              <w:rPr>
                <w:rFonts w:ascii="Arial" w:cs="Arial" w:eastAsia="Arial" w:hAnsi="Arial"/>
                <w:sz w:val="16"/>
                <w:szCs w:val="16"/>
                <w:color w:val="auto"/>
              </w:rPr>
              <w:t>Edward  M.  Philip</w:t>
            </w:r>
          </w:p>
        </w:tc>
        <w:tc>
          <w:tcPr>
            <w:tcW w:w="7680" w:type="dxa"/>
            <w:vAlign w:val="bottom"/>
          </w:tcPr>
          <w:p>
            <w:pPr>
              <w:ind w:left="420"/>
              <w:spacing w:after="0"/>
              <w:rPr>
                <w:sz w:val="20"/>
                <w:szCs w:val="20"/>
                <w:color w:val="auto"/>
              </w:rPr>
            </w:pPr>
            <w:r>
              <w:rPr>
                <w:rFonts w:ascii="Times New Roman" w:cs="Times New Roman" w:eastAsia="Times New Roman" w:hAnsi="Times New Roman"/>
                <w:sz w:val="16"/>
                <w:szCs w:val="16"/>
                <w:color w:val="auto"/>
                <w:w w:val="98"/>
              </w:rPr>
              <w:t>●</w:t>
            </w:r>
            <w:r>
              <w:rPr>
                <w:rFonts w:ascii="Arial" w:cs="Arial" w:eastAsia="Arial" w:hAnsi="Arial"/>
                <w:sz w:val="16"/>
                <w:szCs w:val="16"/>
                <w:color w:val="auto"/>
                <w:w w:val="98"/>
              </w:rPr>
              <w:t>Oversee  an  annual  evaluation  of  the  Board,  its  Committees  and  individual  directors,  as</w:t>
            </w:r>
          </w:p>
        </w:tc>
        <w:tc>
          <w:tcPr>
            <w:tcW w:w="0" w:type="dxa"/>
            <w:vAlign w:val="bottom"/>
          </w:tcPr>
          <w:p>
            <w:pPr>
              <w:spacing w:after="0"/>
              <w:rPr>
                <w:sz w:val="1"/>
                <w:szCs w:val="1"/>
                <w:color w:val="auto"/>
              </w:rPr>
            </w:pPr>
          </w:p>
        </w:tc>
      </w:tr>
      <w:tr>
        <w:trPr>
          <w:trHeight w:val="255"/>
        </w:trPr>
        <w:tc>
          <w:tcPr>
            <w:tcW w:w="2040" w:type="dxa"/>
            <w:vAlign w:val="bottom"/>
            <w:shd w:val="clear" w:color="auto" w:fill="F2F2F2"/>
          </w:tcPr>
          <w:p>
            <w:pPr>
              <w:ind w:left="100"/>
              <w:spacing w:after="0"/>
              <w:rPr>
                <w:sz w:val="20"/>
                <w:szCs w:val="20"/>
                <w:color w:val="auto"/>
              </w:rPr>
            </w:pPr>
            <w:r>
              <w:rPr>
                <w:rFonts w:ascii="Arial" w:cs="Arial" w:eastAsia="Arial" w:hAnsi="Arial"/>
                <w:sz w:val="16"/>
                <w:szCs w:val="16"/>
                <w:b w:val="1"/>
                <w:bCs w:val="1"/>
                <w:i w:val="1"/>
                <w:iCs w:val="1"/>
                <w:color w:val="1414D2"/>
              </w:rPr>
              <w:t>Additional Committee</w:t>
            </w:r>
          </w:p>
        </w:tc>
        <w:tc>
          <w:tcPr>
            <w:tcW w:w="7680" w:type="dxa"/>
            <w:vAlign w:val="bottom"/>
          </w:tcPr>
          <w:p>
            <w:pPr>
              <w:ind w:left="740"/>
              <w:spacing w:after="0"/>
              <w:rPr>
                <w:sz w:val="20"/>
                <w:szCs w:val="20"/>
                <w:color w:val="auto"/>
              </w:rPr>
            </w:pPr>
            <w:r>
              <w:rPr>
                <w:rFonts w:ascii="Arial" w:cs="Arial" w:eastAsia="Arial" w:hAnsi="Arial"/>
                <w:sz w:val="16"/>
                <w:szCs w:val="16"/>
                <w:color w:val="auto"/>
              </w:rPr>
              <w:t>applicable;  and</w:t>
            </w:r>
          </w:p>
        </w:tc>
        <w:tc>
          <w:tcPr>
            <w:tcW w:w="0" w:type="dxa"/>
            <w:vAlign w:val="bottom"/>
          </w:tcPr>
          <w:p>
            <w:pPr>
              <w:spacing w:after="0"/>
              <w:rPr>
                <w:sz w:val="1"/>
                <w:szCs w:val="1"/>
                <w:color w:val="auto"/>
              </w:rPr>
            </w:pPr>
          </w:p>
        </w:tc>
      </w:tr>
      <w:tr>
        <w:trPr>
          <w:trHeight w:val="245"/>
        </w:trPr>
        <w:tc>
          <w:tcPr>
            <w:tcW w:w="2040" w:type="dxa"/>
            <w:vAlign w:val="bottom"/>
            <w:shd w:val="clear" w:color="auto" w:fill="F2F2F2"/>
          </w:tcPr>
          <w:p>
            <w:pPr>
              <w:ind w:left="100"/>
              <w:spacing w:after="0"/>
              <w:rPr>
                <w:sz w:val="20"/>
                <w:szCs w:val="20"/>
                <w:color w:val="auto"/>
              </w:rPr>
            </w:pPr>
            <w:r>
              <w:rPr>
                <w:rFonts w:ascii="Arial" w:cs="Arial" w:eastAsia="Arial" w:hAnsi="Arial"/>
                <w:sz w:val="16"/>
                <w:szCs w:val="16"/>
                <w:b w:val="1"/>
                <w:bCs w:val="1"/>
                <w:i w:val="1"/>
                <w:iCs w:val="1"/>
                <w:color w:val="1414D2"/>
              </w:rPr>
              <w:t>Members:</w:t>
            </w:r>
          </w:p>
        </w:tc>
        <w:tc>
          <w:tcPr>
            <w:tcW w:w="7680" w:type="dxa"/>
            <w:vAlign w:val="bottom"/>
          </w:tcPr>
          <w:p>
            <w:pPr>
              <w:ind w:left="420"/>
              <w:spacing w:after="0"/>
              <w:rPr>
                <w:sz w:val="20"/>
                <w:szCs w:val="20"/>
                <w:color w:val="auto"/>
              </w:rPr>
            </w:pPr>
            <w:r>
              <w:rPr>
                <w:rFonts w:ascii="Times New Roman" w:cs="Times New Roman" w:eastAsia="Times New Roman" w:hAnsi="Times New Roman"/>
                <w:sz w:val="16"/>
                <w:szCs w:val="16"/>
                <w:color w:val="auto"/>
                <w:w w:val="99"/>
              </w:rPr>
              <w:t>●</w:t>
            </w:r>
            <w:r>
              <w:rPr>
                <w:rFonts w:ascii="Arial" w:cs="Arial" w:eastAsia="Arial" w:hAnsi="Arial"/>
                <w:sz w:val="16"/>
                <w:szCs w:val="16"/>
                <w:color w:val="auto"/>
                <w:w w:val="99"/>
              </w:rPr>
              <w:t>Review  and  make  recommendations  to  the  Board  with  respect  to  director</w:t>
            </w:r>
          </w:p>
        </w:tc>
        <w:tc>
          <w:tcPr>
            <w:tcW w:w="0" w:type="dxa"/>
            <w:vAlign w:val="bottom"/>
          </w:tcPr>
          <w:p>
            <w:pPr>
              <w:spacing w:after="0"/>
              <w:rPr>
                <w:sz w:val="1"/>
                <w:szCs w:val="1"/>
                <w:color w:val="auto"/>
              </w:rPr>
            </w:pPr>
          </w:p>
        </w:tc>
      </w:tr>
      <w:tr>
        <w:trPr>
          <w:trHeight w:val="289"/>
        </w:trPr>
        <w:tc>
          <w:tcPr>
            <w:tcW w:w="2040" w:type="dxa"/>
            <w:vAlign w:val="bottom"/>
            <w:shd w:val="clear" w:color="auto" w:fill="F2F2F2"/>
          </w:tcPr>
          <w:p>
            <w:pPr>
              <w:ind w:left="100"/>
              <w:spacing w:after="0"/>
              <w:rPr>
                <w:sz w:val="20"/>
                <w:szCs w:val="20"/>
                <w:color w:val="auto"/>
              </w:rPr>
            </w:pPr>
            <w:r>
              <w:rPr>
                <w:rFonts w:ascii="Arial" w:cs="Arial" w:eastAsia="Arial" w:hAnsi="Arial"/>
                <w:sz w:val="16"/>
                <w:szCs w:val="16"/>
                <w:color w:val="auto"/>
              </w:rPr>
              <w:t>Michele  J.  Hooper</w:t>
            </w:r>
          </w:p>
        </w:tc>
        <w:tc>
          <w:tcPr>
            <w:tcW w:w="7680" w:type="dxa"/>
            <w:vAlign w:val="bottom"/>
          </w:tcPr>
          <w:p>
            <w:pPr>
              <w:ind w:left="740"/>
              <w:spacing w:after="0"/>
              <w:rPr>
                <w:sz w:val="20"/>
                <w:szCs w:val="20"/>
                <w:color w:val="auto"/>
              </w:rPr>
            </w:pPr>
            <w:r>
              <w:rPr>
                <w:rFonts w:ascii="Arial" w:cs="Arial" w:eastAsia="Arial" w:hAnsi="Arial"/>
                <w:sz w:val="16"/>
                <w:szCs w:val="16"/>
                <w:color w:val="auto"/>
              </w:rPr>
              <w:t>compensation.</w:t>
            </w:r>
          </w:p>
        </w:tc>
        <w:tc>
          <w:tcPr>
            <w:tcW w:w="0" w:type="dxa"/>
            <w:vAlign w:val="bottom"/>
          </w:tcPr>
          <w:p>
            <w:pPr>
              <w:spacing w:after="0"/>
              <w:rPr>
                <w:sz w:val="1"/>
                <w:szCs w:val="1"/>
                <w:color w:val="auto"/>
              </w:rPr>
            </w:pPr>
          </w:p>
        </w:tc>
      </w:tr>
      <w:tr>
        <w:trPr>
          <w:trHeight w:val="297"/>
        </w:trPr>
        <w:tc>
          <w:tcPr>
            <w:tcW w:w="2040" w:type="dxa"/>
            <w:vAlign w:val="bottom"/>
            <w:shd w:val="clear" w:color="auto" w:fill="F2F2F2"/>
          </w:tcPr>
          <w:p>
            <w:pPr>
              <w:ind w:left="100"/>
              <w:spacing w:after="0"/>
              <w:rPr>
                <w:sz w:val="20"/>
                <w:szCs w:val="20"/>
                <w:color w:val="auto"/>
              </w:rPr>
            </w:pPr>
            <w:r>
              <w:rPr>
                <w:rFonts w:ascii="Arial" w:cs="Arial" w:eastAsia="Arial" w:hAnsi="Arial"/>
                <w:sz w:val="16"/>
                <w:szCs w:val="16"/>
                <w:color w:val="auto"/>
              </w:rPr>
              <w:t>Walter  Isaacson</w:t>
            </w:r>
          </w:p>
        </w:tc>
        <w:tc>
          <w:tcPr>
            <w:tcW w:w="7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40" w:type="dxa"/>
            <w:vAlign w:val="bottom"/>
            <w:shd w:val="clear" w:color="auto" w:fill="F2F2F2"/>
          </w:tcPr>
          <w:p>
            <w:pPr>
              <w:ind w:left="100"/>
              <w:spacing w:after="0"/>
              <w:rPr>
                <w:sz w:val="20"/>
                <w:szCs w:val="20"/>
                <w:color w:val="auto"/>
              </w:rPr>
            </w:pPr>
            <w:r>
              <w:rPr>
                <w:rFonts w:ascii="Arial" w:cs="Arial" w:eastAsia="Arial" w:hAnsi="Arial"/>
                <w:sz w:val="16"/>
                <w:szCs w:val="16"/>
                <w:color w:val="auto"/>
              </w:rPr>
              <w:t>Laysha  Ward</w:t>
            </w:r>
          </w:p>
        </w:tc>
        <w:tc>
          <w:tcPr>
            <w:tcW w:w="7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40" w:type="dxa"/>
            <w:vAlign w:val="bottom"/>
            <w:shd w:val="clear" w:color="auto" w:fill="F2F2F2"/>
          </w:tcPr>
          <w:p>
            <w:pPr>
              <w:ind w:left="100"/>
              <w:spacing w:after="0"/>
              <w:rPr>
                <w:sz w:val="20"/>
                <w:szCs w:val="20"/>
                <w:color w:val="auto"/>
              </w:rPr>
            </w:pPr>
            <w:r>
              <w:rPr>
                <w:rFonts w:ascii="Arial" w:cs="Arial" w:eastAsia="Arial" w:hAnsi="Arial"/>
                <w:sz w:val="16"/>
                <w:szCs w:val="16"/>
                <w:color w:val="auto"/>
              </w:rPr>
              <w:t>James  M.  Whitehurst</w:t>
            </w:r>
          </w:p>
        </w:tc>
        <w:tc>
          <w:tcPr>
            <w:tcW w:w="7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40" w:type="dxa"/>
            <w:vAlign w:val="bottom"/>
            <w:shd w:val="clear" w:color="auto" w:fill="F2F2F2"/>
          </w:tcPr>
          <w:p>
            <w:pPr>
              <w:ind w:left="100"/>
              <w:spacing w:after="0"/>
              <w:rPr>
                <w:sz w:val="20"/>
                <w:szCs w:val="20"/>
                <w:color w:val="auto"/>
              </w:rPr>
            </w:pPr>
            <w:r>
              <w:rPr>
                <w:rFonts w:ascii="Arial" w:cs="Arial" w:eastAsia="Arial" w:hAnsi="Arial"/>
                <w:sz w:val="16"/>
                <w:szCs w:val="16"/>
                <w:b w:val="1"/>
                <w:bCs w:val="1"/>
                <w:i w:val="1"/>
                <w:iCs w:val="1"/>
                <w:color w:val="1414D2"/>
              </w:rPr>
              <w:t>FY25 Meetings Held:</w:t>
            </w:r>
          </w:p>
        </w:tc>
        <w:tc>
          <w:tcPr>
            <w:tcW w:w="7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40" w:type="dxa"/>
            <w:vAlign w:val="bottom"/>
            <w:shd w:val="clear" w:color="auto" w:fill="F2F2F2"/>
          </w:tcPr>
          <w:p>
            <w:pPr>
              <w:ind w:left="100"/>
              <w:spacing w:after="0"/>
              <w:rPr>
                <w:sz w:val="20"/>
                <w:szCs w:val="20"/>
                <w:color w:val="auto"/>
              </w:rPr>
            </w:pPr>
            <w:r>
              <w:rPr>
                <w:rFonts w:ascii="Arial" w:cs="Arial" w:eastAsia="Arial" w:hAnsi="Arial"/>
                <w:sz w:val="16"/>
                <w:szCs w:val="16"/>
                <w:color w:val="auto"/>
              </w:rPr>
              <w:t>4</w:t>
            </w:r>
          </w:p>
        </w:tc>
        <w:tc>
          <w:tcPr>
            <w:tcW w:w="7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2040" w:type="dxa"/>
            <w:vAlign w:val="bottom"/>
            <w:shd w:val="clear" w:color="auto" w:fill="F2F2F2"/>
          </w:tcPr>
          <w:p>
            <w:pPr>
              <w:spacing w:after="0"/>
              <w:rPr>
                <w:sz w:val="8"/>
                <w:szCs w:val="8"/>
                <w:color w:val="auto"/>
              </w:rPr>
            </w:pPr>
          </w:p>
        </w:tc>
        <w:tc>
          <w:tcPr>
            <w:tcW w:w="7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40" w:type="dxa"/>
            <w:vAlign w:val="bottom"/>
            <w:tcBorders>
              <w:bottom w:val="single" w:sz="8" w:color="1414D2"/>
            </w:tcBorders>
          </w:tcPr>
          <w:p>
            <w:pPr>
              <w:spacing w:after="0"/>
              <w:rPr>
                <w:sz w:val="17"/>
                <w:szCs w:val="17"/>
                <w:color w:val="auto"/>
              </w:rPr>
            </w:pPr>
          </w:p>
        </w:tc>
        <w:tc>
          <w:tcPr>
            <w:tcW w:w="7680" w:type="dxa"/>
            <w:vAlign w:val="bottom"/>
            <w:tcBorders>
              <w:bottom w:val="single" w:sz="8" w:color="1414D2"/>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sectPr>
          <w:pgSz w:w="11900" w:h="16838" w:orient="portrait"/>
          <w:cols w:equalWidth="0" w:num="1">
            <w:col w:w="9720"/>
          </w:cols>
          <w:pgMar w:left="1080" w:top="695"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00"/>
        <w:spacing w:after="0"/>
        <w:rPr>
          <w:sz w:val="20"/>
          <w:szCs w:val="20"/>
          <w:color w:val="auto"/>
        </w:rPr>
      </w:pPr>
      <w:r>
        <w:rPr>
          <w:rFonts w:ascii="Arial" w:cs="Arial" w:eastAsia="Arial" w:hAnsi="Arial"/>
          <w:sz w:val="16"/>
          <w:szCs w:val="16"/>
          <w:b w:val="1"/>
          <w:bCs w:val="1"/>
          <w:i w:val="1"/>
          <w:iCs w:val="1"/>
          <w:color w:val="1414D2"/>
        </w:rPr>
        <w:t>Chair:</w:t>
      </w:r>
    </w:p>
    <w:p>
      <w:pPr>
        <w:spacing w:after="0" w:line="12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Walter  Isaacson</w:t>
      </w:r>
    </w:p>
    <w:p>
      <w:pPr>
        <w:spacing w:after="0" w:line="111" w:lineRule="exact"/>
        <w:rPr>
          <w:sz w:val="20"/>
          <w:szCs w:val="20"/>
          <w:color w:val="auto"/>
        </w:rPr>
      </w:pPr>
    </w:p>
    <w:p>
      <w:pPr>
        <w:ind w:left="100"/>
        <w:spacing w:after="0" w:line="339" w:lineRule="auto"/>
        <w:rPr>
          <w:sz w:val="20"/>
          <w:szCs w:val="20"/>
          <w:color w:val="auto"/>
        </w:rPr>
      </w:pPr>
      <w:r>
        <w:rPr>
          <w:rFonts w:ascii="Arial" w:cs="Arial" w:eastAsia="Arial" w:hAnsi="Arial"/>
          <w:sz w:val="15"/>
          <w:szCs w:val="15"/>
          <w:b w:val="1"/>
          <w:bCs w:val="1"/>
          <w:i w:val="1"/>
          <w:iCs w:val="1"/>
          <w:color w:val="1414D2"/>
        </w:rPr>
        <w:t>Additional Committee Members:</w:t>
      </w:r>
    </w:p>
    <w:p>
      <w:pPr>
        <w:spacing w:after="0" w:line="1" w:lineRule="exact"/>
        <w:rPr>
          <w:sz w:val="20"/>
          <w:szCs w:val="20"/>
          <w:color w:val="auto"/>
        </w:rPr>
      </w:pPr>
    </w:p>
    <w:p>
      <w:pPr>
        <w:ind w:left="100" w:right="340"/>
        <w:spacing w:after="0" w:line="393" w:lineRule="auto"/>
        <w:rPr>
          <w:sz w:val="20"/>
          <w:szCs w:val="20"/>
          <w:color w:val="auto"/>
        </w:rPr>
      </w:pPr>
      <w:r>
        <w:rPr>
          <w:rFonts w:ascii="Arial" w:cs="Arial" w:eastAsia="Arial" w:hAnsi="Arial"/>
          <w:sz w:val="16"/>
          <w:szCs w:val="16"/>
          <w:color w:val="auto"/>
        </w:rPr>
        <w:t>Michelle Freyre Barney Harford Richard Johnsen Brian Noyes Laysha Ward</w:t>
      </w:r>
    </w:p>
    <w:p>
      <w:pPr>
        <w:spacing w:after="0" w:line="4" w:lineRule="exact"/>
        <w:rPr>
          <w:sz w:val="20"/>
          <w:szCs w:val="20"/>
          <w:color w:val="auto"/>
        </w:rPr>
      </w:pPr>
    </w:p>
    <w:p>
      <w:pPr>
        <w:ind w:left="100"/>
        <w:spacing w:after="0"/>
        <w:rPr>
          <w:sz w:val="20"/>
          <w:szCs w:val="20"/>
          <w:color w:val="auto"/>
        </w:rPr>
      </w:pPr>
      <w:r>
        <w:rPr>
          <w:rFonts w:ascii="Arial" w:cs="Arial" w:eastAsia="Arial" w:hAnsi="Arial"/>
          <w:sz w:val="15"/>
          <w:szCs w:val="15"/>
          <w:b w:val="1"/>
          <w:bCs w:val="1"/>
          <w:i w:val="1"/>
          <w:iCs w:val="1"/>
          <w:color w:val="1414D2"/>
        </w:rPr>
        <w:t>FY25 Meetings Held:</w:t>
      </w:r>
    </w:p>
    <w:p>
      <w:pPr>
        <w:spacing w:after="0" w:line="127" w:lineRule="exact"/>
        <w:rPr>
          <w:sz w:val="20"/>
          <w:szCs w:val="20"/>
          <w:color w:val="auto"/>
        </w:rPr>
      </w:pPr>
    </w:p>
    <w:p>
      <w:pPr>
        <w:ind w:left="100"/>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PUBLIC RESPONSIBILITY COMMITTEE</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414D2"/>
        </w:rPr>
        <w:t>Primary Responsibilities</w:t>
      </w:r>
    </w:p>
    <w:p>
      <w:pPr>
        <w:spacing w:after="0" w:line="129" w:lineRule="exact"/>
        <w:rPr>
          <w:sz w:val="20"/>
          <w:szCs w:val="20"/>
          <w:color w:val="auto"/>
        </w:rPr>
      </w:pPr>
    </w:p>
    <w:p>
      <w:pPr>
        <w:ind w:left="520" w:right="280" w:hanging="316"/>
        <w:spacing w:after="0" w:line="269" w:lineRule="auto"/>
        <w:tabs>
          <w:tab w:leader="none" w:pos="520" w:val="left"/>
        </w:tabs>
        <w:numPr>
          <w:ilvl w:val="0"/>
          <w:numId w:val="58"/>
        </w:numPr>
        <w:rPr>
          <w:rFonts w:ascii="Times New Roman" w:cs="Times New Roman" w:eastAsia="Times New Roman" w:hAnsi="Times New Roman"/>
          <w:sz w:val="16"/>
          <w:szCs w:val="16"/>
          <w:color w:val="auto"/>
        </w:rPr>
      </w:pPr>
      <w:r>
        <w:rPr>
          <w:rFonts w:ascii="Arial" w:cs="Arial" w:eastAsia="Arial" w:hAnsi="Arial"/>
          <w:sz w:val="16"/>
          <w:szCs w:val="16"/>
          <w:color w:val="auto"/>
        </w:rPr>
        <w:t>Review and make recommendations to the Board regarding the Company’s policies and positioning with respect to safety and health, community impact, environmental sustainability and climate-related, people impact, responsible sourcing and governmental afairs, initiatives, risks and opportunities, including strategic goals and objectives; and</w:t>
      </w:r>
    </w:p>
    <w:p>
      <w:pPr>
        <w:spacing w:after="0" w:line="240" w:lineRule="exact"/>
        <w:rPr>
          <w:rFonts w:ascii="Times New Roman" w:cs="Times New Roman" w:eastAsia="Times New Roman" w:hAnsi="Times New Roman"/>
          <w:sz w:val="16"/>
          <w:szCs w:val="16"/>
          <w:color w:val="auto"/>
        </w:rPr>
      </w:pPr>
    </w:p>
    <w:p>
      <w:pPr>
        <w:ind w:left="520" w:right="380" w:hanging="316"/>
        <w:spacing w:after="0" w:line="267" w:lineRule="auto"/>
        <w:tabs>
          <w:tab w:leader="none" w:pos="520" w:val="left"/>
        </w:tabs>
        <w:numPr>
          <w:ilvl w:val="0"/>
          <w:numId w:val="58"/>
        </w:numPr>
        <w:rPr>
          <w:rFonts w:ascii="Times New Roman" w:cs="Times New Roman" w:eastAsia="Times New Roman" w:hAnsi="Times New Roman"/>
          <w:sz w:val="16"/>
          <w:szCs w:val="16"/>
          <w:color w:val="auto"/>
        </w:rPr>
      </w:pPr>
      <w:r>
        <w:rPr>
          <w:rFonts w:ascii="Arial" w:cs="Arial" w:eastAsia="Arial" w:hAnsi="Arial"/>
          <w:sz w:val="16"/>
          <w:szCs w:val="16"/>
          <w:color w:val="auto"/>
        </w:rPr>
        <w:t>Oversee the Company’s policies and practices regarding political expenditures, including an annual review of the Company’s political and lobbying policy and a review of the Company’s annual corporate political contributions and trade association dues and payments, and receive an annual report on political contributions of the Company and the UAPAC for the prior year.</w:t>
      </w:r>
    </w:p>
    <w:p>
      <w:pPr>
        <w:spacing w:after="0" w:line="2343" w:lineRule="exact"/>
        <w:rPr>
          <w:sz w:val="20"/>
          <w:szCs w:val="20"/>
          <w:color w:val="auto"/>
        </w:rPr>
      </w:pPr>
    </w:p>
    <w:p>
      <w:pPr>
        <w:sectPr>
          <w:pgSz w:w="11900" w:h="16838" w:orient="portrait"/>
          <w:cols w:equalWidth="0" w:num="2">
            <w:col w:w="1660" w:space="600"/>
            <w:col w:w="7460"/>
          </w:cols>
          <w:pgMar w:left="1080" w:top="695" w:right="10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2026  Proxy  Statement</w:t>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1414D2"/>
        </w:rPr>
        <w:t>55</w:t>
      </w:r>
    </w:p>
    <w:p>
      <w:pPr>
        <w:sectPr>
          <w:pgSz w:w="11900" w:h="16838" w:orient="portrait"/>
          <w:cols w:equalWidth="0" w:num="1">
            <w:col w:w="9720"/>
          </w:cols>
          <w:pgMar w:left="1080" w:top="695" w:right="1099" w:bottom="1440" w:gutter="0" w:footer="0" w:header="0"/>
          <w:type w:val="continuous"/>
        </w:sectPr>
      </w:pPr>
    </w:p>
    <w:bookmarkStart w:id="66" w:name="page67"/>
    <w:bookmarkEnd w:id="66"/>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6D6F71"/>
        </w:rPr>
        <w:t>Board  and  Corporate  Governance  Matters</w:t>
      </w:r>
    </w:p>
    <w:p>
      <w:pPr>
        <w:spacing w:after="0" w:line="223" w:lineRule="exact"/>
        <w:rPr>
          <w:sz w:val="20"/>
          <w:szCs w:val="20"/>
          <w:color w:val="auto"/>
        </w:rPr>
      </w:pPr>
    </w:p>
    <w:p>
      <w:pPr>
        <w:spacing w:after="0"/>
        <w:rPr>
          <w:sz w:val="20"/>
          <w:szCs w:val="20"/>
          <w:color w:val="auto"/>
        </w:rPr>
      </w:pPr>
      <w:r>
        <w:rPr>
          <w:rFonts w:ascii="Arial" w:cs="Arial" w:eastAsia="Arial" w:hAnsi="Arial"/>
          <w:sz w:val="25"/>
          <w:szCs w:val="25"/>
          <w:b w:val="1"/>
          <w:bCs w:val="1"/>
          <w:color w:val="1414D2"/>
        </w:rPr>
        <w:t>Communications with Directors and Stockholder Engagement</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WRITTEN COMMUNICATIONS WITH THE BOARD</w:t>
      </w:r>
    </w:p>
    <w:p>
      <w:pPr>
        <w:spacing w:after="0" w:line="127"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The Board welcomes input from stockholders and other interested parties and has established a process for stockholders and other interested parties to communicate directly with the Board as a whole, or any individual member, including the Chairman or the independent directors as a group, by one of the following means: (i) writing to the Board of Directors, United Airlines Holdings, Inc., c/o the Corporate Secretary’s Ofce, 233 S. Wacker Drive, Chicago, Illinois 60606; or (ii) emailing the Board at</w:t>
      </w:r>
    </w:p>
    <w:p>
      <w:pPr>
        <w:spacing w:after="0" w:line="3" w:lineRule="exact"/>
        <w:rPr>
          <w:sz w:val="20"/>
          <w:szCs w:val="20"/>
          <w:color w:val="auto"/>
        </w:rPr>
      </w:pPr>
    </w:p>
    <w:p>
      <w:pPr>
        <w:ind w:right="320"/>
        <w:spacing w:after="0" w:line="313" w:lineRule="auto"/>
        <w:rPr>
          <w:sz w:val="20"/>
          <w:szCs w:val="20"/>
          <w:color w:val="auto"/>
        </w:rPr>
      </w:pPr>
      <w:r>
        <w:rPr>
          <w:rFonts w:ascii="Arial" w:cs="Arial" w:eastAsia="Arial" w:hAnsi="Arial"/>
          <w:sz w:val="16"/>
          <w:szCs w:val="16"/>
          <w:b w:val="1"/>
          <w:bCs w:val="1"/>
          <w:color w:val="1414D2"/>
        </w:rPr>
        <w:t>UALBoard@united.com</w:t>
      </w:r>
      <w:r>
        <w:rPr>
          <w:rFonts w:ascii="Arial" w:cs="Arial" w:eastAsia="Arial" w:hAnsi="Arial"/>
          <w:sz w:val="16"/>
          <w:szCs w:val="16"/>
          <w:color w:val="000000"/>
        </w:rPr>
        <w:t>. Any matter relating to our fnancial statements, internal accounting practices, internal controls or</w:t>
      </w:r>
      <w:r>
        <w:rPr>
          <w:rFonts w:ascii="Arial" w:cs="Arial" w:eastAsia="Arial" w:hAnsi="Arial"/>
          <w:sz w:val="16"/>
          <w:szCs w:val="16"/>
          <w:b w:val="1"/>
          <w:bCs w:val="1"/>
          <w:color w:val="1414D2"/>
        </w:rPr>
        <w:t xml:space="preserve"> </w:t>
      </w:r>
      <w:r>
        <w:rPr>
          <w:rFonts w:ascii="Arial" w:cs="Arial" w:eastAsia="Arial" w:hAnsi="Arial"/>
          <w:sz w:val="16"/>
          <w:szCs w:val="16"/>
          <w:color w:val="000000"/>
        </w:rPr>
        <w:t>auditing matters should be addressed to the chair of the Audit Committee.</w:t>
      </w:r>
    </w:p>
    <w:p>
      <w:pPr>
        <w:spacing w:after="0" w:line="6" w:lineRule="exact"/>
        <w:rPr>
          <w:sz w:val="20"/>
          <w:szCs w:val="20"/>
          <w:color w:val="auto"/>
        </w:rPr>
      </w:pPr>
    </w:p>
    <w:p>
      <w:pPr>
        <w:ind w:right="300"/>
        <w:spacing w:after="0" w:line="255" w:lineRule="auto"/>
        <w:rPr>
          <w:sz w:val="20"/>
          <w:szCs w:val="20"/>
          <w:color w:val="auto"/>
        </w:rPr>
      </w:pPr>
      <w:r>
        <w:rPr>
          <w:rFonts w:ascii="Arial" w:cs="Arial" w:eastAsia="Arial" w:hAnsi="Arial"/>
          <w:sz w:val="16"/>
          <w:szCs w:val="16"/>
          <w:color w:val="auto"/>
        </w:rPr>
        <w:t>Stockholders may communicate with the Board on an anonymous or confdential basis. The Board has designated the Corporate Secretary’s Ofce as its agent for receipt of communications. All communications will be received, processed and</w:t>
      </w:r>
    </w:p>
    <w:p>
      <w:pPr>
        <w:spacing w:after="0" w:line="1" w:lineRule="exact"/>
        <w:rPr>
          <w:sz w:val="20"/>
          <w:szCs w:val="20"/>
          <w:color w:val="auto"/>
        </w:rPr>
      </w:pPr>
    </w:p>
    <w:p>
      <w:pPr>
        <w:ind w:right="140"/>
        <w:spacing w:after="0" w:line="268" w:lineRule="auto"/>
        <w:rPr>
          <w:sz w:val="20"/>
          <w:szCs w:val="20"/>
          <w:color w:val="auto"/>
        </w:rPr>
      </w:pPr>
      <w:r>
        <w:rPr>
          <w:rFonts w:ascii="Arial" w:cs="Arial" w:eastAsia="Arial" w:hAnsi="Arial"/>
          <w:sz w:val="16"/>
          <w:szCs w:val="16"/>
          <w:color w:val="auto"/>
        </w:rPr>
        <w:t>initially reviewed by the Corporate Secretary’s Ofce. The Corporate Secretary’s Ofce generally does not forward communications that are not related to the duties and responsibilities of the Board, including junk mail, service complaints, employment issues, business suggestions, job inquiries, opinion surveys and business solicitations. The Corporate Secretary’s Ofce maintains communications and they are available for review by any member of the Board at his or her request.</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WHY WE ENGAGE</w:t>
      </w:r>
    </w:p>
    <w:p>
      <w:pPr>
        <w:spacing w:after="0" w:line="113" w:lineRule="exact"/>
        <w:rPr>
          <w:sz w:val="20"/>
          <w:szCs w:val="20"/>
          <w:color w:val="auto"/>
        </w:rPr>
      </w:pPr>
    </w:p>
    <w:p>
      <w:pPr>
        <w:ind w:right="160"/>
        <w:spacing w:after="0" w:line="255" w:lineRule="auto"/>
        <w:rPr>
          <w:sz w:val="20"/>
          <w:szCs w:val="20"/>
          <w:color w:val="auto"/>
        </w:rPr>
      </w:pPr>
      <w:r>
        <w:rPr>
          <w:rFonts w:ascii="Arial" w:cs="Arial" w:eastAsia="Arial" w:hAnsi="Arial"/>
          <w:sz w:val="16"/>
          <w:szCs w:val="16"/>
          <w:color w:val="auto"/>
        </w:rPr>
        <w:t>The Board and management are committed to driving long-term stockholder value through strong corporate governance, which includes continuing dialogue with our stockholders and other stakeholders to enable us to understand and respond to</w:t>
      </w:r>
    </w:p>
    <w:p>
      <w:pPr>
        <w:spacing w:after="0" w:line="1"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their concerns. We have a robust outreach program, aimed at providing visibility and transparency into fnancial, compensation and corporate governance practices and assessing those issues to better inform our decision-making, enhance our disclosures and help shape our policies and practices.</w:t>
      </w:r>
    </w:p>
    <w:p>
      <w:pPr>
        <w:sectPr>
          <w:pgSz w:w="11900" w:h="16838" w:orient="portrait"/>
          <w:cols w:equalWidth="0" w:num="1">
            <w:col w:w="9660"/>
          </w:cols>
          <w:pgMar w:left="1080" w:top="695" w:right="11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ind w:right="7660"/>
        <w:spacing w:after="0"/>
        <w:rPr>
          <w:sz w:val="20"/>
          <w:szCs w:val="20"/>
          <w:color w:val="auto"/>
        </w:rPr>
      </w:pPr>
      <w:r>
        <w:rPr>
          <w:rFonts w:ascii="Arial" w:cs="Arial" w:eastAsia="Arial" w:hAnsi="Arial"/>
          <w:sz w:val="16"/>
          <w:szCs w:val="16"/>
          <w:color w:val="auto"/>
        </w:rPr>
        <w:t>​​2026​  Proxy</w:t>
      </w:r>
    </w:p>
    <w:p>
      <w:pPr>
        <w:spacing w:after="0" w:line="5" w:lineRule="exact"/>
        <w:rPr>
          <w:sz w:val="20"/>
          <w:szCs w:val="20"/>
          <w:color w:val="auto"/>
        </w:rPr>
      </w:pPr>
    </w:p>
    <w:p>
      <w:pPr>
        <w:ind w:left="660" w:hanging="656"/>
        <w:spacing w:after="0"/>
        <w:tabs>
          <w:tab w:leader="none" w:pos="660" w:val="left"/>
        </w:tabs>
        <w:numPr>
          <w:ilvl w:val="0"/>
          <w:numId w:val="59"/>
        </w:numPr>
        <w:rPr>
          <w:rFonts w:ascii="Arial" w:cs="Arial" w:eastAsia="Arial" w:hAnsi="Arial"/>
          <w:sz w:val="16"/>
          <w:szCs w:val="16"/>
          <w:b w:val="1"/>
          <w:bCs w:val="1"/>
          <w:color w:val="1414D2"/>
        </w:rPr>
      </w:pPr>
      <w:r>
        <w:rPr>
          <w:rFonts w:ascii="Arial" w:cs="Arial" w:eastAsia="Arial" w:hAnsi="Arial"/>
          <w:sz w:val="16"/>
          <w:szCs w:val="16"/>
          <w:color w:val="auto"/>
        </w:rPr>
        <w:t>Statement</w:t>
      </w:r>
    </w:p>
    <w:p>
      <w:pPr>
        <w:sectPr>
          <w:pgSz w:w="11900" w:h="16838" w:orient="portrait"/>
          <w:cols w:equalWidth="0" w:num="1">
            <w:col w:w="9660"/>
          </w:cols>
          <w:pgMar w:left="1080" w:top="695" w:right="1159" w:bottom="1440" w:gutter="0" w:footer="0" w:header="0"/>
          <w:type w:val="continuous"/>
        </w:sectPr>
      </w:pPr>
    </w:p>
    <w:bookmarkStart w:id="67" w:name="page68"/>
    <w:bookmarkEnd w:id="67"/>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27" w:lineRule="exact"/>
        <w:rPr>
          <w:sz w:val="20"/>
          <w:szCs w:val="20"/>
          <w:color w:val="auto"/>
        </w:rPr>
      </w:pPr>
    </w:p>
    <w:p>
      <w:pPr>
        <w:jc w:val="right"/>
        <w:spacing w:after="0"/>
        <w:rPr>
          <w:sz w:val="20"/>
          <w:szCs w:val="20"/>
          <w:color w:val="auto"/>
        </w:rPr>
      </w:pPr>
      <w:r>
        <w:rPr>
          <w:rFonts w:ascii="Arial" w:cs="Arial" w:eastAsia="Arial" w:hAnsi="Arial"/>
          <w:sz w:val="14"/>
          <w:szCs w:val="14"/>
          <w:color w:val="6D6F71"/>
        </w:rPr>
        <w:t>Board  and  Corporate  Governance  Matters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WHEN WE ENGAGE: YEAR-ROUND STOCKHOLDER ENGAGEMENT PROGRAM</w:t>
      </w:r>
    </w:p>
    <w:p>
      <w:pPr>
        <w:sectPr>
          <w:pgSz w:w="11900" w:h="16838" w:orient="portrait"/>
          <w:cols w:equalWidth="0" w:num="1">
            <w:col w:w="9720"/>
          </w:cols>
          <w:pgMar w:left="1080" w:top="695" w:right="1099" w:bottom="1440" w:gutter="0" w:footer="0" w:header="0"/>
        </w:sectPr>
      </w:pPr>
    </w:p>
    <w:p>
      <w:pPr>
        <w:spacing w:after="0" w:line="194"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FFFFFF"/>
        </w:rPr>
        <w:t>BEFORE MEETING</w:t>
      </w:r>
    </w:p>
    <w:p>
      <w:pPr>
        <w:spacing w:after="0" w:line="329" w:lineRule="exact"/>
        <w:rPr>
          <w:sz w:val="20"/>
          <w:szCs w:val="20"/>
          <w:color w:val="auto"/>
        </w:rPr>
      </w:pPr>
    </w:p>
    <w:p>
      <w:pPr>
        <w:ind w:left="860" w:hanging="330"/>
        <w:spacing w:after="0"/>
        <w:tabs>
          <w:tab w:leader="none" w:pos="860" w:val="left"/>
        </w:tabs>
        <w:numPr>
          <w:ilvl w:val="0"/>
          <w:numId w:val="60"/>
        </w:numPr>
        <w:rPr>
          <w:rFonts w:ascii="Times New Roman" w:cs="Times New Roman" w:eastAsia="Times New Roman" w:hAnsi="Times New Roman"/>
          <w:sz w:val="16"/>
          <w:szCs w:val="16"/>
          <w:color w:val="auto"/>
        </w:rPr>
      </w:pPr>
      <w:r>
        <w:rPr>
          <w:rFonts w:ascii="Arial" w:cs="Arial" w:eastAsia="Arial" w:hAnsi="Arial"/>
          <w:sz w:val="16"/>
          <w:szCs w:val="16"/>
          <w:color w:val="auto"/>
        </w:rPr>
        <w:t>Publish  annual  report  and  proxy  statement</w:t>
      </w:r>
    </w:p>
    <w:p>
      <w:pPr>
        <w:spacing w:after="0" w:line="98" w:lineRule="exact"/>
        <w:rPr>
          <w:rFonts w:ascii="Times New Roman" w:cs="Times New Roman" w:eastAsia="Times New Roman" w:hAnsi="Times New Roman"/>
          <w:sz w:val="16"/>
          <w:szCs w:val="16"/>
          <w:color w:val="auto"/>
        </w:rPr>
      </w:pPr>
    </w:p>
    <w:p>
      <w:pPr>
        <w:ind w:left="860" w:right="380" w:hanging="330"/>
        <w:spacing w:after="0" w:line="296" w:lineRule="auto"/>
        <w:tabs>
          <w:tab w:leader="none" w:pos="860" w:val="left"/>
        </w:tabs>
        <w:numPr>
          <w:ilvl w:val="0"/>
          <w:numId w:val="60"/>
        </w:numPr>
        <w:rPr>
          <w:rFonts w:ascii="Times New Roman" w:cs="Times New Roman" w:eastAsia="Times New Roman" w:hAnsi="Times New Roman"/>
          <w:sz w:val="16"/>
          <w:szCs w:val="16"/>
          <w:color w:val="auto"/>
        </w:rPr>
      </w:pPr>
      <w:r>
        <w:rPr>
          <w:rFonts w:ascii="Arial" w:cs="Arial" w:eastAsia="Arial" w:hAnsi="Arial"/>
          <w:sz w:val="16"/>
          <w:szCs w:val="16"/>
          <w:color w:val="auto"/>
        </w:rPr>
        <w:t>Discuss Board's rationale for its voting recommendations with key stockholders and address concerns and questions</w:t>
      </w:r>
    </w:p>
    <w:p>
      <w:pPr>
        <w:spacing w:after="0" w:line="6" w:lineRule="exact"/>
        <w:rPr>
          <w:rFonts w:ascii="Times New Roman" w:cs="Times New Roman" w:eastAsia="Times New Roman" w:hAnsi="Times New Roman"/>
          <w:sz w:val="16"/>
          <w:szCs w:val="16"/>
          <w:color w:val="auto"/>
        </w:rPr>
      </w:pPr>
    </w:p>
    <w:p>
      <w:pPr>
        <w:ind w:left="860" w:hanging="330"/>
        <w:spacing w:after="0"/>
        <w:tabs>
          <w:tab w:leader="none" w:pos="860" w:val="left"/>
        </w:tabs>
        <w:numPr>
          <w:ilvl w:val="0"/>
          <w:numId w:val="60"/>
        </w:numPr>
        <w:rPr>
          <w:rFonts w:ascii="Times New Roman" w:cs="Times New Roman" w:eastAsia="Times New Roman" w:hAnsi="Times New Roman"/>
          <w:sz w:val="16"/>
          <w:szCs w:val="16"/>
          <w:color w:val="auto"/>
        </w:rPr>
      </w:pPr>
      <w:r>
        <w:rPr>
          <w:rFonts w:ascii="Arial" w:cs="Arial" w:eastAsia="Arial" w:hAnsi="Arial"/>
          <w:sz w:val="16"/>
          <w:szCs w:val="16"/>
          <w:color w:val="auto"/>
        </w:rPr>
        <w:t>Discuss  stockholder  proposals  with  proponents</w:t>
      </w:r>
    </w:p>
    <w:p>
      <w:pPr>
        <w:spacing w:after="0" w:line="200" w:lineRule="exact"/>
        <w:rPr>
          <w:sz w:val="20"/>
          <w:szCs w:val="20"/>
          <w:color w:val="auto"/>
        </w:rPr>
      </w:pPr>
    </w:p>
    <w:p>
      <w:pPr>
        <w:spacing w:after="0" w:line="385"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FFFFFF"/>
        </w:rPr>
        <w:t>OFF-SEASON ENGAGEMENT</w:t>
      </w:r>
    </w:p>
    <w:p>
      <w:pPr>
        <w:spacing w:after="0" w:line="343" w:lineRule="exact"/>
        <w:rPr>
          <w:sz w:val="20"/>
          <w:szCs w:val="20"/>
          <w:color w:val="auto"/>
        </w:rPr>
      </w:pPr>
    </w:p>
    <w:p>
      <w:pPr>
        <w:ind w:left="860" w:right="20" w:hanging="330"/>
        <w:spacing w:after="0" w:line="284" w:lineRule="auto"/>
        <w:tabs>
          <w:tab w:leader="none" w:pos="860" w:val="left"/>
        </w:tabs>
        <w:numPr>
          <w:ilvl w:val="0"/>
          <w:numId w:val="61"/>
        </w:numPr>
        <w:rPr>
          <w:rFonts w:ascii="Times New Roman" w:cs="Times New Roman" w:eastAsia="Times New Roman" w:hAnsi="Times New Roman"/>
          <w:sz w:val="16"/>
          <w:szCs w:val="16"/>
          <w:color w:val="auto"/>
        </w:rPr>
      </w:pPr>
      <w:r>
        <w:rPr>
          <w:rFonts w:ascii="Arial" w:cs="Arial" w:eastAsia="Arial" w:hAnsi="Arial"/>
          <w:sz w:val="16"/>
          <w:szCs w:val="16"/>
          <w:color w:val="auto"/>
        </w:rPr>
        <w:t>Engage with stockholders and other stakeholders regarding topics of interest to better understand their priorities and viewpoints, to seek feedback on our initiatives, disclosures and proposals and to inform Board discussions</w:t>
      </w:r>
    </w:p>
    <w:p>
      <w:pPr>
        <w:spacing w:after="0" w:line="4" w:lineRule="exact"/>
        <w:rPr>
          <w:rFonts w:ascii="Times New Roman" w:cs="Times New Roman" w:eastAsia="Times New Roman" w:hAnsi="Times New Roman"/>
          <w:sz w:val="16"/>
          <w:szCs w:val="16"/>
          <w:color w:val="auto"/>
        </w:rPr>
      </w:pPr>
    </w:p>
    <w:p>
      <w:pPr>
        <w:ind w:left="860" w:right="120" w:hanging="330"/>
        <w:spacing w:after="0" w:line="298" w:lineRule="auto"/>
        <w:tabs>
          <w:tab w:leader="none" w:pos="860" w:val="left"/>
        </w:tabs>
        <w:numPr>
          <w:ilvl w:val="0"/>
          <w:numId w:val="61"/>
        </w:numPr>
        <w:rPr>
          <w:rFonts w:ascii="Times New Roman" w:cs="Times New Roman" w:eastAsia="Times New Roman" w:hAnsi="Times New Roman"/>
          <w:sz w:val="16"/>
          <w:szCs w:val="16"/>
          <w:color w:val="auto"/>
        </w:rPr>
      </w:pPr>
      <w:r>
        <w:rPr>
          <w:rFonts w:ascii="Arial" w:cs="Arial" w:eastAsia="Arial" w:hAnsi="Arial"/>
          <w:sz w:val="16"/>
          <w:szCs w:val="16"/>
          <w:color w:val="auto"/>
        </w:rPr>
        <w:t>Attend and participate in investor and corporate governance-related events to learn about emerging trends and issues and further engage stockholders</w:t>
      </w:r>
    </w:p>
    <w:p>
      <w:pPr>
        <w:spacing w:after="0" w:line="204" w:lineRule="exact"/>
        <w:rPr>
          <w:rFonts w:ascii="Times New Roman" w:cs="Times New Roman" w:eastAsia="Times New Roman" w:hAnsi="Times New Roman"/>
          <w:sz w:val="16"/>
          <w:szCs w:val="16"/>
          <w:color w:val="auto"/>
        </w:rPr>
      </w:pPr>
    </w:p>
    <w:p>
      <w:pPr>
        <w:ind w:left="860" w:hanging="330"/>
        <w:spacing w:after="0" w:line="316" w:lineRule="auto"/>
        <w:tabs>
          <w:tab w:leader="none" w:pos="860" w:val="left"/>
        </w:tabs>
        <w:numPr>
          <w:ilvl w:val="0"/>
          <w:numId w:val="61"/>
        </w:numPr>
        <w:rPr>
          <w:rFonts w:ascii="Times New Roman" w:cs="Times New Roman" w:eastAsia="Times New Roman" w:hAnsi="Times New Roman"/>
          <w:sz w:val="16"/>
          <w:szCs w:val="16"/>
          <w:color w:val="auto"/>
        </w:rPr>
      </w:pPr>
      <w:r>
        <w:rPr>
          <w:rFonts w:ascii="Arial" w:cs="Arial" w:eastAsia="Arial" w:hAnsi="Arial"/>
          <w:sz w:val="16"/>
          <w:szCs w:val="16"/>
          <w:color w:val="auto"/>
        </w:rPr>
        <w:t>Review changes to our largest stockholders’ proxy voting policies and perspectives</w:t>
      </w:r>
    </w:p>
    <w:p>
      <w:pPr>
        <w:ind w:left="860" w:right="80" w:hanging="330"/>
        <w:spacing w:after="0" w:line="286" w:lineRule="auto"/>
        <w:tabs>
          <w:tab w:leader="none" w:pos="860" w:val="left"/>
        </w:tabs>
        <w:numPr>
          <w:ilvl w:val="0"/>
          <w:numId w:val="61"/>
        </w:numPr>
        <w:rPr>
          <w:rFonts w:ascii="Times New Roman" w:cs="Times New Roman" w:eastAsia="Times New Roman" w:hAnsi="Times New Roman"/>
          <w:sz w:val="16"/>
          <w:szCs w:val="16"/>
          <w:color w:val="auto"/>
        </w:rPr>
      </w:pPr>
      <w:r>
        <w:rPr>
          <w:rFonts w:ascii="Arial" w:cs="Arial" w:eastAsia="Arial" w:hAnsi="Arial"/>
          <w:sz w:val="16"/>
          <w:szCs w:val="16"/>
          <w:color w:val="auto"/>
        </w:rPr>
        <w:t>Evaluate potential changes to corporate governance or executive compensation practices as well as disclosure enhancements in light of stockholder feedback and voting policies</w:t>
      </w:r>
    </w:p>
    <w:p>
      <w:pPr>
        <w:spacing w:after="0" w:line="13" w:lineRule="exact"/>
        <w:rPr>
          <w:rFonts w:ascii="Times New Roman" w:cs="Times New Roman" w:eastAsia="Times New Roman" w:hAnsi="Times New Roman"/>
          <w:sz w:val="16"/>
          <w:szCs w:val="16"/>
          <w:color w:val="auto"/>
        </w:rPr>
      </w:pPr>
    </w:p>
    <w:p>
      <w:pPr>
        <w:ind w:left="860" w:right="460" w:hanging="330"/>
        <w:spacing w:after="0" w:line="330" w:lineRule="auto"/>
        <w:tabs>
          <w:tab w:leader="none" w:pos="860" w:val="left"/>
        </w:tabs>
        <w:numPr>
          <w:ilvl w:val="0"/>
          <w:numId w:val="61"/>
        </w:numPr>
        <w:rPr>
          <w:rFonts w:ascii="Times New Roman" w:cs="Times New Roman" w:eastAsia="Times New Roman" w:hAnsi="Times New Roman"/>
          <w:sz w:val="16"/>
          <w:szCs w:val="16"/>
          <w:color w:val="auto"/>
        </w:rPr>
      </w:pPr>
      <w:r>
        <w:rPr>
          <w:rFonts w:ascii="Arial" w:cs="Arial" w:eastAsia="Arial" w:hAnsi="Arial"/>
          <w:sz w:val="16"/>
          <w:szCs w:val="16"/>
          <w:color w:val="auto"/>
        </w:rPr>
        <w:t>Develop strategy for proxy season outreach meetings</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ind w:left="11"/>
        <w:spacing w:after="0"/>
        <w:rPr>
          <w:sz w:val="20"/>
          <w:szCs w:val="20"/>
          <w:color w:val="auto"/>
        </w:rPr>
      </w:pPr>
      <w:r>
        <w:rPr>
          <w:rFonts w:ascii="Arial" w:cs="Arial" w:eastAsia="Arial" w:hAnsi="Arial"/>
          <w:sz w:val="16"/>
          <w:szCs w:val="16"/>
          <w:b w:val="1"/>
          <w:bCs w:val="1"/>
          <w:color w:val="FFFFFF"/>
        </w:rPr>
        <w:t>AT ANNUAL MEETING</w:t>
      </w:r>
    </w:p>
    <w:p>
      <w:pPr>
        <w:spacing w:after="0" w:line="329" w:lineRule="exact"/>
        <w:rPr>
          <w:sz w:val="20"/>
          <w:szCs w:val="20"/>
          <w:color w:val="auto"/>
        </w:rPr>
      </w:pPr>
    </w:p>
    <w:p>
      <w:pPr>
        <w:ind w:left="331" w:hanging="331"/>
        <w:spacing w:after="0"/>
        <w:tabs>
          <w:tab w:leader="none" w:pos="331" w:val="left"/>
        </w:tabs>
        <w:numPr>
          <w:ilvl w:val="0"/>
          <w:numId w:val="62"/>
        </w:numPr>
        <w:rPr>
          <w:rFonts w:ascii="Times New Roman" w:cs="Times New Roman" w:eastAsia="Times New Roman" w:hAnsi="Times New Roman"/>
          <w:sz w:val="16"/>
          <w:szCs w:val="16"/>
          <w:color w:val="auto"/>
        </w:rPr>
      </w:pPr>
      <w:r>
        <w:rPr>
          <w:rFonts w:ascii="Arial" w:cs="Arial" w:eastAsia="Arial" w:hAnsi="Arial"/>
          <w:sz w:val="16"/>
          <w:szCs w:val="16"/>
          <w:color w:val="auto"/>
        </w:rPr>
        <w:t>Engage  directly  with  stockholders</w:t>
      </w:r>
    </w:p>
    <w:p>
      <w:pPr>
        <w:spacing w:after="0" w:line="98" w:lineRule="exact"/>
        <w:rPr>
          <w:rFonts w:ascii="Times New Roman" w:cs="Times New Roman" w:eastAsia="Times New Roman" w:hAnsi="Times New Roman"/>
          <w:sz w:val="16"/>
          <w:szCs w:val="16"/>
          <w:color w:val="auto"/>
        </w:rPr>
      </w:pPr>
    </w:p>
    <w:p>
      <w:pPr>
        <w:ind w:left="331" w:right="1040" w:hanging="331"/>
        <w:spacing w:after="0" w:line="330" w:lineRule="auto"/>
        <w:tabs>
          <w:tab w:leader="none" w:pos="331" w:val="left"/>
        </w:tabs>
        <w:numPr>
          <w:ilvl w:val="0"/>
          <w:numId w:val="62"/>
        </w:numPr>
        <w:rPr>
          <w:rFonts w:ascii="Times New Roman" w:cs="Times New Roman" w:eastAsia="Times New Roman" w:hAnsi="Times New Roman"/>
          <w:sz w:val="16"/>
          <w:szCs w:val="16"/>
          <w:color w:val="auto"/>
        </w:rPr>
      </w:pPr>
      <w:r>
        <w:rPr>
          <w:rFonts w:ascii="Arial" w:cs="Arial" w:eastAsia="Arial" w:hAnsi="Arial"/>
          <w:sz w:val="16"/>
          <w:szCs w:val="16"/>
          <w:color w:val="auto"/>
        </w:rPr>
        <w:t>Receive and review voting results for management and stockholder proposals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1"/>
        <w:spacing w:after="0"/>
        <w:rPr>
          <w:sz w:val="20"/>
          <w:szCs w:val="20"/>
          <w:color w:val="auto"/>
        </w:rPr>
      </w:pPr>
      <w:r>
        <w:rPr>
          <w:rFonts w:ascii="Arial" w:cs="Arial" w:eastAsia="Arial" w:hAnsi="Arial"/>
          <w:sz w:val="16"/>
          <w:szCs w:val="16"/>
          <w:b w:val="1"/>
          <w:bCs w:val="1"/>
          <w:color w:val="FFFFFF"/>
        </w:rPr>
        <w:t>AFTER ANNUAL MEETING</w:t>
      </w:r>
    </w:p>
    <w:p>
      <w:pPr>
        <w:spacing w:after="0" w:line="343" w:lineRule="exact"/>
        <w:rPr>
          <w:sz w:val="20"/>
          <w:szCs w:val="20"/>
          <w:color w:val="auto"/>
        </w:rPr>
      </w:pPr>
    </w:p>
    <w:p>
      <w:pPr>
        <w:ind w:left="331" w:right="560" w:hanging="331"/>
        <w:spacing w:after="0" w:line="279" w:lineRule="auto"/>
        <w:tabs>
          <w:tab w:leader="none" w:pos="331" w:val="left"/>
        </w:tabs>
        <w:numPr>
          <w:ilvl w:val="0"/>
          <w:numId w:val="63"/>
        </w:numPr>
        <w:rPr>
          <w:rFonts w:ascii="Times New Roman" w:cs="Times New Roman" w:eastAsia="Times New Roman" w:hAnsi="Times New Roman"/>
          <w:sz w:val="16"/>
          <w:szCs w:val="16"/>
          <w:color w:val="auto"/>
        </w:rPr>
      </w:pPr>
      <w:r>
        <w:rPr>
          <w:rFonts w:ascii="Arial" w:cs="Arial" w:eastAsia="Arial" w:hAnsi="Arial"/>
          <w:sz w:val="16"/>
          <w:szCs w:val="16"/>
          <w:color w:val="auto"/>
        </w:rPr>
        <w:t>Discuss with the Nominating/Governance Committee voting results from annual meeting in light of existing corporate governance and executive compensation practices, as well as feedback received from stockholders, and determine if any follow-up actions are appropriate</w:t>
      </w:r>
    </w:p>
    <w:p>
      <w:pPr>
        <w:spacing w:after="0" w:line="227" w:lineRule="exact"/>
        <w:rPr>
          <w:rFonts w:ascii="Times New Roman" w:cs="Times New Roman" w:eastAsia="Times New Roman" w:hAnsi="Times New Roman"/>
          <w:sz w:val="16"/>
          <w:szCs w:val="16"/>
          <w:color w:val="auto"/>
        </w:rPr>
      </w:pPr>
    </w:p>
    <w:p>
      <w:pPr>
        <w:ind w:left="331" w:right="540" w:hanging="331"/>
        <w:spacing w:after="0" w:line="284" w:lineRule="auto"/>
        <w:tabs>
          <w:tab w:leader="none" w:pos="331" w:val="left"/>
        </w:tabs>
        <w:numPr>
          <w:ilvl w:val="0"/>
          <w:numId w:val="63"/>
        </w:numPr>
        <w:rPr>
          <w:rFonts w:ascii="Times New Roman" w:cs="Times New Roman" w:eastAsia="Times New Roman" w:hAnsi="Times New Roman"/>
          <w:sz w:val="16"/>
          <w:szCs w:val="16"/>
          <w:color w:val="auto"/>
        </w:rPr>
      </w:pPr>
      <w:r>
        <w:rPr>
          <w:rFonts w:ascii="Arial" w:cs="Arial" w:eastAsia="Arial" w:hAnsi="Arial"/>
          <w:sz w:val="16"/>
          <w:szCs w:val="16"/>
          <w:color w:val="auto"/>
        </w:rPr>
        <w:t>Review corporate governance trends, recent regulatory developments and the Company’s corporate governance documents, policies and procedures to determine if any changes should be considered</w:t>
      </w:r>
    </w:p>
    <w:p>
      <w:pPr>
        <w:spacing w:after="0" w:line="4" w:lineRule="exact"/>
        <w:rPr>
          <w:rFonts w:ascii="Times New Roman" w:cs="Times New Roman" w:eastAsia="Times New Roman" w:hAnsi="Times New Roman"/>
          <w:sz w:val="16"/>
          <w:szCs w:val="16"/>
          <w:color w:val="auto"/>
        </w:rPr>
      </w:pPr>
    </w:p>
    <w:p>
      <w:pPr>
        <w:ind w:left="331" w:right="860" w:hanging="331"/>
        <w:spacing w:after="0" w:line="316" w:lineRule="auto"/>
        <w:tabs>
          <w:tab w:leader="none" w:pos="331" w:val="left"/>
        </w:tabs>
        <w:numPr>
          <w:ilvl w:val="0"/>
          <w:numId w:val="63"/>
        </w:numPr>
        <w:rPr>
          <w:rFonts w:ascii="Times New Roman" w:cs="Times New Roman" w:eastAsia="Times New Roman" w:hAnsi="Times New Roman"/>
          <w:sz w:val="16"/>
          <w:szCs w:val="16"/>
          <w:color w:val="auto"/>
        </w:rPr>
      </w:pPr>
      <w:r>
        <w:rPr>
          <w:rFonts w:ascii="Arial" w:cs="Arial" w:eastAsia="Arial" w:hAnsi="Arial"/>
          <w:sz w:val="16"/>
          <w:szCs w:val="16"/>
          <w:color w:val="auto"/>
        </w:rPr>
        <w:t>Determine topics for discussion during of-season stockholder engagement</w:t>
      </w:r>
    </w:p>
    <w:p>
      <w:pPr>
        <w:ind w:left="331" w:right="580" w:hanging="331"/>
        <w:spacing w:after="0" w:line="296" w:lineRule="auto"/>
        <w:tabs>
          <w:tab w:leader="none" w:pos="331" w:val="left"/>
        </w:tabs>
        <w:numPr>
          <w:ilvl w:val="0"/>
          <w:numId w:val="63"/>
        </w:numPr>
        <w:rPr>
          <w:rFonts w:ascii="Times New Roman" w:cs="Times New Roman" w:eastAsia="Times New Roman" w:hAnsi="Times New Roman"/>
          <w:sz w:val="16"/>
          <w:szCs w:val="16"/>
          <w:color w:val="auto"/>
        </w:rPr>
      </w:pPr>
      <w:r>
        <w:rPr>
          <w:rFonts w:ascii="Arial" w:cs="Arial" w:eastAsia="Arial" w:hAnsi="Arial"/>
          <w:sz w:val="16"/>
          <w:szCs w:val="16"/>
          <w:color w:val="auto"/>
        </w:rPr>
        <w:t>Issue our Corporate Impact Report, which highlights our recent developments relating to various topics, including corporate citizenship</w:t>
      </w:r>
    </w:p>
    <w:p>
      <w:pPr>
        <w:spacing w:after="0" w:line="295" w:lineRule="exact"/>
        <w:rPr>
          <w:sz w:val="20"/>
          <w:szCs w:val="20"/>
          <w:color w:val="auto"/>
        </w:rPr>
      </w:pPr>
    </w:p>
    <w:p>
      <w:pPr>
        <w:sectPr>
          <w:pgSz w:w="11900" w:h="16838" w:orient="portrait"/>
          <w:cols w:equalWidth="0" w:num="2">
            <w:col w:w="4640" w:space="629"/>
            <w:col w:w="4451"/>
          </w:cols>
          <w:pgMar w:left="1080" w:top="695" w:right="10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2026  Proxy  Statement</w:t>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1414D2"/>
        </w:rPr>
        <w:t>57</w:t>
      </w:r>
    </w:p>
    <w:p>
      <w:pPr>
        <w:sectPr>
          <w:pgSz w:w="11900" w:h="16838" w:orient="portrait"/>
          <w:cols w:equalWidth="0" w:num="1">
            <w:col w:w="9720"/>
          </w:cols>
          <w:pgMar w:left="1080" w:top="695" w:right="1099" w:bottom="1440" w:gutter="0" w:footer="0" w:header="0"/>
          <w:type w:val="continuous"/>
        </w:sectPr>
      </w:pPr>
    </w:p>
    <w:bookmarkStart w:id="68" w:name="page69"/>
    <w:bookmarkEnd w:id="68"/>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6D6F71"/>
        </w:rPr>
        <w:t>Board  and  Corporate  Governance  Matters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STOCKHOLDER ENGAGEMENT AND RESPONSIVENESS</w:t>
      </w:r>
    </w:p>
    <w:p>
      <w:pPr>
        <w:spacing w:after="0" w:line="86" w:lineRule="exact"/>
        <w:rPr>
          <w:sz w:val="20"/>
          <w:szCs w:val="20"/>
          <w:color w:val="auto"/>
        </w:rPr>
      </w:pPr>
    </w:p>
    <w:p>
      <w:pPr>
        <w:ind w:right="2700"/>
        <w:spacing w:after="0" w:line="250" w:lineRule="auto"/>
        <w:rPr>
          <w:sz w:val="20"/>
          <w:szCs w:val="20"/>
          <w:color w:val="auto"/>
        </w:rPr>
      </w:pPr>
      <w:r>
        <w:rPr>
          <w:rFonts w:ascii="Arial" w:cs="Arial" w:eastAsia="Arial" w:hAnsi="Arial"/>
          <w:sz w:val="16"/>
          <w:szCs w:val="16"/>
          <w:color w:val="auto"/>
        </w:rPr>
        <w:t>To inform our corporate governance practices, understand and consider the issues that matter most to our stockholders and keep our stockholders informed about our business, we engage with our stockholders and the broader corporate governance community year-round to seek their feedback on areas where we are performing well and areas for</w:t>
      </w:r>
    </w:p>
    <w:p>
      <w:pPr>
        <w:spacing w:after="0" w:line="3" w:lineRule="exact"/>
        <w:rPr>
          <w:sz w:val="20"/>
          <w:szCs w:val="20"/>
          <w:color w:val="auto"/>
        </w:rPr>
      </w:pPr>
    </w:p>
    <w:p>
      <w:pPr>
        <w:ind w:right="2700"/>
        <w:spacing w:after="0" w:line="252" w:lineRule="auto"/>
        <w:rPr>
          <w:sz w:val="20"/>
          <w:szCs w:val="20"/>
          <w:color w:val="auto"/>
        </w:rPr>
      </w:pPr>
      <w:r>
        <w:rPr>
          <w:rFonts w:ascii="Arial" w:cs="Arial" w:eastAsia="Arial" w:hAnsi="Arial"/>
          <w:sz w:val="16"/>
          <w:szCs w:val="16"/>
          <w:color w:val="auto"/>
        </w:rPr>
        <w:t>potential improvement. We held discussions with a number of our stockholders in the spring before the 2025 annual meeting of stockholders. However, we believe it is most productive to discuss these matters well in advance of the annual meeting of stockholders</w:t>
      </w:r>
    </w:p>
    <w:p>
      <w:pPr>
        <w:spacing w:after="0" w:line="1" w:lineRule="exact"/>
        <w:rPr>
          <w:sz w:val="20"/>
          <w:szCs w:val="20"/>
          <w:color w:val="auto"/>
        </w:rPr>
      </w:pPr>
    </w:p>
    <w:p>
      <w:pPr>
        <w:ind w:right="2820"/>
        <w:spacing w:after="0" w:line="250" w:lineRule="auto"/>
        <w:rPr>
          <w:sz w:val="20"/>
          <w:szCs w:val="20"/>
          <w:color w:val="auto"/>
        </w:rPr>
      </w:pPr>
      <w:r>
        <w:rPr>
          <w:rFonts w:ascii="Arial" w:cs="Arial" w:eastAsia="Arial" w:hAnsi="Arial"/>
          <w:sz w:val="16"/>
          <w:szCs w:val="16"/>
          <w:color w:val="auto"/>
        </w:rPr>
        <w:t>to enable management and the Board to gather information about investor perspectives and make educated and deliberate decisions that are balanced and appropriate for the Company’s broad stockholder base and in the Company’s best interests. Since our 2025 annual meeting of stockholders, we contacted stockholders representing approximately</w:t>
      </w:r>
    </w:p>
    <w:p>
      <w:pPr>
        <w:spacing w:after="0" w:line="3" w:lineRule="exact"/>
        <w:rPr>
          <w:sz w:val="20"/>
          <w:szCs w:val="20"/>
          <w:color w:val="auto"/>
        </w:rPr>
      </w:pPr>
    </w:p>
    <w:p>
      <w:pPr>
        <w:ind w:right="2600"/>
        <w:spacing w:after="0" w:line="250" w:lineRule="auto"/>
        <w:rPr>
          <w:sz w:val="20"/>
          <w:szCs w:val="20"/>
          <w:color w:val="auto"/>
        </w:rPr>
      </w:pPr>
      <w:r>
        <w:rPr>
          <w:rFonts w:ascii="Arial" w:cs="Arial" w:eastAsia="Arial" w:hAnsi="Arial"/>
          <w:sz w:val="16"/>
          <w:szCs w:val="16"/>
          <w:color w:val="auto"/>
        </w:rPr>
        <w:t>61% of our outstanding shares to ofer engagement meetings based on flings made by our stockholders with the SEC on or before March 31, 2026. Members of our Investor Relations department and Corporate Secretary’s Ofce, as well as other subject-matter experts within the Company, spoke with a substantial number of stockholders representing holdings both</w:t>
      </w:r>
    </w:p>
    <w:p>
      <w:pPr>
        <w:spacing w:after="0" w:line="3"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large and small on strategy, fnancial and operating performance, executive compensation, oversight of artifcial intelligence, labor management, safety, environmental sustainability, responsible sourcing and corporate governance matters, among others. We shared these discussions with our Nominating/Governance Committee as appropriate and our Chairman met with one of our top stockholders. We took feedback and insights from our engagement with stockholders and other stakeholders</w:t>
      </w:r>
    </w:p>
    <w:p>
      <w:pPr>
        <w:spacing w:after="0" w:line="3" w:lineRule="exact"/>
        <w:rPr>
          <w:sz w:val="20"/>
          <w:szCs w:val="20"/>
          <w:color w:val="auto"/>
        </w:rPr>
      </w:pPr>
    </w:p>
    <w:p>
      <w:pPr>
        <w:ind w:right="140"/>
        <w:spacing w:after="0" w:line="252" w:lineRule="auto"/>
        <w:rPr>
          <w:sz w:val="20"/>
          <w:szCs w:val="20"/>
          <w:color w:val="auto"/>
        </w:rPr>
      </w:pPr>
      <w:r>
        <w:rPr>
          <w:rFonts w:ascii="Arial" w:cs="Arial" w:eastAsia="Arial" w:hAnsi="Arial"/>
          <w:sz w:val="16"/>
          <w:szCs w:val="16"/>
          <w:color w:val="auto"/>
        </w:rPr>
        <w:t>into consideration as we reviewed and evolved our corporate practices and policies. As noted above, the Board updates our corporate governance framework each year based on a number of inputs, including stockholder feedback. We also engaged with the proponent who submitted a stockholder proposal this year to better understand the rationale and request of his</w:t>
      </w:r>
    </w:p>
    <w:p>
      <w:pPr>
        <w:spacing w:after="0" w:line="1"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proposal. In addition, throughout the year, our Investor Relations group engages with our stockholders, frequently along with our Chief Executive Ofcer and our Chief Financial Ofcer. This engagement includes attending investor conferences, holding one-on-one and small group meetings and calls with investors, and also interacting with investors and the analyst community during our quarterly earnings conference calls.</w:t>
      </w:r>
    </w:p>
    <w:p>
      <w:pPr>
        <w:spacing w:after="0" w:line="15" w:lineRule="exact"/>
        <w:rPr>
          <w:sz w:val="20"/>
          <w:szCs w:val="20"/>
          <w:color w:val="auto"/>
        </w:rPr>
      </w:pPr>
    </w:p>
    <w:p>
      <w:pPr>
        <w:ind w:right="400"/>
        <w:spacing w:after="0" w:line="313" w:lineRule="auto"/>
        <w:rPr>
          <w:sz w:val="20"/>
          <w:szCs w:val="20"/>
          <w:color w:val="auto"/>
        </w:rPr>
      </w:pPr>
      <w:r>
        <w:rPr>
          <w:rFonts w:ascii="Arial" w:cs="Arial" w:eastAsia="Arial" w:hAnsi="Arial"/>
          <w:sz w:val="16"/>
          <w:szCs w:val="16"/>
          <w:color w:val="auto"/>
        </w:rPr>
        <w:t>We encourage our stockholders to reach out directly to us to let us know your thoughts about the Company or to bring a particular matter to our attention.</w:t>
      </w:r>
    </w:p>
    <w:p>
      <w:pPr>
        <w:sectPr>
          <w:pgSz w:w="11900" w:h="16838" w:orient="portrait"/>
          <w:cols w:equalWidth="0" w:num="1">
            <w:col w:w="9560"/>
          </w:cols>
          <w:pgMar w:left="1080" w:top="695"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right"/>
        <w:ind w:right="7560"/>
        <w:spacing w:after="0"/>
        <w:rPr>
          <w:sz w:val="20"/>
          <w:szCs w:val="20"/>
          <w:color w:val="auto"/>
        </w:rPr>
      </w:pPr>
      <w:r>
        <w:rPr>
          <w:rFonts w:ascii="Arial" w:cs="Arial" w:eastAsia="Arial" w:hAnsi="Arial"/>
          <w:sz w:val="16"/>
          <w:szCs w:val="16"/>
          <w:color w:val="auto"/>
        </w:rPr>
        <w:t>​​2026​  Proxy</w:t>
      </w:r>
    </w:p>
    <w:p>
      <w:pPr>
        <w:spacing w:after="0" w:line="5" w:lineRule="exact"/>
        <w:rPr>
          <w:sz w:val="20"/>
          <w:szCs w:val="20"/>
          <w:color w:val="auto"/>
        </w:rPr>
      </w:pPr>
    </w:p>
    <w:p>
      <w:pPr>
        <w:ind w:left="660" w:hanging="656"/>
        <w:spacing w:after="0"/>
        <w:tabs>
          <w:tab w:leader="none" w:pos="660" w:val="left"/>
        </w:tabs>
        <w:numPr>
          <w:ilvl w:val="0"/>
          <w:numId w:val="64"/>
        </w:numPr>
        <w:rPr>
          <w:rFonts w:ascii="Arial" w:cs="Arial" w:eastAsia="Arial" w:hAnsi="Arial"/>
          <w:sz w:val="16"/>
          <w:szCs w:val="16"/>
          <w:b w:val="1"/>
          <w:bCs w:val="1"/>
          <w:color w:val="1414D2"/>
        </w:rPr>
      </w:pPr>
      <w:r>
        <w:rPr>
          <w:rFonts w:ascii="Arial" w:cs="Arial" w:eastAsia="Arial" w:hAnsi="Arial"/>
          <w:sz w:val="16"/>
          <w:szCs w:val="16"/>
          <w:color w:val="auto"/>
        </w:rPr>
        <w:t>Statement</w:t>
      </w:r>
    </w:p>
    <w:p>
      <w:pPr>
        <w:sectPr>
          <w:pgSz w:w="11900" w:h="16838" w:orient="portrait"/>
          <w:cols w:equalWidth="0" w:num="1">
            <w:col w:w="9560"/>
          </w:cols>
          <w:pgMar w:left="1080" w:top="695" w:right="1259" w:bottom="1440" w:gutter="0" w:footer="0" w:header="0"/>
          <w:type w:val="continuous"/>
        </w:sectPr>
      </w:pPr>
    </w:p>
    <w:bookmarkStart w:id="69" w:name="page70"/>
    <w:bookmarkEnd w:id="69"/>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27" w:lineRule="exact"/>
        <w:rPr>
          <w:sz w:val="20"/>
          <w:szCs w:val="20"/>
          <w:color w:val="auto"/>
        </w:rPr>
      </w:pPr>
    </w:p>
    <w:p>
      <w:pPr>
        <w:ind w:left="6900"/>
        <w:spacing w:after="0"/>
        <w:rPr>
          <w:sz w:val="20"/>
          <w:szCs w:val="20"/>
          <w:color w:val="auto"/>
        </w:rPr>
      </w:pPr>
      <w:r>
        <w:rPr>
          <w:rFonts w:ascii="Arial" w:cs="Arial" w:eastAsia="Arial" w:hAnsi="Arial"/>
          <w:sz w:val="14"/>
          <w:szCs w:val="14"/>
          <w:color w:val="6D6F71"/>
        </w:rPr>
        <w:t>Board  and  Corporate  Governance  Matters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Some  key  themes  in  2025  and  early  2026  emerged  as  part  of  our  various  engagements  as  set  forth  below.</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344"/>
        </w:trPr>
        <w:tc>
          <w:tcPr>
            <w:tcW w:w="1820" w:type="dxa"/>
            <w:vAlign w:val="bottom"/>
            <w:tcBorders>
              <w:top w:val="single" w:sz="8" w:color="1414D2"/>
              <w:bottom w:val="single" w:sz="8" w:color="F2F2F2"/>
            </w:tcBorders>
            <w:shd w:val="clear" w:color="auto" w:fill="F2F2F2"/>
          </w:tcPr>
          <w:p>
            <w:pPr>
              <w:ind w:left="820"/>
              <w:spacing w:after="0"/>
              <w:rPr>
                <w:sz w:val="20"/>
                <w:szCs w:val="20"/>
                <w:color w:val="auto"/>
              </w:rPr>
            </w:pPr>
            <w:r>
              <w:rPr>
                <w:rFonts w:ascii="Arial" w:cs="Arial" w:eastAsia="Arial" w:hAnsi="Arial"/>
                <w:sz w:val="14"/>
                <w:szCs w:val="14"/>
                <w:b w:val="1"/>
                <w:bCs w:val="1"/>
                <w:color w:val="auto"/>
              </w:rPr>
              <w:t>Topic</w:t>
            </w:r>
          </w:p>
        </w:tc>
        <w:tc>
          <w:tcPr>
            <w:tcW w:w="3400" w:type="dxa"/>
            <w:vAlign w:val="bottom"/>
            <w:tcBorders>
              <w:top w:val="single" w:sz="8" w:color="1414D2"/>
              <w:bottom w:val="single" w:sz="8" w:color="F2F2F2"/>
            </w:tcBorders>
            <w:shd w:val="clear" w:color="auto" w:fill="F2F2F2"/>
          </w:tcPr>
          <w:p>
            <w:pPr>
              <w:ind w:left="1000"/>
              <w:spacing w:after="0"/>
              <w:rPr>
                <w:sz w:val="20"/>
                <w:szCs w:val="20"/>
                <w:color w:val="auto"/>
              </w:rPr>
            </w:pPr>
            <w:r>
              <w:rPr>
                <w:rFonts w:ascii="Arial" w:cs="Arial" w:eastAsia="Arial" w:hAnsi="Arial"/>
                <w:sz w:val="14"/>
                <w:szCs w:val="14"/>
                <w:b w:val="1"/>
                <w:bCs w:val="1"/>
                <w:color w:val="auto"/>
              </w:rPr>
              <w:t>Stockholder Feedback</w:t>
            </w:r>
          </w:p>
        </w:tc>
        <w:tc>
          <w:tcPr>
            <w:tcW w:w="4500" w:type="dxa"/>
            <w:vAlign w:val="bottom"/>
            <w:tcBorders>
              <w:top w:val="single" w:sz="8" w:color="1414D2"/>
              <w:bottom w:val="single" w:sz="8" w:color="F2F2F2"/>
            </w:tcBorders>
            <w:shd w:val="clear" w:color="auto" w:fill="F2F2F2"/>
          </w:tcPr>
          <w:p>
            <w:pPr>
              <w:ind w:left="1540"/>
              <w:spacing w:after="0"/>
              <w:rPr>
                <w:sz w:val="20"/>
                <w:szCs w:val="20"/>
                <w:color w:val="auto"/>
              </w:rPr>
            </w:pPr>
            <w:r>
              <w:rPr>
                <w:rFonts w:ascii="Arial" w:cs="Arial" w:eastAsia="Arial" w:hAnsi="Arial"/>
                <w:sz w:val="14"/>
                <w:szCs w:val="14"/>
                <w:b w:val="1"/>
                <w:bCs w:val="1"/>
                <w:color w:val="auto"/>
              </w:rPr>
              <w:t>Company Response</w:t>
            </w:r>
          </w:p>
        </w:tc>
      </w:tr>
      <w:tr>
        <w:trPr>
          <w:trHeight w:val="243"/>
        </w:trPr>
        <w:tc>
          <w:tcPr>
            <w:tcW w:w="1820" w:type="dxa"/>
            <w:vAlign w:val="bottom"/>
          </w:tcPr>
          <w:p>
            <w:pPr>
              <w:ind w:left="240"/>
              <w:spacing w:after="0"/>
              <w:rPr>
                <w:sz w:val="20"/>
                <w:szCs w:val="20"/>
                <w:color w:val="auto"/>
              </w:rPr>
            </w:pPr>
            <w:r>
              <w:rPr>
                <w:rFonts w:ascii="Arial" w:cs="Arial" w:eastAsia="Arial" w:hAnsi="Arial"/>
                <w:sz w:val="16"/>
                <w:szCs w:val="16"/>
                <w:b w:val="1"/>
                <w:bCs w:val="1"/>
                <w:color w:val="1414D2"/>
              </w:rPr>
              <w:t>EXECUTIVE</w:t>
            </w:r>
          </w:p>
        </w:tc>
        <w:tc>
          <w:tcPr>
            <w:tcW w:w="3400" w:type="dxa"/>
            <w:vAlign w:val="bottom"/>
          </w:tcPr>
          <w:p>
            <w:pPr>
              <w:ind w:left="300"/>
              <w:spacing w:after="0"/>
              <w:rPr>
                <w:sz w:val="20"/>
                <w:szCs w:val="20"/>
                <w:color w:val="auto"/>
              </w:rPr>
            </w:pPr>
            <w:r>
              <w:rPr>
                <w:rFonts w:ascii="Arial" w:cs="Arial" w:eastAsia="Arial" w:hAnsi="Arial"/>
                <w:sz w:val="14"/>
                <w:szCs w:val="14"/>
                <w:color w:val="auto"/>
              </w:rPr>
              <w:t>Stockholders  expressed  concerns  related  to</w:t>
            </w:r>
          </w:p>
        </w:tc>
        <w:tc>
          <w:tcPr>
            <w:tcW w:w="4500" w:type="dxa"/>
            <w:vAlign w:val="bottom"/>
          </w:tcPr>
          <w:p>
            <w:pPr>
              <w:ind w:left="140"/>
              <w:spacing w:after="0"/>
              <w:rPr>
                <w:sz w:val="20"/>
                <w:szCs w:val="20"/>
                <w:color w:val="auto"/>
              </w:rPr>
            </w:pPr>
            <w:r>
              <w:rPr>
                <w:rFonts w:ascii="Arial" w:cs="Arial" w:eastAsia="Arial" w:hAnsi="Arial"/>
                <w:sz w:val="14"/>
                <w:szCs w:val="14"/>
                <w:color w:val="auto"/>
              </w:rPr>
              <w:t>In  2025  we  did  not  grant  any  retention  or  special  awards</w:t>
            </w:r>
          </w:p>
        </w:tc>
      </w:tr>
      <w:tr>
        <w:trPr>
          <w:trHeight w:val="203"/>
        </w:trPr>
        <w:tc>
          <w:tcPr>
            <w:tcW w:w="1820" w:type="dxa"/>
            <w:vAlign w:val="bottom"/>
          </w:tcPr>
          <w:p>
            <w:pPr>
              <w:ind w:left="240"/>
              <w:spacing w:after="0"/>
              <w:rPr>
                <w:sz w:val="20"/>
                <w:szCs w:val="20"/>
                <w:color w:val="auto"/>
              </w:rPr>
            </w:pPr>
            <w:r>
              <w:rPr>
                <w:rFonts w:ascii="Arial" w:cs="Arial" w:eastAsia="Arial" w:hAnsi="Arial"/>
                <w:sz w:val="16"/>
                <w:szCs w:val="16"/>
                <w:b w:val="1"/>
                <w:bCs w:val="1"/>
                <w:color w:val="1414D2"/>
              </w:rPr>
              <w:t>COMPENSATION</w:t>
            </w:r>
          </w:p>
        </w:tc>
        <w:tc>
          <w:tcPr>
            <w:tcW w:w="3400" w:type="dxa"/>
            <w:vAlign w:val="bottom"/>
          </w:tcPr>
          <w:p>
            <w:pPr>
              <w:ind w:left="300"/>
              <w:spacing w:after="0"/>
              <w:rPr>
                <w:sz w:val="20"/>
                <w:szCs w:val="20"/>
                <w:color w:val="auto"/>
              </w:rPr>
            </w:pPr>
            <w:r>
              <w:rPr>
                <w:rFonts w:ascii="Arial" w:cs="Arial" w:eastAsia="Arial" w:hAnsi="Arial"/>
                <w:sz w:val="14"/>
                <w:szCs w:val="14"/>
                <w:color w:val="auto"/>
              </w:rPr>
              <w:t>the  special  retention  LTI  awards  that  we</w:t>
            </w:r>
          </w:p>
        </w:tc>
        <w:tc>
          <w:tcPr>
            <w:tcW w:w="4500" w:type="dxa"/>
            <w:vAlign w:val="bottom"/>
          </w:tcPr>
          <w:p>
            <w:pPr>
              <w:ind w:left="140"/>
              <w:spacing w:after="0"/>
              <w:rPr>
                <w:sz w:val="20"/>
                <w:szCs w:val="20"/>
                <w:color w:val="auto"/>
              </w:rPr>
            </w:pPr>
            <w:r>
              <w:rPr>
                <w:rFonts w:ascii="Arial" w:cs="Arial" w:eastAsia="Arial" w:hAnsi="Arial"/>
                <w:sz w:val="14"/>
                <w:szCs w:val="14"/>
                <w:color w:val="auto"/>
              </w:rPr>
              <w:t>outside  of  our  regular  annual  STI  or  LTI  program  to  any  of  our</w:t>
            </w:r>
          </w:p>
        </w:tc>
      </w:tr>
      <w:tr>
        <w:trPr>
          <w:trHeight w:val="130"/>
        </w:trPr>
        <w:tc>
          <w:tcPr>
            <w:tcW w:w="1820" w:type="dxa"/>
            <w:vAlign w:val="bottom"/>
          </w:tcPr>
          <w:p>
            <w:pPr>
              <w:spacing w:after="0"/>
              <w:rPr>
                <w:sz w:val="11"/>
                <w:szCs w:val="11"/>
                <w:color w:val="auto"/>
              </w:rPr>
            </w:pPr>
          </w:p>
        </w:tc>
        <w:tc>
          <w:tcPr>
            <w:tcW w:w="3400" w:type="dxa"/>
            <w:vAlign w:val="bottom"/>
          </w:tcPr>
          <w:p>
            <w:pPr>
              <w:ind w:left="300"/>
              <w:spacing w:after="0" w:line="130" w:lineRule="exact"/>
              <w:rPr>
                <w:sz w:val="20"/>
                <w:szCs w:val="20"/>
                <w:color w:val="auto"/>
              </w:rPr>
            </w:pPr>
            <w:r>
              <w:rPr>
                <w:rFonts w:ascii="Arial" w:cs="Arial" w:eastAsia="Arial" w:hAnsi="Arial"/>
                <w:sz w:val="14"/>
                <w:szCs w:val="14"/>
                <w:color w:val="auto"/>
              </w:rPr>
              <w:t>granted  in  July  2024,  which  were  deemed</w:t>
            </w:r>
          </w:p>
        </w:tc>
        <w:tc>
          <w:tcPr>
            <w:tcW w:w="4500" w:type="dxa"/>
            <w:vAlign w:val="bottom"/>
          </w:tcPr>
          <w:p>
            <w:pPr>
              <w:ind w:left="140"/>
              <w:spacing w:after="0" w:line="130" w:lineRule="exact"/>
              <w:rPr>
                <w:sz w:val="20"/>
                <w:szCs w:val="20"/>
                <w:color w:val="auto"/>
              </w:rPr>
            </w:pPr>
            <w:r>
              <w:rPr>
                <w:rFonts w:ascii="Arial" w:cs="Arial" w:eastAsia="Arial" w:hAnsi="Arial"/>
                <w:sz w:val="14"/>
                <w:szCs w:val="14"/>
                <w:color w:val="auto"/>
              </w:rPr>
              <w:t>NEOs  and  further,  we  do  not  currently  intend  to  grant  any</w:t>
            </w:r>
          </w:p>
        </w:tc>
      </w:tr>
      <w:tr>
        <w:trPr>
          <w:trHeight w:val="162"/>
        </w:trPr>
        <w:tc>
          <w:tcPr>
            <w:tcW w:w="1820" w:type="dxa"/>
            <w:vAlign w:val="bottom"/>
          </w:tcPr>
          <w:p>
            <w:pPr>
              <w:spacing w:after="0"/>
              <w:rPr>
                <w:sz w:val="14"/>
                <w:szCs w:val="14"/>
                <w:color w:val="auto"/>
              </w:rPr>
            </w:pPr>
          </w:p>
        </w:tc>
        <w:tc>
          <w:tcPr>
            <w:tcW w:w="3400" w:type="dxa"/>
            <w:vAlign w:val="bottom"/>
          </w:tcPr>
          <w:p>
            <w:pPr>
              <w:ind w:left="300"/>
              <w:spacing w:after="0"/>
              <w:rPr>
                <w:sz w:val="20"/>
                <w:szCs w:val="20"/>
                <w:color w:val="auto"/>
              </w:rPr>
            </w:pPr>
            <w:r>
              <w:rPr>
                <w:rFonts w:ascii="Arial" w:cs="Arial" w:eastAsia="Arial" w:hAnsi="Arial"/>
                <w:sz w:val="14"/>
                <w:szCs w:val="14"/>
                <w:color w:val="auto"/>
              </w:rPr>
              <w:t>critical  to  incentivizing  and  retaining  our  key</w:t>
            </w:r>
          </w:p>
        </w:tc>
        <w:tc>
          <w:tcPr>
            <w:tcW w:w="4500" w:type="dxa"/>
            <w:vAlign w:val="bottom"/>
          </w:tcPr>
          <w:p>
            <w:pPr>
              <w:ind w:left="140"/>
              <w:spacing w:after="0"/>
              <w:rPr>
                <w:sz w:val="20"/>
                <w:szCs w:val="20"/>
                <w:color w:val="auto"/>
              </w:rPr>
            </w:pPr>
            <w:r>
              <w:rPr>
                <w:rFonts w:ascii="Arial" w:cs="Arial" w:eastAsia="Arial" w:hAnsi="Arial"/>
                <w:sz w:val="14"/>
                <w:szCs w:val="14"/>
                <w:color w:val="auto"/>
              </w:rPr>
              <w:t>retention  or  special  awards  outside  of  our  regular  annual  STI</w:t>
            </w:r>
          </w:p>
        </w:tc>
      </w:tr>
      <w:tr>
        <w:trPr>
          <w:trHeight w:val="176"/>
        </w:trPr>
        <w:tc>
          <w:tcPr>
            <w:tcW w:w="1820" w:type="dxa"/>
            <w:vAlign w:val="bottom"/>
          </w:tcPr>
          <w:p>
            <w:pPr>
              <w:spacing w:after="0"/>
              <w:rPr>
                <w:sz w:val="15"/>
                <w:szCs w:val="15"/>
                <w:color w:val="auto"/>
              </w:rPr>
            </w:pPr>
          </w:p>
        </w:tc>
        <w:tc>
          <w:tcPr>
            <w:tcW w:w="3400" w:type="dxa"/>
            <w:vAlign w:val="bottom"/>
          </w:tcPr>
          <w:p>
            <w:pPr>
              <w:ind w:left="300"/>
              <w:spacing w:after="0"/>
              <w:rPr>
                <w:sz w:val="20"/>
                <w:szCs w:val="20"/>
                <w:color w:val="auto"/>
              </w:rPr>
            </w:pPr>
            <w:r>
              <w:rPr>
                <w:rFonts w:ascii="Arial" w:cs="Arial" w:eastAsia="Arial" w:hAnsi="Arial"/>
                <w:sz w:val="14"/>
                <w:szCs w:val="14"/>
                <w:color w:val="auto"/>
              </w:rPr>
              <w:t>executives  and  were  awarded  to  achieve</w:t>
            </w:r>
          </w:p>
        </w:tc>
        <w:tc>
          <w:tcPr>
            <w:tcW w:w="4500" w:type="dxa"/>
            <w:vAlign w:val="bottom"/>
          </w:tcPr>
          <w:p>
            <w:pPr>
              <w:ind w:left="140"/>
              <w:spacing w:after="0"/>
              <w:rPr>
                <w:sz w:val="20"/>
                <w:szCs w:val="20"/>
                <w:color w:val="auto"/>
              </w:rPr>
            </w:pPr>
            <w:r>
              <w:rPr>
                <w:rFonts w:ascii="Arial" w:cs="Arial" w:eastAsia="Arial" w:hAnsi="Arial"/>
                <w:sz w:val="14"/>
                <w:szCs w:val="14"/>
                <w:color w:val="auto"/>
                <w:w w:val="95"/>
              </w:rPr>
              <w:t>or  LTI  program  to  any  of  our  NEOs  in  2026  except  in  the  case  of</w:t>
            </w:r>
          </w:p>
        </w:tc>
      </w:tr>
      <w:tr>
        <w:trPr>
          <w:trHeight w:val="175"/>
        </w:trPr>
        <w:tc>
          <w:tcPr>
            <w:tcW w:w="1820" w:type="dxa"/>
            <w:vAlign w:val="bottom"/>
          </w:tcPr>
          <w:p>
            <w:pPr>
              <w:spacing w:after="0"/>
              <w:rPr>
                <w:sz w:val="15"/>
                <w:szCs w:val="15"/>
                <w:color w:val="auto"/>
              </w:rPr>
            </w:pPr>
          </w:p>
        </w:tc>
        <w:tc>
          <w:tcPr>
            <w:tcW w:w="3400" w:type="dxa"/>
            <w:vAlign w:val="bottom"/>
          </w:tcPr>
          <w:p>
            <w:pPr>
              <w:ind w:left="300"/>
              <w:spacing w:after="0"/>
              <w:rPr>
                <w:sz w:val="20"/>
                <w:szCs w:val="20"/>
                <w:color w:val="auto"/>
              </w:rPr>
            </w:pPr>
            <w:r>
              <w:rPr>
                <w:rFonts w:ascii="Arial" w:cs="Arial" w:eastAsia="Arial" w:hAnsi="Arial"/>
                <w:sz w:val="14"/>
                <w:szCs w:val="14"/>
                <w:color w:val="auto"/>
              </w:rPr>
              <w:t>specifc  retention  objectives.</w:t>
            </w:r>
          </w:p>
        </w:tc>
        <w:tc>
          <w:tcPr>
            <w:tcW w:w="4500" w:type="dxa"/>
            <w:vAlign w:val="bottom"/>
          </w:tcPr>
          <w:p>
            <w:pPr>
              <w:ind w:left="140"/>
              <w:spacing w:after="0"/>
              <w:rPr>
                <w:sz w:val="20"/>
                <w:szCs w:val="20"/>
                <w:color w:val="auto"/>
              </w:rPr>
            </w:pPr>
            <w:r>
              <w:rPr>
                <w:rFonts w:ascii="Arial" w:cs="Arial" w:eastAsia="Arial" w:hAnsi="Arial"/>
                <w:sz w:val="14"/>
                <w:szCs w:val="14"/>
                <w:color w:val="auto"/>
              </w:rPr>
              <w:t>extraordinary  circumstances.  The  Committee,  however,</w:t>
            </w:r>
          </w:p>
        </w:tc>
      </w:tr>
      <w:tr>
        <w:trPr>
          <w:trHeight w:val="162"/>
        </w:trPr>
        <w:tc>
          <w:tcPr>
            <w:tcW w:w="18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4500" w:type="dxa"/>
            <w:vAlign w:val="bottom"/>
          </w:tcPr>
          <w:p>
            <w:pPr>
              <w:ind w:left="140"/>
              <w:spacing w:after="0"/>
              <w:rPr>
                <w:sz w:val="20"/>
                <w:szCs w:val="20"/>
                <w:color w:val="auto"/>
              </w:rPr>
            </w:pPr>
            <w:r>
              <w:rPr>
                <w:rFonts w:ascii="Arial" w:cs="Arial" w:eastAsia="Arial" w:hAnsi="Arial"/>
                <w:sz w:val="14"/>
                <w:szCs w:val="14"/>
                <w:color w:val="auto"/>
              </w:rPr>
              <w:t>continues  to  review  the  design  and  performance  measures  of</w:t>
            </w:r>
          </w:p>
        </w:tc>
      </w:tr>
      <w:tr>
        <w:trPr>
          <w:trHeight w:val="176"/>
        </w:trPr>
        <w:tc>
          <w:tcPr>
            <w:tcW w:w="18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4500" w:type="dxa"/>
            <w:vAlign w:val="bottom"/>
          </w:tcPr>
          <w:p>
            <w:pPr>
              <w:ind w:left="140"/>
              <w:spacing w:after="0"/>
              <w:rPr>
                <w:sz w:val="20"/>
                <w:szCs w:val="20"/>
                <w:color w:val="auto"/>
              </w:rPr>
            </w:pPr>
            <w:r>
              <w:rPr>
                <w:rFonts w:ascii="Arial" w:cs="Arial" w:eastAsia="Arial" w:hAnsi="Arial"/>
                <w:sz w:val="14"/>
                <w:szCs w:val="14"/>
                <w:color w:val="auto"/>
              </w:rPr>
              <w:t>our  incentive  programs  as  part  of  its  regular  annual  process</w:t>
            </w:r>
          </w:p>
        </w:tc>
      </w:tr>
      <w:tr>
        <w:trPr>
          <w:trHeight w:val="176"/>
        </w:trPr>
        <w:tc>
          <w:tcPr>
            <w:tcW w:w="18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4500" w:type="dxa"/>
            <w:vAlign w:val="bottom"/>
          </w:tcPr>
          <w:p>
            <w:pPr>
              <w:ind w:left="140"/>
              <w:spacing w:after="0"/>
              <w:rPr>
                <w:sz w:val="20"/>
                <w:szCs w:val="20"/>
                <w:color w:val="auto"/>
              </w:rPr>
            </w:pPr>
            <w:r>
              <w:rPr>
                <w:rFonts w:ascii="Arial" w:cs="Arial" w:eastAsia="Arial" w:hAnsi="Arial"/>
                <w:sz w:val="14"/>
                <w:szCs w:val="14"/>
                <w:color w:val="auto"/>
              </w:rPr>
              <w:t>and  may  make  refnements  to  the  structure  or  performance</w:t>
            </w:r>
          </w:p>
        </w:tc>
      </w:tr>
      <w:tr>
        <w:trPr>
          <w:trHeight w:val="162"/>
        </w:trPr>
        <w:tc>
          <w:tcPr>
            <w:tcW w:w="18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4500" w:type="dxa"/>
            <w:vAlign w:val="bottom"/>
          </w:tcPr>
          <w:p>
            <w:pPr>
              <w:ind w:left="140"/>
              <w:spacing w:after="0"/>
              <w:rPr>
                <w:sz w:val="20"/>
                <w:szCs w:val="20"/>
                <w:color w:val="auto"/>
              </w:rPr>
            </w:pPr>
            <w:r>
              <w:rPr>
                <w:rFonts w:ascii="Arial" w:cs="Arial" w:eastAsia="Arial" w:hAnsi="Arial"/>
                <w:sz w:val="14"/>
                <w:szCs w:val="14"/>
                <w:color w:val="auto"/>
              </w:rPr>
              <w:t>measures  of  our  ongoing  STI  and  LTI  programs  from  time  to</w:t>
            </w:r>
          </w:p>
        </w:tc>
      </w:tr>
      <w:tr>
        <w:trPr>
          <w:trHeight w:val="176"/>
        </w:trPr>
        <w:tc>
          <w:tcPr>
            <w:tcW w:w="18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4500" w:type="dxa"/>
            <w:vAlign w:val="bottom"/>
          </w:tcPr>
          <w:p>
            <w:pPr>
              <w:ind w:left="140"/>
              <w:spacing w:after="0"/>
              <w:rPr>
                <w:sz w:val="20"/>
                <w:szCs w:val="20"/>
                <w:color w:val="auto"/>
              </w:rPr>
            </w:pPr>
            <w:r>
              <w:rPr>
                <w:rFonts w:ascii="Arial" w:cs="Arial" w:eastAsia="Arial" w:hAnsi="Arial"/>
                <w:sz w:val="14"/>
                <w:szCs w:val="14"/>
                <w:color w:val="auto"/>
              </w:rPr>
              <w:t>time  to  further  align  pay  with  performance  and  stockholder</w:t>
            </w:r>
          </w:p>
        </w:tc>
      </w:tr>
      <w:tr>
        <w:trPr>
          <w:trHeight w:val="208"/>
        </w:trPr>
        <w:tc>
          <w:tcPr>
            <w:tcW w:w="18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4500" w:type="dxa"/>
            <w:vAlign w:val="bottom"/>
          </w:tcPr>
          <w:p>
            <w:pPr>
              <w:ind w:left="140"/>
              <w:spacing w:after="0"/>
              <w:rPr>
                <w:sz w:val="20"/>
                <w:szCs w:val="20"/>
                <w:color w:val="auto"/>
              </w:rPr>
            </w:pPr>
            <w:r>
              <w:rPr>
                <w:rFonts w:ascii="Arial" w:cs="Arial" w:eastAsia="Arial" w:hAnsi="Arial"/>
                <w:sz w:val="14"/>
                <w:szCs w:val="14"/>
                <w:color w:val="auto"/>
              </w:rPr>
              <w:t>interests.</w:t>
            </w:r>
          </w:p>
        </w:tc>
      </w:tr>
      <w:tr>
        <w:trPr>
          <w:trHeight w:val="54"/>
        </w:trPr>
        <w:tc>
          <w:tcPr>
            <w:tcW w:w="1820" w:type="dxa"/>
            <w:vAlign w:val="bottom"/>
            <w:tcBorders>
              <w:bottom w:val="single" w:sz="8" w:color="808080"/>
            </w:tcBorders>
          </w:tcPr>
          <w:p>
            <w:pPr>
              <w:spacing w:after="0"/>
              <w:rPr>
                <w:sz w:val="4"/>
                <w:szCs w:val="4"/>
                <w:color w:val="auto"/>
              </w:rPr>
            </w:pPr>
          </w:p>
        </w:tc>
        <w:tc>
          <w:tcPr>
            <w:tcW w:w="3400" w:type="dxa"/>
            <w:vAlign w:val="bottom"/>
            <w:tcBorders>
              <w:bottom w:val="single" w:sz="8" w:color="808080"/>
            </w:tcBorders>
          </w:tcPr>
          <w:p>
            <w:pPr>
              <w:spacing w:after="0"/>
              <w:rPr>
                <w:sz w:val="4"/>
                <w:szCs w:val="4"/>
                <w:color w:val="auto"/>
              </w:rPr>
            </w:pPr>
          </w:p>
        </w:tc>
        <w:tc>
          <w:tcPr>
            <w:tcW w:w="4500" w:type="dxa"/>
            <w:vAlign w:val="bottom"/>
            <w:tcBorders>
              <w:bottom w:val="single" w:sz="8" w:color="808080"/>
            </w:tcBorders>
          </w:tcPr>
          <w:p>
            <w:pPr>
              <w:spacing w:after="0"/>
              <w:rPr>
                <w:sz w:val="4"/>
                <w:szCs w:val="4"/>
                <w:color w:val="auto"/>
              </w:rPr>
            </w:pPr>
          </w:p>
        </w:tc>
      </w:tr>
      <w:tr>
        <w:trPr>
          <w:trHeight w:val="237"/>
        </w:trPr>
        <w:tc>
          <w:tcPr>
            <w:tcW w:w="1820" w:type="dxa"/>
            <w:vAlign w:val="bottom"/>
          </w:tcPr>
          <w:p>
            <w:pPr>
              <w:ind w:left="240"/>
              <w:spacing w:after="0"/>
              <w:rPr>
                <w:sz w:val="20"/>
                <w:szCs w:val="20"/>
                <w:color w:val="auto"/>
              </w:rPr>
            </w:pPr>
            <w:r>
              <w:rPr>
                <w:rFonts w:ascii="Arial" w:cs="Arial" w:eastAsia="Arial" w:hAnsi="Arial"/>
                <w:sz w:val="16"/>
                <w:szCs w:val="16"/>
                <w:b w:val="1"/>
                <w:bCs w:val="1"/>
                <w:color w:val="1414D2"/>
              </w:rPr>
              <w:t>RESPONSIBLE</w:t>
            </w:r>
          </w:p>
        </w:tc>
        <w:tc>
          <w:tcPr>
            <w:tcW w:w="3400" w:type="dxa"/>
            <w:vAlign w:val="bottom"/>
          </w:tcPr>
          <w:p>
            <w:pPr>
              <w:ind w:left="300"/>
              <w:spacing w:after="0"/>
              <w:rPr>
                <w:sz w:val="20"/>
                <w:szCs w:val="20"/>
                <w:color w:val="auto"/>
              </w:rPr>
            </w:pPr>
            <w:r>
              <w:rPr>
                <w:rFonts w:ascii="Arial" w:cs="Arial" w:eastAsia="Arial" w:hAnsi="Arial"/>
                <w:sz w:val="14"/>
                <w:szCs w:val="14"/>
                <w:color w:val="auto"/>
              </w:rPr>
              <w:t>Stockholders  expressed  a  desire  for  the</w:t>
            </w:r>
          </w:p>
        </w:tc>
        <w:tc>
          <w:tcPr>
            <w:tcW w:w="4500" w:type="dxa"/>
            <w:vAlign w:val="bottom"/>
          </w:tcPr>
          <w:p>
            <w:pPr>
              <w:ind w:left="140"/>
              <w:spacing w:after="0"/>
              <w:rPr>
                <w:sz w:val="20"/>
                <w:szCs w:val="20"/>
                <w:color w:val="auto"/>
              </w:rPr>
            </w:pPr>
            <w:r>
              <w:rPr>
                <w:rFonts w:ascii="Arial" w:cs="Arial" w:eastAsia="Arial" w:hAnsi="Arial"/>
                <w:sz w:val="14"/>
                <w:szCs w:val="14"/>
                <w:color w:val="auto"/>
              </w:rPr>
              <w:t>We  have  established  certain  procedures  in  our  procurement</w:t>
            </w:r>
          </w:p>
        </w:tc>
      </w:tr>
      <w:tr>
        <w:trPr>
          <w:trHeight w:val="203"/>
        </w:trPr>
        <w:tc>
          <w:tcPr>
            <w:tcW w:w="1820" w:type="dxa"/>
            <w:vAlign w:val="bottom"/>
          </w:tcPr>
          <w:p>
            <w:pPr>
              <w:ind w:left="240"/>
              <w:spacing w:after="0"/>
              <w:rPr>
                <w:sz w:val="20"/>
                <w:szCs w:val="20"/>
                <w:color w:val="auto"/>
              </w:rPr>
            </w:pPr>
            <w:r>
              <w:rPr>
                <w:rFonts w:ascii="Arial" w:cs="Arial" w:eastAsia="Arial" w:hAnsi="Arial"/>
                <w:sz w:val="16"/>
                <w:szCs w:val="16"/>
                <w:b w:val="1"/>
                <w:bCs w:val="1"/>
                <w:color w:val="1414D2"/>
              </w:rPr>
              <w:t>SOURCING</w:t>
            </w:r>
          </w:p>
        </w:tc>
        <w:tc>
          <w:tcPr>
            <w:tcW w:w="3400" w:type="dxa"/>
            <w:vAlign w:val="bottom"/>
          </w:tcPr>
          <w:p>
            <w:pPr>
              <w:ind w:left="300"/>
              <w:spacing w:after="0"/>
              <w:rPr>
                <w:sz w:val="20"/>
                <w:szCs w:val="20"/>
                <w:color w:val="auto"/>
              </w:rPr>
            </w:pPr>
            <w:r>
              <w:rPr>
                <w:rFonts w:ascii="Arial" w:cs="Arial" w:eastAsia="Arial" w:hAnsi="Arial"/>
                <w:sz w:val="14"/>
                <w:szCs w:val="14"/>
                <w:color w:val="auto"/>
              </w:rPr>
              <w:t>Company  to  enhance  our  procedures</w:t>
            </w:r>
          </w:p>
        </w:tc>
        <w:tc>
          <w:tcPr>
            <w:tcW w:w="4500" w:type="dxa"/>
            <w:vAlign w:val="bottom"/>
          </w:tcPr>
          <w:p>
            <w:pPr>
              <w:ind w:left="140"/>
              <w:spacing w:after="0"/>
              <w:rPr>
                <w:sz w:val="20"/>
                <w:szCs w:val="20"/>
                <w:color w:val="auto"/>
              </w:rPr>
            </w:pPr>
            <w:r>
              <w:rPr>
                <w:rFonts w:ascii="Arial" w:cs="Arial" w:eastAsia="Arial" w:hAnsi="Arial"/>
                <w:sz w:val="14"/>
                <w:szCs w:val="14"/>
                <w:color w:val="auto"/>
              </w:rPr>
              <w:t>processes  that  are  designed  to  help  ensure  that  our  suppliers</w:t>
            </w:r>
          </w:p>
        </w:tc>
      </w:tr>
      <w:tr>
        <w:trPr>
          <w:trHeight w:val="130"/>
        </w:trPr>
        <w:tc>
          <w:tcPr>
            <w:tcW w:w="1820" w:type="dxa"/>
            <w:vAlign w:val="bottom"/>
          </w:tcPr>
          <w:p>
            <w:pPr>
              <w:spacing w:after="0"/>
              <w:rPr>
                <w:sz w:val="11"/>
                <w:szCs w:val="11"/>
                <w:color w:val="auto"/>
              </w:rPr>
            </w:pPr>
          </w:p>
        </w:tc>
        <w:tc>
          <w:tcPr>
            <w:tcW w:w="3400" w:type="dxa"/>
            <w:vAlign w:val="bottom"/>
          </w:tcPr>
          <w:p>
            <w:pPr>
              <w:ind w:left="300"/>
              <w:spacing w:after="0" w:line="130" w:lineRule="exact"/>
              <w:rPr>
                <w:sz w:val="20"/>
                <w:szCs w:val="20"/>
                <w:color w:val="auto"/>
              </w:rPr>
            </w:pPr>
            <w:r>
              <w:rPr>
                <w:rFonts w:ascii="Arial" w:cs="Arial" w:eastAsia="Arial" w:hAnsi="Arial"/>
                <w:sz w:val="14"/>
                <w:szCs w:val="14"/>
                <w:color w:val="auto"/>
              </w:rPr>
              <w:t>related  to  ensuring  that  our  suppliers  are</w:t>
            </w:r>
          </w:p>
        </w:tc>
        <w:tc>
          <w:tcPr>
            <w:tcW w:w="4500" w:type="dxa"/>
            <w:vAlign w:val="bottom"/>
          </w:tcPr>
          <w:p>
            <w:pPr>
              <w:ind w:left="140"/>
              <w:spacing w:after="0" w:line="130" w:lineRule="exact"/>
              <w:rPr>
                <w:sz w:val="20"/>
                <w:szCs w:val="20"/>
                <w:color w:val="auto"/>
              </w:rPr>
            </w:pPr>
            <w:r>
              <w:rPr>
                <w:rFonts w:ascii="Arial" w:cs="Arial" w:eastAsia="Arial" w:hAnsi="Arial"/>
                <w:sz w:val="14"/>
                <w:szCs w:val="14"/>
                <w:color w:val="auto"/>
              </w:rPr>
              <w:t>and  subcontractors  are  also  complying  with  applicable  laws</w:t>
            </w:r>
          </w:p>
        </w:tc>
      </w:tr>
      <w:tr>
        <w:trPr>
          <w:trHeight w:val="162"/>
        </w:trPr>
        <w:tc>
          <w:tcPr>
            <w:tcW w:w="1820" w:type="dxa"/>
            <w:vAlign w:val="bottom"/>
          </w:tcPr>
          <w:p>
            <w:pPr>
              <w:spacing w:after="0"/>
              <w:rPr>
                <w:sz w:val="14"/>
                <w:szCs w:val="14"/>
                <w:color w:val="auto"/>
              </w:rPr>
            </w:pPr>
          </w:p>
        </w:tc>
        <w:tc>
          <w:tcPr>
            <w:tcW w:w="3400" w:type="dxa"/>
            <w:vAlign w:val="bottom"/>
          </w:tcPr>
          <w:p>
            <w:pPr>
              <w:ind w:left="300"/>
              <w:spacing w:after="0"/>
              <w:rPr>
                <w:sz w:val="20"/>
                <w:szCs w:val="20"/>
                <w:color w:val="auto"/>
              </w:rPr>
            </w:pPr>
            <w:r>
              <w:rPr>
                <w:rFonts w:ascii="Arial" w:cs="Arial" w:eastAsia="Arial" w:hAnsi="Arial"/>
                <w:sz w:val="14"/>
                <w:szCs w:val="14"/>
                <w:color w:val="auto"/>
              </w:rPr>
              <w:t>complying  with  applicable  human  rights</w:t>
            </w:r>
          </w:p>
        </w:tc>
        <w:tc>
          <w:tcPr>
            <w:tcW w:w="4500" w:type="dxa"/>
            <w:vAlign w:val="bottom"/>
          </w:tcPr>
          <w:p>
            <w:pPr>
              <w:ind w:left="140"/>
              <w:spacing w:after="0"/>
              <w:rPr>
                <w:sz w:val="20"/>
                <w:szCs w:val="20"/>
                <w:color w:val="auto"/>
              </w:rPr>
            </w:pPr>
            <w:r>
              <w:rPr>
                <w:rFonts w:ascii="Arial" w:cs="Arial" w:eastAsia="Arial" w:hAnsi="Arial"/>
                <w:sz w:val="14"/>
                <w:szCs w:val="14"/>
                <w:color w:val="auto"/>
              </w:rPr>
              <w:t>and  held  to  the  same  standards  with  respect  to  human  rights</w:t>
            </w:r>
          </w:p>
        </w:tc>
      </w:tr>
      <w:tr>
        <w:trPr>
          <w:trHeight w:val="175"/>
        </w:trPr>
        <w:tc>
          <w:tcPr>
            <w:tcW w:w="1820" w:type="dxa"/>
            <w:vAlign w:val="bottom"/>
          </w:tcPr>
          <w:p>
            <w:pPr>
              <w:spacing w:after="0"/>
              <w:rPr>
                <w:sz w:val="15"/>
                <w:szCs w:val="15"/>
                <w:color w:val="auto"/>
              </w:rPr>
            </w:pPr>
          </w:p>
        </w:tc>
        <w:tc>
          <w:tcPr>
            <w:tcW w:w="3400" w:type="dxa"/>
            <w:vAlign w:val="bottom"/>
          </w:tcPr>
          <w:p>
            <w:pPr>
              <w:ind w:left="300"/>
              <w:spacing w:after="0"/>
              <w:rPr>
                <w:sz w:val="20"/>
                <w:szCs w:val="20"/>
                <w:color w:val="auto"/>
              </w:rPr>
            </w:pPr>
            <w:r>
              <w:rPr>
                <w:rFonts w:ascii="Arial" w:cs="Arial" w:eastAsia="Arial" w:hAnsi="Arial"/>
                <w:sz w:val="14"/>
                <w:szCs w:val="14"/>
                <w:color w:val="auto"/>
              </w:rPr>
              <w:t>laws.</w:t>
            </w:r>
          </w:p>
        </w:tc>
        <w:tc>
          <w:tcPr>
            <w:tcW w:w="4500" w:type="dxa"/>
            <w:vAlign w:val="bottom"/>
          </w:tcPr>
          <w:p>
            <w:pPr>
              <w:ind w:left="140"/>
              <w:spacing w:after="0"/>
              <w:rPr>
                <w:sz w:val="20"/>
                <w:szCs w:val="20"/>
                <w:color w:val="auto"/>
              </w:rPr>
            </w:pPr>
            <w:r>
              <w:rPr>
                <w:rFonts w:ascii="Arial" w:cs="Arial" w:eastAsia="Arial" w:hAnsi="Arial"/>
                <w:sz w:val="14"/>
                <w:szCs w:val="14"/>
                <w:color w:val="auto"/>
                <w:w w:val="99"/>
              </w:rPr>
              <w:t>set  forth  in  our  Human  Rights  Policy  statement  in  the  Code  and</w:t>
            </w:r>
          </w:p>
        </w:tc>
      </w:tr>
      <w:tr>
        <w:trPr>
          <w:trHeight w:val="176"/>
        </w:trPr>
        <w:tc>
          <w:tcPr>
            <w:tcW w:w="18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4500" w:type="dxa"/>
            <w:vAlign w:val="bottom"/>
          </w:tcPr>
          <w:p>
            <w:pPr>
              <w:ind w:left="140"/>
              <w:spacing w:after="0"/>
              <w:rPr>
                <w:sz w:val="20"/>
                <w:szCs w:val="20"/>
                <w:color w:val="auto"/>
              </w:rPr>
            </w:pPr>
            <w:r>
              <w:rPr>
                <w:rFonts w:ascii="Arial" w:cs="Arial" w:eastAsia="Arial" w:hAnsi="Arial"/>
                <w:sz w:val="14"/>
                <w:szCs w:val="14"/>
                <w:color w:val="auto"/>
              </w:rPr>
              <w:t>our  Global  Policy  on  Worker  Welfare.  We  have  added  certain</w:t>
            </w:r>
          </w:p>
        </w:tc>
      </w:tr>
      <w:tr>
        <w:trPr>
          <w:trHeight w:val="162"/>
        </w:trPr>
        <w:tc>
          <w:tcPr>
            <w:tcW w:w="18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4500" w:type="dxa"/>
            <w:vAlign w:val="bottom"/>
          </w:tcPr>
          <w:p>
            <w:pPr>
              <w:ind w:left="140"/>
              <w:spacing w:after="0"/>
              <w:rPr>
                <w:sz w:val="20"/>
                <w:szCs w:val="20"/>
                <w:color w:val="auto"/>
              </w:rPr>
            </w:pPr>
            <w:r>
              <w:rPr>
                <w:rFonts w:ascii="Arial" w:cs="Arial" w:eastAsia="Arial" w:hAnsi="Arial"/>
                <w:sz w:val="14"/>
                <w:szCs w:val="14"/>
                <w:color w:val="auto"/>
              </w:rPr>
              <w:t>provisions  regarding  fair  labor  practices  to  our  supply</w:t>
            </w:r>
          </w:p>
        </w:tc>
      </w:tr>
      <w:tr>
        <w:trPr>
          <w:trHeight w:val="176"/>
        </w:trPr>
        <w:tc>
          <w:tcPr>
            <w:tcW w:w="18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4500" w:type="dxa"/>
            <w:vAlign w:val="bottom"/>
          </w:tcPr>
          <w:p>
            <w:pPr>
              <w:ind w:left="140"/>
              <w:spacing w:after="0"/>
              <w:rPr>
                <w:sz w:val="20"/>
                <w:szCs w:val="20"/>
                <w:color w:val="auto"/>
              </w:rPr>
            </w:pPr>
            <w:r>
              <w:rPr>
                <w:rFonts w:ascii="Arial" w:cs="Arial" w:eastAsia="Arial" w:hAnsi="Arial"/>
                <w:sz w:val="14"/>
                <w:szCs w:val="14"/>
                <w:color w:val="auto"/>
              </w:rPr>
              <w:t>contracts,  including  provisions  that  require  our  counterparties</w:t>
            </w:r>
          </w:p>
        </w:tc>
      </w:tr>
      <w:tr>
        <w:trPr>
          <w:trHeight w:val="175"/>
        </w:trPr>
        <w:tc>
          <w:tcPr>
            <w:tcW w:w="18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4500" w:type="dxa"/>
            <w:vAlign w:val="bottom"/>
          </w:tcPr>
          <w:p>
            <w:pPr>
              <w:ind w:left="140"/>
              <w:spacing w:after="0"/>
              <w:rPr>
                <w:sz w:val="20"/>
                <w:szCs w:val="20"/>
                <w:color w:val="auto"/>
              </w:rPr>
            </w:pPr>
            <w:r>
              <w:rPr>
                <w:rFonts w:ascii="Arial" w:cs="Arial" w:eastAsia="Arial" w:hAnsi="Arial"/>
                <w:sz w:val="14"/>
                <w:szCs w:val="14"/>
                <w:color w:val="auto"/>
              </w:rPr>
              <w:t>to  provide  notice  if  they  become  aware  of  any  non-compliance</w:t>
            </w:r>
          </w:p>
        </w:tc>
      </w:tr>
      <w:tr>
        <w:trPr>
          <w:trHeight w:val="162"/>
        </w:trPr>
        <w:tc>
          <w:tcPr>
            <w:tcW w:w="18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4500" w:type="dxa"/>
            <w:vAlign w:val="bottom"/>
          </w:tcPr>
          <w:p>
            <w:pPr>
              <w:ind w:left="140"/>
              <w:spacing w:after="0"/>
              <w:rPr>
                <w:sz w:val="20"/>
                <w:szCs w:val="20"/>
                <w:color w:val="auto"/>
              </w:rPr>
            </w:pPr>
            <w:r>
              <w:rPr>
                <w:rFonts w:ascii="Arial" w:cs="Arial" w:eastAsia="Arial" w:hAnsi="Arial"/>
                <w:sz w:val="14"/>
                <w:szCs w:val="14"/>
                <w:color w:val="auto"/>
              </w:rPr>
              <w:t>with  applicable  fair  labor  laws.  We  also  enhanced  our  due</w:t>
            </w:r>
          </w:p>
        </w:tc>
      </w:tr>
      <w:tr>
        <w:trPr>
          <w:trHeight w:val="175"/>
        </w:trPr>
        <w:tc>
          <w:tcPr>
            <w:tcW w:w="18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4500" w:type="dxa"/>
            <w:vAlign w:val="bottom"/>
          </w:tcPr>
          <w:p>
            <w:pPr>
              <w:ind w:left="140"/>
              <w:spacing w:after="0"/>
              <w:rPr>
                <w:sz w:val="20"/>
                <w:szCs w:val="20"/>
                <w:color w:val="auto"/>
              </w:rPr>
            </w:pPr>
            <w:r>
              <w:rPr>
                <w:rFonts w:ascii="Arial" w:cs="Arial" w:eastAsia="Arial" w:hAnsi="Arial"/>
                <w:sz w:val="14"/>
                <w:szCs w:val="14"/>
                <w:color w:val="auto"/>
              </w:rPr>
              <w:t>diligence  procedures  with  respect  to  our  counterparties  and</w:t>
            </w:r>
          </w:p>
        </w:tc>
      </w:tr>
      <w:tr>
        <w:trPr>
          <w:trHeight w:val="176"/>
        </w:trPr>
        <w:tc>
          <w:tcPr>
            <w:tcW w:w="18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4500" w:type="dxa"/>
            <w:vAlign w:val="bottom"/>
          </w:tcPr>
          <w:p>
            <w:pPr>
              <w:ind w:left="140"/>
              <w:spacing w:after="0"/>
              <w:rPr>
                <w:sz w:val="20"/>
                <w:szCs w:val="20"/>
                <w:color w:val="auto"/>
              </w:rPr>
            </w:pPr>
            <w:r>
              <w:rPr>
                <w:rFonts w:ascii="Arial" w:cs="Arial" w:eastAsia="Arial" w:hAnsi="Arial"/>
                <w:sz w:val="14"/>
                <w:szCs w:val="14"/>
                <w:color w:val="auto"/>
              </w:rPr>
              <w:t>their  operations,  which  can  include  third  party  reputation</w:t>
            </w:r>
          </w:p>
        </w:tc>
      </w:tr>
      <w:tr>
        <w:trPr>
          <w:trHeight w:val="208"/>
        </w:trPr>
        <w:tc>
          <w:tcPr>
            <w:tcW w:w="18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4500" w:type="dxa"/>
            <w:vAlign w:val="bottom"/>
          </w:tcPr>
          <w:p>
            <w:pPr>
              <w:ind w:left="140"/>
              <w:spacing w:after="0"/>
              <w:rPr>
                <w:sz w:val="20"/>
                <w:szCs w:val="20"/>
                <w:color w:val="auto"/>
              </w:rPr>
            </w:pPr>
            <w:r>
              <w:rPr>
                <w:rFonts w:ascii="Arial" w:cs="Arial" w:eastAsia="Arial" w:hAnsi="Arial"/>
                <w:sz w:val="14"/>
                <w:szCs w:val="14"/>
                <w:color w:val="auto"/>
              </w:rPr>
              <w:t>analyses  and  site  checks.</w:t>
            </w:r>
          </w:p>
        </w:tc>
      </w:tr>
      <w:tr>
        <w:trPr>
          <w:trHeight w:val="40"/>
        </w:trPr>
        <w:tc>
          <w:tcPr>
            <w:tcW w:w="1820" w:type="dxa"/>
            <w:vAlign w:val="bottom"/>
            <w:tcBorders>
              <w:bottom w:val="single" w:sz="8" w:color="808080"/>
            </w:tcBorders>
          </w:tcPr>
          <w:p>
            <w:pPr>
              <w:spacing w:after="0"/>
              <w:rPr>
                <w:sz w:val="3"/>
                <w:szCs w:val="3"/>
                <w:color w:val="auto"/>
              </w:rPr>
            </w:pPr>
          </w:p>
        </w:tc>
        <w:tc>
          <w:tcPr>
            <w:tcW w:w="3400" w:type="dxa"/>
            <w:vAlign w:val="bottom"/>
            <w:tcBorders>
              <w:bottom w:val="single" w:sz="8" w:color="808080"/>
            </w:tcBorders>
          </w:tcPr>
          <w:p>
            <w:pPr>
              <w:spacing w:after="0"/>
              <w:rPr>
                <w:sz w:val="3"/>
                <w:szCs w:val="3"/>
                <w:color w:val="auto"/>
              </w:rPr>
            </w:pPr>
          </w:p>
        </w:tc>
        <w:tc>
          <w:tcPr>
            <w:tcW w:w="4500" w:type="dxa"/>
            <w:vAlign w:val="bottom"/>
            <w:tcBorders>
              <w:bottom w:val="single" w:sz="8" w:color="808080"/>
            </w:tcBorders>
          </w:tcPr>
          <w:p>
            <w:pPr>
              <w:spacing w:after="0"/>
              <w:rPr>
                <w:sz w:val="3"/>
                <w:szCs w:val="3"/>
                <w:color w:val="auto"/>
              </w:rPr>
            </w:pPr>
          </w:p>
        </w:tc>
      </w:tr>
      <w:tr>
        <w:trPr>
          <w:trHeight w:val="237"/>
        </w:trPr>
        <w:tc>
          <w:tcPr>
            <w:tcW w:w="1820" w:type="dxa"/>
            <w:vAlign w:val="bottom"/>
          </w:tcPr>
          <w:p>
            <w:pPr>
              <w:ind w:left="240"/>
              <w:spacing w:after="0"/>
              <w:rPr>
                <w:sz w:val="20"/>
                <w:szCs w:val="20"/>
                <w:color w:val="auto"/>
              </w:rPr>
            </w:pPr>
            <w:r>
              <w:rPr>
                <w:rFonts w:ascii="Arial" w:cs="Arial" w:eastAsia="Arial" w:hAnsi="Arial"/>
                <w:sz w:val="16"/>
                <w:szCs w:val="16"/>
                <w:b w:val="1"/>
                <w:bCs w:val="1"/>
                <w:color w:val="1414D2"/>
              </w:rPr>
              <w:t>ARTIFICIAL</w:t>
            </w:r>
          </w:p>
        </w:tc>
        <w:tc>
          <w:tcPr>
            <w:tcW w:w="3400" w:type="dxa"/>
            <w:vAlign w:val="bottom"/>
          </w:tcPr>
          <w:p>
            <w:pPr>
              <w:ind w:left="300"/>
              <w:spacing w:after="0"/>
              <w:rPr>
                <w:sz w:val="20"/>
                <w:szCs w:val="20"/>
                <w:color w:val="auto"/>
              </w:rPr>
            </w:pPr>
            <w:r>
              <w:rPr>
                <w:rFonts w:ascii="Arial" w:cs="Arial" w:eastAsia="Arial" w:hAnsi="Arial"/>
                <w:sz w:val="14"/>
                <w:szCs w:val="14"/>
                <w:color w:val="auto"/>
              </w:rPr>
              <w:t>Stockholders  indicated  the  importance  of</w:t>
            </w:r>
          </w:p>
        </w:tc>
        <w:tc>
          <w:tcPr>
            <w:tcW w:w="4500" w:type="dxa"/>
            <w:vAlign w:val="bottom"/>
          </w:tcPr>
          <w:p>
            <w:pPr>
              <w:ind w:left="140"/>
              <w:spacing w:after="0"/>
              <w:rPr>
                <w:sz w:val="20"/>
                <w:szCs w:val="20"/>
                <w:color w:val="auto"/>
              </w:rPr>
            </w:pPr>
            <w:r>
              <w:rPr>
                <w:rFonts w:ascii="Arial" w:cs="Arial" w:eastAsia="Arial" w:hAnsi="Arial"/>
                <w:sz w:val="14"/>
                <w:szCs w:val="14"/>
                <w:color w:val="auto"/>
              </w:rPr>
              <w:t>In  addition  to  adding  a  regular  update  on  artifcial  intelligence</w:t>
            </w:r>
          </w:p>
        </w:tc>
      </w:tr>
      <w:tr>
        <w:trPr>
          <w:trHeight w:val="203"/>
        </w:trPr>
        <w:tc>
          <w:tcPr>
            <w:tcW w:w="1820" w:type="dxa"/>
            <w:vAlign w:val="bottom"/>
          </w:tcPr>
          <w:p>
            <w:pPr>
              <w:ind w:left="240"/>
              <w:spacing w:after="0"/>
              <w:rPr>
                <w:sz w:val="20"/>
                <w:szCs w:val="20"/>
                <w:color w:val="auto"/>
              </w:rPr>
            </w:pPr>
            <w:r>
              <w:rPr>
                <w:rFonts w:ascii="Arial" w:cs="Arial" w:eastAsia="Arial" w:hAnsi="Arial"/>
                <w:sz w:val="16"/>
                <w:szCs w:val="16"/>
                <w:b w:val="1"/>
                <w:bCs w:val="1"/>
                <w:color w:val="1414D2"/>
              </w:rPr>
              <w:t>INTELLIGENCE</w:t>
            </w:r>
          </w:p>
        </w:tc>
        <w:tc>
          <w:tcPr>
            <w:tcW w:w="3400" w:type="dxa"/>
            <w:vAlign w:val="bottom"/>
          </w:tcPr>
          <w:p>
            <w:pPr>
              <w:ind w:left="300"/>
              <w:spacing w:after="0"/>
              <w:rPr>
                <w:sz w:val="20"/>
                <w:szCs w:val="20"/>
                <w:color w:val="auto"/>
              </w:rPr>
            </w:pPr>
            <w:r>
              <w:rPr>
                <w:rFonts w:ascii="Arial" w:cs="Arial" w:eastAsia="Arial" w:hAnsi="Arial"/>
                <w:sz w:val="14"/>
                <w:szCs w:val="14"/>
                <w:color w:val="auto"/>
              </w:rPr>
              <w:t>the  Board’s  robust  oversight  of  our  use  of</w:t>
            </w:r>
          </w:p>
        </w:tc>
        <w:tc>
          <w:tcPr>
            <w:tcW w:w="4500" w:type="dxa"/>
            <w:vAlign w:val="bottom"/>
          </w:tcPr>
          <w:p>
            <w:pPr>
              <w:ind w:left="140"/>
              <w:spacing w:after="0"/>
              <w:rPr>
                <w:sz w:val="20"/>
                <w:szCs w:val="20"/>
                <w:color w:val="auto"/>
              </w:rPr>
            </w:pPr>
            <w:r>
              <w:rPr>
                <w:rFonts w:ascii="Arial" w:cs="Arial" w:eastAsia="Arial" w:hAnsi="Arial"/>
                <w:sz w:val="14"/>
                <w:szCs w:val="14"/>
                <w:color w:val="auto"/>
              </w:rPr>
              <w:t>governance  to  the  Audit  Committee  meetings,  we  have</w:t>
            </w:r>
          </w:p>
        </w:tc>
      </w:tr>
      <w:tr>
        <w:trPr>
          <w:trHeight w:val="130"/>
        </w:trPr>
        <w:tc>
          <w:tcPr>
            <w:tcW w:w="1820" w:type="dxa"/>
            <w:vAlign w:val="bottom"/>
          </w:tcPr>
          <w:p>
            <w:pPr>
              <w:spacing w:after="0"/>
              <w:rPr>
                <w:sz w:val="11"/>
                <w:szCs w:val="11"/>
                <w:color w:val="auto"/>
              </w:rPr>
            </w:pPr>
          </w:p>
        </w:tc>
        <w:tc>
          <w:tcPr>
            <w:tcW w:w="3400" w:type="dxa"/>
            <w:vAlign w:val="bottom"/>
          </w:tcPr>
          <w:p>
            <w:pPr>
              <w:ind w:left="300"/>
              <w:spacing w:after="0" w:line="130" w:lineRule="exact"/>
              <w:rPr>
                <w:sz w:val="20"/>
                <w:szCs w:val="20"/>
                <w:color w:val="auto"/>
              </w:rPr>
            </w:pPr>
            <w:r>
              <w:rPr>
                <w:rFonts w:ascii="Arial" w:cs="Arial" w:eastAsia="Arial" w:hAnsi="Arial"/>
                <w:sz w:val="14"/>
                <w:szCs w:val="14"/>
                <w:color w:val="auto"/>
              </w:rPr>
              <w:t>artifcial  intelligence.</w:t>
            </w:r>
          </w:p>
        </w:tc>
        <w:tc>
          <w:tcPr>
            <w:tcW w:w="4500" w:type="dxa"/>
            <w:vAlign w:val="bottom"/>
          </w:tcPr>
          <w:p>
            <w:pPr>
              <w:ind w:left="140"/>
              <w:spacing w:after="0" w:line="130" w:lineRule="exact"/>
              <w:rPr>
                <w:sz w:val="20"/>
                <w:szCs w:val="20"/>
                <w:color w:val="auto"/>
              </w:rPr>
            </w:pPr>
            <w:r>
              <w:rPr>
                <w:rFonts w:ascii="Arial" w:cs="Arial" w:eastAsia="Arial" w:hAnsi="Arial"/>
                <w:sz w:val="14"/>
                <w:szCs w:val="14"/>
                <w:color w:val="auto"/>
              </w:rPr>
              <w:t>initiated  a  board  education  program  to  further  educate  our</w:t>
            </w:r>
          </w:p>
        </w:tc>
      </w:tr>
      <w:tr>
        <w:trPr>
          <w:trHeight w:val="162"/>
        </w:trPr>
        <w:tc>
          <w:tcPr>
            <w:tcW w:w="18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4500" w:type="dxa"/>
            <w:vAlign w:val="bottom"/>
          </w:tcPr>
          <w:p>
            <w:pPr>
              <w:ind w:left="140"/>
              <w:spacing w:after="0"/>
              <w:rPr>
                <w:sz w:val="20"/>
                <w:szCs w:val="20"/>
                <w:color w:val="auto"/>
              </w:rPr>
            </w:pPr>
            <w:r>
              <w:rPr>
                <w:rFonts w:ascii="Arial" w:cs="Arial" w:eastAsia="Arial" w:hAnsi="Arial"/>
                <w:sz w:val="14"/>
                <w:szCs w:val="14"/>
                <w:color w:val="auto"/>
              </w:rPr>
              <w:t>directors  on  various  topics  related  to  artifcial  intelligence  in</w:t>
            </w:r>
          </w:p>
        </w:tc>
      </w:tr>
      <w:tr>
        <w:trPr>
          <w:trHeight w:val="175"/>
        </w:trPr>
        <w:tc>
          <w:tcPr>
            <w:tcW w:w="18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4500" w:type="dxa"/>
            <w:vAlign w:val="bottom"/>
          </w:tcPr>
          <w:p>
            <w:pPr>
              <w:ind w:left="140"/>
              <w:spacing w:after="0"/>
              <w:rPr>
                <w:sz w:val="20"/>
                <w:szCs w:val="20"/>
                <w:color w:val="auto"/>
              </w:rPr>
            </w:pPr>
            <w:r>
              <w:rPr>
                <w:rFonts w:ascii="Arial" w:cs="Arial" w:eastAsia="Arial" w:hAnsi="Arial"/>
                <w:sz w:val="14"/>
                <w:szCs w:val="14"/>
                <w:color w:val="auto"/>
              </w:rPr>
              <w:t>2026,  which  include  trainings  by  both  internal  and  third-party</w:t>
            </w:r>
          </w:p>
        </w:tc>
      </w:tr>
      <w:tr>
        <w:trPr>
          <w:trHeight w:val="175"/>
        </w:trPr>
        <w:tc>
          <w:tcPr>
            <w:tcW w:w="18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4500" w:type="dxa"/>
            <w:vAlign w:val="bottom"/>
          </w:tcPr>
          <w:p>
            <w:pPr>
              <w:ind w:left="140"/>
              <w:spacing w:after="0"/>
              <w:rPr>
                <w:sz w:val="20"/>
                <w:szCs w:val="20"/>
                <w:color w:val="auto"/>
              </w:rPr>
            </w:pPr>
            <w:r>
              <w:rPr>
                <w:rFonts w:ascii="Arial" w:cs="Arial" w:eastAsia="Arial" w:hAnsi="Arial"/>
                <w:sz w:val="14"/>
                <w:szCs w:val="14"/>
                <w:color w:val="auto"/>
              </w:rPr>
              <w:t>subject  matter  experts.   These  board  educational  sessions  are</w:t>
            </w:r>
          </w:p>
        </w:tc>
      </w:tr>
      <w:tr>
        <w:trPr>
          <w:trHeight w:val="162"/>
        </w:trPr>
        <w:tc>
          <w:tcPr>
            <w:tcW w:w="18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4500" w:type="dxa"/>
            <w:vAlign w:val="bottom"/>
          </w:tcPr>
          <w:p>
            <w:pPr>
              <w:ind w:left="140"/>
              <w:spacing w:after="0"/>
              <w:rPr>
                <w:sz w:val="20"/>
                <w:szCs w:val="20"/>
                <w:color w:val="auto"/>
              </w:rPr>
            </w:pPr>
            <w:r>
              <w:rPr>
                <w:rFonts w:ascii="Arial" w:cs="Arial" w:eastAsia="Arial" w:hAnsi="Arial"/>
                <w:sz w:val="14"/>
                <w:szCs w:val="14"/>
                <w:color w:val="auto"/>
              </w:rPr>
              <w:t>intended  to  support  our  directors’  ability  to  provide  oversight</w:t>
            </w:r>
          </w:p>
        </w:tc>
      </w:tr>
      <w:tr>
        <w:trPr>
          <w:trHeight w:val="208"/>
        </w:trPr>
        <w:tc>
          <w:tcPr>
            <w:tcW w:w="18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4500" w:type="dxa"/>
            <w:vAlign w:val="bottom"/>
          </w:tcPr>
          <w:p>
            <w:pPr>
              <w:ind w:left="140"/>
              <w:spacing w:after="0"/>
              <w:rPr>
                <w:sz w:val="20"/>
                <w:szCs w:val="20"/>
                <w:color w:val="auto"/>
              </w:rPr>
            </w:pPr>
            <w:r>
              <w:rPr>
                <w:rFonts w:ascii="Arial" w:cs="Arial" w:eastAsia="Arial" w:hAnsi="Arial"/>
                <w:sz w:val="14"/>
                <w:szCs w:val="14"/>
                <w:color w:val="auto"/>
              </w:rPr>
              <w:t>of  the  Company’s  use  of  artifcial  intelligence.</w:t>
            </w:r>
          </w:p>
        </w:tc>
      </w:tr>
      <w:tr>
        <w:trPr>
          <w:trHeight w:val="54"/>
        </w:trPr>
        <w:tc>
          <w:tcPr>
            <w:tcW w:w="1820" w:type="dxa"/>
            <w:vAlign w:val="bottom"/>
            <w:tcBorders>
              <w:bottom w:val="single" w:sz="8" w:color="808080"/>
            </w:tcBorders>
          </w:tcPr>
          <w:p>
            <w:pPr>
              <w:spacing w:after="0"/>
              <w:rPr>
                <w:sz w:val="4"/>
                <w:szCs w:val="4"/>
                <w:color w:val="auto"/>
              </w:rPr>
            </w:pPr>
          </w:p>
        </w:tc>
        <w:tc>
          <w:tcPr>
            <w:tcW w:w="3400" w:type="dxa"/>
            <w:vAlign w:val="bottom"/>
            <w:tcBorders>
              <w:bottom w:val="single" w:sz="8" w:color="808080"/>
            </w:tcBorders>
          </w:tcPr>
          <w:p>
            <w:pPr>
              <w:spacing w:after="0"/>
              <w:rPr>
                <w:sz w:val="4"/>
                <w:szCs w:val="4"/>
                <w:color w:val="auto"/>
              </w:rPr>
            </w:pPr>
          </w:p>
        </w:tc>
        <w:tc>
          <w:tcPr>
            <w:tcW w:w="4500" w:type="dxa"/>
            <w:vAlign w:val="bottom"/>
            <w:tcBorders>
              <w:bottom w:val="single" w:sz="8" w:color="808080"/>
            </w:tcBorders>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2026  Proxy  Statement</w:t>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1414D2"/>
        </w:rPr>
        <w:t>59</w:t>
      </w:r>
    </w:p>
    <w:p>
      <w:pPr>
        <w:sectPr>
          <w:pgSz w:w="11900" w:h="16838" w:orient="portrait"/>
          <w:cols w:equalWidth="0" w:num="1">
            <w:col w:w="9720"/>
          </w:cols>
          <w:pgMar w:left="1080" w:top="695" w:right="1099" w:bottom="1440" w:gutter="0" w:footer="0" w:header="0"/>
        </w:sectPr>
      </w:pPr>
    </w:p>
    <w:bookmarkStart w:id="70" w:name="page71"/>
    <w:bookmarkEnd w:id="70"/>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6D6F71"/>
        </w:rPr>
        <w:t>Board  and  Corporate  Governance  Matters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AVAILABILITY OF GOVERNANCE MATERIALS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You  may  access  fnancial  and  other  information  on  our  investor  relations  website,  </w:t>
      </w:r>
      <w:r>
        <w:rPr>
          <w:rFonts w:ascii="Arial" w:cs="Arial" w:eastAsia="Arial" w:hAnsi="Arial"/>
          <w:sz w:val="16"/>
          <w:szCs w:val="16"/>
          <w:b w:val="1"/>
          <w:bCs w:val="1"/>
          <w:color w:val="1414D2"/>
        </w:rPr>
        <w:t>ir.united.com</w:t>
      </w:r>
      <w:r>
        <w:rPr>
          <w:rFonts w:ascii="Arial" w:cs="Arial" w:eastAsia="Arial" w:hAnsi="Arial"/>
          <w:sz w:val="16"/>
          <w:szCs w:val="16"/>
          <w:color w:val="auto"/>
        </w:rPr>
        <w:t>.  Copies  of  these  documents</w:t>
      </w:r>
    </w:p>
    <w:p>
      <w:pPr>
        <w:spacing w:after="0" w:line="19" w:lineRule="exact"/>
        <w:rPr>
          <w:sz w:val="20"/>
          <w:szCs w:val="20"/>
          <w:color w:val="auto"/>
        </w:rPr>
      </w:pPr>
    </w:p>
    <w:p>
      <w:pPr>
        <w:ind w:right="80"/>
        <w:spacing w:after="0" w:line="279" w:lineRule="auto"/>
        <w:rPr>
          <w:sz w:val="20"/>
          <w:szCs w:val="20"/>
          <w:color w:val="auto"/>
        </w:rPr>
      </w:pPr>
      <w:r>
        <w:rPr>
          <w:rFonts w:ascii="Arial" w:cs="Arial" w:eastAsia="Arial" w:hAnsi="Arial"/>
          <w:sz w:val="16"/>
          <w:szCs w:val="16"/>
          <w:color w:val="auto"/>
        </w:rPr>
        <w:t>and other information are also available free of charge by sending a request to the Corporate Secretary’s Ofce, United Airlines Holdings, Inc., 233 S. Wacker Drive, Chicago, Illinois 60606. Also available on our website or upon request, free of charge, are copies of the following documents: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4760" w:type="dxa"/>
            <w:vAlign w:val="bottom"/>
            <w:shd w:val="clear" w:color="auto" w:fill="1414D2"/>
          </w:tcPr>
          <w:p>
            <w:pPr>
              <w:ind w:left="220"/>
              <w:spacing w:after="0"/>
              <w:rPr>
                <w:sz w:val="20"/>
                <w:szCs w:val="20"/>
                <w:color w:val="auto"/>
              </w:rPr>
            </w:pPr>
            <w:r>
              <w:rPr>
                <w:rFonts w:ascii="Times New Roman" w:cs="Times New Roman" w:eastAsia="Times New Roman" w:hAnsi="Times New Roman"/>
                <w:sz w:val="16"/>
                <w:szCs w:val="16"/>
                <w:color w:val="FFFFFF"/>
                <w:w w:val="97"/>
              </w:rPr>
              <w:t>●</w:t>
            </w:r>
            <w:r>
              <w:rPr>
                <w:rFonts w:ascii="Arial" w:cs="Arial" w:eastAsia="Arial" w:hAnsi="Arial"/>
                <w:sz w:val="16"/>
                <w:szCs w:val="16"/>
                <w:color w:val="FFFFFF"/>
                <w:w w:val="97"/>
              </w:rPr>
              <w:t>Annual  Report  on  Form  10-K,  Quarterly  Reports  on</w:t>
            </w:r>
          </w:p>
        </w:tc>
        <w:tc>
          <w:tcPr>
            <w:tcW w:w="540" w:type="dxa"/>
            <w:vAlign w:val="bottom"/>
            <w:shd w:val="clear" w:color="auto" w:fill="1414D2"/>
          </w:tcPr>
          <w:p>
            <w:pPr>
              <w:ind w:left="320"/>
              <w:spacing w:after="0"/>
              <w:rPr>
                <w:sz w:val="20"/>
                <w:szCs w:val="20"/>
                <w:color w:val="auto"/>
              </w:rPr>
            </w:pPr>
            <w:r>
              <w:rPr>
                <w:rFonts w:ascii="Times New Roman" w:cs="Times New Roman" w:eastAsia="Times New Roman" w:hAnsi="Times New Roman"/>
                <w:sz w:val="16"/>
                <w:szCs w:val="16"/>
                <w:color w:val="FFFFFF"/>
              </w:rPr>
              <w:t>●</w:t>
            </w:r>
          </w:p>
        </w:tc>
        <w:tc>
          <w:tcPr>
            <w:tcW w:w="4420" w:type="dxa"/>
            <w:vAlign w:val="bottom"/>
            <w:shd w:val="clear" w:color="auto" w:fill="1414D2"/>
          </w:tcPr>
          <w:p>
            <w:pPr>
              <w:ind w:left="100"/>
              <w:spacing w:after="0"/>
              <w:rPr>
                <w:sz w:val="20"/>
                <w:szCs w:val="20"/>
                <w:color w:val="auto"/>
              </w:rPr>
            </w:pPr>
            <w:r>
              <w:rPr>
                <w:rFonts w:ascii="Arial" w:cs="Arial" w:eastAsia="Arial" w:hAnsi="Arial"/>
                <w:sz w:val="16"/>
                <w:szCs w:val="16"/>
                <w:color w:val="FFFFFF"/>
              </w:rPr>
              <w:t>Committee  Charters;</w:t>
            </w:r>
          </w:p>
        </w:tc>
        <w:tc>
          <w:tcPr>
            <w:tcW w:w="0" w:type="dxa"/>
            <w:vAlign w:val="bottom"/>
          </w:tcPr>
          <w:p>
            <w:pPr>
              <w:spacing w:after="0"/>
              <w:rPr>
                <w:sz w:val="1"/>
                <w:szCs w:val="1"/>
                <w:color w:val="auto"/>
              </w:rPr>
            </w:pPr>
          </w:p>
        </w:tc>
      </w:tr>
      <w:tr>
        <w:trPr>
          <w:trHeight w:val="189"/>
        </w:trPr>
        <w:tc>
          <w:tcPr>
            <w:tcW w:w="4760" w:type="dxa"/>
            <w:vAlign w:val="bottom"/>
            <w:shd w:val="clear" w:color="auto" w:fill="1414D2"/>
          </w:tcPr>
          <w:p>
            <w:pPr>
              <w:ind w:left="540"/>
              <w:spacing w:after="0"/>
              <w:rPr>
                <w:sz w:val="20"/>
                <w:szCs w:val="20"/>
                <w:color w:val="auto"/>
              </w:rPr>
            </w:pPr>
            <w:r>
              <w:rPr>
                <w:rFonts w:ascii="Arial" w:cs="Arial" w:eastAsia="Arial" w:hAnsi="Arial"/>
                <w:sz w:val="16"/>
                <w:szCs w:val="16"/>
                <w:color w:val="FFFFFF"/>
              </w:rPr>
              <w:t>Form  10-Q,  Current  Reports  on  Form  8-K  and</w:t>
            </w:r>
          </w:p>
        </w:tc>
        <w:tc>
          <w:tcPr>
            <w:tcW w:w="540" w:type="dxa"/>
            <w:vAlign w:val="bottom"/>
            <w:vMerge w:val="restart"/>
            <w:shd w:val="clear" w:color="auto" w:fill="1414D2"/>
          </w:tcPr>
          <w:p>
            <w:pPr>
              <w:ind w:left="320"/>
              <w:spacing w:after="0"/>
              <w:rPr>
                <w:sz w:val="20"/>
                <w:szCs w:val="20"/>
                <w:color w:val="auto"/>
              </w:rPr>
            </w:pPr>
            <w:r>
              <w:rPr>
                <w:rFonts w:ascii="Times New Roman" w:cs="Times New Roman" w:eastAsia="Times New Roman" w:hAnsi="Times New Roman"/>
                <w:sz w:val="16"/>
                <w:szCs w:val="16"/>
                <w:color w:val="FFFFFF"/>
              </w:rPr>
              <w:t>●</w:t>
            </w:r>
          </w:p>
        </w:tc>
        <w:tc>
          <w:tcPr>
            <w:tcW w:w="4420" w:type="dxa"/>
            <w:vAlign w:val="bottom"/>
            <w:vMerge w:val="restart"/>
            <w:shd w:val="clear" w:color="auto" w:fill="1414D2"/>
          </w:tcPr>
          <w:p>
            <w:pPr>
              <w:ind w:left="100"/>
              <w:spacing w:after="0"/>
              <w:rPr>
                <w:sz w:val="20"/>
                <w:szCs w:val="20"/>
                <w:color w:val="auto"/>
              </w:rPr>
            </w:pPr>
            <w:r>
              <w:rPr>
                <w:rFonts w:ascii="Arial" w:cs="Arial" w:eastAsia="Arial" w:hAnsi="Arial"/>
                <w:sz w:val="16"/>
                <w:szCs w:val="16"/>
                <w:color w:val="FFFFFF"/>
              </w:rPr>
              <w:t>Corporate  Governance  Guidelines;</w:t>
            </w:r>
          </w:p>
        </w:tc>
        <w:tc>
          <w:tcPr>
            <w:tcW w:w="0" w:type="dxa"/>
            <w:vAlign w:val="bottom"/>
          </w:tcPr>
          <w:p>
            <w:pPr>
              <w:spacing w:after="0"/>
              <w:rPr>
                <w:sz w:val="1"/>
                <w:szCs w:val="1"/>
                <w:color w:val="auto"/>
              </w:rPr>
            </w:pPr>
          </w:p>
        </w:tc>
      </w:tr>
      <w:tr>
        <w:trPr>
          <w:trHeight w:val="141"/>
        </w:trPr>
        <w:tc>
          <w:tcPr>
            <w:tcW w:w="4760" w:type="dxa"/>
            <w:vAlign w:val="bottom"/>
            <w:vMerge w:val="restart"/>
            <w:shd w:val="clear" w:color="auto" w:fill="1414D2"/>
          </w:tcPr>
          <w:p>
            <w:pPr>
              <w:ind w:left="540"/>
              <w:spacing w:after="0"/>
              <w:rPr>
                <w:sz w:val="20"/>
                <w:szCs w:val="20"/>
                <w:color w:val="auto"/>
              </w:rPr>
            </w:pPr>
            <w:r>
              <w:rPr>
                <w:rFonts w:ascii="Arial" w:cs="Arial" w:eastAsia="Arial" w:hAnsi="Arial"/>
                <w:sz w:val="16"/>
                <w:szCs w:val="16"/>
                <w:color w:val="FFFFFF"/>
              </w:rPr>
              <w:t>amendments  to  those  reports  fled  or  furnished</w:t>
            </w:r>
          </w:p>
        </w:tc>
        <w:tc>
          <w:tcPr>
            <w:tcW w:w="540" w:type="dxa"/>
            <w:vAlign w:val="bottom"/>
            <w:vMerge w:val="continue"/>
            <w:shd w:val="clear" w:color="auto" w:fill="1414D2"/>
          </w:tcPr>
          <w:p>
            <w:pPr>
              <w:spacing w:after="0"/>
              <w:rPr>
                <w:sz w:val="12"/>
                <w:szCs w:val="12"/>
                <w:color w:val="auto"/>
              </w:rPr>
            </w:pPr>
          </w:p>
        </w:tc>
        <w:tc>
          <w:tcPr>
            <w:tcW w:w="4420" w:type="dxa"/>
            <w:vAlign w:val="bottom"/>
            <w:vMerge w:val="continue"/>
            <w:shd w:val="clear" w:color="auto" w:fill="1414D2"/>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4760" w:type="dxa"/>
            <w:vAlign w:val="bottom"/>
            <w:vMerge w:val="continue"/>
            <w:shd w:val="clear" w:color="auto" w:fill="1414D2"/>
          </w:tcPr>
          <w:p>
            <w:pPr>
              <w:spacing w:after="0"/>
              <w:rPr>
                <w:sz w:val="4"/>
                <w:szCs w:val="4"/>
                <w:color w:val="auto"/>
              </w:rPr>
            </w:pPr>
          </w:p>
        </w:tc>
        <w:tc>
          <w:tcPr>
            <w:tcW w:w="540" w:type="dxa"/>
            <w:vAlign w:val="bottom"/>
            <w:shd w:val="clear" w:color="auto" w:fill="1414D2"/>
          </w:tcPr>
          <w:p>
            <w:pPr>
              <w:spacing w:after="0"/>
              <w:rPr>
                <w:sz w:val="4"/>
                <w:szCs w:val="4"/>
                <w:color w:val="auto"/>
              </w:rPr>
            </w:pPr>
          </w:p>
        </w:tc>
        <w:tc>
          <w:tcPr>
            <w:tcW w:w="4420" w:type="dxa"/>
            <w:vAlign w:val="bottom"/>
            <w:shd w:val="clear" w:color="auto" w:fill="1414D2"/>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760" w:type="dxa"/>
            <w:vAlign w:val="bottom"/>
            <w:shd w:val="clear" w:color="auto" w:fill="1414D2"/>
          </w:tcPr>
          <w:p>
            <w:pPr>
              <w:ind w:left="540"/>
              <w:spacing w:after="0"/>
              <w:rPr>
                <w:sz w:val="20"/>
                <w:szCs w:val="20"/>
                <w:color w:val="auto"/>
              </w:rPr>
            </w:pPr>
            <w:r>
              <w:rPr>
                <w:rFonts w:ascii="Arial" w:cs="Arial" w:eastAsia="Arial" w:hAnsi="Arial"/>
                <w:sz w:val="16"/>
                <w:szCs w:val="16"/>
                <w:color w:val="FFFFFF"/>
              </w:rPr>
              <w:t>pursuant  to  Section  13(a)  or  15(d)  of  the  Exchange</w:t>
            </w:r>
          </w:p>
        </w:tc>
        <w:tc>
          <w:tcPr>
            <w:tcW w:w="540" w:type="dxa"/>
            <w:vAlign w:val="bottom"/>
            <w:shd w:val="clear" w:color="auto" w:fill="1414D2"/>
          </w:tcPr>
          <w:p>
            <w:pPr>
              <w:ind w:left="320"/>
              <w:spacing w:after="0"/>
              <w:rPr>
                <w:sz w:val="20"/>
                <w:szCs w:val="20"/>
                <w:color w:val="auto"/>
              </w:rPr>
            </w:pPr>
            <w:r>
              <w:rPr>
                <w:rFonts w:ascii="Times New Roman" w:cs="Times New Roman" w:eastAsia="Times New Roman" w:hAnsi="Times New Roman"/>
                <w:sz w:val="16"/>
                <w:szCs w:val="16"/>
                <w:color w:val="FFFFFF"/>
              </w:rPr>
              <w:t>●</w:t>
            </w:r>
          </w:p>
        </w:tc>
        <w:tc>
          <w:tcPr>
            <w:tcW w:w="4420" w:type="dxa"/>
            <w:vAlign w:val="bottom"/>
            <w:shd w:val="clear" w:color="auto" w:fill="1414D2"/>
          </w:tcPr>
          <w:p>
            <w:pPr>
              <w:ind w:left="100"/>
              <w:spacing w:after="0"/>
              <w:rPr>
                <w:sz w:val="20"/>
                <w:szCs w:val="20"/>
                <w:color w:val="auto"/>
              </w:rPr>
            </w:pPr>
            <w:r>
              <w:rPr>
                <w:rFonts w:ascii="Arial" w:cs="Arial" w:eastAsia="Arial" w:hAnsi="Arial"/>
                <w:sz w:val="16"/>
                <w:szCs w:val="16"/>
                <w:color w:val="FFFFFF"/>
              </w:rPr>
              <w:t>Climate  Lobbying  Report;  and</w:t>
            </w:r>
          </w:p>
        </w:tc>
        <w:tc>
          <w:tcPr>
            <w:tcW w:w="0" w:type="dxa"/>
            <w:vAlign w:val="bottom"/>
          </w:tcPr>
          <w:p>
            <w:pPr>
              <w:spacing w:after="0"/>
              <w:rPr>
                <w:sz w:val="1"/>
                <w:szCs w:val="1"/>
                <w:color w:val="auto"/>
              </w:rPr>
            </w:pPr>
          </w:p>
        </w:tc>
      </w:tr>
      <w:tr>
        <w:trPr>
          <w:trHeight w:val="235"/>
        </w:trPr>
        <w:tc>
          <w:tcPr>
            <w:tcW w:w="4760" w:type="dxa"/>
            <w:vAlign w:val="bottom"/>
            <w:shd w:val="clear" w:color="auto" w:fill="1414D2"/>
          </w:tcPr>
          <w:p>
            <w:pPr>
              <w:ind w:left="540"/>
              <w:spacing w:after="0"/>
              <w:rPr>
                <w:sz w:val="20"/>
                <w:szCs w:val="20"/>
                <w:color w:val="auto"/>
              </w:rPr>
            </w:pPr>
            <w:r>
              <w:rPr>
                <w:rFonts w:ascii="Arial" w:cs="Arial" w:eastAsia="Arial" w:hAnsi="Arial"/>
                <w:sz w:val="16"/>
                <w:szCs w:val="16"/>
                <w:color w:val="FFFFFF"/>
              </w:rPr>
              <w:t>Act;</w:t>
            </w:r>
          </w:p>
        </w:tc>
        <w:tc>
          <w:tcPr>
            <w:tcW w:w="540" w:type="dxa"/>
            <w:vAlign w:val="bottom"/>
            <w:vMerge w:val="restart"/>
            <w:shd w:val="clear" w:color="auto" w:fill="1414D2"/>
          </w:tcPr>
          <w:p>
            <w:pPr>
              <w:ind w:left="320"/>
              <w:spacing w:after="0"/>
              <w:rPr>
                <w:sz w:val="20"/>
                <w:szCs w:val="20"/>
                <w:color w:val="auto"/>
              </w:rPr>
            </w:pPr>
            <w:r>
              <w:rPr>
                <w:rFonts w:ascii="Times New Roman" w:cs="Times New Roman" w:eastAsia="Times New Roman" w:hAnsi="Times New Roman"/>
                <w:sz w:val="16"/>
                <w:szCs w:val="16"/>
                <w:color w:val="FFFFFF"/>
              </w:rPr>
              <w:t>●</w:t>
            </w:r>
          </w:p>
        </w:tc>
        <w:tc>
          <w:tcPr>
            <w:tcW w:w="4420" w:type="dxa"/>
            <w:vAlign w:val="bottom"/>
            <w:vMerge w:val="restart"/>
            <w:shd w:val="clear" w:color="auto" w:fill="1414D2"/>
          </w:tcPr>
          <w:p>
            <w:pPr>
              <w:ind w:left="100"/>
              <w:spacing w:after="0"/>
              <w:rPr>
                <w:sz w:val="20"/>
                <w:szCs w:val="20"/>
                <w:color w:val="auto"/>
              </w:rPr>
            </w:pPr>
            <w:r>
              <w:rPr>
                <w:rFonts w:ascii="Arial" w:cs="Arial" w:eastAsia="Arial" w:hAnsi="Arial"/>
                <w:sz w:val="16"/>
                <w:szCs w:val="16"/>
                <w:color w:val="FFFFFF"/>
              </w:rPr>
              <w:t>Code  of  Ethics  and  Business  Conduct,  which  applies</w:t>
            </w:r>
          </w:p>
        </w:tc>
        <w:tc>
          <w:tcPr>
            <w:tcW w:w="0" w:type="dxa"/>
            <w:vAlign w:val="bottom"/>
          </w:tcPr>
          <w:p>
            <w:pPr>
              <w:spacing w:after="0"/>
              <w:rPr>
                <w:sz w:val="1"/>
                <w:szCs w:val="1"/>
                <w:color w:val="auto"/>
              </w:rPr>
            </w:pPr>
          </w:p>
        </w:tc>
      </w:tr>
      <w:tr>
        <w:trPr>
          <w:trHeight w:val="89"/>
        </w:trPr>
        <w:tc>
          <w:tcPr>
            <w:tcW w:w="4760" w:type="dxa"/>
            <w:vAlign w:val="bottom"/>
            <w:vMerge w:val="restart"/>
            <w:shd w:val="clear" w:color="auto" w:fill="1414D2"/>
          </w:tcPr>
          <w:p>
            <w:pPr>
              <w:ind w:left="220"/>
              <w:spacing w:after="0"/>
              <w:rPr>
                <w:sz w:val="20"/>
                <w:szCs w:val="20"/>
                <w:color w:val="auto"/>
              </w:rPr>
            </w:pPr>
            <w:r>
              <w:rPr>
                <w:rFonts w:ascii="Times New Roman" w:cs="Times New Roman" w:eastAsia="Times New Roman" w:hAnsi="Times New Roman"/>
                <w:sz w:val="16"/>
                <w:szCs w:val="16"/>
                <w:color w:val="FFFFFF"/>
              </w:rPr>
              <w:t>●</w:t>
            </w:r>
            <w:r>
              <w:rPr>
                <w:rFonts w:ascii="Arial" w:cs="Arial" w:eastAsia="Arial" w:hAnsi="Arial"/>
                <w:sz w:val="16"/>
                <w:szCs w:val="16"/>
                <w:color w:val="FFFFFF"/>
              </w:rPr>
              <w:t>Amended  and  Restated  Certifcate  of  Incorporation</w:t>
            </w:r>
          </w:p>
        </w:tc>
        <w:tc>
          <w:tcPr>
            <w:tcW w:w="540" w:type="dxa"/>
            <w:vAlign w:val="bottom"/>
            <w:vMerge w:val="continue"/>
            <w:shd w:val="clear" w:color="auto" w:fill="1414D2"/>
          </w:tcPr>
          <w:p>
            <w:pPr>
              <w:spacing w:after="0"/>
              <w:rPr>
                <w:sz w:val="7"/>
                <w:szCs w:val="7"/>
                <w:color w:val="auto"/>
              </w:rPr>
            </w:pPr>
          </w:p>
        </w:tc>
        <w:tc>
          <w:tcPr>
            <w:tcW w:w="4420" w:type="dxa"/>
            <w:vAlign w:val="bottom"/>
            <w:vMerge w:val="continue"/>
            <w:shd w:val="clear" w:color="auto" w:fill="1414D2"/>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4760" w:type="dxa"/>
            <w:vAlign w:val="bottom"/>
            <w:vMerge w:val="continue"/>
            <w:shd w:val="clear" w:color="auto" w:fill="1414D2"/>
          </w:tcPr>
          <w:p>
            <w:pPr>
              <w:spacing w:after="0"/>
              <w:rPr>
                <w:sz w:val="15"/>
                <w:szCs w:val="15"/>
                <w:color w:val="auto"/>
              </w:rPr>
            </w:pPr>
          </w:p>
        </w:tc>
        <w:tc>
          <w:tcPr>
            <w:tcW w:w="540" w:type="dxa"/>
            <w:vAlign w:val="bottom"/>
            <w:shd w:val="clear" w:color="auto" w:fill="1414D2"/>
          </w:tcPr>
          <w:p>
            <w:pPr>
              <w:spacing w:after="0"/>
              <w:rPr>
                <w:sz w:val="15"/>
                <w:szCs w:val="15"/>
                <w:color w:val="auto"/>
              </w:rPr>
            </w:pPr>
          </w:p>
        </w:tc>
        <w:tc>
          <w:tcPr>
            <w:tcW w:w="4420" w:type="dxa"/>
            <w:vAlign w:val="bottom"/>
            <w:shd w:val="clear" w:color="auto" w:fill="1414D2"/>
          </w:tcPr>
          <w:p>
            <w:pPr>
              <w:ind w:left="100"/>
              <w:spacing w:after="0" w:line="175" w:lineRule="exact"/>
              <w:rPr>
                <w:sz w:val="20"/>
                <w:szCs w:val="20"/>
                <w:color w:val="auto"/>
              </w:rPr>
            </w:pPr>
            <w:r>
              <w:rPr>
                <w:rFonts w:ascii="Arial" w:cs="Arial" w:eastAsia="Arial" w:hAnsi="Arial"/>
                <w:sz w:val="16"/>
                <w:szCs w:val="16"/>
                <w:color w:val="FFFFFF"/>
              </w:rPr>
              <w:t>to  all  directors,  ofcers  and  employees.</w:t>
            </w:r>
          </w:p>
        </w:tc>
        <w:tc>
          <w:tcPr>
            <w:tcW w:w="0" w:type="dxa"/>
            <w:vAlign w:val="bottom"/>
          </w:tcPr>
          <w:p>
            <w:pPr>
              <w:spacing w:after="0"/>
              <w:rPr>
                <w:sz w:val="1"/>
                <w:szCs w:val="1"/>
                <w:color w:val="auto"/>
              </w:rPr>
            </w:pPr>
          </w:p>
        </w:tc>
      </w:tr>
      <w:tr>
        <w:trPr>
          <w:trHeight w:val="235"/>
        </w:trPr>
        <w:tc>
          <w:tcPr>
            <w:tcW w:w="4760" w:type="dxa"/>
            <w:vAlign w:val="bottom"/>
            <w:shd w:val="clear" w:color="auto" w:fill="1414D2"/>
          </w:tcPr>
          <w:p>
            <w:pPr>
              <w:ind w:left="540"/>
              <w:spacing w:after="0"/>
              <w:rPr>
                <w:sz w:val="20"/>
                <w:szCs w:val="20"/>
                <w:color w:val="auto"/>
              </w:rPr>
            </w:pPr>
            <w:r>
              <w:rPr>
                <w:rFonts w:ascii="Arial" w:cs="Arial" w:eastAsia="Arial" w:hAnsi="Arial"/>
                <w:sz w:val="16"/>
                <w:szCs w:val="16"/>
                <w:color w:val="FFFFFF"/>
              </w:rPr>
              <w:t>and  Amended  and  Restated  Bylaws;</w:t>
            </w:r>
          </w:p>
        </w:tc>
        <w:tc>
          <w:tcPr>
            <w:tcW w:w="540" w:type="dxa"/>
            <w:vAlign w:val="bottom"/>
            <w:shd w:val="clear" w:color="auto" w:fill="1414D2"/>
          </w:tcPr>
          <w:p>
            <w:pPr>
              <w:spacing w:after="0"/>
              <w:rPr>
                <w:sz w:val="20"/>
                <w:szCs w:val="20"/>
                <w:color w:val="auto"/>
              </w:rPr>
            </w:pPr>
          </w:p>
        </w:tc>
        <w:tc>
          <w:tcPr>
            <w:tcW w:w="4420" w:type="dxa"/>
            <w:vAlign w:val="bottom"/>
            <w:shd w:val="clear" w:color="auto" w:fill="1414D2"/>
          </w:tcPr>
          <w:p>
            <w:pPr>
              <w:spacing w:after="0"/>
              <w:rPr>
                <w:sz w:val="20"/>
                <w:szCs w:val="20"/>
                <w:color w:val="auto"/>
              </w:rPr>
            </w:pPr>
          </w:p>
        </w:tc>
        <w:tc>
          <w:tcPr>
            <w:tcW w:w="0" w:type="dxa"/>
            <w:vAlign w:val="bottom"/>
          </w:tcPr>
          <w:p>
            <w:pPr>
              <w:spacing w:after="0"/>
              <w:rPr>
                <w:sz w:val="1"/>
                <w:szCs w:val="1"/>
                <w:color w:val="auto"/>
              </w:rPr>
            </w:pPr>
          </w:p>
        </w:tc>
      </w:tr>
      <w:tr>
        <w:trPr>
          <w:trHeight w:val="87"/>
        </w:trPr>
        <w:tc>
          <w:tcPr>
            <w:tcW w:w="4760" w:type="dxa"/>
            <w:vAlign w:val="bottom"/>
            <w:shd w:val="clear" w:color="auto" w:fill="1414D2"/>
          </w:tcPr>
          <w:p>
            <w:pPr>
              <w:spacing w:after="0"/>
              <w:rPr>
                <w:sz w:val="7"/>
                <w:szCs w:val="7"/>
                <w:color w:val="auto"/>
              </w:rPr>
            </w:pPr>
          </w:p>
        </w:tc>
        <w:tc>
          <w:tcPr>
            <w:tcW w:w="540" w:type="dxa"/>
            <w:vAlign w:val="bottom"/>
            <w:shd w:val="clear" w:color="auto" w:fill="1414D2"/>
          </w:tcPr>
          <w:p>
            <w:pPr>
              <w:spacing w:after="0"/>
              <w:rPr>
                <w:sz w:val="7"/>
                <w:szCs w:val="7"/>
                <w:color w:val="auto"/>
              </w:rPr>
            </w:pPr>
          </w:p>
        </w:tc>
        <w:tc>
          <w:tcPr>
            <w:tcW w:w="4420" w:type="dxa"/>
            <w:vAlign w:val="bottom"/>
            <w:shd w:val="clear" w:color="auto" w:fill="1414D2"/>
          </w:tcPr>
          <w:p>
            <w:pPr>
              <w:spacing w:after="0"/>
              <w:rPr>
                <w:sz w:val="7"/>
                <w:szCs w:val="7"/>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5"/>
          <w:szCs w:val="15"/>
          <w:color w:val="auto"/>
        </w:rPr>
        <w:t>To  view  the  United  Airlines,  Inc.  Political  and  Lobbying  Policy  and  our  comprehensive  index  that  maps  our  corporate  governance</w:t>
      </w:r>
    </w:p>
    <w:p>
      <w:pPr>
        <w:spacing w:after="0" w:line="30" w:lineRule="exact"/>
        <w:rPr>
          <w:sz w:val="20"/>
          <w:szCs w:val="20"/>
          <w:color w:val="auto"/>
        </w:rPr>
      </w:pPr>
    </w:p>
    <w:p>
      <w:pPr>
        <w:ind w:right="80"/>
        <w:spacing w:after="0" w:line="313" w:lineRule="auto"/>
        <w:rPr>
          <w:sz w:val="20"/>
          <w:szCs w:val="20"/>
          <w:color w:val="auto"/>
        </w:rPr>
      </w:pPr>
      <w:r>
        <w:rPr>
          <w:rFonts w:ascii="Arial" w:cs="Arial" w:eastAsia="Arial" w:hAnsi="Arial"/>
          <w:sz w:val="16"/>
          <w:szCs w:val="16"/>
          <w:color w:val="auto"/>
        </w:rPr>
        <w:t xml:space="preserve">and corporate citizenship related disclosures across metrics outlined in the TCFD framework, please view our Corporate Impact Report at </w:t>
      </w:r>
      <w:r>
        <w:rPr>
          <w:rFonts w:ascii="Arial" w:cs="Arial" w:eastAsia="Arial" w:hAnsi="Arial"/>
          <w:sz w:val="16"/>
          <w:szCs w:val="16"/>
          <w:b w:val="1"/>
          <w:bCs w:val="1"/>
          <w:color w:val="1414D2"/>
        </w:rPr>
        <w:t>https://corporateimpact.united.com</w:t>
      </w:r>
      <w:r>
        <w:rPr>
          <w:rFonts w:ascii="Arial" w:cs="Arial" w:eastAsia="Arial" w:hAnsi="Arial"/>
          <w:sz w:val="16"/>
          <w:szCs w:val="16"/>
          <w:color w:val="auto"/>
        </w:rPr>
        <w:t>.</w:t>
      </w:r>
    </w:p>
    <w:p>
      <w:pPr>
        <w:sectPr>
          <w:pgSz w:w="11900" w:h="16838" w:orient="portrait"/>
          <w:cols w:equalWidth="0" w:num="1">
            <w:col w:w="9720"/>
          </w:cols>
          <w:pgMar w:left="1080" w:top="695"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ind w:right="7720"/>
        <w:spacing w:after="0"/>
        <w:rPr>
          <w:sz w:val="20"/>
          <w:szCs w:val="20"/>
          <w:color w:val="auto"/>
        </w:rPr>
      </w:pPr>
      <w:r>
        <w:rPr>
          <w:rFonts w:ascii="Arial" w:cs="Arial" w:eastAsia="Arial" w:hAnsi="Arial"/>
          <w:sz w:val="16"/>
          <w:szCs w:val="16"/>
          <w:color w:val="auto"/>
        </w:rPr>
        <w:t>​​2026​  Proxy</w:t>
      </w:r>
    </w:p>
    <w:p>
      <w:pPr>
        <w:spacing w:after="0" w:line="5" w:lineRule="exact"/>
        <w:rPr>
          <w:sz w:val="20"/>
          <w:szCs w:val="20"/>
          <w:color w:val="auto"/>
        </w:rPr>
      </w:pPr>
    </w:p>
    <w:p>
      <w:pPr>
        <w:ind w:left="660" w:hanging="656"/>
        <w:spacing w:after="0"/>
        <w:tabs>
          <w:tab w:leader="none" w:pos="660" w:val="left"/>
        </w:tabs>
        <w:numPr>
          <w:ilvl w:val="0"/>
          <w:numId w:val="65"/>
        </w:numPr>
        <w:rPr>
          <w:rFonts w:ascii="Arial" w:cs="Arial" w:eastAsia="Arial" w:hAnsi="Arial"/>
          <w:sz w:val="16"/>
          <w:szCs w:val="16"/>
          <w:b w:val="1"/>
          <w:bCs w:val="1"/>
          <w:color w:val="1414D2"/>
        </w:rPr>
      </w:pPr>
      <w:r>
        <w:rPr>
          <w:rFonts w:ascii="Arial" w:cs="Arial" w:eastAsia="Arial" w:hAnsi="Arial"/>
          <w:sz w:val="16"/>
          <w:szCs w:val="16"/>
          <w:color w:val="auto"/>
        </w:rPr>
        <w:t>Statement</w:t>
      </w:r>
    </w:p>
    <w:p>
      <w:pPr>
        <w:sectPr>
          <w:pgSz w:w="11900" w:h="16838" w:orient="portrait"/>
          <w:cols w:equalWidth="0" w:num="1">
            <w:col w:w="9720"/>
          </w:cols>
          <w:pgMar w:left="1080" w:top="695" w:right="1099" w:bottom="1440" w:gutter="0" w:footer="0" w:header="0"/>
          <w:type w:val="continuous"/>
        </w:sectPr>
      </w:pPr>
    </w:p>
    <w:bookmarkStart w:id="71" w:name="page72"/>
    <w:bookmarkEnd w:id="71"/>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27" w:lineRule="exact"/>
        <w:rPr>
          <w:sz w:val="20"/>
          <w:szCs w:val="20"/>
          <w:color w:val="auto"/>
        </w:rPr>
      </w:pPr>
    </w:p>
    <w:p>
      <w:pPr>
        <w:ind w:left="6900"/>
        <w:spacing w:after="0"/>
        <w:rPr>
          <w:sz w:val="20"/>
          <w:szCs w:val="20"/>
          <w:color w:val="auto"/>
        </w:rPr>
      </w:pPr>
      <w:r>
        <w:rPr>
          <w:rFonts w:ascii="Arial" w:cs="Arial" w:eastAsia="Arial" w:hAnsi="Arial"/>
          <w:sz w:val="14"/>
          <w:szCs w:val="14"/>
          <w:color w:val="6D6F71"/>
        </w:rPr>
        <w:t>Board  and  Corporate  Governance  Matters</w:t>
      </w:r>
    </w:p>
    <w:p>
      <w:pPr>
        <w:spacing w:after="0" w:line="223" w:lineRule="exact"/>
        <w:rPr>
          <w:sz w:val="20"/>
          <w:szCs w:val="20"/>
          <w:color w:val="auto"/>
        </w:rPr>
      </w:pPr>
    </w:p>
    <w:p>
      <w:pPr>
        <w:spacing w:after="0"/>
        <w:rPr>
          <w:sz w:val="20"/>
          <w:szCs w:val="20"/>
          <w:color w:val="auto"/>
        </w:rPr>
      </w:pPr>
      <w:r>
        <w:rPr>
          <w:rFonts w:ascii="Arial" w:cs="Arial" w:eastAsia="Arial" w:hAnsi="Arial"/>
          <w:sz w:val="25"/>
          <w:szCs w:val="25"/>
          <w:b w:val="1"/>
          <w:bCs w:val="1"/>
          <w:color w:val="1414D2"/>
        </w:rPr>
        <w:t>How Directors Are Paid</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HIGHLIGHTS OF OUR NON-EMPLOYEE DIRECTOR COMPENSATION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80" w:right="360" w:hanging="331"/>
        <w:spacing w:after="0" w:line="330" w:lineRule="auto"/>
        <w:tabs>
          <w:tab w:leader="none" w:pos="1280" w:val="left"/>
        </w:tabs>
        <w:numPr>
          <w:ilvl w:val="0"/>
          <w:numId w:val="66"/>
        </w:numPr>
        <w:rPr>
          <w:rFonts w:ascii="Times New Roman" w:cs="Times New Roman" w:eastAsia="Times New Roman" w:hAnsi="Times New Roman"/>
          <w:sz w:val="16"/>
          <w:szCs w:val="16"/>
          <w:color w:val="FFFFFF"/>
        </w:rPr>
      </w:pPr>
      <w:r>
        <w:rPr>
          <w:rFonts w:ascii="Arial" w:cs="Arial" w:eastAsia="Arial" w:hAnsi="Arial"/>
          <w:sz w:val="16"/>
          <w:szCs w:val="16"/>
          <w:b w:val="1"/>
          <w:bCs w:val="1"/>
          <w:color w:val="FFFFFF"/>
        </w:rPr>
        <w:t>No Fees for Board or Committee Meeting Attendance</w:t>
      </w:r>
      <w:r>
        <w:rPr>
          <w:rFonts w:ascii="Arial" w:cs="Arial" w:eastAsia="Arial" w:hAnsi="Arial"/>
          <w:sz w:val="16"/>
          <w:szCs w:val="16"/>
          <w:color w:val="FFFFFF"/>
        </w:rPr>
        <w:t>: Meeting attendance is an expected part of Board</w:t>
      </w:r>
      <w:r>
        <w:rPr>
          <w:rFonts w:ascii="Arial" w:cs="Arial" w:eastAsia="Arial" w:hAnsi="Arial"/>
          <w:sz w:val="16"/>
          <w:szCs w:val="16"/>
          <w:b w:val="1"/>
          <w:bCs w:val="1"/>
          <w:color w:val="FFFFFF"/>
        </w:rPr>
        <w:t xml:space="preserve"> </w:t>
      </w:r>
      <w:r>
        <w:rPr>
          <w:rFonts w:ascii="Arial" w:cs="Arial" w:eastAsia="Arial" w:hAnsi="Arial"/>
          <w:sz w:val="16"/>
          <w:szCs w:val="16"/>
          <w:color w:val="FFFFFF"/>
        </w:rPr>
        <w:t>service.</w:t>
      </w:r>
    </w:p>
    <w:p>
      <w:pPr>
        <w:spacing w:after="0" w:line="6" w:lineRule="exact"/>
        <w:rPr>
          <w:rFonts w:ascii="Times New Roman" w:cs="Times New Roman" w:eastAsia="Times New Roman" w:hAnsi="Times New Roman"/>
          <w:sz w:val="16"/>
          <w:szCs w:val="16"/>
          <w:color w:val="FFFFFF"/>
        </w:rPr>
      </w:pPr>
    </w:p>
    <w:p>
      <w:pPr>
        <w:ind w:left="1280" w:right="260" w:hanging="331"/>
        <w:spacing w:after="0" w:line="315" w:lineRule="auto"/>
        <w:tabs>
          <w:tab w:leader="none" w:pos="1280" w:val="left"/>
        </w:tabs>
        <w:numPr>
          <w:ilvl w:val="0"/>
          <w:numId w:val="66"/>
        </w:numPr>
        <w:rPr>
          <w:rFonts w:ascii="Times New Roman" w:cs="Times New Roman" w:eastAsia="Times New Roman" w:hAnsi="Times New Roman"/>
          <w:sz w:val="16"/>
          <w:szCs w:val="16"/>
          <w:color w:val="FFFFFF"/>
        </w:rPr>
      </w:pPr>
      <w:r>
        <w:rPr>
          <w:rFonts w:ascii="Arial" w:cs="Arial" w:eastAsia="Arial" w:hAnsi="Arial"/>
          <w:sz w:val="16"/>
          <w:szCs w:val="16"/>
          <w:b w:val="1"/>
          <w:bCs w:val="1"/>
          <w:color w:val="FFFFFF"/>
        </w:rPr>
        <w:t>Emphasis on Equity</w:t>
      </w:r>
      <w:r>
        <w:rPr>
          <w:rFonts w:ascii="Arial" w:cs="Arial" w:eastAsia="Arial" w:hAnsi="Arial"/>
          <w:sz w:val="16"/>
          <w:szCs w:val="16"/>
          <w:color w:val="FFFFFF"/>
        </w:rPr>
        <w:t>: There is an emphasis on equity-based compensation with a one-year vesting period in</w:t>
      </w:r>
      <w:r>
        <w:rPr>
          <w:rFonts w:ascii="Arial" w:cs="Arial" w:eastAsia="Arial" w:hAnsi="Arial"/>
          <w:sz w:val="16"/>
          <w:szCs w:val="16"/>
          <w:b w:val="1"/>
          <w:bCs w:val="1"/>
          <w:color w:val="FFFFFF"/>
        </w:rPr>
        <w:t xml:space="preserve"> </w:t>
      </w:r>
      <w:r>
        <w:rPr>
          <w:rFonts w:ascii="Arial" w:cs="Arial" w:eastAsia="Arial" w:hAnsi="Arial"/>
          <w:sz w:val="16"/>
          <w:szCs w:val="16"/>
          <w:color w:val="FFFFFF"/>
        </w:rPr>
        <w:t>the overall non-employee director compensation pay mix to align non-employee director and stockholder interests.</w:t>
      </w:r>
    </w:p>
    <w:p>
      <w:pPr>
        <w:spacing w:after="0" w:line="245" w:lineRule="exact"/>
        <w:rPr>
          <w:rFonts w:ascii="Times New Roman" w:cs="Times New Roman" w:eastAsia="Times New Roman" w:hAnsi="Times New Roman"/>
          <w:sz w:val="16"/>
          <w:szCs w:val="16"/>
          <w:color w:val="FFFFFF"/>
        </w:rPr>
      </w:pPr>
    </w:p>
    <w:p>
      <w:pPr>
        <w:ind w:left="1280" w:right="160" w:hanging="331"/>
        <w:spacing w:after="0" w:line="315" w:lineRule="auto"/>
        <w:tabs>
          <w:tab w:leader="none" w:pos="1280" w:val="left"/>
        </w:tabs>
        <w:numPr>
          <w:ilvl w:val="0"/>
          <w:numId w:val="66"/>
        </w:numPr>
        <w:rPr>
          <w:rFonts w:ascii="Times New Roman" w:cs="Times New Roman" w:eastAsia="Times New Roman" w:hAnsi="Times New Roman"/>
          <w:sz w:val="16"/>
          <w:szCs w:val="16"/>
          <w:color w:val="FFFFFF"/>
        </w:rPr>
      </w:pPr>
      <w:r>
        <w:rPr>
          <w:rFonts w:ascii="Arial" w:cs="Arial" w:eastAsia="Arial" w:hAnsi="Arial"/>
          <w:sz w:val="16"/>
          <w:szCs w:val="16"/>
          <w:b w:val="1"/>
          <w:bCs w:val="1"/>
          <w:color w:val="FFFFFF"/>
        </w:rPr>
        <w:t>Recognition of Roles</w:t>
      </w:r>
      <w:r>
        <w:rPr>
          <w:rFonts w:ascii="Arial" w:cs="Arial" w:eastAsia="Arial" w:hAnsi="Arial"/>
          <w:sz w:val="16"/>
          <w:szCs w:val="16"/>
          <w:color w:val="FFFFFF"/>
        </w:rPr>
        <w:t>: Roles requiring extra time commitment and responsibilities, such as the Chairman of</w:t>
      </w:r>
      <w:r>
        <w:rPr>
          <w:rFonts w:ascii="Arial" w:cs="Arial" w:eastAsia="Arial" w:hAnsi="Arial"/>
          <w:sz w:val="16"/>
          <w:szCs w:val="16"/>
          <w:b w:val="1"/>
          <w:bCs w:val="1"/>
          <w:color w:val="FFFFFF"/>
        </w:rPr>
        <w:t xml:space="preserve"> </w:t>
      </w:r>
      <w:r>
        <w:rPr>
          <w:rFonts w:ascii="Arial" w:cs="Arial" w:eastAsia="Arial" w:hAnsi="Arial"/>
          <w:sz w:val="16"/>
          <w:szCs w:val="16"/>
          <w:color w:val="FFFFFF"/>
        </w:rPr>
        <w:t>the Board and the Committee Chairpersons, are recognized for the supplemental service that they provide to the Board.</w:t>
      </w:r>
    </w:p>
    <w:p>
      <w:pPr>
        <w:spacing w:after="0" w:line="245" w:lineRule="exact"/>
        <w:rPr>
          <w:rFonts w:ascii="Times New Roman" w:cs="Times New Roman" w:eastAsia="Times New Roman" w:hAnsi="Times New Roman"/>
          <w:sz w:val="16"/>
          <w:szCs w:val="16"/>
          <w:color w:val="FFFFFF"/>
        </w:rPr>
      </w:pPr>
    </w:p>
    <w:p>
      <w:pPr>
        <w:ind w:left="1280" w:right="240" w:hanging="331"/>
        <w:spacing w:after="0" w:line="330" w:lineRule="auto"/>
        <w:tabs>
          <w:tab w:leader="none" w:pos="1280" w:val="left"/>
        </w:tabs>
        <w:numPr>
          <w:ilvl w:val="0"/>
          <w:numId w:val="66"/>
        </w:numPr>
        <w:rPr>
          <w:rFonts w:ascii="Times New Roman" w:cs="Times New Roman" w:eastAsia="Times New Roman" w:hAnsi="Times New Roman"/>
          <w:sz w:val="16"/>
          <w:szCs w:val="16"/>
          <w:color w:val="FFFFFF"/>
        </w:rPr>
      </w:pPr>
      <w:r>
        <w:rPr>
          <w:rFonts w:ascii="Arial" w:cs="Arial" w:eastAsia="Arial" w:hAnsi="Arial"/>
          <w:sz w:val="16"/>
          <w:szCs w:val="16"/>
          <w:b w:val="1"/>
          <w:bCs w:val="1"/>
          <w:color w:val="FFFFFF"/>
        </w:rPr>
        <w:t>Stock Ownership Requirement</w:t>
      </w:r>
      <w:r>
        <w:rPr>
          <w:rFonts w:ascii="Arial" w:cs="Arial" w:eastAsia="Arial" w:hAnsi="Arial"/>
          <w:sz w:val="16"/>
          <w:szCs w:val="16"/>
          <w:color w:val="FFFFFF"/>
        </w:rPr>
        <w:t>: Non-employee directors must hold meaningful equity ownership positions</w:t>
      </w:r>
      <w:r>
        <w:rPr>
          <w:rFonts w:ascii="Arial" w:cs="Arial" w:eastAsia="Arial" w:hAnsi="Arial"/>
          <w:sz w:val="16"/>
          <w:szCs w:val="16"/>
          <w:b w:val="1"/>
          <w:bCs w:val="1"/>
          <w:color w:val="FFFFFF"/>
        </w:rPr>
        <w:t xml:space="preserve"> </w:t>
      </w:r>
      <w:r>
        <w:rPr>
          <w:rFonts w:ascii="Arial" w:cs="Arial" w:eastAsia="Arial" w:hAnsi="Arial"/>
          <w:sz w:val="16"/>
          <w:szCs w:val="16"/>
          <w:color w:val="FFFFFF"/>
        </w:rPr>
        <w:t>in United.</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STRUCTURE OF OUR NON-EMPLOYEE DIRECTOR COMPENSATION PROGRAM</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414D2"/>
        </w:rPr>
        <w:t>Overview of Non-Employee Director Compensation Program</w:t>
      </w:r>
    </w:p>
    <w:p>
      <w:pPr>
        <w:spacing w:after="0" w:line="115"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The members of our Board play a critical role in guiding United’s strategic direction. In light of the demanding nature of the role and responsibilities of a public company board, including the time commitment and risks associated with board service, the</w:t>
      </w:r>
    </w:p>
    <w:p>
      <w:pPr>
        <w:spacing w:after="0" w:line="1" w:lineRule="exact"/>
        <w:rPr>
          <w:sz w:val="20"/>
          <w:szCs w:val="20"/>
          <w:color w:val="auto"/>
        </w:rPr>
      </w:pPr>
    </w:p>
    <w:p>
      <w:pPr>
        <w:ind w:right="540"/>
        <w:spacing w:after="0" w:line="313" w:lineRule="auto"/>
        <w:rPr>
          <w:sz w:val="20"/>
          <w:szCs w:val="20"/>
          <w:color w:val="auto"/>
        </w:rPr>
      </w:pPr>
      <w:r>
        <w:rPr>
          <w:rFonts w:ascii="Arial" w:cs="Arial" w:eastAsia="Arial" w:hAnsi="Arial"/>
          <w:sz w:val="16"/>
          <w:szCs w:val="16"/>
          <w:color w:val="auto"/>
        </w:rPr>
        <w:t>market for highly qualifed and experienced individuals who are capable of serving as qualifed directors of a large public company such as United is highly competitive.</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These  dynamics  make  it  imperative  that  we  provide  a  competitive  compensation  program  for  our  non-employee  directors.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We  have  structured  the  compensation  of  our  non-employee  directors  with  the  following  objectives  in  mind:</w:t>
      </w:r>
    </w:p>
    <w:p>
      <w:pPr>
        <w:spacing w:after="0" w:line="127" w:lineRule="exact"/>
        <w:rPr>
          <w:sz w:val="20"/>
          <w:szCs w:val="20"/>
          <w:color w:val="auto"/>
        </w:rPr>
      </w:pPr>
    </w:p>
    <w:tbl>
      <w:tblPr>
        <w:tblLayout w:type="fixed"/>
        <w:tblInd w:w="580" w:type="dxa"/>
        <w:tblCellMar>
          <w:top w:w="0" w:type="dxa"/>
          <w:left w:w="0" w:type="dxa"/>
          <w:bottom w:w="0" w:type="dxa"/>
          <w:right w:w="0" w:type="dxa"/>
        </w:tblCellMar>
      </w:tblPr>
      <w:tr>
        <w:trPr>
          <w:trHeight w:val="189"/>
        </w:trPr>
        <w:tc>
          <w:tcPr>
            <w:tcW w:w="2420" w:type="dxa"/>
            <w:vAlign w:val="bottom"/>
          </w:tcPr>
          <w:p>
            <w:pPr>
              <w:spacing w:after="0"/>
              <w:rPr>
                <w:sz w:val="20"/>
                <w:szCs w:val="20"/>
                <w:color w:val="auto"/>
              </w:rPr>
            </w:pPr>
            <w:r>
              <w:rPr>
                <w:rFonts w:ascii="Arial" w:cs="Arial" w:eastAsia="Arial" w:hAnsi="Arial"/>
                <w:sz w:val="16"/>
                <w:szCs w:val="16"/>
                <w:color w:val="auto"/>
              </w:rPr>
              <w:t>​​​Recognize  the  substantial</w:t>
            </w:r>
          </w:p>
        </w:tc>
        <w:tc>
          <w:tcPr>
            <w:tcW w:w="620" w:type="dxa"/>
            <w:vAlign w:val="bottom"/>
          </w:tcPr>
          <w:p>
            <w:pPr>
              <w:ind w:left="220"/>
              <w:spacing w:after="0"/>
              <w:rPr>
                <w:sz w:val="20"/>
                <w:szCs w:val="20"/>
                <w:color w:val="auto"/>
              </w:rPr>
            </w:pPr>
            <w:r>
              <w:rPr>
                <w:rFonts w:ascii="Arial" w:cs="Arial" w:eastAsia="Arial" w:hAnsi="Arial"/>
                <w:sz w:val="16"/>
                <w:szCs w:val="16"/>
                <w:color w:val="auto"/>
              </w:rPr>
              <w:t>​​​</w:t>
            </w:r>
          </w:p>
        </w:tc>
        <w:tc>
          <w:tcPr>
            <w:tcW w:w="2680" w:type="dxa"/>
            <w:vAlign w:val="bottom"/>
          </w:tcPr>
          <w:p>
            <w:pPr>
              <w:ind w:left="280"/>
              <w:spacing w:after="0"/>
              <w:rPr>
                <w:sz w:val="20"/>
                <w:szCs w:val="20"/>
                <w:color w:val="auto"/>
              </w:rPr>
            </w:pPr>
            <w:r>
              <w:rPr>
                <w:rFonts w:ascii="Arial" w:cs="Arial" w:eastAsia="Arial" w:hAnsi="Arial"/>
                <w:sz w:val="16"/>
                <w:szCs w:val="16"/>
                <w:color w:val="auto"/>
              </w:rPr>
              <w:t>​​​Align  the  non-employee</w:t>
            </w:r>
          </w:p>
        </w:tc>
        <w:tc>
          <w:tcPr>
            <w:tcW w:w="620" w:type="dxa"/>
            <w:vAlign w:val="bottom"/>
          </w:tcPr>
          <w:p>
            <w:pPr>
              <w:ind w:left="220"/>
              <w:spacing w:after="0"/>
              <w:rPr>
                <w:sz w:val="20"/>
                <w:szCs w:val="20"/>
                <w:color w:val="auto"/>
              </w:rPr>
            </w:pPr>
            <w:r>
              <w:rPr>
                <w:rFonts w:ascii="Arial" w:cs="Arial" w:eastAsia="Arial" w:hAnsi="Arial"/>
                <w:sz w:val="16"/>
                <w:szCs w:val="16"/>
                <w:color w:val="auto"/>
              </w:rPr>
              <w:t>​​​</w:t>
            </w:r>
          </w:p>
        </w:tc>
        <w:tc>
          <w:tcPr>
            <w:tcW w:w="2540" w:type="dxa"/>
            <w:vAlign w:val="bottom"/>
          </w:tcPr>
          <w:p>
            <w:pPr>
              <w:ind w:left="260"/>
              <w:spacing w:after="0"/>
              <w:rPr>
                <w:sz w:val="20"/>
                <w:szCs w:val="20"/>
                <w:color w:val="auto"/>
              </w:rPr>
            </w:pPr>
            <w:r>
              <w:rPr>
                <w:rFonts w:ascii="Arial" w:cs="Arial" w:eastAsia="Arial" w:hAnsi="Arial"/>
                <w:sz w:val="16"/>
                <w:szCs w:val="16"/>
                <w:color w:val="auto"/>
              </w:rPr>
              <w:t>​​​Provide  a  non-employee</w:t>
            </w:r>
          </w:p>
        </w:tc>
      </w:tr>
      <w:tr>
        <w:trPr>
          <w:trHeight w:val="189"/>
        </w:trPr>
        <w:tc>
          <w:tcPr>
            <w:tcW w:w="2420" w:type="dxa"/>
            <w:vAlign w:val="bottom"/>
          </w:tcPr>
          <w:p>
            <w:pPr>
              <w:ind w:left="120"/>
              <w:spacing w:after="0"/>
              <w:rPr>
                <w:sz w:val="20"/>
                <w:szCs w:val="20"/>
                <w:color w:val="auto"/>
              </w:rPr>
            </w:pPr>
            <w:r>
              <w:rPr>
                <w:rFonts w:ascii="Arial" w:cs="Arial" w:eastAsia="Arial" w:hAnsi="Arial"/>
                <w:sz w:val="16"/>
                <w:szCs w:val="16"/>
                <w:color w:val="auto"/>
              </w:rPr>
              <w:t>investment  of  time  and</w:t>
            </w:r>
          </w:p>
        </w:tc>
        <w:tc>
          <w:tcPr>
            <w:tcW w:w="620" w:type="dxa"/>
            <w:vAlign w:val="bottom"/>
          </w:tcPr>
          <w:p>
            <w:pPr>
              <w:spacing w:after="0"/>
              <w:rPr>
                <w:sz w:val="16"/>
                <w:szCs w:val="16"/>
                <w:color w:val="auto"/>
              </w:rPr>
            </w:pPr>
          </w:p>
        </w:tc>
        <w:tc>
          <w:tcPr>
            <w:tcW w:w="2680" w:type="dxa"/>
            <w:vAlign w:val="bottom"/>
          </w:tcPr>
          <w:p>
            <w:pPr>
              <w:ind w:left="380"/>
              <w:spacing w:after="0"/>
              <w:rPr>
                <w:sz w:val="20"/>
                <w:szCs w:val="20"/>
                <w:color w:val="auto"/>
              </w:rPr>
            </w:pPr>
            <w:r>
              <w:rPr>
                <w:rFonts w:ascii="Arial" w:cs="Arial" w:eastAsia="Arial" w:hAnsi="Arial"/>
                <w:sz w:val="16"/>
                <w:szCs w:val="16"/>
                <w:color w:val="auto"/>
              </w:rPr>
              <w:t>directors’  interests  with  the</w:t>
            </w:r>
          </w:p>
        </w:tc>
        <w:tc>
          <w:tcPr>
            <w:tcW w:w="620" w:type="dxa"/>
            <w:vAlign w:val="bottom"/>
          </w:tcPr>
          <w:p>
            <w:pPr>
              <w:spacing w:after="0"/>
              <w:rPr>
                <w:sz w:val="16"/>
                <w:szCs w:val="16"/>
                <w:color w:val="auto"/>
              </w:rPr>
            </w:pPr>
          </w:p>
        </w:tc>
        <w:tc>
          <w:tcPr>
            <w:tcW w:w="2540" w:type="dxa"/>
            <w:vAlign w:val="bottom"/>
          </w:tcPr>
          <w:p>
            <w:pPr>
              <w:ind w:left="380"/>
              <w:spacing w:after="0"/>
              <w:rPr>
                <w:sz w:val="20"/>
                <w:szCs w:val="20"/>
                <w:color w:val="auto"/>
              </w:rPr>
            </w:pPr>
            <w:r>
              <w:rPr>
                <w:rFonts w:ascii="Arial" w:cs="Arial" w:eastAsia="Arial" w:hAnsi="Arial"/>
                <w:sz w:val="16"/>
                <w:szCs w:val="16"/>
                <w:color w:val="auto"/>
              </w:rPr>
              <w:t>director  compensation</w:t>
            </w:r>
          </w:p>
        </w:tc>
      </w:tr>
      <w:tr>
        <w:trPr>
          <w:trHeight w:val="189"/>
        </w:trPr>
        <w:tc>
          <w:tcPr>
            <w:tcW w:w="2420" w:type="dxa"/>
            <w:vAlign w:val="bottom"/>
          </w:tcPr>
          <w:p>
            <w:pPr>
              <w:ind w:left="120"/>
              <w:spacing w:after="0"/>
              <w:rPr>
                <w:sz w:val="20"/>
                <w:szCs w:val="20"/>
                <w:color w:val="auto"/>
              </w:rPr>
            </w:pPr>
            <w:r>
              <w:rPr>
                <w:rFonts w:ascii="Arial" w:cs="Arial" w:eastAsia="Arial" w:hAnsi="Arial"/>
                <w:sz w:val="16"/>
                <w:szCs w:val="16"/>
                <w:color w:val="auto"/>
              </w:rPr>
              <w:t>expertise  necessary  for  the</w:t>
            </w:r>
          </w:p>
        </w:tc>
        <w:tc>
          <w:tcPr>
            <w:tcW w:w="620" w:type="dxa"/>
            <w:vAlign w:val="bottom"/>
          </w:tcPr>
          <w:p>
            <w:pPr>
              <w:spacing w:after="0"/>
              <w:rPr>
                <w:sz w:val="16"/>
                <w:szCs w:val="16"/>
                <w:color w:val="auto"/>
              </w:rPr>
            </w:pPr>
          </w:p>
        </w:tc>
        <w:tc>
          <w:tcPr>
            <w:tcW w:w="2680" w:type="dxa"/>
            <w:vAlign w:val="bottom"/>
          </w:tcPr>
          <w:p>
            <w:pPr>
              <w:ind w:left="380"/>
              <w:spacing w:after="0"/>
              <w:rPr>
                <w:sz w:val="20"/>
                <w:szCs w:val="20"/>
                <w:color w:val="auto"/>
              </w:rPr>
            </w:pPr>
            <w:r>
              <w:rPr>
                <w:rFonts w:ascii="Arial" w:cs="Arial" w:eastAsia="Arial" w:hAnsi="Arial"/>
                <w:sz w:val="16"/>
                <w:szCs w:val="16"/>
                <w:color w:val="auto"/>
              </w:rPr>
              <w:t>long-term  interests  of  our</w:t>
            </w:r>
          </w:p>
        </w:tc>
        <w:tc>
          <w:tcPr>
            <w:tcW w:w="620" w:type="dxa"/>
            <w:vAlign w:val="bottom"/>
          </w:tcPr>
          <w:p>
            <w:pPr>
              <w:spacing w:after="0"/>
              <w:rPr>
                <w:sz w:val="16"/>
                <w:szCs w:val="16"/>
                <w:color w:val="auto"/>
              </w:rPr>
            </w:pPr>
          </w:p>
        </w:tc>
        <w:tc>
          <w:tcPr>
            <w:tcW w:w="2540" w:type="dxa"/>
            <w:vAlign w:val="bottom"/>
          </w:tcPr>
          <w:p>
            <w:pPr>
              <w:ind w:left="380"/>
              <w:spacing w:after="0"/>
              <w:rPr>
                <w:sz w:val="20"/>
                <w:szCs w:val="20"/>
                <w:color w:val="auto"/>
              </w:rPr>
            </w:pPr>
            <w:r>
              <w:rPr>
                <w:rFonts w:ascii="Arial" w:cs="Arial" w:eastAsia="Arial" w:hAnsi="Arial"/>
                <w:sz w:val="16"/>
                <w:szCs w:val="16"/>
                <w:color w:val="auto"/>
              </w:rPr>
              <w:t>program  that  is  competitive,</w:t>
            </w:r>
          </w:p>
        </w:tc>
      </w:tr>
      <w:tr>
        <w:trPr>
          <w:trHeight w:val="203"/>
        </w:trPr>
        <w:tc>
          <w:tcPr>
            <w:tcW w:w="2420" w:type="dxa"/>
            <w:vAlign w:val="bottom"/>
          </w:tcPr>
          <w:p>
            <w:pPr>
              <w:ind w:left="120"/>
              <w:spacing w:after="0"/>
              <w:rPr>
                <w:sz w:val="20"/>
                <w:szCs w:val="20"/>
                <w:color w:val="auto"/>
              </w:rPr>
            </w:pPr>
            <w:r>
              <w:rPr>
                <w:rFonts w:ascii="Arial" w:cs="Arial" w:eastAsia="Arial" w:hAnsi="Arial"/>
                <w:sz w:val="16"/>
                <w:szCs w:val="16"/>
                <w:color w:val="auto"/>
              </w:rPr>
              <w:t>non-employee  directors  to</w:t>
            </w:r>
          </w:p>
        </w:tc>
        <w:tc>
          <w:tcPr>
            <w:tcW w:w="620" w:type="dxa"/>
            <w:vAlign w:val="bottom"/>
          </w:tcPr>
          <w:p>
            <w:pPr>
              <w:spacing w:after="0"/>
              <w:rPr>
                <w:sz w:val="17"/>
                <w:szCs w:val="17"/>
                <w:color w:val="auto"/>
              </w:rPr>
            </w:pPr>
          </w:p>
        </w:tc>
        <w:tc>
          <w:tcPr>
            <w:tcW w:w="2680" w:type="dxa"/>
            <w:vAlign w:val="bottom"/>
          </w:tcPr>
          <w:p>
            <w:pPr>
              <w:ind w:left="380"/>
              <w:spacing w:after="0"/>
              <w:rPr>
                <w:sz w:val="20"/>
                <w:szCs w:val="20"/>
                <w:color w:val="auto"/>
              </w:rPr>
            </w:pPr>
            <w:r>
              <w:rPr>
                <w:rFonts w:ascii="Arial" w:cs="Arial" w:eastAsia="Arial" w:hAnsi="Arial"/>
                <w:sz w:val="16"/>
                <w:szCs w:val="16"/>
                <w:color w:val="auto"/>
              </w:rPr>
              <w:t>stockholders.</w:t>
            </w:r>
          </w:p>
        </w:tc>
        <w:tc>
          <w:tcPr>
            <w:tcW w:w="620" w:type="dxa"/>
            <w:vAlign w:val="bottom"/>
          </w:tcPr>
          <w:p>
            <w:pPr>
              <w:spacing w:after="0"/>
              <w:rPr>
                <w:sz w:val="17"/>
                <w:szCs w:val="17"/>
                <w:color w:val="auto"/>
              </w:rPr>
            </w:pPr>
          </w:p>
        </w:tc>
        <w:tc>
          <w:tcPr>
            <w:tcW w:w="2540" w:type="dxa"/>
            <w:vAlign w:val="bottom"/>
          </w:tcPr>
          <w:p>
            <w:pPr>
              <w:ind w:left="380"/>
              <w:spacing w:after="0"/>
              <w:rPr>
                <w:sz w:val="20"/>
                <w:szCs w:val="20"/>
                <w:color w:val="auto"/>
              </w:rPr>
            </w:pPr>
            <w:r>
              <w:rPr>
                <w:rFonts w:ascii="Arial" w:cs="Arial" w:eastAsia="Arial" w:hAnsi="Arial"/>
                <w:sz w:val="16"/>
                <w:szCs w:val="16"/>
                <w:color w:val="auto"/>
              </w:rPr>
              <w:t>reasonable  and  clearly</w:t>
            </w:r>
          </w:p>
        </w:tc>
      </w:tr>
      <w:tr>
        <w:trPr>
          <w:trHeight w:val="189"/>
        </w:trPr>
        <w:tc>
          <w:tcPr>
            <w:tcW w:w="2420" w:type="dxa"/>
            <w:vAlign w:val="bottom"/>
          </w:tcPr>
          <w:p>
            <w:pPr>
              <w:ind w:left="120"/>
              <w:spacing w:after="0"/>
              <w:rPr>
                <w:sz w:val="20"/>
                <w:szCs w:val="20"/>
                <w:color w:val="auto"/>
              </w:rPr>
            </w:pPr>
            <w:r>
              <w:rPr>
                <w:rFonts w:ascii="Arial" w:cs="Arial" w:eastAsia="Arial" w:hAnsi="Arial"/>
                <w:sz w:val="16"/>
                <w:szCs w:val="16"/>
                <w:color w:val="auto"/>
              </w:rPr>
              <w:t>discharge  their  duties  to</w:t>
            </w:r>
          </w:p>
        </w:tc>
        <w:tc>
          <w:tcPr>
            <w:tcW w:w="6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540" w:type="dxa"/>
            <w:vAlign w:val="bottom"/>
          </w:tcPr>
          <w:p>
            <w:pPr>
              <w:ind w:left="380"/>
              <w:spacing w:after="0"/>
              <w:rPr>
                <w:sz w:val="20"/>
                <w:szCs w:val="20"/>
                <w:color w:val="auto"/>
              </w:rPr>
            </w:pPr>
            <w:r>
              <w:rPr>
                <w:rFonts w:ascii="Arial" w:cs="Arial" w:eastAsia="Arial" w:hAnsi="Arial"/>
                <w:sz w:val="16"/>
                <w:szCs w:val="16"/>
                <w:color w:val="auto"/>
              </w:rPr>
              <w:t>disclosed.</w:t>
            </w:r>
          </w:p>
        </w:tc>
      </w:tr>
      <w:tr>
        <w:trPr>
          <w:trHeight w:val="235"/>
        </w:trPr>
        <w:tc>
          <w:tcPr>
            <w:tcW w:w="2420" w:type="dxa"/>
            <w:vAlign w:val="bottom"/>
          </w:tcPr>
          <w:p>
            <w:pPr>
              <w:ind w:left="120"/>
              <w:spacing w:after="0"/>
              <w:rPr>
                <w:sz w:val="20"/>
                <w:szCs w:val="20"/>
                <w:color w:val="auto"/>
              </w:rPr>
            </w:pPr>
            <w:r>
              <w:rPr>
                <w:rFonts w:ascii="Arial" w:cs="Arial" w:eastAsia="Arial" w:hAnsi="Arial"/>
                <w:sz w:val="16"/>
                <w:szCs w:val="16"/>
                <w:color w:val="auto"/>
              </w:rPr>
              <w:t>oversee  United’s  afairs.</w:t>
            </w:r>
          </w:p>
        </w:tc>
        <w:tc>
          <w:tcPr>
            <w:tcW w:w="6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540" w:type="dxa"/>
            <w:vAlign w:val="bottom"/>
          </w:tcPr>
          <w:p>
            <w:pPr>
              <w:spacing w:after="0"/>
              <w:rPr>
                <w:sz w:val="20"/>
                <w:szCs w:val="20"/>
                <w:color w:val="auto"/>
              </w:rPr>
            </w:pPr>
          </w:p>
        </w:tc>
      </w:tr>
    </w:tbl>
    <w:p>
      <w:pPr>
        <w:spacing w:after="0" w:line="156" w:lineRule="exact"/>
        <w:rPr>
          <w:sz w:val="20"/>
          <w:szCs w:val="20"/>
          <w:color w:val="auto"/>
        </w:rPr>
      </w:pPr>
    </w:p>
    <w:p>
      <w:pPr>
        <w:ind w:right="60"/>
        <w:spacing w:after="0" w:line="279" w:lineRule="auto"/>
        <w:rPr>
          <w:sz w:val="20"/>
          <w:szCs w:val="20"/>
          <w:color w:val="auto"/>
        </w:rPr>
      </w:pPr>
      <w:r>
        <w:rPr>
          <w:rFonts w:ascii="Arial" w:cs="Arial" w:eastAsia="Arial" w:hAnsi="Arial"/>
          <w:sz w:val="16"/>
          <w:szCs w:val="16"/>
          <w:color w:val="auto"/>
        </w:rPr>
        <w:t>Our non-employee directors are accordingly compensated based on their respective levels of Board participation and responsibilities, including service on Committees, and receive a combination of annual cash retainers and equity compensation in the form of share unit awards.</w:t>
      </w:r>
    </w:p>
    <w:p>
      <w:pPr>
        <w:spacing w:after="0" w:line="47" w:lineRule="exact"/>
        <w:rPr>
          <w:sz w:val="20"/>
          <w:szCs w:val="20"/>
          <w:color w:val="auto"/>
        </w:rPr>
      </w:pPr>
    </w:p>
    <w:p>
      <w:pPr>
        <w:ind w:right="80"/>
        <w:spacing w:after="0" w:line="252" w:lineRule="auto"/>
        <w:rPr>
          <w:sz w:val="20"/>
          <w:szCs w:val="20"/>
          <w:color w:val="auto"/>
        </w:rPr>
      </w:pPr>
      <w:r>
        <w:rPr>
          <w:rFonts w:ascii="Arial" w:cs="Arial" w:eastAsia="Arial" w:hAnsi="Arial"/>
          <w:sz w:val="16"/>
          <w:szCs w:val="16"/>
          <w:color w:val="auto"/>
        </w:rPr>
        <w:t>As a United employee, Scott Kirby, our Chief Executive Ofcer, does not receive compensation for his service on the Board. Additionally, directors elected by a class of stock other than Common Stock are not entitled to receive any cash or equity compensation from United as a director, but are entitled to receive certain travel and charitable contribution benefts related to</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service  as  a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2026  Proxy  Statement</w:t>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1414D2"/>
        </w:rPr>
        <w:t>61</w:t>
      </w:r>
    </w:p>
    <w:p>
      <w:pPr>
        <w:sectPr>
          <w:pgSz w:w="11900" w:h="16838" w:orient="portrait"/>
          <w:cols w:equalWidth="0" w:num="1">
            <w:col w:w="9720"/>
          </w:cols>
          <w:pgMar w:left="1080" w:top="695" w:right="1099" w:bottom="1440" w:gutter="0" w:footer="0" w:header="0"/>
        </w:sectPr>
      </w:pPr>
    </w:p>
    <w:bookmarkStart w:id="72" w:name="page73"/>
    <w:bookmarkEnd w:id="72"/>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6D6F71"/>
        </w:rPr>
        <w:t>Board  and  Corporate  Governance  Matters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  2025,  non-employee  directors  received  the  following  compensation:</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7920" w:type="dxa"/>
            <w:vAlign w:val="bottom"/>
            <w:tcBorders>
              <w:top w:val="single" w:sz="8" w:color="1414D2"/>
            </w:tcBorders>
            <w:shd w:val="clear" w:color="auto" w:fill="F2F2F2"/>
          </w:tcPr>
          <w:p>
            <w:pPr>
              <w:ind w:left="120"/>
              <w:spacing w:after="0"/>
              <w:rPr>
                <w:sz w:val="20"/>
                <w:szCs w:val="20"/>
                <w:color w:val="auto"/>
              </w:rPr>
            </w:pPr>
            <w:r>
              <w:rPr>
                <w:rFonts w:ascii="Arial" w:cs="Arial" w:eastAsia="Arial" w:hAnsi="Arial"/>
                <w:sz w:val="14"/>
                <w:szCs w:val="14"/>
                <w:b w:val="1"/>
                <w:bCs w:val="1"/>
                <w:color w:val="auto"/>
              </w:rPr>
              <w:t>Compensation Element</w:t>
            </w:r>
          </w:p>
        </w:tc>
        <w:tc>
          <w:tcPr>
            <w:tcW w:w="520" w:type="dxa"/>
            <w:vAlign w:val="bottom"/>
            <w:tcBorders>
              <w:top w:val="single" w:sz="8" w:color="1414D2"/>
            </w:tcBorders>
            <w:shd w:val="clear" w:color="auto" w:fill="F2F2F2"/>
          </w:tcPr>
          <w:p>
            <w:pPr>
              <w:jc w:val="right"/>
              <w:ind w:right="156"/>
              <w:spacing w:after="0"/>
              <w:rPr>
                <w:sz w:val="20"/>
                <w:szCs w:val="20"/>
                <w:color w:val="auto"/>
              </w:rPr>
            </w:pPr>
            <w:r>
              <w:rPr>
                <w:rFonts w:ascii="Arial" w:cs="Arial" w:eastAsia="Arial" w:hAnsi="Arial"/>
                <w:sz w:val="22"/>
                <w:szCs w:val="22"/>
                <w:b w:val="1"/>
                <w:bCs w:val="1"/>
                <w:color w:val="auto"/>
              </w:rPr>
              <w:t>​​​</w:t>
            </w:r>
          </w:p>
        </w:tc>
        <w:tc>
          <w:tcPr>
            <w:tcW w:w="1280" w:type="dxa"/>
            <w:vAlign w:val="bottom"/>
            <w:tcBorders>
              <w:top w:val="single" w:sz="8" w:color="1414D2"/>
            </w:tcBorders>
            <w:shd w:val="clear" w:color="auto" w:fill="F2F2F2"/>
          </w:tcPr>
          <w:p>
            <w:pPr>
              <w:jc w:val="right"/>
              <w:ind w:right="420"/>
              <w:spacing w:after="0"/>
              <w:rPr>
                <w:sz w:val="20"/>
                <w:szCs w:val="20"/>
                <w:color w:val="auto"/>
              </w:rPr>
            </w:pPr>
            <w:r>
              <w:rPr>
                <w:rFonts w:ascii="Arial" w:cs="Arial" w:eastAsia="Arial" w:hAnsi="Arial"/>
                <w:sz w:val="14"/>
                <w:szCs w:val="14"/>
                <w:b w:val="1"/>
                <w:bCs w:val="1"/>
                <w:color w:val="auto"/>
              </w:rPr>
              <w:t>Amount</w:t>
            </w:r>
          </w:p>
        </w:tc>
        <w:tc>
          <w:tcPr>
            <w:tcW w:w="4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7920" w:type="dxa"/>
            <w:vAlign w:val="bottom"/>
            <w:tcBorders>
              <w:bottom w:val="single" w:sz="8" w:color="808080"/>
            </w:tcBorders>
          </w:tcPr>
          <w:p>
            <w:pPr>
              <w:ind w:left="120"/>
              <w:spacing w:after="0"/>
              <w:rPr>
                <w:sz w:val="20"/>
                <w:szCs w:val="20"/>
                <w:color w:val="auto"/>
              </w:rPr>
            </w:pPr>
            <w:r>
              <w:rPr>
                <w:rFonts w:ascii="Arial" w:cs="Arial" w:eastAsia="Arial" w:hAnsi="Arial"/>
                <w:sz w:val="16"/>
                <w:szCs w:val="16"/>
                <w:b w:val="1"/>
                <w:bCs w:val="1"/>
                <w:color w:val="auto"/>
              </w:rPr>
              <w:t>REGULAR ANNUAL RETAINER</w:t>
            </w:r>
          </w:p>
        </w:tc>
        <w:tc>
          <w:tcPr>
            <w:tcW w:w="520" w:type="dxa"/>
            <w:vAlign w:val="bottom"/>
            <w:tcBorders>
              <w:bottom w:val="single" w:sz="8" w:color="808080"/>
            </w:tcBorders>
          </w:tcPr>
          <w:p>
            <w:pPr>
              <w:spacing w:after="0"/>
              <w:rPr>
                <w:sz w:val="16"/>
                <w:szCs w:val="16"/>
                <w:color w:val="auto"/>
              </w:rPr>
            </w:pPr>
          </w:p>
        </w:tc>
        <w:tc>
          <w:tcPr>
            <w:tcW w:w="1280" w:type="dxa"/>
            <w:vAlign w:val="bottom"/>
            <w:tcBorders>
              <w:bottom w:val="single" w:sz="8" w:color="808080"/>
            </w:tcBorders>
          </w:tcPr>
          <w:p>
            <w:pPr>
              <w:spacing w:after="0"/>
              <w:rPr>
                <w:sz w:val="16"/>
                <w:szCs w:val="16"/>
                <w:color w:val="auto"/>
              </w:rPr>
            </w:pP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7920" w:type="dxa"/>
            <w:vAlign w:val="bottom"/>
          </w:tcPr>
          <w:p>
            <w:pPr>
              <w:ind w:left="220"/>
              <w:spacing w:after="0" w:line="158" w:lineRule="exact"/>
              <w:rPr>
                <w:sz w:val="20"/>
                <w:szCs w:val="20"/>
                <w:color w:val="auto"/>
              </w:rPr>
            </w:pPr>
            <w:r>
              <w:rPr>
                <w:rFonts w:ascii="Arial" w:cs="Arial" w:eastAsia="Arial" w:hAnsi="Arial"/>
                <w:sz w:val="16"/>
                <w:szCs w:val="16"/>
                <w:color w:val="auto"/>
              </w:rPr>
              <w:t>Cash</w:t>
            </w:r>
          </w:p>
        </w:tc>
        <w:tc>
          <w:tcPr>
            <w:tcW w:w="520" w:type="dxa"/>
            <w:vAlign w:val="bottom"/>
          </w:tcPr>
          <w:p>
            <w:pPr>
              <w:jc w:val="right"/>
              <w:ind w:right="116"/>
              <w:spacing w:after="0" w:line="158" w:lineRule="exact"/>
              <w:rPr>
                <w:sz w:val="20"/>
                <w:szCs w:val="20"/>
                <w:color w:val="auto"/>
              </w:rPr>
            </w:pPr>
            <w:r>
              <w:rPr>
                <w:rFonts w:ascii="Arial" w:cs="Arial" w:eastAsia="Arial" w:hAnsi="Arial"/>
                <w:sz w:val="16"/>
                <w:szCs w:val="16"/>
                <w:color w:val="auto"/>
              </w:rPr>
              <w:t>$</w:t>
            </w:r>
          </w:p>
        </w:tc>
        <w:tc>
          <w:tcPr>
            <w:tcW w:w="1280" w:type="dxa"/>
            <w:vAlign w:val="bottom"/>
          </w:tcPr>
          <w:p>
            <w:pPr>
              <w:jc w:val="right"/>
              <w:spacing w:after="0" w:line="158" w:lineRule="exact"/>
              <w:rPr>
                <w:sz w:val="20"/>
                <w:szCs w:val="20"/>
                <w:color w:val="auto"/>
              </w:rPr>
            </w:pPr>
            <w:r>
              <w:rPr>
                <w:rFonts w:ascii="Arial" w:cs="Arial" w:eastAsia="Arial" w:hAnsi="Arial"/>
                <w:sz w:val="16"/>
                <w:szCs w:val="16"/>
                <w:color w:val="auto"/>
              </w:rPr>
              <w:t>115,000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79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Equity</w:t>
            </w:r>
          </w:p>
        </w:tc>
        <w:tc>
          <w:tcPr>
            <w:tcW w:w="520" w:type="dxa"/>
            <w:vAlign w:val="bottom"/>
            <w:tcBorders>
              <w:bottom w:val="single" w:sz="8" w:color="auto"/>
            </w:tcBorders>
          </w:tcPr>
          <w:p>
            <w:pPr>
              <w:jc w:val="right"/>
              <w:ind w:right="116"/>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180,000</w:t>
            </w:r>
          </w:p>
        </w:tc>
        <w:tc>
          <w:tcPr>
            <w:tcW w:w="4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7920" w:type="dxa"/>
            <w:vAlign w:val="bottom"/>
            <w:tcBorders>
              <w:bottom w:val="single" w:sz="8" w:color="808080"/>
            </w:tcBorders>
          </w:tcPr>
          <w:p>
            <w:pPr>
              <w:ind w:left="120"/>
              <w:spacing w:after="0" w:line="183" w:lineRule="exact"/>
              <w:rPr>
                <w:sz w:val="20"/>
                <w:szCs w:val="20"/>
                <w:color w:val="auto"/>
              </w:rPr>
            </w:pPr>
            <w:r>
              <w:rPr>
                <w:rFonts w:ascii="Arial" w:cs="Arial" w:eastAsia="Arial" w:hAnsi="Arial"/>
                <w:sz w:val="16"/>
                <w:szCs w:val="16"/>
                <w:b w:val="1"/>
                <w:bCs w:val="1"/>
                <w:color w:val="auto"/>
              </w:rPr>
              <w:t>COMMITTEE CHAIR ANNUAL RETAINER (CASH)</w:t>
            </w:r>
          </w:p>
        </w:tc>
        <w:tc>
          <w:tcPr>
            <w:tcW w:w="520" w:type="dxa"/>
            <w:vAlign w:val="bottom"/>
            <w:tcBorders>
              <w:bottom w:val="single" w:sz="8" w:color="808080"/>
            </w:tcBorders>
          </w:tcPr>
          <w:p>
            <w:pPr>
              <w:spacing w:after="0"/>
              <w:rPr>
                <w:sz w:val="15"/>
                <w:szCs w:val="15"/>
                <w:color w:val="auto"/>
              </w:rPr>
            </w:pPr>
          </w:p>
        </w:tc>
        <w:tc>
          <w:tcPr>
            <w:tcW w:w="1280" w:type="dxa"/>
            <w:vAlign w:val="bottom"/>
            <w:tcBorders>
              <w:bottom w:val="single" w:sz="8" w:color="808080"/>
            </w:tcBorders>
          </w:tcPr>
          <w:p>
            <w:pPr>
              <w:spacing w:after="0"/>
              <w:rPr>
                <w:sz w:val="15"/>
                <w:szCs w:val="15"/>
                <w:color w:val="auto"/>
              </w:rPr>
            </w:pP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7920" w:type="dxa"/>
            <w:vAlign w:val="bottom"/>
          </w:tcPr>
          <w:p>
            <w:pPr>
              <w:ind w:left="220"/>
              <w:spacing w:after="0" w:line="158" w:lineRule="exact"/>
              <w:rPr>
                <w:sz w:val="20"/>
                <w:szCs w:val="20"/>
                <w:color w:val="auto"/>
              </w:rPr>
            </w:pPr>
            <w:r>
              <w:rPr>
                <w:rFonts w:ascii="Arial" w:cs="Arial" w:eastAsia="Arial" w:hAnsi="Arial"/>
                <w:sz w:val="16"/>
                <w:szCs w:val="16"/>
                <w:color w:val="auto"/>
              </w:rPr>
              <w:t>Audit  Committee</w:t>
            </w:r>
          </w:p>
        </w:tc>
        <w:tc>
          <w:tcPr>
            <w:tcW w:w="520" w:type="dxa"/>
            <w:vAlign w:val="bottom"/>
          </w:tcPr>
          <w:p>
            <w:pPr>
              <w:jc w:val="right"/>
              <w:ind w:right="116"/>
              <w:spacing w:after="0" w:line="158" w:lineRule="exact"/>
              <w:rPr>
                <w:sz w:val="20"/>
                <w:szCs w:val="20"/>
                <w:color w:val="auto"/>
              </w:rPr>
            </w:pPr>
            <w:r>
              <w:rPr>
                <w:rFonts w:ascii="Arial" w:cs="Arial" w:eastAsia="Arial" w:hAnsi="Arial"/>
                <w:sz w:val="16"/>
                <w:szCs w:val="16"/>
                <w:color w:val="auto"/>
              </w:rPr>
              <w:t>$</w:t>
            </w:r>
          </w:p>
        </w:tc>
        <w:tc>
          <w:tcPr>
            <w:tcW w:w="1280" w:type="dxa"/>
            <w:vAlign w:val="bottom"/>
          </w:tcPr>
          <w:p>
            <w:pPr>
              <w:jc w:val="right"/>
              <w:spacing w:after="0" w:line="158" w:lineRule="exact"/>
              <w:rPr>
                <w:sz w:val="20"/>
                <w:szCs w:val="20"/>
                <w:color w:val="auto"/>
              </w:rPr>
            </w:pPr>
            <w:r>
              <w:rPr>
                <w:rFonts w:ascii="Arial" w:cs="Arial" w:eastAsia="Arial" w:hAnsi="Arial"/>
                <w:sz w:val="16"/>
                <w:szCs w:val="16"/>
                <w:color w:val="auto"/>
              </w:rPr>
              <w:t>30,000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7920" w:type="dxa"/>
            <w:vAlign w:val="bottom"/>
          </w:tcPr>
          <w:p>
            <w:pPr>
              <w:ind w:left="220"/>
              <w:spacing w:after="0"/>
              <w:rPr>
                <w:sz w:val="20"/>
                <w:szCs w:val="20"/>
                <w:color w:val="auto"/>
              </w:rPr>
            </w:pPr>
            <w:r>
              <w:rPr>
                <w:rFonts w:ascii="Arial" w:cs="Arial" w:eastAsia="Arial" w:hAnsi="Arial"/>
                <w:sz w:val="16"/>
                <w:szCs w:val="16"/>
                <w:color w:val="auto"/>
              </w:rPr>
              <w:t>Compensation  Committee</w:t>
            </w:r>
          </w:p>
        </w:tc>
        <w:tc>
          <w:tcPr>
            <w:tcW w:w="520" w:type="dxa"/>
            <w:vAlign w:val="bottom"/>
          </w:tcPr>
          <w:p>
            <w:pPr>
              <w:jc w:val="right"/>
              <w:ind w:right="116"/>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25,000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79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Executive,  Finance,  Nominating/Governance  and  Public  Responsibility  Committees</w:t>
            </w:r>
          </w:p>
        </w:tc>
        <w:tc>
          <w:tcPr>
            <w:tcW w:w="520" w:type="dxa"/>
            <w:vAlign w:val="bottom"/>
            <w:tcBorders>
              <w:bottom w:val="single" w:sz="8" w:color="auto"/>
            </w:tcBorders>
          </w:tcPr>
          <w:p>
            <w:pPr>
              <w:jc w:val="right"/>
              <w:ind w:right="116"/>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920" w:type="dxa"/>
            <w:vAlign w:val="bottom"/>
            <w:tcBorders>
              <w:bottom w:val="single" w:sz="8" w:color="808080"/>
            </w:tcBorders>
          </w:tcPr>
          <w:p>
            <w:pPr>
              <w:ind w:left="120"/>
              <w:spacing w:after="0" w:line="222" w:lineRule="exact"/>
              <w:rPr>
                <w:sz w:val="20"/>
                <w:szCs w:val="20"/>
                <w:color w:val="auto"/>
              </w:rPr>
            </w:pPr>
            <w:r>
              <w:rPr>
                <w:rFonts w:ascii="Arial" w:cs="Arial" w:eastAsia="Arial" w:hAnsi="Arial"/>
                <w:sz w:val="16"/>
                <w:szCs w:val="16"/>
                <w:b w:val="1"/>
                <w:bCs w:val="1"/>
                <w:color w:val="auto"/>
              </w:rPr>
              <w:t>COMMITTEE MEMBER ANNUAL RETAINER (CASH)</w:t>
            </w:r>
            <w:r>
              <w:rPr>
                <w:rFonts w:ascii="Arial" w:cs="Arial" w:eastAsia="Arial" w:hAnsi="Arial"/>
                <w:sz w:val="24"/>
                <w:szCs w:val="24"/>
                <w:b w:val="1"/>
                <w:bCs w:val="1"/>
                <w:color w:val="auto"/>
                <w:vertAlign w:val="superscript"/>
              </w:rPr>
              <w:t>(1)</w:t>
            </w:r>
          </w:p>
        </w:tc>
        <w:tc>
          <w:tcPr>
            <w:tcW w:w="52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40" w:type="dxa"/>
            <w:vAlign w:val="bottom"/>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8"/>
        </w:trPr>
        <w:tc>
          <w:tcPr>
            <w:tcW w:w="7920" w:type="dxa"/>
            <w:vAlign w:val="bottom"/>
          </w:tcPr>
          <w:p>
            <w:pPr>
              <w:ind w:left="220"/>
              <w:spacing w:after="0" w:line="158" w:lineRule="exact"/>
              <w:rPr>
                <w:sz w:val="20"/>
                <w:szCs w:val="20"/>
                <w:color w:val="auto"/>
              </w:rPr>
            </w:pPr>
            <w:r>
              <w:rPr>
                <w:rFonts w:ascii="Arial" w:cs="Arial" w:eastAsia="Arial" w:hAnsi="Arial"/>
                <w:sz w:val="16"/>
                <w:szCs w:val="16"/>
                <w:color w:val="auto"/>
              </w:rPr>
              <w:t>Audit  Committee</w:t>
            </w:r>
          </w:p>
        </w:tc>
        <w:tc>
          <w:tcPr>
            <w:tcW w:w="520" w:type="dxa"/>
            <w:vAlign w:val="bottom"/>
          </w:tcPr>
          <w:p>
            <w:pPr>
              <w:jc w:val="right"/>
              <w:ind w:right="116"/>
              <w:spacing w:after="0" w:line="158" w:lineRule="exact"/>
              <w:rPr>
                <w:sz w:val="20"/>
                <w:szCs w:val="20"/>
                <w:color w:val="auto"/>
              </w:rPr>
            </w:pPr>
            <w:r>
              <w:rPr>
                <w:rFonts w:ascii="Arial" w:cs="Arial" w:eastAsia="Arial" w:hAnsi="Arial"/>
                <w:sz w:val="16"/>
                <w:szCs w:val="16"/>
                <w:color w:val="auto"/>
              </w:rPr>
              <w:t>$</w:t>
            </w:r>
          </w:p>
        </w:tc>
        <w:tc>
          <w:tcPr>
            <w:tcW w:w="1280" w:type="dxa"/>
            <w:vAlign w:val="bottom"/>
          </w:tcPr>
          <w:p>
            <w:pPr>
              <w:jc w:val="right"/>
              <w:spacing w:after="0" w:line="158" w:lineRule="exact"/>
              <w:rPr>
                <w:sz w:val="20"/>
                <w:szCs w:val="20"/>
                <w:color w:val="auto"/>
              </w:rPr>
            </w:pPr>
            <w:r>
              <w:rPr>
                <w:rFonts w:ascii="Arial" w:cs="Arial" w:eastAsia="Arial" w:hAnsi="Arial"/>
                <w:sz w:val="16"/>
                <w:szCs w:val="16"/>
                <w:color w:val="auto"/>
              </w:rPr>
              <w:t>15,000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79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Compensation,  Executive,  Finance,  Nominating/Governance  and  Public  Responsibility  Committees</w:t>
            </w:r>
          </w:p>
        </w:tc>
        <w:tc>
          <w:tcPr>
            <w:tcW w:w="520" w:type="dxa"/>
            <w:vAlign w:val="bottom"/>
            <w:tcBorders>
              <w:bottom w:val="single" w:sz="8" w:color="808080"/>
            </w:tcBorders>
          </w:tcPr>
          <w:p>
            <w:pPr>
              <w:jc w:val="right"/>
              <w:ind w:right="116"/>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808080"/>
            </w:tcBorders>
          </w:tcPr>
          <w:p>
            <w:pPr>
              <w:jc w:val="right"/>
              <w:spacing w:after="0"/>
              <w:rPr>
                <w:sz w:val="20"/>
                <w:szCs w:val="20"/>
                <w:color w:val="auto"/>
              </w:rPr>
            </w:pPr>
            <w:r>
              <w:rPr>
                <w:rFonts w:ascii="Arial" w:cs="Arial" w:eastAsia="Arial" w:hAnsi="Arial"/>
                <w:sz w:val="16"/>
                <w:szCs w:val="16"/>
                <w:color w:val="auto"/>
              </w:rPr>
              <w:t>12,500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7920" w:type="dxa"/>
            <w:vAlign w:val="bottom"/>
            <w:tcBorders>
              <w:bottom w:val="single" w:sz="8" w:color="auto"/>
            </w:tcBorders>
          </w:tcPr>
          <w:p>
            <w:pPr>
              <w:ind w:left="120"/>
              <w:spacing w:after="0" w:line="183" w:lineRule="exact"/>
              <w:rPr>
                <w:sz w:val="20"/>
                <w:szCs w:val="20"/>
                <w:color w:val="auto"/>
              </w:rPr>
            </w:pPr>
            <w:r>
              <w:rPr>
                <w:rFonts w:ascii="Arial" w:cs="Arial" w:eastAsia="Arial" w:hAnsi="Arial"/>
                <w:sz w:val="16"/>
                <w:szCs w:val="16"/>
                <w:b w:val="1"/>
                <w:bCs w:val="1"/>
                <w:color w:val="auto"/>
              </w:rPr>
              <w:t>ADDITIONAL ANNUAL RETAINER FOR CHAIRMAN OF THE BOARD (EQUITY)</w:t>
            </w:r>
          </w:p>
        </w:tc>
        <w:tc>
          <w:tcPr>
            <w:tcW w:w="520" w:type="dxa"/>
            <w:vAlign w:val="bottom"/>
            <w:tcBorders>
              <w:bottom w:val="single" w:sz="8" w:color="auto"/>
            </w:tcBorders>
          </w:tcPr>
          <w:p>
            <w:pPr>
              <w:jc w:val="right"/>
              <w:ind w:right="116"/>
              <w:spacing w:after="0" w:line="183" w:lineRule="exact"/>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225,000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40" w:hanging="336"/>
        <w:spacing w:after="0"/>
        <w:tabs>
          <w:tab w:leader="none" w:pos="340" w:val="left"/>
        </w:tabs>
        <w:numPr>
          <w:ilvl w:val="0"/>
          <w:numId w:val="67"/>
        </w:numPr>
        <w:rPr>
          <w:rFonts w:ascii="Arial" w:cs="Arial" w:eastAsia="Arial" w:hAnsi="Arial"/>
          <w:sz w:val="22"/>
          <w:szCs w:val="22"/>
          <w:color w:val="auto"/>
          <w:vertAlign w:val="superscript"/>
        </w:rPr>
      </w:pPr>
      <w:r>
        <w:rPr>
          <w:rFonts w:ascii="Arial" w:cs="Arial" w:eastAsia="Arial" w:hAnsi="Arial"/>
          <w:sz w:val="14"/>
          <w:szCs w:val="14"/>
          <w:color w:val="auto"/>
        </w:rPr>
        <w:t>Committee  Chairpersons  are  not  eligible  for  Committee  Member  Retainers.</w:t>
      </w:r>
    </w:p>
    <w:p>
      <w:pPr>
        <w:spacing w:after="0" w:line="29" w:lineRule="exact"/>
        <w:rPr>
          <w:sz w:val="20"/>
          <w:szCs w:val="20"/>
          <w:color w:val="auto"/>
        </w:rPr>
      </w:pPr>
    </w:p>
    <w:p>
      <w:pPr>
        <w:ind w:right="340"/>
        <w:spacing w:after="0" w:line="313" w:lineRule="auto"/>
        <w:rPr>
          <w:sz w:val="20"/>
          <w:szCs w:val="20"/>
          <w:color w:val="auto"/>
        </w:rPr>
      </w:pPr>
      <w:r>
        <w:rPr>
          <w:rFonts w:ascii="Arial" w:cs="Arial" w:eastAsia="Arial" w:hAnsi="Arial"/>
          <w:sz w:val="16"/>
          <w:szCs w:val="16"/>
          <w:color w:val="auto"/>
        </w:rPr>
        <w:t>The Nominating/Governance Committee periodically reviews and makes recommendations to the Board regarding the form and amount of compensation of United’s non-employee directors.</w:t>
      </w:r>
    </w:p>
    <w:p>
      <w:pPr>
        <w:spacing w:after="0" w:line="20" w:lineRule="exact"/>
        <w:rPr>
          <w:sz w:val="20"/>
          <w:szCs w:val="20"/>
          <w:color w:val="auto"/>
        </w:rPr>
      </w:pPr>
    </w:p>
    <w:p>
      <w:pPr>
        <w:ind w:right="280"/>
        <w:spacing w:after="0" w:line="250" w:lineRule="auto"/>
        <w:rPr>
          <w:sz w:val="20"/>
          <w:szCs w:val="20"/>
          <w:color w:val="auto"/>
        </w:rPr>
      </w:pPr>
      <w:r>
        <w:rPr>
          <w:rFonts w:ascii="Arial" w:cs="Arial" w:eastAsia="Arial" w:hAnsi="Arial"/>
          <w:sz w:val="16"/>
          <w:szCs w:val="16"/>
          <w:color w:val="auto"/>
        </w:rPr>
        <w:t>The Compensation Committee’s independent compensation consultant, Exequity, has advised the Nominating/Governance Committee with respect to director compensation matters. These matters include, among other things, a review and market analysis of board of director pay and benefts and stock ownership guidelines. United’s non-employee director compensation program was designed with reference to median director pay levels among the companies that comprise United’s</w:t>
      </w:r>
    </w:p>
    <w:p>
      <w:pPr>
        <w:spacing w:after="0" w:line="3" w:lineRule="exact"/>
        <w:rPr>
          <w:sz w:val="20"/>
          <w:szCs w:val="20"/>
          <w:color w:val="auto"/>
        </w:rPr>
      </w:pPr>
    </w:p>
    <w:p>
      <w:pPr>
        <w:ind w:right="240"/>
        <w:spacing w:after="0" w:line="313" w:lineRule="auto"/>
        <w:rPr>
          <w:sz w:val="20"/>
          <w:szCs w:val="20"/>
          <w:color w:val="auto"/>
        </w:rPr>
      </w:pPr>
      <w:r>
        <w:rPr>
          <w:rFonts w:ascii="Arial" w:cs="Arial" w:eastAsia="Arial" w:hAnsi="Arial"/>
          <w:sz w:val="16"/>
          <w:szCs w:val="16"/>
          <w:color w:val="auto"/>
        </w:rPr>
        <w:t>compensation peer group. See “Compensation Discussion and Analysis-Market Considerations and Peer Group Used for 2025 Pay Analysis” for a listing of the companies included in our compensation peer group.</w:t>
      </w:r>
    </w:p>
    <w:p>
      <w:pPr>
        <w:sectPr>
          <w:pgSz w:w="11900" w:h="16838" w:orient="portrait"/>
          <w:cols w:equalWidth="0" w:num="1">
            <w:col w:w="9760"/>
          </w:cols>
          <w:pgMar w:left="1080" w:top="695" w:right="10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right"/>
        <w:ind w:right="7760"/>
        <w:spacing w:after="0"/>
        <w:rPr>
          <w:sz w:val="20"/>
          <w:szCs w:val="20"/>
          <w:color w:val="auto"/>
        </w:rPr>
      </w:pPr>
      <w:r>
        <w:rPr>
          <w:rFonts w:ascii="Arial" w:cs="Arial" w:eastAsia="Arial" w:hAnsi="Arial"/>
          <w:sz w:val="16"/>
          <w:szCs w:val="16"/>
          <w:color w:val="auto"/>
        </w:rPr>
        <w:t>​​2026​  Proxy</w:t>
      </w:r>
    </w:p>
    <w:p>
      <w:pPr>
        <w:spacing w:after="0" w:line="5" w:lineRule="exact"/>
        <w:rPr>
          <w:sz w:val="20"/>
          <w:szCs w:val="20"/>
          <w:color w:val="auto"/>
        </w:rPr>
      </w:pPr>
    </w:p>
    <w:p>
      <w:pPr>
        <w:ind w:left="660" w:hanging="656"/>
        <w:spacing w:after="0"/>
        <w:tabs>
          <w:tab w:leader="none" w:pos="660" w:val="left"/>
        </w:tabs>
        <w:numPr>
          <w:ilvl w:val="0"/>
          <w:numId w:val="68"/>
        </w:numPr>
        <w:rPr>
          <w:rFonts w:ascii="Arial" w:cs="Arial" w:eastAsia="Arial" w:hAnsi="Arial"/>
          <w:sz w:val="16"/>
          <w:szCs w:val="16"/>
          <w:b w:val="1"/>
          <w:bCs w:val="1"/>
          <w:color w:val="1414D2"/>
        </w:rPr>
      </w:pPr>
      <w:r>
        <w:rPr>
          <w:rFonts w:ascii="Arial" w:cs="Arial" w:eastAsia="Arial" w:hAnsi="Arial"/>
          <w:sz w:val="16"/>
          <w:szCs w:val="16"/>
          <w:color w:val="auto"/>
        </w:rPr>
        <w:t>Statement</w:t>
      </w:r>
    </w:p>
    <w:p>
      <w:pPr>
        <w:sectPr>
          <w:pgSz w:w="11900" w:h="16838" w:orient="portrait"/>
          <w:cols w:equalWidth="0" w:num="1">
            <w:col w:w="9760"/>
          </w:cols>
          <w:pgMar w:left="1080" w:top="695" w:right="1059" w:bottom="1440" w:gutter="0" w:footer="0" w:header="0"/>
          <w:type w:val="continuous"/>
        </w:sectPr>
      </w:pPr>
    </w:p>
    <w:bookmarkStart w:id="73" w:name="page74"/>
    <w:bookmarkEnd w:id="73"/>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27" w:lineRule="exact"/>
        <w:rPr>
          <w:sz w:val="20"/>
          <w:szCs w:val="20"/>
          <w:color w:val="auto"/>
        </w:rPr>
      </w:pPr>
    </w:p>
    <w:p>
      <w:pPr>
        <w:jc w:val="right"/>
        <w:spacing w:after="0"/>
        <w:rPr>
          <w:sz w:val="20"/>
          <w:szCs w:val="20"/>
          <w:color w:val="auto"/>
        </w:rPr>
      </w:pPr>
      <w:r>
        <w:rPr>
          <w:rFonts w:ascii="Arial" w:cs="Arial" w:eastAsia="Arial" w:hAnsi="Arial"/>
          <w:sz w:val="14"/>
          <w:szCs w:val="14"/>
          <w:color w:val="6D6F71"/>
        </w:rPr>
        <w:t>Board  and  Corporate  Governance  Matters</w:t>
      </w:r>
    </w:p>
    <w:p>
      <w:pPr>
        <w:sectPr>
          <w:pgSz w:w="11900" w:h="16838" w:orient="portrait"/>
          <w:cols w:equalWidth="0" w:num="1">
            <w:col w:w="9720"/>
          </w:cols>
          <w:pgMar w:left="1080" w:top="695" w:right="1099" w:bottom="1440" w:gutter="0" w:footer="0" w:header="0"/>
        </w:sectPr>
      </w:pP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414D2"/>
        </w:rPr>
        <w:t>Stock Ownership Guidelines</w:t>
      </w:r>
    </w:p>
    <w:p>
      <w:pPr>
        <w:spacing w:after="0" w:line="115" w:lineRule="exact"/>
        <w:rPr>
          <w:sz w:val="20"/>
          <w:szCs w:val="20"/>
          <w:color w:val="auto"/>
        </w:rPr>
      </w:pPr>
    </w:p>
    <w:p>
      <w:pPr>
        <w:spacing w:after="0"/>
        <w:tabs>
          <w:tab w:leader="none" w:pos="5520" w:val="left"/>
        </w:tabs>
        <w:rPr>
          <w:sz w:val="20"/>
          <w:szCs w:val="20"/>
          <w:color w:val="auto"/>
        </w:rPr>
      </w:pPr>
      <w:r>
        <w:rPr>
          <w:rFonts w:ascii="Arial" w:cs="Arial" w:eastAsia="Arial" w:hAnsi="Arial"/>
          <w:sz w:val="16"/>
          <w:szCs w:val="16"/>
          <w:color w:val="auto"/>
        </w:rPr>
        <w:t>The  Board  believes  that  non-employee  directors  should  hold</w:t>
      </w:r>
      <w:r>
        <w:rPr>
          <w:sz w:val="20"/>
          <w:szCs w:val="20"/>
          <w:color w:val="auto"/>
        </w:rPr>
        <w:tab/>
      </w:r>
      <w:r>
        <w:rPr>
          <w:rFonts w:ascii="Arial" w:cs="Arial" w:eastAsia="Arial" w:hAnsi="Arial"/>
          <w:sz w:val="16"/>
          <w:szCs w:val="16"/>
          <w:color w:val="auto"/>
        </w:rPr>
        <w:t>​</w:t>
      </w:r>
    </w:p>
    <w:p>
      <w:pPr>
        <w:spacing w:after="0" w:line="19" w:lineRule="exact"/>
        <w:rPr>
          <w:sz w:val="20"/>
          <w:szCs w:val="20"/>
          <w:color w:val="auto"/>
        </w:rPr>
      </w:pPr>
    </w:p>
    <w:p>
      <w:pPr>
        <w:ind w:right="620"/>
        <w:spacing w:after="0" w:line="250" w:lineRule="auto"/>
        <w:rPr>
          <w:sz w:val="20"/>
          <w:szCs w:val="20"/>
          <w:color w:val="auto"/>
        </w:rPr>
      </w:pPr>
      <w:r>
        <w:rPr>
          <w:rFonts w:ascii="Arial" w:cs="Arial" w:eastAsia="Arial" w:hAnsi="Arial"/>
          <w:sz w:val="16"/>
          <w:szCs w:val="16"/>
          <w:color w:val="auto"/>
        </w:rPr>
        <w:t>meaningful equity ownership positions in United. To that end, within fve years after joining our Board, each non-employee director must hold shares of Common Stock having a value equal to at least fve times the annual cash retainer ($575,000, based on the 2025 retainer of</w:t>
      </w:r>
    </w:p>
    <w:p>
      <w:pPr>
        <w:spacing w:after="0" w:line="3" w:lineRule="exact"/>
        <w:rPr>
          <w:sz w:val="20"/>
          <w:szCs w:val="20"/>
          <w:color w:val="auto"/>
        </w:rPr>
      </w:pPr>
    </w:p>
    <w:p>
      <w:pPr>
        <w:ind w:right="640"/>
        <w:spacing w:after="0" w:line="250" w:lineRule="auto"/>
        <w:rPr>
          <w:sz w:val="20"/>
          <w:szCs w:val="20"/>
          <w:color w:val="auto"/>
        </w:rPr>
      </w:pPr>
      <w:r>
        <w:rPr>
          <w:rFonts w:ascii="Arial" w:cs="Arial" w:eastAsia="Arial" w:hAnsi="Arial"/>
          <w:sz w:val="16"/>
          <w:szCs w:val="16"/>
          <w:color w:val="auto"/>
        </w:rPr>
        <w:t>$115,000) and maintain at least that ownership level while a member of our Board. Shares owned outright by the non-employee directors (including shares acquired upon settlement of RSUs), unvested RSUs and share equivalents acquired upon the deferral of fees, are counted</w:t>
      </w:r>
    </w:p>
    <w:p>
      <w:pPr>
        <w:spacing w:after="0" w:line="3" w:lineRule="exact"/>
        <w:rPr>
          <w:sz w:val="20"/>
          <w:szCs w:val="20"/>
          <w:color w:val="auto"/>
        </w:rPr>
      </w:pPr>
    </w:p>
    <w:p>
      <w:pPr>
        <w:ind w:right="1300"/>
        <w:spacing w:after="0" w:line="313" w:lineRule="auto"/>
        <w:rPr>
          <w:sz w:val="20"/>
          <w:szCs w:val="20"/>
          <w:color w:val="auto"/>
        </w:rPr>
      </w:pPr>
      <w:r>
        <w:rPr>
          <w:rFonts w:ascii="Arial" w:cs="Arial" w:eastAsia="Arial" w:hAnsi="Arial"/>
          <w:sz w:val="16"/>
          <w:szCs w:val="16"/>
          <w:color w:val="auto"/>
        </w:rPr>
        <w:t>toward the ownership requirement. Unexercised stock options, whether vested or unvested, are not counted.</w:t>
      </w:r>
    </w:p>
    <w:p>
      <w:pPr>
        <w:spacing w:after="0" w:line="33" w:lineRule="exact"/>
        <w:rPr>
          <w:sz w:val="20"/>
          <w:szCs w:val="20"/>
          <w:color w:val="auto"/>
        </w:rPr>
      </w:pPr>
    </w:p>
    <w:p>
      <w:pPr>
        <w:ind w:right="1300"/>
        <w:spacing w:after="0" w:line="279" w:lineRule="auto"/>
        <w:rPr>
          <w:sz w:val="20"/>
          <w:szCs w:val="20"/>
          <w:color w:val="auto"/>
        </w:rPr>
      </w:pPr>
      <w:r>
        <w:rPr>
          <w:rFonts w:ascii="Arial" w:cs="Arial" w:eastAsia="Arial" w:hAnsi="Arial"/>
          <w:sz w:val="16"/>
          <w:szCs w:val="16"/>
          <w:color w:val="auto"/>
        </w:rPr>
        <w:t>As of March 31, 2026, all of the non-employee directors were in compliance with the stock ownership guidelines or were in the transition period.</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414D2"/>
        </w:rPr>
        <w:t>Cash 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FFFFFF"/>
        </w:rPr>
        <w:t>STOCK OWNERSHIP</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FFFFFF"/>
        </w:rPr>
        <w:t>REQUIREMENT</w:t>
      </w:r>
    </w:p>
    <w:p>
      <w:pPr>
        <w:spacing w:after="0" w:line="59" w:lineRule="exact"/>
        <w:rPr>
          <w:sz w:val="20"/>
          <w:szCs w:val="20"/>
          <w:color w:val="auto"/>
        </w:rPr>
      </w:pPr>
    </w:p>
    <w:p>
      <w:pPr>
        <w:jc w:val="center"/>
        <w:ind w:right="1240"/>
        <w:spacing w:after="0"/>
        <w:rPr>
          <w:sz w:val="20"/>
          <w:szCs w:val="20"/>
          <w:color w:val="auto"/>
        </w:rPr>
      </w:pPr>
      <w:r>
        <w:rPr>
          <w:rFonts w:ascii="Arial" w:cs="Arial" w:eastAsia="Arial" w:hAnsi="Arial"/>
          <w:sz w:val="16"/>
          <w:szCs w:val="16"/>
          <w:b w:val="1"/>
          <w:bCs w:val="1"/>
          <w:color w:val="FFFFFF"/>
        </w:rPr>
        <w:t>5X</w:t>
      </w:r>
    </w:p>
    <w:p>
      <w:pPr>
        <w:spacing w:after="0" w:line="59" w:lineRule="exact"/>
        <w:rPr>
          <w:sz w:val="20"/>
          <w:szCs w:val="20"/>
          <w:color w:val="auto"/>
        </w:rPr>
      </w:pPr>
    </w:p>
    <w:p>
      <w:pPr>
        <w:jc w:val="center"/>
        <w:ind w:right="1240"/>
        <w:spacing w:after="0"/>
        <w:rPr>
          <w:sz w:val="20"/>
          <w:szCs w:val="20"/>
          <w:color w:val="auto"/>
        </w:rPr>
      </w:pPr>
      <w:r>
        <w:rPr>
          <w:rFonts w:ascii="Arial" w:cs="Arial" w:eastAsia="Arial" w:hAnsi="Arial"/>
          <w:sz w:val="15"/>
          <w:szCs w:val="15"/>
          <w:b w:val="1"/>
          <w:bCs w:val="1"/>
          <w:color w:val="FFFFFF"/>
        </w:rPr>
        <w:t>DIRECTOR’S ANNUAL</w:t>
      </w:r>
    </w:p>
    <w:p>
      <w:pPr>
        <w:spacing w:after="0" w:line="71" w:lineRule="exact"/>
        <w:rPr>
          <w:sz w:val="20"/>
          <w:szCs w:val="20"/>
          <w:color w:val="auto"/>
        </w:rPr>
      </w:pPr>
    </w:p>
    <w:p>
      <w:pPr>
        <w:jc w:val="center"/>
        <w:ind w:right="1240"/>
        <w:spacing w:after="0"/>
        <w:rPr>
          <w:sz w:val="20"/>
          <w:szCs w:val="20"/>
          <w:color w:val="auto"/>
        </w:rPr>
      </w:pPr>
      <w:r>
        <w:rPr>
          <w:rFonts w:ascii="Arial" w:cs="Arial" w:eastAsia="Arial" w:hAnsi="Arial"/>
          <w:sz w:val="16"/>
          <w:szCs w:val="16"/>
          <w:b w:val="1"/>
          <w:bCs w:val="1"/>
          <w:color w:val="FFFFFF"/>
        </w:rPr>
        <w:t>CASH RETAINER</w:t>
      </w:r>
    </w:p>
    <w:p>
      <w:pPr>
        <w:spacing w:after="0" w:line="1247" w:lineRule="exact"/>
        <w:rPr>
          <w:sz w:val="20"/>
          <w:szCs w:val="20"/>
          <w:color w:val="auto"/>
        </w:rPr>
      </w:pPr>
    </w:p>
    <w:p>
      <w:pPr>
        <w:sectPr>
          <w:pgSz w:w="11900" w:h="16838" w:orient="portrait"/>
          <w:cols w:equalWidth="0" w:num="2">
            <w:col w:w="6080" w:space="720"/>
            <w:col w:w="2920"/>
          </w:cols>
          <w:pgMar w:left="1080" w:top="695" w:right="1099" w:bottom="1440" w:gutter="0" w:footer="0" w:header="0"/>
          <w:type w:val="continuous"/>
        </w:sectPr>
      </w:pPr>
    </w:p>
    <w:p>
      <w:pPr>
        <w:ind w:right="180"/>
        <w:spacing w:after="0" w:line="279" w:lineRule="auto"/>
        <w:rPr>
          <w:sz w:val="20"/>
          <w:szCs w:val="20"/>
          <w:color w:val="auto"/>
        </w:rPr>
      </w:pPr>
      <w:r>
        <w:rPr>
          <w:rFonts w:ascii="Arial" w:cs="Arial" w:eastAsia="Arial" w:hAnsi="Arial"/>
          <w:sz w:val="16"/>
          <w:szCs w:val="16"/>
          <w:color w:val="auto"/>
        </w:rPr>
        <w:t>Director retainers are paid quarterly in arrears. At the end of each quarterly period, we pay 25% of the total annual retainer to each director. Retainers are pro-rated for directors who join or leave the Board or have a change in Board role during a quarterly period. Please see the table above for a description of the director retainer rates in efect for 2025.</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414D2"/>
        </w:rPr>
        <w:t>Equity Compensation</w:t>
      </w:r>
    </w:p>
    <w:p>
      <w:pPr>
        <w:spacing w:after="0" w:line="129" w:lineRule="exact"/>
        <w:rPr>
          <w:sz w:val="20"/>
          <w:szCs w:val="20"/>
          <w:color w:val="auto"/>
        </w:rPr>
      </w:pPr>
    </w:p>
    <w:p>
      <w:pPr>
        <w:ind w:right="260"/>
        <w:spacing w:after="0" w:line="250" w:lineRule="auto"/>
        <w:rPr>
          <w:sz w:val="20"/>
          <w:szCs w:val="20"/>
          <w:color w:val="auto"/>
        </w:rPr>
      </w:pPr>
      <w:r>
        <w:rPr>
          <w:rFonts w:ascii="Arial" w:cs="Arial" w:eastAsia="Arial" w:hAnsi="Arial"/>
          <w:sz w:val="16"/>
          <w:szCs w:val="16"/>
          <w:color w:val="auto"/>
        </w:rPr>
        <w:t>A substantial portion of each non-employee director’s annual compensation is in the form of share units granted annually under the 2006 Director Equity Incentive Plan, as amended and restated on May 24, 2023 (the “DEIP”) currently with an initial equity value of $180,000, which the Board believes helps align director compensation with the interests of our stockholders. Our Chairman received an additional annual retainer in share units with an initial equity value of $225,000 in light of the</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increased  duties  and  responsibilities  demanded  by  this  role,  which  are  described  in  further  detail  on  page  50.</w:t>
      </w:r>
    </w:p>
    <w:p>
      <w:pPr>
        <w:spacing w:after="0" w:line="113" w:lineRule="exact"/>
        <w:rPr>
          <w:sz w:val="20"/>
          <w:szCs w:val="20"/>
          <w:color w:val="auto"/>
        </w:rPr>
      </w:pPr>
    </w:p>
    <w:p>
      <w:pPr>
        <w:ind w:right="160"/>
        <w:spacing w:after="0" w:line="255" w:lineRule="auto"/>
        <w:rPr>
          <w:sz w:val="20"/>
          <w:szCs w:val="20"/>
          <w:color w:val="auto"/>
        </w:rPr>
      </w:pPr>
      <w:r>
        <w:rPr>
          <w:rFonts w:ascii="Arial" w:cs="Arial" w:eastAsia="Arial" w:hAnsi="Arial"/>
          <w:sz w:val="16"/>
          <w:szCs w:val="16"/>
          <w:color w:val="auto"/>
        </w:rPr>
        <w:t>Upon settlement, the share units are designed to be settled: (i) 50% in cash based on the average of the high and low trading prices per share of Common Stock on the vesting date and (ii) 50% in shares of Common Stock. Any fractional units are settled</w:t>
      </w:r>
    </w:p>
    <w:p>
      <w:pPr>
        <w:spacing w:after="0" w:line="1" w:lineRule="exact"/>
        <w:rPr>
          <w:sz w:val="20"/>
          <w:szCs w:val="20"/>
          <w:color w:val="auto"/>
        </w:rPr>
      </w:pPr>
    </w:p>
    <w:p>
      <w:pPr>
        <w:ind w:right="100"/>
        <w:spacing w:after="0" w:line="313" w:lineRule="auto"/>
        <w:rPr>
          <w:sz w:val="20"/>
          <w:szCs w:val="20"/>
          <w:color w:val="auto"/>
        </w:rPr>
      </w:pPr>
      <w:r>
        <w:rPr>
          <w:rFonts w:ascii="Arial" w:cs="Arial" w:eastAsia="Arial" w:hAnsi="Arial"/>
          <w:sz w:val="16"/>
          <w:szCs w:val="16"/>
          <w:color w:val="auto"/>
        </w:rPr>
        <w:t>in cash. Pursuant to the terms of the DEIP, a director may elect to receive the cash-settled portion of the award in shares and, if a director has elected to defer the annual equity award, the award is deferred into a share unit account under the DEIP.</w:t>
      </w:r>
    </w:p>
    <w:p>
      <w:pPr>
        <w:spacing w:after="0" w:line="6"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The number of share units subject to each non-employee director’s award granted in 2025 was calculated by taking the quotient of (x) $180,000 (or $180,000 + $225,000 for Mr. Philip) divided by (y) the average of the high and low sales prices of Common</w:t>
      </w:r>
    </w:p>
    <w:p>
      <w:pPr>
        <w:spacing w:after="0" w:line="1" w:lineRule="exact"/>
        <w:rPr>
          <w:sz w:val="20"/>
          <w:szCs w:val="20"/>
          <w:color w:val="auto"/>
        </w:rPr>
      </w:pPr>
    </w:p>
    <w:p>
      <w:pPr>
        <w:ind w:right="80"/>
        <w:spacing w:after="0" w:line="272" w:lineRule="auto"/>
        <w:rPr>
          <w:sz w:val="20"/>
          <w:szCs w:val="20"/>
          <w:color w:val="auto"/>
        </w:rPr>
      </w:pPr>
      <w:r>
        <w:rPr>
          <w:rFonts w:ascii="Arial" w:cs="Arial" w:eastAsia="Arial" w:hAnsi="Arial"/>
          <w:sz w:val="16"/>
          <w:szCs w:val="16"/>
          <w:color w:val="auto"/>
        </w:rPr>
        <w:t>Stock on the date of grant (rounded up to the nearest whole share unit). Each share unit represents the economic equivalent of one share of Common Stock and vests in full on the frst anniversary of the grant date, subject to the director’s continued service on our Board, or earlier in the event of the non-employee director’s death, disability or separation from service other than for cause.</w:t>
      </w:r>
    </w:p>
    <w:p>
      <w:pPr>
        <w:spacing w:after="0" w:line="252" w:lineRule="exact"/>
        <w:rPr>
          <w:sz w:val="20"/>
          <w:szCs w:val="20"/>
          <w:color w:val="auto"/>
        </w:rPr>
      </w:pPr>
    </w:p>
    <w:p>
      <w:pPr>
        <w:ind w:right="400"/>
        <w:spacing w:after="0" w:line="279" w:lineRule="auto"/>
        <w:rPr>
          <w:sz w:val="20"/>
          <w:szCs w:val="20"/>
          <w:color w:val="auto"/>
        </w:rPr>
      </w:pPr>
      <w:r>
        <w:rPr>
          <w:rFonts w:ascii="Arial" w:cs="Arial" w:eastAsia="Arial" w:hAnsi="Arial"/>
          <w:sz w:val="16"/>
          <w:szCs w:val="16"/>
          <w:color w:val="auto"/>
        </w:rPr>
        <w:t>New non-employee directors who join the Board between our Annual Meetings are generally eligible to receive a pro-rated portion of the annual share unit award to refect the period of time that they serve prior to the Annual Meeting that immediately follows their appointment.</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414D2"/>
        </w:rPr>
        <w:t>Director Compensation Deferral Opportunities</w:t>
      </w:r>
    </w:p>
    <w:p>
      <w:pPr>
        <w:spacing w:after="0" w:line="129"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A non-employee director may elect to defer payment of all or part of the cash compensation received as a non-employee director under the DEIP through credits to a share account established under the terms of the DEIP. Non-employee directors may also defer the receipt of shares that would otherwise be issued under an equity compensation award through credits to his</w:t>
      </w:r>
    </w:p>
    <w:p>
      <w:pPr>
        <w:spacing w:after="0" w:line="1" w:lineRule="exact"/>
        <w:rPr>
          <w:sz w:val="20"/>
          <w:szCs w:val="20"/>
          <w:color w:val="auto"/>
        </w:rPr>
      </w:pPr>
    </w:p>
    <w:p>
      <w:pPr>
        <w:ind w:right="180"/>
        <w:spacing w:after="0" w:line="279" w:lineRule="auto"/>
        <w:rPr>
          <w:sz w:val="20"/>
          <w:szCs w:val="20"/>
          <w:color w:val="auto"/>
        </w:rPr>
      </w:pPr>
      <w:r>
        <w:rPr>
          <w:rFonts w:ascii="Arial" w:cs="Arial" w:eastAsia="Arial" w:hAnsi="Arial"/>
          <w:sz w:val="16"/>
          <w:szCs w:val="16"/>
          <w:color w:val="auto"/>
        </w:rPr>
        <w:t>or her share account. Unless otherwise specifed by the director at the time of the deferral election or pursuant to certain pre-merger deferral arrangements, distribution from the share account will be made within 60 days following the date on which such non-employee director separates from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2026  Proxy  Statement</w:t>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1414D2"/>
        </w:rPr>
        <w:t>63</w:t>
      </w:r>
    </w:p>
    <w:p>
      <w:pPr>
        <w:sectPr>
          <w:pgSz w:w="11900" w:h="16838" w:orient="portrait"/>
          <w:cols w:equalWidth="0" w:num="1">
            <w:col w:w="9720"/>
          </w:cols>
          <w:pgMar w:left="1080" w:top="695" w:right="1099" w:bottom="1440" w:gutter="0" w:footer="0" w:header="0"/>
          <w:type w:val="continuous"/>
        </w:sectPr>
      </w:pPr>
    </w:p>
    <w:bookmarkStart w:id="74" w:name="page75"/>
    <w:bookmarkEnd w:id="74"/>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6D6F71"/>
        </w:rPr>
        <w:t>Board  and  Corporate  Governance  Matters</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414D2"/>
        </w:rPr>
        <w:t>Charitable Contribution Program</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color w:val="auto"/>
        </w:rPr>
        <w:t>Each  director  was  eligible  to  participate  in  our  matching  gift  program  in  2025.  We  matched  dollar  for  dollar  a  director’s</w:t>
      </w:r>
    </w:p>
    <w:p>
      <w:pPr>
        <w:spacing w:after="0" w:line="19" w:lineRule="exact"/>
        <w:rPr>
          <w:sz w:val="20"/>
          <w:szCs w:val="20"/>
          <w:color w:val="auto"/>
        </w:rPr>
      </w:pPr>
    </w:p>
    <w:p>
      <w:pPr>
        <w:ind w:right="120"/>
        <w:spacing w:after="0" w:line="279" w:lineRule="auto"/>
        <w:rPr>
          <w:sz w:val="20"/>
          <w:szCs w:val="20"/>
          <w:color w:val="auto"/>
        </w:rPr>
      </w:pPr>
      <w:r>
        <w:rPr>
          <w:rFonts w:ascii="Arial" w:cs="Arial" w:eastAsia="Arial" w:hAnsi="Arial"/>
          <w:sz w:val="16"/>
          <w:szCs w:val="16"/>
          <w:color w:val="auto"/>
        </w:rPr>
        <w:t>contribution to qualifed charitable and educational organizations up to $ 20,000. In the case of each of the ALPA director and the IAM director, United will provide matching charitable contributions of up to $20,000 per year in the aggregate to qualifying nonproft organizations to which either the director or the director’s union contributes.</w:t>
      </w:r>
    </w:p>
    <w:p>
      <w:pPr>
        <w:spacing w:after="0" w:line="33" w:lineRule="exact"/>
        <w:rPr>
          <w:sz w:val="20"/>
          <w:szCs w:val="20"/>
          <w:color w:val="auto"/>
        </w:rPr>
      </w:pPr>
    </w:p>
    <w:p>
      <w:pPr>
        <w:jc w:val="both"/>
        <w:ind w:right="40"/>
        <w:spacing w:after="0" w:line="324" w:lineRule="auto"/>
        <w:rPr>
          <w:sz w:val="20"/>
          <w:szCs w:val="20"/>
          <w:color w:val="auto"/>
        </w:rPr>
      </w:pPr>
      <w:r>
        <w:rPr>
          <w:rFonts w:ascii="Arial" w:cs="Arial" w:eastAsia="Arial" w:hAnsi="Arial"/>
          <w:sz w:val="16"/>
          <w:szCs w:val="16"/>
          <w:color w:val="auto"/>
        </w:rPr>
        <w:t>Non-employee directors are also permitted to select qualifed charitable organizations for United to donate a limited number of round trip positive air space tickets.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414D2"/>
        </w:rPr>
        <w:t>Travel Benefts</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United believes it is in its best interest for directors to have exposure to United’s operations and employees. For that reason, our directors receive fight benefts, including a travel card permitting positive space travel up to an annual limit by the director, the</w:t>
      </w:r>
    </w:p>
    <w:p>
      <w:pPr>
        <w:spacing w:after="0" w:line="1" w:lineRule="exact"/>
        <w:rPr>
          <w:sz w:val="20"/>
          <w:szCs w:val="20"/>
          <w:color w:val="auto"/>
        </w:rPr>
      </w:pPr>
    </w:p>
    <w:p>
      <w:pPr>
        <w:jc w:val="both"/>
        <w:ind w:right="20"/>
        <w:spacing w:after="0" w:line="279" w:lineRule="auto"/>
        <w:rPr>
          <w:sz w:val="20"/>
          <w:szCs w:val="20"/>
          <w:color w:val="auto"/>
        </w:rPr>
      </w:pPr>
      <w:r>
        <w:rPr>
          <w:rFonts w:ascii="Arial" w:cs="Arial" w:eastAsia="Arial" w:hAnsi="Arial"/>
          <w:sz w:val="16"/>
          <w:szCs w:val="16"/>
          <w:color w:val="auto"/>
        </w:rPr>
        <w:t>director’s spouse or the director’s qualifed domestic partner and certain other eligible travelers. The directors also have access to certain other travel-related benefts with no incremental cost to the Company, such as access to our United Club facilities and status in our MileagePlus programs for the directors and their immediate family members.</w:t>
      </w:r>
    </w:p>
    <w:p>
      <w:pPr>
        <w:spacing w:after="0" w:line="47" w:lineRule="exact"/>
        <w:rPr>
          <w:sz w:val="20"/>
          <w:szCs w:val="20"/>
          <w:color w:val="auto"/>
        </w:rPr>
      </w:pPr>
    </w:p>
    <w:p>
      <w:pPr>
        <w:ind w:right="140"/>
        <w:spacing w:after="0" w:line="313" w:lineRule="auto"/>
        <w:rPr>
          <w:sz w:val="20"/>
          <w:szCs w:val="20"/>
          <w:color w:val="auto"/>
        </w:rPr>
      </w:pPr>
      <w:r>
        <w:rPr>
          <w:rFonts w:ascii="Arial" w:cs="Arial" w:eastAsia="Arial" w:hAnsi="Arial"/>
          <w:sz w:val="16"/>
          <w:szCs w:val="16"/>
          <w:color w:val="auto"/>
        </w:rPr>
        <w:t>The travel benefts are taxable to the director, subject to the reimbursement of certain of such taxes by United up to an annual limit as applicable.</w:t>
      </w:r>
    </w:p>
    <w:p>
      <w:pPr>
        <w:spacing w:after="0" w:line="6" w:lineRule="exact"/>
        <w:rPr>
          <w:sz w:val="20"/>
          <w:szCs w:val="20"/>
          <w:color w:val="auto"/>
        </w:rPr>
      </w:pPr>
    </w:p>
    <w:p>
      <w:pPr>
        <w:ind w:right="440"/>
        <w:spacing w:after="0" w:line="313" w:lineRule="auto"/>
        <w:rPr>
          <w:sz w:val="20"/>
          <w:szCs w:val="20"/>
          <w:color w:val="auto"/>
        </w:rPr>
      </w:pPr>
      <w:r>
        <w:rPr>
          <w:rFonts w:ascii="Arial" w:cs="Arial" w:eastAsia="Arial" w:hAnsi="Arial"/>
          <w:sz w:val="16"/>
          <w:szCs w:val="16"/>
          <w:color w:val="auto"/>
        </w:rPr>
        <w:t>A non-employee director who retires from the Board with at least fve consecutive years of service as a director will receive lifetime travel benefts, subject to certain exceptions.</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414D2"/>
        </w:rPr>
        <w:t>Director Cybersecurity</w:t>
      </w:r>
    </w:p>
    <w:p>
      <w:pPr>
        <w:spacing w:after="0" w:line="115" w:lineRule="exact"/>
        <w:rPr>
          <w:sz w:val="20"/>
          <w:szCs w:val="20"/>
          <w:color w:val="auto"/>
        </w:rPr>
      </w:pPr>
    </w:p>
    <w:p>
      <w:pPr>
        <w:ind w:right="320"/>
        <w:spacing w:after="0" w:line="313" w:lineRule="auto"/>
        <w:rPr>
          <w:sz w:val="20"/>
          <w:szCs w:val="20"/>
          <w:color w:val="auto"/>
        </w:rPr>
      </w:pPr>
      <w:r>
        <w:rPr>
          <w:rFonts w:ascii="Arial" w:cs="Arial" w:eastAsia="Arial" w:hAnsi="Arial"/>
          <w:sz w:val="16"/>
          <w:szCs w:val="16"/>
          <w:color w:val="auto"/>
        </w:rPr>
        <w:t>United makes available cybersecurity / identity protection services to our directors, which are reported as a perquisite in the Director Compensation for 2025 table below.</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414D2"/>
        </w:rPr>
        <w:t>Reimbursements</w:t>
      </w:r>
    </w:p>
    <w:p>
      <w:pPr>
        <w:spacing w:after="0" w:line="129"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All directors are reimbursed for expenses incurred in attending Board, Committee and stockholder meetings and certain United events (including travel and lodging) in accordance with United’s Board travel policies and administrative expenses that may be approved by the Board from time to time.</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414D2"/>
        </w:rPr>
        <w:t>Indemnifcation</w:t>
      </w:r>
    </w:p>
    <w:p>
      <w:pPr>
        <w:spacing w:after="0" w:line="129" w:lineRule="exact"/>
        <w:rPr>
          <w:sz w:val="20"/>
          <w:szCs w:val="20"/>
          <w:color w:val="auto"/>
        </w:rPr>
      </w:pPr>
    </w:p>
    <w:p>
      <w:pPr>
        <w:ind w:right="220"/>
        <w:spacing w:after="0" w:line="313" w:lineRule="auto"/>
        <w:rPr>
          <w:sz w:val="20"/>
          <w:szCs w:val="20"/>
          <w:color w:val="auto"/>
        </w:rPr>
      </w:pPr>
      <w:r>
        <w:rPr>
          <w:rFonts w:ascii="Arial" w:cs="Arial" w:eastAsia="Arial" w:hAnsi="Arial"/>
          <w:sz w:val="16"/>
          <w:szCs w:val="16"/>
          <w:color w:val="auto"/>
        </w:rPr>
        <w:t>United has a policy that provides liability insurance for non-employee directors of United and its subsidiaries. United also provides indemnifcation for directors as set forth in the Restated Certifcate of Incorporation of United Airlines Holdings, Inc.</w:t>
      </w:r>
    </w:p>
    <w:p>
      <w:pPr>
        <w:sectPr>
          <w:pgSz w:w="11900" w:h="16838" w:orient="portrait"/>
          <w:cols w:equalWidth="0" w:num="1">
            <w:col w:w="9720"/>
          </w:cols>
          <w:pgMar w:left="1080" w:top="695"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ind w:right="7720"/>
        <w:spacing w:after="0"/>
        <w:rPr>
          <w:sz w:val="20"/>
          <w:szCs w:val="20"/>
          <w:color w:val="auto"/>
        </w:rPr>
      </w:pPr>
      <w:r>
        <w:rPr>
          <w:rFonts w:ascii="Arial" w:cs="Arial" w:eastAsia="Arial" w:hAnsi="Arial"/>
          <w:sz w:val="16"/>
          <w:szCs w:val="16"/>
          <w:color w:val="auto"/>
        </w:rPr>
        <w:t>​​2026​  Proxy</w:t>
      </w:r>
    </w:p>
    <w:p>
      <w:pPr>
        <w:spacing w:after="0" w:line="5" w:lineRule="exact"/>
        <w:rPr>
          <w:sz w:val="20"/>
          <w:szCs w:val="20"/>
          <w:color w:val="auto"/>
        </w:rPr>
      </w:pPr>
    </w:p>
    <w:p>
      <w:pPr>
        <w:ind w:left="660" w:hanging="656"/>
        <w:spacing w:after="0"/>
        <w:tabs>
          <w:tab w:leader="none" w:pos="660" w:val="left"/>
        </w:tabs>
        <w:numPr>
          <w:ilvl w:val="0"/>
          <w:numId w:val="69"/>
        </w:numPr>
        <w:rPr>
          <w:rFonts w:ascii="Arial" w:cs="Arial" w:eastAsia="Arial" w:hAnsi="Arial"/>
          <w:sz w:val="16"/>
          <w:szCs w:val="16"/>
          <w:b w:val="1"/>
          <w:bCs w:val="1"/>
          <w:color w:val="1414D2"/>
        </w:rPr>
      </w:pPr>
      <w:r>
        <w:rPr>
          <w:rFonts w:ascii="Arial" w:cs="Arial" w:eastAsia="Arial" w:hAnsi="Arial"/>
          <w:sz w:val="16"/>
          <w:szCs w:val="16"/>
          <w:color w:val="auto"/>
        </w:rPr>
        <w:t>Statement</w:t>
      </w:r>
    </w:p>
    <w:p>
      <w:pPr>
        <w:sectPr>
          <w:pgSz w:w="11900" w:h="16838" w:orient="portrait"/>
          <w:cols w:equalWidth="0" w:num="1">
            <w:col w:w="9720"/>
          </w:cols>
          <w:pgMar w:left="1080" w:top="695" w:right="1099" w:bottom="1440" w:gutter="0" w:footer="0" w:header="0"/>
          <w:type w:val="continuous"/>
        </w:sectPr>
      </w:pPr>
    </w:p>
    <w:bookmarkStart w:id="75" w:name="page76"/>
    <w:bookmarkEnd w:id="75"/>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27" w:lineRule="exact"/>
        <w:rPr>
          <w:sz w:val="20"/>
          <w:szCs w:val="20"/>
          <w:color w:val="auto"/>
        </w:rPr>
      </w:pPr>
    </w:p>
    <w:p>
      <w:pPr>
        <w:ind w:left="6900"/>
        <w:spacing w:after="0"/>
        <w:rPr>
          <w:sz w:val="20"/>
          <w:szCs w:val="20"/>
          <w:color w:val="auto"/>
        </w:rPr>
      </w:pPr>
      <w:r>
        <w:rPr>
          <w:rFonts w:ascii="Arial" w:cs="Arial" w:eastAsia="Arial" w:hAnsi="Arial"/>
          <w:sz w:val="14"/>
          <w:szCs w:val="14"/>
          <w:color w:val="6D6F71"/>
        </w:rPr>
        <w:t>Board  and  Corporate  Governance  Matters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COMPENSATION FOR 2025</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includes  the  amount  of  director  compensation  in  2025  for  each  director  who  served  during  that  year  other</w:t>
      </w:r>
    </w:p>
    <w:p>
      <w:pPr>
        <w:spacing w:after="0" w:line="19" w:lineRule="exact"/>
        <w:rPr>
          <w:sz w:val="20"/>
          <w:szCs w:val="20"/>
          <w:color w:val="auto"/>
        </w:rPr>
      </w:pPr>
    </w:p>
    <w:p>
      <w:pPr>
        <w:ind w:right="80"/>
        <w:spacing w:after="0" w:line="313" w:lineRule="auto"/>
        <w:rPr>
          <w:sz w:val="20"/>
          <w:szCs w:val="20"/>
          <w:color w:val="auto"/>
        </w:rPr>
      </w:pPr>
      <w:r>
        <w:rPr>
          <w:rFonts w:ascii="Arial" w:cs="Arial" w:eastAsia="Arial" w:hAnsi="Arial"/>
          <w:sz w:val="16"/>
          <w:szCs w:val="16"/>
          <w:color w:val="auto"/>
        </w:rPr>
        <w:t>than Mr. Kirby. The 2025 compensation for Mr. Kirby is shown in the 2025 Summary Compensation Table and Mr. Kirby does not receive additional compensation for his service on the Board.</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560" w:type="dxa"/>
            <w:vAlign w:val="bottom"/>
            <w:tcBorders>
              <w:top w:val="single" w:sz="8" w:color="1414D2"/>
            </w:tcBorders>
            <w:shd w:val="clear" w:color="auto" w:fill="F2F2F2"/>
          </w:tcPr>
          <w:p>
            <w:pPr>
              <w:spacing w:after="0"/>
              <w:rPr>
                <w:sz w:val="16"/>
                <w:szCs w:val="16"/>
                <w:color w:val="auto"/>
              </w:rPr>
            </w:pPr>
          </w:p>
        </w:tc>
        <w:tc>
          <w:tcPr>
            <w:tcW w:w="300" w:type="dxa"/>
            <w:vAlign w:val="bottom"/>
            <w:tcBorders>
              <w:top w:val="single" w:sz="8" w:color="1414D2"/>
            </w:tcBorders>
            <w:shd w:val="clear" w:color="auto" w:fill="F2F2F2"/>
          </w:tcPr>
          <w:p>
            <w:pPr>
              <w:spacing w:after="0"/>
              <w:rPr>
                <w:sz w:val="16"/>
                <w:szCs w:val="16"/>
                <w:color w:val="auto"/>
              </w:rPr>
            </w:pPr>
          </w:p>
        </w:tc>
        <w:tc>
          <w:tcPr>
            <w:tcW w:w="1900" w:type="dxa"/>
            <w:vAlign w:val="bottom"/>
            <w:tcBorders>
              <w:top w:val="single" w:sz="8" w:color="1414D2"/>
            </w:tcBorders>
            <w:shd w:val="clear" w:color="auto" w:fill="F2F2F2"/>
          </w:tcPr>
          <w:p>
            <w:pPr>
              <w:spacing w:after="0"/>
              <w:rPr>
                <w:sz w:val="16"/>
                <w:szCs w:val="16"/>
                <w:color w:val="auto"/>
              </w:rPr>
            </w:pPr>
          </w:p>
        </w:tc>
        <w:tc>
          <w:tcPr>
            <w:tcW w:w="1540" w:type="dxa"/>
            <w:vAlign w:val="bottom"/>
            <w:tcBorders>
              <w:top w:val="single" w:sz="8" w:color="1414D2"/>
            </w:tcBorders>
            <w:shd w:val="clear" w:color="auto" w:fill="F2F2F2"/>
          </w:tcPr>
          <w:p>
            <w:pPr>
              <w:spacing w:after="0"/>
              <w:rPr>
                <w:sz w:val="16"/>
                <w:szCs w:val="16"/>
                <w:color w:val="auto"/>
              </w:rPr>
            </w:pPr>
          </w:p>
        </w:tc>
        <w:tc>
          <w:tcPr>
            <w:tcW w:w="220" w:type="dxa"/>
            <w:vAlign w:val="bottom"/>
            <w:tcBorders>
              <w:top w:val="single" w:sz="8" w:color="1414D2"/>
            </w:tcBorders>
            <w:shd w:val="clear" w:color="auto" w:fill="F2F2F2"/>
          </w:tcPr>
          <w:p>
            <w:pPr>
              <w:spacing w:after="0"/>
              <w:rPr>
                <w:sz w:val="16"/>
                <w:szCs w:val="16"/>
                <w:color w:val="auto"/>
              </w:rPr>
            </w:pPr>
          </w:p>
        </w:tc>
        <w:tc>
          <w:tcPr>
            <w:tcW w:w="1460" w:type="dxa"/>
            <w:vAlign w:val="bottom"/>
            <w:tcBorders>
              <w:top w:val="single" w:sz="8" w:color="1414D2"/>
            </w:tcBorders>
            <w:shd w:val="clear" w:color="auto" w:fill="F2F2F2"/>
          </w:tcPr>
          <w:p>
            <w:pPr>
              <w:jc w:val="center"/>
              <w:ind w:right="39"/>
              <w:spacing w:after="0"/>
              <w:rPr>
                <w:sz w:val="20"/>
                <w:szCs w:val="20"/>
                <w:color w:val="auto"/>
              </w:rPr>
            </w:pPr>
            <w:r>
              <w:rPr>
                <w:rFonts w:ascii="Arial" w:cs="Arial" w:eastAsia="Arial" w:hAnsi="Arial"/>
                <w:sz w:val="16"/>
                <w:szCs w:val="16"/>
                <w:b w:val="1"/>
                <w:bCs w:val="1"/>
                <w:color w:val="auto"/>
              </w:rPr>
              <w:t>All Other</w:t>
            </w:r>
          </w:p>
        </w:tc>
        <w:tc>
          <w:tcPr>
            <w:tcW w:w="460" w:type="dxa"/>
            <w:vAlign w:val="bottom"/>
            <w:tcBorders>
              <w:top w:val="single" w:sz="8" w:color="1414D2"/>
            </w:tcBorders>
            <w:shd w:val="clear" w:color="auto" w:fill="F2F2F2"/>
          </w:tcPr>
          <w:p>
            <w:pPr>
              <w:spacing w:after="0"/>
              <w:rPr>
                <w:sz w:val="16"/>
                <w:szCs w:val="16"/>
                <w:color w:val="auto"/>
              </w:rPr>
            </w:pPr>
          </w:p>
        </w:tc>
        <w:tc>
          <w:tcPr>
            <w:tcW w:w="1280" w:type="dxa"/>
            <w:vAlign w:val="bottom"/>
            <w:tcBorders>
              <w:top w:val="single" w:sz="8" w:color="1414D2"/>
            </w:tcBorders>
            <w:shd w:val="clear" w:color="auto" w:fill="F2F2F2"/>
          </w:tcPr>
          <w:p>
            <w:pPr>
              <w:spacing w:after="0"/>
              <w:rPr>
                <w:sz w:val="16"/>
                <w:szCs w:val="16"/>
                <w:color w:val="auto"/>
              </w:rPr>
            </w:pPr>
          </w:p>
        </w:tc>
      </w:tr>
      <w:tr>
        <w:trPr>
          <w:trHeight w:val="192"/>
        </w:trPr>
        <w:tc>
          <w:tcPr>
            <w:tcW w:w="2560" w:type="dxa"/>
            <w:vAlign w:val="bottom"/>
            <w:shd w:val="clear" w:color="auto" w:fill="F2F2F2"/>
          </w:tcPr>
          <w:p>
            <w:pPr>
              <w:spacing w:after="0"/>
              <w:rPr>
                <w:sz w:val="16"/>
                <w:szCs w:val="16"/>
                <w:color w:val="auto"/>
              </w:rPr>
            </w:pPr>
          </w:p>
        </w:tc>
        <w:tc>
          <w:tcPr>
            <w:tcW w:w="300" w:type="dxa"/>
            <w:vAlign w:val="bottom"/>
            <w:shd w:val="clear" w:color="auto" w:fill="F2F2F2"/>
          </w:tcPr>
          <w:p>
            <w:pPr>
              <w:spacing w:after="0"/>
              <w:rPr>
                <w:sz w:val="16"/>
                <w:szCs w:val="16"/>
                <w:color w:val="auto"/>
              </w:rPr>
            </w:pPr>
          </w:p>
        </w:tc>
        <w:tc>
          <w:tcPr>
            <w:tcW w:w="1900" w:type="dxa"/>
            <w:vAlign w:val="bottom"/>
            <w:shd w:val="clear" w:color="auto" w:fill="F2F2F2"/>
          </w:tcPr>
          <w:p>
            <w:pPr>
              <w:jc w:val="right"/>
              <w:ind w:right="493"/>
              <w:spacing w:after="0"/>
              <w:rPr>
                <w:sz w:val="20"/>
                <w:szCs w:val="20"/>
                <w:color w:val="auto"/>
              </w:rPr>
            </w:pPr>
            <w:r>
              <w:rPr>
                <w:rFonts w:ascii="Arial" w:cs="Arial" w:eastAsia="Arial" w:hAnsi="Arial"/>
                <w:sz w:val="16"/>
                <w:szCs w:val="16"/>
                <w:b w:val="1"/>
                <w:bCs w:val="1"/>
                <w:color w:val="auto"/>
              </w:rPr>
              <w:t>Fees Earned or</w:t>
            </w:r>
          </w:p>
        </w:tc>
        <w:tc>
          <w:tcPr>
            <w:tcW w:w="1540" w:type="dxa"/>
            <w:vAlign w:val="bottom"/>
            <w:shd w:val="clear" w:color="auto" w:fill="F2F2F2"/>
          </w:tcPr>
          <w:p>
            <w:pPr>
              <w:jc w:val="right"/>
              <w:ind w:right="266"/>
              <w:spacing w:after="0"/>
              <w:rPr>
                <w:sz w:val="20"/>
                <w:szCs w:val="20"/>
                <w:color w:val="auto"/>
              </w:rPr>
            </w:pPr>
            <w:r>
              <w:rPr>
                <w:rFonts w:ascii="Arial" w:cs="Arial" w:eastAsia="Arial" w:hAnsi="Arial"/>
                <w:sz w:val="16"/>
                <w:szCs w:val="16"/>
                <w:b w:val="1"/>
                <w:bCs w:val="1"/>
                <w:color w:val="auto"/>
              </w:rPr>
              <w:t>Stock Awards</w:t>
            </w:r>
          </w:p>
        </w:tc>
        <w:tc>
          <w:tcPr>
            <w:tcW w:w="220" w:type="dxa"/>
            <w:vAlign w:val="bottom"/>
            <w:shd w:val="clear" w:color="auto" w:fill="F2F2F2"/>
          </w:tcPr>
          <w:p>
            <w:pPr>
              <w:spacing w:after="0"/>
              <w:rPr>
                <w:sz w:val="16"/>
                <w:szCs w:val="16"/>
                <w:color w:val="auto"/>
              </w:rPr>
            </w:pPr>
          </w:p>
        </w:tc>
        <w:tc>
          <w:tcPr>
            <w:tcW w:w="1460" w:type="dxa"/>
            <w:vAlign w:val="bottom"/>
            <w:shd w:val="clear" w:color="auto" w:fill="F2F2F2"/>
          </w:tcPr>
          <w:p>
            <w:pPr>
              <w:jc w:val="center"/>
              <w:ind w:right="39"/>
              <w:spacing w:after="0"/>
              <w:rPr>
                <w:sz w:val="20"/>
                <w:szCs w:val="20"/>
                <w:color w:val="auto"/>
              </w:rPr>
            </w:pPr>
            <w:r>
              <w:rPr>
                <w:rFonts w:ascii="Arial" w:cs="Arial" w:eastAsia="Arial" w:hAnsi="Arial"/>
                <w:sz w:val="16"/>
                <w:szCs w:val="16"/>
                <w:b w:val="1"/>
                <w:bCs w:val="1"/>
                <w:color w:val="auto"/>
              </w:rPr>
              <w:t>Compensation</w:t>
            </w:r>
          </w:p>
        </w:tc>
        <w:tc>
          <w:tcPr>
            <w:tcW w:w="460" w:type="dxa"/>
            <w:vAlign w:val="bottom"/>
            <w:shd w:val="clear" w:color="auto" w:fill="F2F2F2"/>
          </w:tcPr>
          <w:p>
            <w:pPr>
              <w:spacing w:after="0"/>
              <w:rPr>
                <w:sz w:val="16"/>
                <w:szCs w:val="16"/>
                <w:color w:val="auto"/>
              </w:rPr>
            </w:pPr>
          </w:p>
        </w:tc>
        <w:tc>
          <w:tcPr>
            <w:tcW w:w="1280" w:type="dxa"/>
            <w:vAlign w:val="bottom"/>
            <w:shd w:val="clear" w:color="auto" w:fill="F2F2F2"/>
          </w:tcPr>
          <w:p>
            <w:pPr>
              <w:spacing w:after="0"/>
              <w:rPr>
                <w:sz w:val="16"/>
                <w:szCs w:val="16"/>
                <w:color w:val="auto"/>
              </w:rPr>
            </w:pPr>
          </w:p>
        </w:tc>
      </w:tr>
      <w:tr>
        <w:trPr>
          <w:trHeight w:val="251"/>
        </w:trPr>
        <w:tc>
          <w:tcPr>
            <w:tcW w:w="2560" w:type="dxa"/>
            <w:vAlign w:val="bottom"/>
            <w:shd w:val="clear" w:color="auto" w:fill="F2F2F2"/>
          </w:tcPr>
          <w:p>
            <w:pPr>
              <w:ind w:left="120"/>
              <w:spacing w:after="0"/>
              <w:rPr>
                <w:sz w:val="20"/>
                <w:szCs w:val="20"/>
                <w:color w:val="auto"/>
              </w:rPr>
            </w:pPr>
            <w:r>
              <w:rPr>
                <w:rFonts w:ascii="Arial" w:cs="Arial" w:eastAsia="Arial" w:hAnsi="Arial"/>
                <w:sz w:val="16"/>
                <w:szCs w:val="16"/>
                <w:b w:val="1"/>
                <w:bCs w:val="1"/>
                <w:color w:val="auto"/>
              </w:rPr>
              <w:t>Name</w:t>
            </w:r>
          </w:p>
        </w:tc>
        <w:tc>
          <w:tcPr>
            <w:tcW w:w="300" w:type="dxa"/>
            <w:vAlign w:val="bottom"/>
            <w:shd w:val="clear" w:color="auto" w:fill="F2F2F2"/>
          </w:tcPr>
          <w:p>
            <w:pPr>
              <w:ind w:left="140"/>
              <w:spacing w:after="0"/>
              <w:rPr>
                <w:sz w:val="20"/>
                <w:szCs w:val="20"/>
                <w:color w:val="auto"/>
              </w:rPr>
            </w:pPr>
            <w:r>
              <w:rPr>
                <w:rFonts w:ascii="Arial" w:cs="Arial" w:eastAsia="Arial" w:hAnsi="Arial"/>
                <w:sz w:val="16"/>
                <w:szCs w:val="16"/>
                <w:color w:val="auto"/>
              </w:rPr>
              <w:t>​​​</w:t>
            </w:r>
          </w:p>
        </w:tc>
        <w:tc>
          <w:tcPr>
            <w:tcW w:w="1900" w:type="dxa"/>
            <w:vAlign w:val="bottom"/>
            <w:shd w:val="clear" w:color="auto" w:fill="F2F2F2"/>
          </w:tcPr>
          <w:p>
            <w:pPr>
              <w:jc w:val="right"/>
              <w:ind w:right="53"/>
              <w:spacing w:after="0" w:line="251" w:lineRule="exact"/>
              <w:rPr>
                <w:sz w:val="20"/>
                <w:szCs w:val="20"/>
                <w:color w:val="auto"/>
              </w:rPr>
            </w:pPr>
            <w:r>
              <w:rPr>
                <w:rFonts w:ascii="Arial" w:cs="Arial" w:eastAsia="Arial" w:hAnsi="Arial"/>
                <w:sz w:val="16"/>
                <w:szCs w:val="16"/>
                <w:b w:val="1"/>
                <w:bCs w:val="1"/>
                <w:color w:val="auto"/>
              </w:rPr>
              <w:t>Paid in Cash ($)</w:t>
            </w:r>
            <w:r>
              <w:rPr>
                <w:rFonts w:ascii="Arial" w:cs="Arial" w:eastAsia="Arial" w:hAnsi="Arial"/>
                <w:sz w:val="24"/>
                <w:szCs w:val="24"/>
                <w:b w:val="1"/>
                <w:bCs w:val="1"/>
                <w:color w:val="auto"/>
                <w:vertAlign w:val="superscript"/>
              </w:rPr>
              <w:t>(1)</w:t>
            </w: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1540" w:type="dxa"/>
            <w:vAlign w:val="bottom"/>
            <w:shd w:val="clear" w:color="auto" w:fill="F2F2F2"/>
          </w:tcPr>
          <w:p>
            <w:pPr>
              <w:jc w:val="right"/>
              <w:ind w:right="566"/>
              <w:spacing w:after="0" w:line="251" w:lineRule="exact"/>
              <w:rPr>
                <w:sz w:val="20"/>
                <w:szCs w:val="20"/>
                <w:color w:val="auto"/>
              </w:rPr>
            </w:pPr>
            <w:r>
              <w:rPr>
                <w:rFonts w:ascii="Arial" w:cs="Arial" w:eastAsia="Arial" w:hAnsi="Arial"/>
                <w:sz w:val="29"/>
                <w:szCs w:val="29"/>
                <w:b w:val="1"/>
                <w:bCs w:val="1"/>
                <w:color w:val="auto"/>
                <w:vertAlign w:val="subscript"/>
              </w:rPr>
              <w:t>($)</w:t>
            </w:r>
            <w:r>
              <w:rPr>
                <w:rFonts w:ascii="Arial" w:cs="Arial" w:eastAsia="Arial" w:hAnsi="Arial"/>
                <w:sz w:val="12"/>
                <w:szCs w:val="12"/>
                <w:b w:val="1"/>
                <w:bCs w:val="1"/>
                <w:color w:val="auto"/>
              </w:rPr>
              <w:t>(2)(3)</w:t>
            </w:r>
          </w:p>
        </w:tc>
        <w:tc>
          <w:tcPr>
            <w:tcW w:w="220" w:type="dxa"/>
            <w:vAlign w:val="bottom"/>
            <w:shd w:val="clear" w:color="auto" w:fill="F2F2F2"/>
          </w:tcPr>
          <w:p>
            <w:pPr>
              <w:spacing w:after="0"/>
              <w:rPr>
                <w:sz w:val="20"/>
                <w:szCs w:val="20"/>
                <w:color w:val="auto"/>
              </w:rPr>
            </w:pPr>
            <w:r>
              <w:rPr>
                <w:rFonts w:ascii="Arial" w:cs="Arial" w:eastAsia="Arial" w:hAnsi="Arial"/>
                <w:sz w:val="16"/>
                <w:szCs w:val="16"/>
                <w:color w:val="auto"/>
              </w:rPr>
              <w:t>​​​</w:t>
            </w:r>
          </w:p>
        </w:tc>
        <w:tc>
          <w:tcPr>
            <w:tcW w:w="1460" w:type="dxa"/>
            <w:vAlign w:val="bottom"/>
            <w:shd w:val="clear" w:color="auto" w:fill="F2F2F2"/>
          </w:tcPr>
          <w:p>
            <w:pPr>
              <w:jc w:val="center"/>
              <w:ind w:right="19"/>
              <w:spacing w:after="0" w:line="251" w:lineRule="exact"/>
              <w:rPr>
                <w:sz w:val="20"/>
                <w:szCs w:val="20"/>
                <w:color w:val="auto"/>
              </w:rPr>
            </w:pPr>
            <w:r>
              <w:rPr>
                <w:rFonts w:ascii="Arial" w:cs="Arial" w:eastAsia="Arial" w:hAnsi="Arial"/>
                <w:sz w:val="16"/>
                <w:szCs w:val="16"/>
                <w:b w:val="1"/>
                <w:bCs w:val="1"/>
                <w:color w:val="auto"/>
                <w:w w:val="91"/>
              </w:rPr>
              <w:t>($)</w:t>
            </w:r>
            <w:r>
              <w:rPr>
                <w:rFonts w:ascii="Arial" w:cs="Arial" w:eastAsia="Arial" w:hAnsi="Arial"/>
                <w:sz w:val="24"/>
                <w:szCs w:val="24"/>
                <w:b w:val="1"/>
                <w:bCs w:val="1"/>
                <w:color w:val="auto"/>
                <w:w w:val="91"/>
                <w:vertAlign w:val="superscript"/>
              </w:rPr>
              <w:t>(4)</w:t>
            </w:r>
          </w:p>
        </w:tc>
        <w:tc>
          <w:tcPr>
            <w:tcW w:w="460" w:type="dxa"/>
            <w:vAlign w:val="bottom"/>
            <w:shd w:val="clear" w:color="auto" w:fill="F2F2F2"/>
          </w:tcPr>
          <w:p>
            <w:pPr>
              <w:ind w:left="100"/>
              <w:spacing w:after="0"/>
              <w:rPr>
                <w:sz w:val="20"/>
                <w:szCs w:val="20"/>
                <w:color w:val="auto"/>
              </w:rPr>
            </w:pPr>
            <w:r>
              <w:rPr>
                <w:rFonts w:ascii="Arial" w:cs="Arial" w:eastAsia="Arial" w:hAnsi="Arial"/>
                <w:sz w:val="16"/>
                <w:szCs w:val="16"/>
                <w:color w:val="auto"/>
              </w:rPr>
              <w:t>​​​</w:t>
            </w:r>
          </w:p>
        </w:tc>
        <w:tc>
          <w:tcPr>
            <w:tcW w:w="1280" w:type="dxa"/>
            <w:vAlign w:val="bottom"/>
            <w:shd w:val="clear" w:color="auto" w:fill="F2F2F2"/>
          </w:tcPr>
          <w:p>
            <w:pPr>
              <w:jc w:val="right"/>
              <w:ind w:right="339"/>
              <w:spacing w:after="0"/>
              <w:rPr>
                <w:sz w:val="20"/>
                <w:szCs w:val="20"/>
                <w:color w:val="auto"/>
              </w:rPr>
            </w:pPr>
            <w:r>
              <w:rPr>
                <w:rFonts w:ascii="Arial" w:cs="Arial" w:eastAsia="Arial" w:hAnsi="Arial"/>
                <w:sz w:val="16"/>
                <w:szCs w:val="16"/>
                <w:b w:val="1"/>
                <w:bCs w:val="1"/>
                <w:color w:val="auto"/>
              </w:rPr>
              <w:t>Total ($)</w:t>
            </w:r>
          </w:p>
        </w:tc>
      </w:tr>
      <w:tr>
        <w:trPr>
          <w:trHeight w:val="189"/>
        </w:trPr>
        <w:tc>
          <w:tcPr>
            <w:tcW w:w="2560" w:type="dxa"/>
            <w:vAlign w:val="bottom"/>
            <w:tcBorders>
              <w:bottom w:val="single" w:sz="8" w:color="808080"/>
            </w:tcBorders>
          </w:tcPr>
          <w:p>
            <w:pPr>
              <w:ind w:left="120"/>
              <w:spacing w:after="0"/>
              <w:rPr>
                <w:sz w:val="20"/>
                <w:szCs w:val="20"/>
                <w:color w:val="auto"/>
              </w:rPr>
            </w:pPr>
            <w:r>
              <w:rPr>
                <w:rFonts w:ascii="Arial" w:cs="Arial" w:eastAsia="Arial" w:hAnsi="Arial"/>
                <w:sz w:val="16"/>
                <w:szCs w:val="16"/>
                <w:color w:val="auto"/>
              </w:rPr>
              <w:t>Rosalind  Brewer</w:t>
            </w:r>
          </w:p>
        </w:tc>
        <w:tc>
          <w:tcPr>
            <w:tcW w:w="300" w:type="dxa"/>
            <w:vAlign w:val="bottom"/>
            <w:tcBorders>
              <w:bottom w:val="single" w:sz="8" w:color="808080"/>
            </w:tcBorders>
          </w:tcPr>
          <w:p>
            <w:pPr>
              <w:spacing w:after="0"/>
              <w:rPr>
                <w:sz w:val="16"/>
                <w:szCs w:val="16"/>
                <w:color w:val="auto"/>
              </w:rPr>
            </w:pPr>
          </w:p>
        </w:tc>
        <w:tc>
          <w:tcPr>
            <w:tcW w:w="1900" w:type="dxa"/>
            <w:vAlign w:val="bottom"/>
            <w:tcBorders>
              <w:bottom w:val="single" w:sz="8" w:color="808080"/>
            </w:tcBorders>
          </w:tcPr>
          <w:p>
            <w:pPr>
              <w:jc w:val="right"/>
              <w:ind w:right="373"/>
              <w:spacing w:after="0"/>
              <w:rPr>
                <w:sz w:val="20"/>
                <w:szCs w:val="20"/>
                <w:color w:val="auto"/>
              </w:rPr>
            </w:pPr>
            <w:r>
              <w:rPr>
                <w:rFonts w:ascii="Arial" w:cs="Arial" w:eastAsia="Arial" w:hAnsi="Arial"/>
                <w:sz w:val="16"/>
                <w:szCs w:val="16"/>
                <w:color w:val="auto"/>
              </w:rPr>
              <w:t>140,000</w:t>
            </w:r>
          </w:p>
        </w:tc>
        <w:tc>
          <w:tcPr>
            <w:tcW w:w="1540" w:type="dxa"/>
            <w:vAlign w:val="bottom"/>
            <w:tcBorders>
              <w:bottom w:val="single" w:sz="8" w:color="808080"/>
            </w:tcBorders>
          </w:tcPr>
          <w:p>
            <w:pPr>
              <w:jc w:val="right"/>
              <w:ind w:right="126"/>
              <w:spacing w:after="0"/>
              <w:rPr>
                <w:sz w:val="20"/>
                <w:szCs w:val="20"/>
                <w:color w:val="auto"/>
              </w:rPr>
            </w:pPr>
            <w:r>
              <w:rPr>
                <w:rFonts w:ascii="Arial" w:cs="Arial" w:eastAsia="Arial" w:hAnsi="Arial"/>
                <w:sz w:val="16"/>
                <w:szCs w:val="16"/>
                <w:color w:val="auto"/>
              </w:rPr>
              <w:t>183,160</w:t>
            </w:r>
          </w:p>
        </w:tc>
        <w:tc>
          <w:tcPr>
            <w:tcW w:w="220" w:type="dxa"/>
            <w:vAlign w:val="bottom"/>
            <w:tcBorders>
              <w:bottom w:val="single" w:sz="8" w:color="808080"/>
            </w:tcBorders>
          </w:tcPr>
          <w:p>
            <w:pPr>
              <w:spacing w:after="0"/>
              <w:rPr>
                <w:sz w:val="16"/>
                <w:szCs w:val="16"/>
                <w:color w:val="auto"/>
              </w:rPr>
            </w:pPr>
          </w:p>
        </w:tc>
        <w:tc>
          <w:tcPr>
            <w:tcW w:w="1460" w:type="dxa"/>
            <w:vAlign w:val="bottom"/>
            <w:tcBorders>
              <w:bottom w:val="single" w:sz="8" w:color="808080"/>
            </w:tcBorders>
          </w:tcPr>
          <w:p>
            <w:pPr>
              <w:jc w:val="right"/>
              <w:ind w:right="19"/>
              <w:spacing w:after="0"/>
              <w:rPr>
                <w:sz w:val="20"/>
                <w:szCs w:val="20"/>
                <w:color w:val="auto"/>
              </w:rPr>
            </w:pPr>
            <w:r>
              <w:rPr>
                <w:rFonts w:ascii="Arial" w:cs="Arial" w:eastAsia="Arial" w:hAnsi="Arial"/>
                <w:sz w:val="16"/>
                <w:szCs w:val="16"/>
                <w:color w:val="auto"/>
              </w:rPr>
              <w:t>57,529</w:t>
            </w:r>
          </w:p>
        </w:tc>
        <w:tc>
          <w:tcPr>
            <w:tcW w:w="460" w:type="dxa"/>
            <w:vAlign w:val="bottom"/>
            <w:tcBorders>
              <w:bottom w:val="single" w:sz="8" w:color="808080"/>
            </w:tcBorders>
          </w:tcPr>
          <w:p>
            <w:pPr>
              <w:spacing w:after="0"/>
              <w:rPr>
                <w:sz w:val="16"/>
                <w:szCs w:val="16"/>
                <w:color w:val="auto"/>
              </w:rPr>
            </w:pPr>
          </w:p>
        </w:tc>
        <w:tc>
          <w:tcPr>
            <w:tcW w:w="1280" w:type="dxa"/>
            <w:vAlign w:val="bottom"/>
            <w:tcBorders>
              <w:bottom w:val="single" w:sz="8" w:color="808080"/>
            </w:tcBorders>
          </w:tcPr>
          <w:p>
            <w:pPr>
              <w:jc w:val="right"/>
              <w:spacing w:after="0"/>
              <w:rPr>
                <w:sz w:val="20"/>
                <w:szCs w:val="20"/>
                <w:color w:val="auto"/>
              </w:rPr>
            </w:pPr>
            <w:r>
              <w:rPr>
                <w:rFonts w:ascii="Arial" w:cs="Arial" w:eastAsia="Arial" w:hAnsi="Arial"/>
                <w:sz w:val="16"/>
                <w:szCs w:val="16"/>
                <w:color w:val="auto"/>
              </w:rPr>
              <w:t>380,689</w:t>
            </w:r>
          </w:p>
        </w:tc>
      </w:tr>
      <w:tr>
        <w:trPr>
          <w:trHeight w:val="183"/>
        </w:trPr>
        <w:tc>
          <w:tcPr>
            <w:tcW w:w="2560" w:type="dxa"/>
            <w:vAlign w:val="bottom"/>
            <w:tcBorders>
              <w:bottom w:val="single" w:sz="8" w:color="808080"/>
            </w:tcBorders>
          </w:tcPr>
          <w:p>
            <w:pPr>
              <w:ind w:left="120"/>
              <w:spacing w:after="0" w:line="183" w:lineRule="exact"/>
              <w:rPr>
                <w:sz w:val="20"/>
                <w:szCs w:val="20"/>
                <w:color w:val="auto"/>
              </w:rPr>
            </w:pPr>
            <w:r>
              <w:rPr>
                <w:rFonts w:ascii="Arial" w:cs="Arial" w:eastAsia="Arial" w:hAnsi="Arial"/>
                <w:sz w:val="16"/>
                <w:szCs w:val="16"/>
                <w:color w:val="auto"/>
              </w:rPr>
              <w:t>Michelle  Freyre</w:t>
            </w:r>
          </w:p>
        </w:tc>
        <w:tc>
          <w:tcPr>
            <w:tcW w:w="2200" w:type="dxa"/>
            <w:vAlign w:val="bottom"/>
            <w:tcBorders>
              <w:bottom w:val="single" w:sz="8" w:color="808080"/>
            </w:tcBorders>
            <w:gridSpan w:val="2"/>
          </w:tcPr>
          <w:p>
            <w:pPr>
              <w:jc w:val="right"/>
              <w:ind w:right="373"/>
              <w:spacing w:after="0" w:line="183" w:lineRule="exact"/>
              <w:rPr>
                <w:sz w:val="20"/>
                <w:szCs w:val="20"/>
                <w:color w:val="auto"/>
              </w:rPr>
            </w:pPr>
            <w:r>
              <w:rPr>
                <w:rFonts w:ascii="Arial" w:cs="Arial" w:eastAsia="Arial" w:hAnsi="Arial"/>
                <w:sz w:val="16"/>
                <w:szCs w:val="16"/>
                <w:color w:val="auto"/>
              </w:rPr>
              <w:t>140,000</w:t>
            </w:r>
          </w:p>
        </w:tc>
        <w:tc>
          <w:tcPr>
            <w:tcW w:w="1540" w:type="dxa"/>
            <w:vAlign w:val="bottom"/>
            <w:tcBorders>
              <w:bottom w:val="single" w:sz="8" w:color="808080"/>
            </w:tcBorders>
          </w:tcPr>
          <w:p>
            <w:pPr>
              <w:jc w:val="right"/>
              <w:ind w:right="126"/>
              <w:spacing w:after="0" w:line="183" w:lineRule="exact"/>
              <w:rPr>
                <w:sz w:val="20"/>
                <w:szCs w:val="20"/>
                <w:color w:val="auto"/>
              </w:rPr>
            </w:pPr>
            <w:r>
              <w:rPr>
                <w:rFonts w:ascii="Arial" w:cs="Arial" w:eastAsia="Arial" w:hAnsi="Arial"/>
                <w:sz w:val="16"/>
                <w:szCs w:val="16"/>
                <w:color w:val="auto"/>
              </w:rPr>
              <w:t>183,160</w:t>
            </w:r>
          </w:p>
        </w:tc>
        <w:tc>
          <w:tcPr>
            <w:tcW w:w="220" w:type="dxa"/>
            <w:vAlign w:val="bottom"/>
            <w:tcBorders>
              <w:bottom w:val="single" w:sz="8" w:color="808080"/>
            </w:tcBorders>
          </w:tcPr>
          <w:p>
            <w:pPr>
              <w:spacing w:after="0"/>
              <w:rPr>
                <w:sz w:val="15"/>
                <w:szCs w:val="15"/>
                <w:color w:val="auto"/>
              </w:rPr>
            </w:pPr>
          </w:p>
        </w:tc>
        <w:tc>
          <w:tcPr>
            <w:tcW w:w="1460" w:type="dxa"/>
            <w:vAlign w:val="bottom"/>
            <w:tcBorders>
              <w:bottom w:val="single" w:sz="8" w:color="808080"/>
            </w:tcBorders>
          </w:tcPr>
          <w:p>
            <w:pPr>
              <w:jc w:val="right"/>
              <w:ind w:right="19"/>
              <w:spacing w:after="0" w:line="183" w:lineRule="exact"/>
              <w:rPr>
                <w:sz w:val="20"/>
                <w:szCs w:val="20"/>
                <w:color w:val="auto"/>
              </w:rPr>
            </w:pPr>
            <w:r>
              <w:rPr>
                <w:rFonts w:ascii="Arial" w:cs="Arial" w:eastAsia="Arial" w:hAnsi="Arial"/>
                <w:sz w:val="16"/>
                <w:szCs w:val="16"/>
                <w:color w:val="auto"/>
              </w:rPr>
              <w:t>39,399</w:t>
            </w:r>
          </w:p>
        </w:tc>
        <w:tc>
          <w:tcPr>
            <w:tcW w:w="460" w:type="dxa"/>
            <w:vAlign w:val="bottom"/>
            <w:tcBorders>
              <w:bottom w:val="single" w:sz="8" w:color="808080"/>
            </w:tcBorders>
          </w:tcPr>
          <w:p>
            <w:pPr>
              <w:spacing w:after="0"/>
              <w:rPr>
                <w:sz w:val="15"/>
                <w:szCs w:val="15"/>
                <w:color w:val="auto"/>
              </w:rPr>
            </w:pPr>
          </w:p>
        </w:tc>
        <w:tc>
          <w:tcPr>
            <w:tcW w:w="1280" w:type="dxa"/>
            <w:vAlign w:val="bottom"/>
            <w:tcBorders>
              <w:bottom w:val="single" w:sz="8" w:color="808080"/>
            </w:tcBorders>
          </w:tcPr>
          <w:p>
            <w:pPr>
              <w:jc w:val="right"/>
              <w:spacing w:after="0" w:line="183" w:lineRule="exact"/>
              <w:rPr>
                <w:sz w:val="20"/>
                <w:szCs w:val="20"/>
                <w:color w:val="auto"/>
              </w:rPr>
            </w:pPr>
            <w:r>
              <w:rPr>
                <w:rFonts w:ascii="Arial" w:cs="Arial" w:eastAsia="Arial" w:hAnsi="Arial"/>
                <w:sz w:val="16"/>
                <w:szCs w:val="16"/>
                <w:color w:val="auto"/>
              </w:rPr>
              <w:t>362,559</w:t>
            </w:r>
          </w:p>
        </w:tc>
      </w:tr>
      <w:tr>
        <w:trPr>
          <w:trHeight w:val="183"/>
        </w:trPr>
        <w:tc>
          <w:tcPr>
            <w:tcW w:w="2560" w:type="dxa"/>
            <w:vAlign w:val="bottom"/>
            <w:tcBorders>
              <w:bottom w:val="single" w:sz="8" w:color="808080"/>
            </w:tcBorders>
          </w:tcPr>
          <w:p>
            <w:pPr>
              <w:ind w:left="120"/>
              <w:spacing w:after="0" w:line="183" w:lineRule="exact"/>
              <w:rPr>
                <w:sz w:val="20"/>
                <w:szCs w:val="20"/>
                <w:color w:val="auto"/>
              </w:rPr>
            </w:pPr>
            <w:r>
              <w:rPr>
                <w:rFonts w:ascii="Arial" w:cs="Arial" w:eastAsia="Arial" w:hAnsi="Arial"/>
                <w:sz w:val="16"/>
                <w:szCs w:val="16"/>
                <w:color w:val="auto"/>
              </w:rPr>
              <w:t>Matthew  Friend</w:t>
            </w:r>
          </w:p>
        </w:tc>
        <w:tc>
          <w:tcPr>
            <w:tcW w:w="2200" w:type="dxa"/>
            <w:vAlign w:val="bottom"/>
            <w:tcBorders>
              <w:bottom w:val="single" w:sz="8" w:color="808080"/>
            </w:tcBorders>
            <w:gridSpan w:val="2"/>
          </w:tcPr>
          <w:p>
            <w:pPr>
              <w:jc w:val="right"/>
              <w:ind w:right="373"/>
              <w:spacing w:after="0" w:line="183" w:lineRule="exact"/>
              <w:rPr>
                <w:sz w:val="20"/>
                <w:szCs w:val="20"/>
                <w:color w:val="auto"/>
              </w:rPr>
            </w:pPr>
            <w:r>
              <w:rPr>
                <w:rFonts w:ascii="Arial" w:cs="Arial" w:eastAsia="Arial" w:hAnsi="Arial"/>
                <w:sz w:val="16"/>
                <w:szCs w:val="16"/>
                <w:color w:val="auto"/>
              </w:rPr>
              <w:t>155,000</w:t>
            </w:r>
          </w:p>
        </w:tc>
        <w:tc>
          <w:tcPr>
            <w:tcW w:w="1540" w:type="dxa"/>
            <w:vAlign w:val="bottom"/>
            <w:tcBorders>
              <w:bottom w:val="single" w:sz="8" w:color="808080"/>
            </w:tcBorders>
          </w:tcPr>
          <w:p>
            <w:pPr>
              <w:jc w:val="right"/>
              <w:ind w:right="126"/>
              <w:spacing w:after="0" w:line="183" w:lineRule="exact"/>
              <w:rPr>
                <w:sz w:val="20"/>
                <w:szCs w:val="20"/>
                <w:color w:val="auto"/>
              </w:rPr>
            </w:pPr>
            <w:r>
              <w:rPr>
                <w:rFonts w:ascii="Arial" w:cs="Arial" w:eastAsia="Arial" w:hAnsi="Arial"/>
                <w:sz w:val="16"/>
                <w:szCs w:val="16"/>
                <w:color w:val="auto"/>
              </w:rPr>
              <w:t>183,160</w:t>
            </w:r>
          </w:p>
        </w:tc>
        <w:tc>
          <w:tcPr>
            <w:tcW w:w="220" w:type="dxa"/>
            <w:vAlign w:val="bottom"/>
            <w:tcBorders>
              <w:bottom w:val="single" w:sz="8" w:color="808080"/>
            </w:tcBorders>
          </w:tcPr>
          <w:p>
            <w:pPr>
              <w:spacing w:after="0"/>
              <w:rPr>
                <w:sz w:val="15"/>
                <w:szCs w:val="15"/>
                <w:color w:val="auto"/>
              </w:rPr>
            </w:pPr>
          </w:p>
        </w:tc>
        <w:tc>
          <w:tcPr>
            <w:tcW w:w="1460" w:type="dxa"/>
            <w:vAlign w:val="bottom"/>
            <w:tcBorders>
              <w:bottom w:val="single" w:sz="8" w:color="808080"/>
            </w:tcBorders>
          </w:tcPr>
          <w:p>
            <w:pPr>
              <w:jc w:val="right"/>
              <w:ind w:right="19"/>
              <w:spacing w:after="0" w:line="183" w:lineRule="exact"/>
              <w:rPr>
                <w:sz w:val="20"/>
                <w:szCs w:val="20"/>
                <w:color w:val="auto"/>
              </w:rPr>
            </w:pPr>
            <w:r>
              <w:rPr>
                <w:rFonts w:ascii="Arial" w:cs="Arial" w:eastAsia="Arial" w:hAnsi="Arial"/>
                <w:sz w:val="16"/>
                <w:szCs w:val="16"/>
                <w:color w:val="auto"/>
              </w:rPr>
              <w:t>34,870</w:t>
            </w:r>
          </w:p>
        </w:tc>
        <w:tc>
          <w:tcPr>
            <w:tcW w:w="460" w:type="dxa"/>
            <w:vAlign w:val="bottom"/>
            <w:tcBorders>
              <w:bottom w:val="single" w:sz="8" w:color="808080"/>
            </w:tcBorders>
          </w:tcPr>
          <w:p>
            <w:pPr>
              <w:spacing w:after="0"/>
              <w:rPr>
                <w:sz w:val="15"/>
                <w:szCs w:val="15"/>
                <w:color w:val="auto"/>
              </w:rPr>
            </w:pPr>
          </w:p>
        </w:tc>
        <w:tc>
          <w:tcPr>
            <w:tcW w:w="1280" w:type="dxa"/>
            <w:vAlign w:val="bottom"/>
            <w:tcBorders>
              <w:bottom w:val="single" w:sz="8" w:color="808080"/>
            </w:tcBorders>
          </w:tcPr>
          <w:p>
            <w:pPr>
              <w:jc w:val="right"/>
              <w:spacing w:after="0" w:line="183" w:lineRule="exact"/>
              <w:rPr>
                <w:sz w:val="20"/>
                <w:szCs w:val="20"/>
                <w:color w:val="auto"/>
              </w:rPr>
            </w:pPr>
            <w:r>
              <w:rPr>
                <w:rFonts w:ascii="Arial" w:cs="Arial" w:eastAsia="Arial" w:hAnsi="Arial"/>
                <w:sz w:val="16"/>
                <w:szCs w:val="16"/>
                <w:color w:val="auto"/>
              </w:rPr>
              <w:t>373,030</w:t>
            </w:r>
          </w:p>
        </w:tc>
      </w:tr>
      <w:tr>
        <w:trPr>
          <w:trHeight w:val="183"/>
        </w:trPr>
        <w:tc>
          <w:tcPr>
            <w:tcW w:w="2560" w:type="dxa"/>
            <w:vAlign w:val="bottom"/>
            <w:tcBorders>
              <w:bottom w:val="single" w:sz="8" w:color="808080"/>
            </w:tcBorders>
          </w:tcPr>
          <w:p>
            <w:pPr>
              <w:ind w:left="120"/>
              <w:spacing w:after="0" w:line="183" w:lineRule="exact"/>
              <w:rPr>
                <w:sz w:val="20"/>
                <w:szCs w:val="20"/>
                <w:color w:val="auto"/>
              </w:rPr>
            </w:pPr>
            <w:r>
              <w:rPr>
                <w:rFonts w:ascii="Arial" w:cs="Arial" w:eastAsia="Arial" w:hAnsi="Arial"/>
                <w:sz w:val="16"/>
                <w:szCs w:val="16"/>
                <w:color w:val="auto"/>
              </w:rPr>
              <w:t>Barney  Harford</w:t>
            </w:r>
          </w:p>
        </w:tc>
        <w:tc>
          <w:tcPr>
            <w:tcW w:w="2200" w:type="dxa"/>
            <w:vAlign w:val="bottom"/>
            <w:tcBorders>
              <w:bottom w:val="single" w:sz="8" w:color="808080"/>
            </w:tcBorders>
            <w:gridSpan w:val="2"/>
          </w:tcPr>
          <w:p>
            <w:pPr>
              <w:jc w:val="right"/>
              <w:ind w:right="373"/>
              <w:spacing w:after="0" w:line="183" w:lineRule="exact"/>
              <w:rPr>
                <w:sz w:val="20"/>
                <w:szCs w:val="20"/>
                <w:color w:val="auto"/>
              </w:rPr>
            </w:pPr>
            <w:r>
              <w:rPr>
                <w:rFonts w:ascii="Arial" w:cs="Arial" w:eastAsia="Arial" w:hAnsi="Arial"/>
                <w:sz w:val="16"/>
                <w:szCs w:val="16"/>
                <w:color w:val="auto"/>
              </w:rPr>
              <w:t>155,000</w:t>
            </w:r>
          </w:p>
        </w:tc>
        <w:tc>
          <w:tcPr>
            <w:tcW w:w="1540" w:type="dxa"/>
            <w:vAlign w:val="bottom"/>
            <w:tcBorders>
              <w:bottom w:val="single" w:sz="8" w:color="808080"/>
            </w:tcBorders>
          </w:tcPr>
          <w:p>
            <w:pPr>
              <w:jc w:val="right"/>
              <w:ind w:right="126"/>
              <w:spacing w:after="0" w:line="183" w:lineRule="exact"/>
              <w:rPr>
                <w:sz w:val="20"/>
                <w:szCs w:val="20"/>
                <w:color w:val="auto"/>
              </w:rPr>
            </w:pPr>
            <w:r>
              <w:rPr>
                <w:rFonts w:ascii="Arial" w:cs="Arial" w:eastAsia="Arial" w:hAnsi="Arial"/>
                <w:sz w:val="16"/>
                <w:szCs w:val="16"/>
                <w:color w:val="auto"/>
              </w:rPr>
              <w:t>183,160</w:t>
            </w:r>
          </w:p>
        </w:tc>
        <w:tc>
          <w:tcPr>
            <w:tcW w:w="220" w:type="dxa"/>
            <w:vAlign w:val="bottom"/>
            <w:tcBorders>
              <w:bottom w:val="single" w:sz="8" w:color="808080"/>
            </w:tcBorders>
          </w:tcPr>
          <w:p>
            <w:pPr>
              <w:spacing w:after="0"/>
              <w:rPr>
                <w:sz w:val="15"/>
                <w:szCs w:val="15"/>
                <w:color w:val="auto"/>
              </w:rPr>
            </w:pPr>
          </w:p>
        </w:tc>
        <w:tc>
          <w:tcPr>
            <w:tcW w:w="1460" w:type="dxa"/>
            <w:vAlign w:val="bottom"/>
            <w:tcBorders>
              <w:bottom w:val="single" w:sz="8" w:color="808080"/>
            </w:tcBorders>
          </w:tcPr>
          <w:p>
            <w:pPr>
              <w:jc w:val="right"/>
              <w:ind w:right="19"/>
              <w:spacing w:after="0" w:line="183" w:lineRule="exact"/>
              <w:rPr>
                <w:sz w:val="20"/>
                <w:szCs w:val="20"/>
                <w:color w:val="auto"/>
              </w:rPr>
            </w:pPr>
            <w:r>
              <w:rPr>
                <w:rFonts w:ascii="Arial" w:cs="Arial" w:eastAsia="Arial" w:hAnsi="Arial"/>
                <w:sz w:val="16"/>
                <w:szCs w:val="16"/>
                <w:color w:val="auto"/>
              </w:rPr>
              <w:t>93,739</w:t>
            </w:r>
          </w:p>
        </w:tc>
        <w:tc>
          <w:tcPr>
            <w:tcW w:w="460" w:type="dxa"/>
            <w:vAlign w:val="bottom"/>
            <w:tcBorders>
              <w:bottom w:val="single" w:sz="8" w:color="808080"/>
            </w:tcBorders>
          </w:tcPr>
          <w:p>
            <w:pPr>
              <w:spacing w:after="0"/>
              <w:rPr>
                <w:sz w:val="15"/>
                <w:szCs w:val="15"/>
                <w:color w:val="auto"/>
              </w:rPr>
            </w:pPr>
          </w:p>
        </w:tc>
        <w:tc>
          <w:tcPr>
            <w:tcW w:w="1280" w:type="dxa"/>
            <w:vAlign w:val="bottom"/>
            <w:tcBorders>
              <w:bottom w:val="single" w:sz="8" w:color="808080"/>
            </w:tcBorders>
          </w:tcPr>
          <w:p>
            <w:pPr>
              <w:jc w:val="right"/>
              <w:spacing w:after="0" w:line="183" w:lineRule="exact"/>
              <w:rPr>
                <w:sz w:val="20"/>
                <w:szCs w:val="20"/>
                <w:color w:val="auto"/>
              </w:rPr>
            </w:pPr>
            <w:r>
              <w:rPr>
                <w:rFonts w:ascii="Arial" w:cs="Arial" w:eastAsia="Arial" w:hAnsi="Arial"/>
                <w:sz w:val="16"/>
                <w:szCs w:val="16"/>
                <w:color w:val="auto"/>
              </w:rPr>
              <w:t>431,899</w:t>
            </w:r>
          </w:p>
        </w:tc>
      </w:tr>
      <w:tr>
        <w:trPr>
          <w:trHeight w:val="183"/>
        </w:trPr>
        <w:tc>
          <w:tcPr>
            <w:tcW w:w="2560" w:type="dxa"/>
            <w:vAlign w:val="bottom"/>
            <w:tcBorders>
              <w:bottom w:val="single" w:sz="8" w:color="808080"/>
            </w:tcBorders>
          </w:tcPr>
          <w:p>
            <w:pPr>
              <w:ind w:left="120"/>
              <w:spacing w:after="0" w:line="183" w:lineRule="exact"/>
              <w:rPr>
                <w:sz w:val="20"/>
                <w:szCs w:val="20"/>
                <w:color w:val="auto"/>
              </w:rPr>
            </w:pPr>
            <w:r>
              <w:rPr>
                <w:rFonts w:ascii="Arial" w:cs="Arial" w:eastAsia="Arial" w:hAnsi="Arial"/>
                <w:sz w:val="16"/>
                <w:szCs w:val="16"/>
                <w:color w:val="auto"/>
              </w:rPr>
              <w:t>Michele  J.  Hooper</w:t>
            </w:r>
          </w:p>
        </w:tc>
        <w:tc>
          <w:tcPr>
            <w:tcW w:w="2200" w:type="dxa"/>
            <w:vAlign w:val="bottom"/>
            <w:tcBorders>
              <w:bottom w:val="single" w:sz="8" w:color="808080"/>
            </w:tcBorders>
            <w:gridSpan w:val="2"/>
          </w:tcPr>
          <w:p>
            <w:pPr>
              <w:jc w:val="right"/>
              <w:ind w:right="373"/>
              <w:spacing w:after="0" w:line="183" w:lineRule="exact"/>
              <w:rPr>
                <w:sz w:val="20"/>
                <w:szCs w:val="20"/>
                <w:color w:val="auto"/>
              </w:rPr>
            </w:pPr>
            <w:r>
              <w:rPr>
                <w:rFonts w:ascii="Arial" w:cs="Arial" w:eastAsia="Arial" w:hAnsi="Arial"/>
                <w:sz w:val="16"/>
                <w:szCs w:val="16"/>
                <w:color w:val="auto"/>
              </w:rPr>
              <w:t>170,000</w:t>
            </w:r>
          </w:p>
        </w:tc>
        <w:tc>
          <w:tcPr>
            <w:tcW w:w="1540" w:type="dxa"/>
            <w:vAlign w:val="bottom"/>
            <w:tcBorders>
              <w:bottom w:val="single" w:sz="8" w:color="808080"/>
            </w:tcBorders>
          </w:tcPr>
          <w:p>
            <w:pPr>
              <w:jc w:val="right"/>
              <w:ind w:right="126"/>
              <w:spacing w:after="0" w:line="183" w:lineRule="exact"/>
              <w:rPr>
                <w:sz w:val="20"/>
                <w:szCs w:val="20"/>
                <w:color w:val="auto"/>
              </w:rPr>
            </w:pPr>
            <w:r>
              <w:rPr>
                <w:rFonts w:ascii="Arial" w:cs="Arial" w:eastAsia="Arial" w:hAnsi="Arial"/>
                <w:sz w:val="16"/>
                <w:szCs w:val="16"/>
                <w:color w:val="auto"/>
              </w:rPr>
              <w:t>183,160</w:t>
            </w:r>
          </w:p>
        </w:tc>
        <w:tc>
          <w:tcPr>
            <w:tcW w:w="220" w:type="dxa"/>
            <w:vAlign w:val="bottom"/>
            <w:tcBorders>
              <w:bottom w:val="single" w:sz="8" w:color="808080"/>
            </w:tcBorders>
          </w:tcPr>
          <w:p>
            <w:pPr>
              <w:spacing w:after="0"/>
              <w:rPr>
                <w:sz w:val="15"/>
                <w:szCs w:val="15"/>
                <w:color w:val="auto"/>
              </w:rPr>
            </w:pPr>
          </w:p>
        </w:tc>
        <w:tc>
          <w:tcPr>
            <w:tcW w:w="1460" w:type="dxa"/>
            <w:vAlign w:val="bottom"/>
            <w:tcBorders>
              <w:bottom w:val="single" w:sz="8" w:color="808080"/>
            </w:tcBorders>
          </w:tcPr>
          <w:p>
            <w:pPr>
              <w:jc w:val="right"/>
              <w:ind w:right="19"/>
              <w:spacing w:after="0" w:line="183" w:lineRule="exact"/>
              <w:rPr>
                <w:sz w:val="20"/>
                <w:szCs w:val="20"/>
                <w:color w:val="auto"/>
              </w:rPr>
            </w:pPr>
            <w:r>
              <w:rPr>
                <w:rFonts w:ascii="Arial" w:cs="Arial" w:eastAsia="Arial" w:hAnsi="Arial"/>
                <w:sz w:val="16"/>
                <w:szCs w:val="16"/>
                <w:color w:val="auto"/>
              </w:rPr>
              <w:t>74,577</w:t>
            </w:r>
          </w:p>
        </w:tc>
        <w:tc>
          <w:tcPr>
            <w:tcW w:w="460" w:type="dxa"/>
            <w:vAlign w:val="bottom"/>
            <w:tcBorders>
              <w:bottom w:val="single" w:sz="8" w:color="808080"/>
            </w:tcBorders>
          </w:tcPr>
          <w:p>
            <w:pPr>
              <w:spacing w:after="0"/>
              <w:rPr>
                <w:sz w:val="15"/>
                <w:szCs w:val="15"/>
                <w:color w:val="auto"/>
              </w:rPr>
            </w:pPr>
          </w:p>
        </w:tc>
        <w:tc>
          <w:tcPr>
            <w:tcW w:w="1280" w:type="dxa"/>
            <w:vAlign w:val="bottom"/>
            <w:tcBorders>
              <w:bottom w:val="single" w:sz="8" w:color="808080"/>
            </w:tcBorders>
          </w:tcPr>
          <w:p>
            <w:pPr>
              <w:jc w:val="right"/>
              <w:spacing w:after="0" w:line="183" w:lineRule="exact"/>
              <w:rPr>
                <w:sz w:val="20"/>
                <w:szCs w:val="20"/>
                <w:color w:val="auto"/>
              </w:rPr>
            </w:pPr>
            <w:r>
              <w:rPr>
                <w:rFonts w:ascii="Arial" w:cs="Arial" w:eastAsia="Arial" w:hAnsi="Arial"/>
                <w:sz w:val="16"/>
                <w:szCs w:val="16"/>
                <w:color w:val="auto"/>
              </w:rPr>
              <w:t>427,737</w:t>
            </w:r>
          </w:p>
        </w:tc>
      </w:tr>
      <w:tr>
        <w:trPr>
          <w:trHeight w:val="183"/>
        </w:trPr>
        <w:tc>
          <w:tcPr>
            <w:tcW w:w="2560" w:type="dxa"/>
            <w:vAlign w:val="bottom"/>
            <w:tcBorders>
              <w:bottom w:val="single" w:sz="8" w:color="808080"/>
            </w:tcBorders>
          </w:tcPr>
          <w:p>
            <w:pPr>
              <w:ind w:left="120"/>
              <w:spacing w:after="0" w:line="183" w:lineRule="exact"/>
              <w:rPr>
                <w:sz w:val="20"/>
                <w:szCs w:val="20"/>
                <w:color w:val="auto"/>
              </w:rPr>
            </w:pPr>
            <w:r>
              <w:rPr>
                <w:rFonts w:ascii="Arial" w:cs="Arial" w:eastAsia="Arial" w:hAnsi="Arial"/>
                <w:sz w:val="16"/>
                <w:szCs w:val="16"/>
                <w:color w:val="auto"/>
              </w:rPr>
              <w:t>Walter  Isaacson</w:t>
            </w:r>
          </w:p>
        </w:tc>
        <w:tc>
          <w:tcPr>
            <w:tcW w:w="2200" w:type="dxa"/>
            <w:vAlign w:val="bottom"/>
            <w:tcBorders>
              <w:bottom w:val="single" w:sz="8" w:color="808080"/>
            </w:tcBorders>
            <w:gridSpan w:val="2"/>
          </w:tcPr>
          <w:p>
            <w:pPr>
              <w:jc w:val="right"/>
              <w:ind w:right="373"/>
              <w:spacing w:after="0" w:line="183" w:lineRule="exact"/>
              <w:rPr>
                <w:sz w:val="20"/>
                <w:szCs w:val="20"/>
                <w:color w:val="auto"/>
              </w:rPr>
            </w:pPr>
            <w:r>
              <w:rPr>
                <w:rFonts w:ascii="Arial" w:cs="Arial" w:eastAsia="Arial" w:hAnsi="Arial"/>
                <w:sz w:val="16"/>
                <w:szCs w:val="16"/>
                <w:color w:val="auto"/>
              </w:rPr>
              <w:t>160,000</w:t>
            </w:r>
          </w:p>
        </w:tc>
        <w:tc>
          <w:tcPr>
            <w:tcW w:w="1540" w:type="dxa"/>
            <w:vAlign w:val="bottom"/>
            <w:tcBorders>
              <w:bottom w:val="single" w:sz="8" w:color="808080"/>
            </w:tcBorders>
          </w:tcPr>
          <w:p>
            <w:pPr>
              <w:jc w:val="right"/>
              <w:ind w:right="126"/>
              <w:spacing w:after="0" w:line="183" w:lineRule="exact"/>
              <w:rPr>
                <w:sz w:val="20"/>
                <w:szCs w:val="20"/>
                <w:color w:val="auto"/>
              </w:rPr>
            </w:pPr>
            <w:r>
              <w:rPr>
                <w:rFonts w:ascii="Arial" w:cs="Arial" w:eastAsia="Arial" w:hAnsi="Arial"/>
                <w:sz w:val="16"/>
                <w:szCs w:val="16"/>
                <w:color w:val="auto"/>
              </w:rPr>
              <w:t>183,160</w:t>
            </w:r>
          </w:p>
        </w:tc>
        <w:tc>
          <w:tcPr>
            <w:tcW w:w="220" w:type="dxa"/>
            <w:vAlign w:val="bottom"/>
            <w:tcBorders>
              <w:bottom w:val="single" w:sz="8" w:color="808080"/>
            </w:tcBorders>
          </w:tcPr>
          <w:p>
            <w:pPr>
              <w:spacing w:after="0"/>
              <w:rPr>
                <w:sz w:val="15"/>
                <w:szCs w:val="15"/>
                <w:color w:val="auto"/>
              </w:rPr>
            </w:pPr>
          </w:p>
        </w:tc>
        <w:tc>
          <w:tcPr>
            <w:tcW w:w="1460" w:type="dxa"/>
            <w:vAlign w:val="bottom"/>
            <w:tcBorders>
              <w:bottom w:val="single" w:sz="8" w:color="808080"/>
            </w:tcBorders>
          </w:tcPr>
          <w:p>
            <w:pPr>
              <w:jc w:val="right"/>
              <w:ind w:right="19"/>
              <w:spacing w:after="0" w:line="183" w:lineRule="exact"/>
              <w:rPr>
                <w:sz w:val="20"/>
                <w:szCs w:val="20"/>
                <w:color w:val="auto"/>
              </w:rPr>
            </w:pPr>
            <w:r>
              <w:rPr>
                <w:rFonts w:ascii="Arial" w:cs="Arial" w:eastAsia="Arial" w:hAnsi="Arial"/>
                <w:sz w:val="16"/>
                <w:szCs w:val="16"/>
                <w:color w:val="auto"/>
              </w:rPr>
              <w:t>51,735</w:t>
            </w:r>
          </w:p>
        </w:tc>
        <w:tc>
          <w:tcPr>
            <w:tcW w:w="460" w:type="dxa"/>
            <w:vAlign w:val="bottom"/>
            <w:tcBorders>
              <w:bottom w:val="single" w:sz="8" w:color="808080"/>
            </w:tcBorders>
          </w:tcPr>
          <w:p>
            <w:pPr>
              <w:spacing w:after="0"/>
              <w:rPr>
                <w:sz w:val="15"/>
                <w:szCs w:val="15"/>
                <w:color w:val="auto"/>
              </w:rPr>
            </w:pPr>
          </w:p>
        </w:tc>
        <w:tc>
          <w:tcPr>
            <w:tcW w:w="1280" w:type="dxa"/>
            <w:vAlign w:val="bottom"/>
            <w:tcBorders>
              <w:bottom w:val="single" w:sz="8" w:color="808080"/>
            </w:tcBorders>
          </w:tcPr>
          <w:p>
            <w:pPr>
              <w:jc w:val="right"/>
              <w:spacing w:after="0" w:line="183" w:lineRule="exact"/>
              <w:rPr>
                <w:sz w:val="20"/>
                <w:szCs w:val="20"/>
                <w:color w:val="auto"/>
              </w:rPr>
            </w:pPr>
            <w:r>
              <w:rPr>
                <w:rFonts w:ascii="Arial" w:cs="Arial" w:eastAsia="Arial" w:hAnsi="Arial"/>
                <w:sz w:val="16"/>
                <w:szCs w:val="16"/>
                <w:color w:val="auto"/>
              </w:rPr>
              <w:t>394,895</w:t>
            </w:r>
          </w:p>
        </w:tc>
      </w:tr>
      <w:tr>
        <w:trPr>
          <w:trHeight w:val="223"/>
        </w:trPr>
        <w:tc>
          <w:tcPr>
            <w:tcW w:w="2560" w:type="dxa"/>
            <w:vAlign w:val="bottom"/>
            <w:tcBorders>
              <w:bottom w:val="single" w:sz="8" w:color="808080"/>
            </w:tcBorders>
          </w:tcPr>
          <w:p>
            <w:pPr>
              <w:ind w:left="120"/>
              <w:spacing w:after="0"/>
              <w:rPr>
                <w:sz w:val="20"/>
                <w:szCs w:val="20"/>
                <w:color w:val="auto"/>
              </w:rPr>
            </w:pPr>
            <w:r>
              <w:rPr>
                <w:rFonts w:ascii="Arial" w:cs="Arial" w:eastAsia="Arial" w:hAnsi="Arial"/>
                <w:sz w:val="16"/>
                <w:szCs w:val="16"/>
                <w:color w:val="auto"/>
              </w:rPr>
              <w:t>Richard  Johnsen</w:t>
            </w:r>
          </w:p>
        </w:tc>
        <w:tc>
          <w:tcPr>
            <w:tcW w:w="300" w:type="dxa"/>
            <w:vAlign w:val="bottom"/>
            <w:tcBorders>
              <w:bottom w:val="single" w:sz="8" w:color="808080"/>
            </w:tcBorders>
          </w:tcPr>
          <w:p>
            <w:pPr>
              <w:spacing w:after="0"/>
              <w:rPr>
                <w:sz w:val="19"/>
                <w:szCs w:val="19"/>
                <w:color w:val="auto"/>
              </w:rPr>
            </w:pPr>
          </w:p>
        </w:tc>
        <w:tc>
          <w:tcPr>
            <w:tcW w:w="1900" w:type="dxa"/>
            <w:vAlign w:val="bottom"/>
            <w:tcBorders>
              <w:bottom w:val="single" w:sz="8" w:color="808080"/>
            </w:tcBorders>
          </w:tcPr>
          <w:p>
            <w:pPr>
              <w:jc w:val="right"/>
              <w:ind w:right="193"/>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1"/>
                <w:szCs w:val="11"/>
                <w:color w:val="auto"/>
              </w:rPr>
              <w:t xml:space="preserve">  (5)</w:t>
            </w:r>
          </w:p>
        </w:tc>
        <w:tc>
          <w:tcPr>
            <w:tcW w:w="1540" w:type="dxa"/>
            <w:vAlign w:val="bottom"/>
            <w:tcBorders>
              <w:bottom w:val="single" w:sz="8" w:color="808080"/>
            </w:tcBorders>
          </w:tcPr>
          <w:p>
            <w:pPr>
              <w:jc w:val="right"/>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1"/>
                <w:szCs w:val="11"/>
                <w:color w:val="auto"/>
              </w:rPr>
              <w:t xml:space="preserve">  (5)</w:t>
            </w:r>
          </w:p>
        </w:tc>
        <w:tc>
          <w:tcPr>
            <w:tcW w:w="220" w:type="dxa"/>
            <w:vAlign w:val="bottom"/>
            <w:tcBorders>
              <w:bottom w:val="single" w:sz="8" w:color="808080"/>
            </w:tcBorders>
          </w:tcPr>
          <w:p>
            <w:pPr>
              <w:spacing w:after="0"/>
              <w:rPr>
                <w:sz w:val="19"/>
                <w:szCs w:val="19"/>
                <w:color w:val="auto"/>
              </w:rPr>
            </w:pPr>
          </w:p>
        </w:tc>
        <w:tc>
          <w:tcPr>
            <w:tcW w:w="1460" w:type="dxa"/>
            <w:vAlign w:val="bottom"/>
            <w:tcBorders>
              <w:bottom w:val="single" w:sz="8" w:color="808080"/>
            </w:tcBorders>
          </w:tcPr>
          <w:p>
            <w:pPr>
              <w:jc w:val="right"/>
              <w:ind w:right="19"/>
              <w:spacing w:after="0"/>
              <w:rPr>
                <w:sz w:val="20"/>
                <w:szCs w:val="20"/>
                <w:color w:val="auto"/>
              </w:rPr>
            </w:pPr>
            <w:r>
              <w:rPr>
                <w:rFonts w:ascii="Arial" w:cs="Arial" w:eastAsia="Arial" w:hAnsi="Arial"/>
                <w:sz w:val="16"/>
                <w:szCs w:val="16"/>
                <w:color w:val="auto"/>
              </w:rPr>
              <w:t>51,773</w:t>
            </w:r>
          </w:p>
        </w:tc>
        <w:tc>
          <w:tcPr>
            <w:tcW w:w="46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jc w:val="right"/>
              <w:spacing w:after="0"/>
              <w:rPr>
                <w:sz w:val="20"/>
                <w:szCs w:val="20"/>
                <w:color w:val="auto"/>
              </w:rPr>
            </w:pPr>
            <w:r>
              <w:rPr>
                <w:rFonts w:ascii="Arial" w:cs="Arial" w:eastAsia="Arial" w:hAnsi="Arial"/>
                <w:sz w:val="16"/>
                <w:szCs w:val="16"/>
                <w:color w:val="auto"/>
              </w:rPr>
              <w:t>51,773</w:t>
            </w:r>
          </w:p>
        </w:tc>
      </w:tr>
      <w:tr>
        <w:trPr>
          <w:trHeight w:val="223"/>
        </w:trPr>
        <w:tc>
          <w:tcPr>
            <w:tcW w:w="2560" w:type="dxa"/>
            <w:vAlign w:val="bottom"/>
            <w:tcBorders>
              <w:bottom w:val="single" w:sz="8" w:color="808080"/>
            </w:tcBorders>
          </w:tcPr>
          <w:p>
            <w:pPr>
              <w:ind w:left="120"/>
              <w:spacing w:after="0" w:line="222" w:lineRule="exact"/>
              <w:rPr>
                <w:sz w:val="20"/>
                <w:szCs w:val="20"/>
                <w:color w:val="auto"/>
              </w:rPr>
            </w:pPr>
            <w:r>
              <w:rPr>
                <w:rFonts w:ascii="Arial" w:cs="Arial" w:eastAsia="Arial" w:hAnsi="Arial"/>
                <w:sz w:val="16"/>
                <w:szCs w:val="16"/>
                <w:color w:val="auto"/>
              </w:rPr>
              <w:t xml:space="preserve">Captain  Brian  Noyes  </w:t>
            </w:r>
            <w:r>
              <w:rPr>
                <w:rFonts w:ascii="Arial" w:cs="Arial" w:eastAsia="Arial" w:hAnsi="Arial"/>
                <w:sz w:val="24"/>
                <w:szCs w:val="24"/>
                <w:color w:val="auto"/>
                <w:vertAlign w:val="superscript"/>
              </w:rPr>
              <w:t>(6)</w:t>
            </w:r>
          </w:p>
        </w:tc>
        <w:tc>
          <w:tcPr>
            <w:tcW w:w="300" w:type="dxa"/>
            <w:vAlign w:val="bottom"/>
            <w:tcBorders>
              <w:bottom w:val="single" w:sz="8" w:color="808080"/>
            </w:tcBorders>
          </w:tcPr>
          <w:p>
            <w:pPr>
              <w:spacing w:after="0"/>
              <w:rPr>
                <w:sz w:val="19"/>
                <w:szCs w:val="19"/>
                <w:color w:val="auto"/>
              </w:rPr>
            </w:pPr>
          </w:p>
        </w:tc>
        <w:tc>
          <w:tcPr>
            <w:tcW w:w="1900" w:type="dxa"/>
            <w:vAlign w:val="bottom"/>
            <w:tcBorders>
              <w:bottom w:val="single" w:sz="8" w:color="808080"/>
            </w:tcBorders>
          </w:tcPr>
          <w:p>
            <w:pPr>
              <w:jc w:val="right"/>
              <w:ind w:right="193"/>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1"/>
                <w:szCs w:val="11"/>
                <w:color w:val="auto"/>
              </w:rPr>
              <w:t xml:space="preserve">  (5)</w:t>
            </w:r>
          </w:p>
        </w:tc>
        <w:tc>
          <w:tcPr>
            <w:tcW w:w="1540" w:type="dxa"/>
            <w:vAlign w:val="bottom"/>
            <w:tcBorders>
              <w:bottom w:val="single" w:sz="8" w:color="808080"/>
            </w:tcBorders>
          </w:tcPr>
          <w:p>
            <w:pPr>
              <w:jc w:val="right"/>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1"/>
                <w:szCs w:val="11"/>
                <w:color w:val="auto"/>
              </w:rPr>
              <w:t xml:space="preserve">  (5)</w:t>
            </w:r>
          </w:p>
        </w:tc>
        <w:tc>
          <w:tcPr>
            <w:tcW w:w="220" w:type="dxa"/>
            <w:vAlign w:val="bottom"/>
            <w:tcBorders>
              <w:bottom w:val="single" w:sz="8" w:color="808080"/>
            </w:tcBorders>
          </w:tcPr>
          <w:p>
            <w:pPr>
              <w:spacing w:after="0"/>
              <w:rPr>
                <w:sz w:val="19"/>
                <w:szCs w:val="19"/>
                <w:color w:val="auto"/>
              </w:rPr>
            </w:pPr>
          </w:p>
        </w:tc>
        <w:tc>
          <w:tcPr>
            <w:tcW w:w="1460" w:type="dxa"/>
            <w:vAlign w:val="bottom"/>
            <w:tcBorders>
              <w:bottom w:val="single" w:sz="8" w:color="808080"/>
            </w:tcBorders>
          </w:tcPr>
          <w:p>
            <w:pPr>
              <w:jc w:val="right"/>
              <w:ind w:right="1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jc w:val="right"/>
              <w:spacing w:after="0"/>
              <w:rPr>
                <w:sz w:val="20"/>
                <w:szCs w:val="20"/>
                <w:color w:val="auto"/>
              </w:rPr>
            </w:pPr>
            <w:r>
              <w:rPr>
                <w:rFonts w:ascii="Arial" w:cs="Arial" w:eastAsia="Arial" w:hAnsi="Arial"/>
                <w:sz w:val="16"/>
                <w:szCs w:val="16"/>
                <w:color w:val="auto"/>
              </w:rPr>
              <w:t>—</w:t>
            </w:r>
          </w:p>
        </w:tc>
      </w:tr>
      <w:tr>
        <w:trPr>
          <w:trHeight w:val="183"/>
        </w:trPr>
        <w:tc>
          <w:tcPr>
            <w:tcW w:w="2560" w:type="dxa"/>
            <w:vAlign w:val="bottom"/>
            <w:tcBorders>
              <w:bottom w:val="single" w:sz="8" w:color="808080"/>
            </w:tcBorders>
          </w:tcPr>
          <w:p>
            <w:pPr>
              <w:ind w:left="120"/>
              <w:spacing w:after="0" w:line="183" w:lineRule="exact"/>
              <w:rPr>
                <w:sz w:val="20"/>
                <w:szCs w:val="20"/>
                <w:color w:val="auto"/>
              </w:rPr>
            </w:pPr>
            <w:r>
              <w:rPr>
                <w:rFonts w:ascii="Arial" w:cs="Arial" w:eastAsia="Arial" w:hAnsi="Arial"/>
                <w:sz w:val="16"/>
                <w:szCs w:val="16"/>
                <w:color w:val="auto"/>
              </w:rPr>
              <w:t>Edward  M.  Philip</w:t>
            </w:r>
          </w:p>
        </w:tc>
        <w:tc>
          <w:tcPr>
            <w:tcW w:w="2200" w:type="dxa"/>
            <w:vAlign w:val="bottom"/>
            <w:tcBorders>
              <w:bottom w:val="single" w:sz="8" w:color="808080"/>
            </w:tcBorders>
            <w:gridSpan w:val="2"/>
          </w:tcPr>
          <w:p>
            <w:pPr>
              <w:jc w:val="right"/>
              <w:ind w:right="373"/>
              <w:spacing w:after="0" w:line="183" w:lineRule="exact"/>
              <w:rPr>
                <w:sz w:val="20"/>
                <w:szCs w:val="20"/>
                <w:color w:val="auto"/>
              </w:rPr>
            </w:pPr>
            <w:r>
              <w:rPr>
                <w:rFonts w:ascii="Arial" w:cs="Arial" w:eastAsia="Arial" w:hAnsi="Arial"/>
                <w:sz w:val="16"/>
                <w:szCs w:val="16"/>
                <w:color w:val="auto"/>
              </w:rPr>
              <w:t>170,000</w:t>
            </w:r>
          </w:p>
        </w:tc>
        <w:tc>
          <w:tcPr>
            <w:tcW w:w="1540" w:type="dxa"/>
            <w:vAlign w:val="bottom"/>
            <w:tcBorders>
              <w:bottom w:val="single" w:sz="8" w:color="808080"/>
            </w:tcBorders>
          </w:tcPr>
          <w:p>
            <w:pPr>
              <w:jc w:val="right"/>
              <w:ind w:right="126"/>
              <w:spacing w:after="0" w:line="183" w:lineRule="exact"/>
              <w:rPr>
                <w:sz w:val="20"/>
                <w:szCs w:val="20"/>
                <w:color w:val="auto"/>
              </w:rPr>
            </w:pPr>
            <w:r>
              <w:rPr>
                <w:rFonts w:ascii="Arial" w:cs="Arial" w:eastAsia="Arial" w:hAnsi="Arial"/>
                <w:sz w:val="16"/>
                <w:szCs w:val="16"/>
                <w:color w:val="auto"/>
              </w:rPr>
              <w:t>412,072</w:t>
            </w:r>
          </w:p>
        </w:tc>
        <w:tc>
          <w:tcPr>
            <w:tcW w:w="220" w:type="dxa"/>
            <w:vAlign w:val="bottom"/>
            <w:tcBorders>
              <w:bottom w:val="single" w:sz="8" w:color="808080"/>
            </w:tcBorders>
          </w:tcPr>
          <w:p>
            <w:pPr>
              <w:spacing w:after="0"/>
              <w:rPr>
                <w:sz w:val="15"/>
                <w:szCs w:val="15"/>
                <w:color w:val="auto"/>
              </w:rPr>
            </w:pPr>
          </w:p>
        </w:tc>
        <w:tc>
          <w:tcPr>
            <w:tcW w:w="1460" w:type="dxa"/>
            <w:vAlign w:val="bottom"/>
            <w:tcBorders>
              <w:bottom w:val="single" w:sz="8" w:color="808080"/>
            </w:tcBorders>
          </w:tcPr>
          <w:p>
            <w:pPr>
              <w:jc w:val="right"/>
              <w:ind w:right="19"/>
              <w:spacing w:after="0" w:line="183" w:lineRule="exact"/>
              <w:rPr>
                <w:sz w:val="20"/>
                <w:szCs w:val="20"/>
                <w:color w:val="auto"/>
              </w:rPr>
            </w:pPr>
            <w:r>
              <w:rPr>
                <w:rFonts w:ascii="Arial" w:cs="Arial" w:eastAsia="Arial" w:hAnsi="Arial"/>
                <w:sz w:val="16"/>
                <w:szCs w:val="16"/>
                <w:color w:val="auto"/>
              </w:rPr>
              <w:t>46,463</w:t>
            </w:r>
          </w:p>
        </w:tc>
        <w:tc>
          <w:tcPr>
            <w:tcW w:w="460" w:type="dxa"/>
            <w:vAlign w:val="bottom"/>
            <w:tcBorders>
              <w:bottom w:val="single" w:sz="8" w:color="808080"/>
            </w:tcBorders>
          </w:tcPr>
          <w:p>
            <w:pPr>
              <w:spacing w:after="0"/>
              <w:rPr>
                <w:sz w:val="15"/>
                <w:szCs w:val="15"/>
                <w:color w:val="auto"/>
              </w:rPr>
            </w:pPr>
          </w:p>
        </w:tc>
        <w:tc>
          <w:tcPr>
            <w:tcW w:w="1280" w:type="dxa"/>
            <w:vAlign w:val="bottom"/>
            <w:tcBorders>
              <w:bottom w:val="single" w:sz="8" w:color="808080"/>
            </w:tcBorders>
          </w:tcPr>
          <w:p>
            <w:pPr>
              <w:jc w:val="right"/>
              <w:spacing w:after="0" w:line="183" w:lineRule="exact"/>
              <w:rPr>
                <w:sz w:val="20"/>
                <w:szCs w:val="20"/>
                <w:color w:val="auto"/>
              </w:rPr>
            </w:pPr>
            <w:r>
              <w:rPr>
                <w:rFonts w:ascii="Arial" w:cs="Arial" w:eastAsia="Arial" w:hAnsi="Arial"/>
                <w:sz w:val="16"/>
                <w:szCs w:val="16"/>
                <w:color w:val="auto"/>
              </w:rPr>
              <w:t>628,535</w:t>
            </w:r>
          </w:p>
        </w:tc>
      </w:tr>
      <w:tr>
        <w:trPr>
          <w:trHeight w:val="183"/>
        </w:trPr>
        <w:tc>
          <w:tcPr>
            <w:tcW w:w="2560" w:type="dxa"/>
            <w:vAlign w:val="bottom"/>
            <w:tcBorders>
              <w:bottom w:val="single" w:sz="8" w:color="808080"/>
            </w:tcBorders>
          </w:tcPr>
          <w:p>
            <w:pPr>
              <w:ind w:left="120"/>
              <w:spacing w:after="0" w:line="183" w:lineRule="exact"/>
              <w:rPr>
                <w:sz w:val="20"/>
                <w:szCs w:val="20"/>
                <w:color w:val="auto"/>
              </w:rPr>
            </w:pPr>
            <w:r>
              <w:rPr>
                <w:rFonts w:ascii="Arial" w:cs="Arial" w:eastAsia="Arial" w:hAnsi="Arial"/>
                <w:sz w:val="16"/>
                <w:szCs w:val="16"/>
                <w:color w:val="auto"/>
              </w:rPr>
              <w:t>Edward  L.  Shapiro</w:t>
            </w:r>
          </w:p>
        </w:tc>
        <w:tc>
          <w:tcPr>
            <w:tcW w:w="2200" w:type="dxa"/>
            <w:vAlign w:val="bottom"/>
            <w:tcBorders>
              <w:bottom w:val="single" w:sz="8" w:color="808080"/>
            </w:tcBorders>
            <w:gridSpan w:val="2"/>
          </w:tcPr>
          <w:p>
            <w:pPr>
              <w:jc w:val="right"/>
              <w:ind w:right="373"/>
              <w:spacing w:after="0" w:line="183" w:lineRule="exact"/>
              <w:rPr>
                <w:sz w:val="20"/>
                <w:szCs w:val="20"/>
                <w:color w:val="auto"/>
              </w:rPr>
            </w:pPr>
            <w:r>
              <w:rPr>
                <w:rFonts w:ascii="Arial" w:cs="Arial" w:eastAsia="Arial" w:hAnsi="Arial"/>
                <w:sz w:val="16"/>
                <w:szCs w:val="16"/>
                <w:color w:val="auto"/>
              </w:rPr>
              <w:t>160,000</w:t>
            </w:r>
          </w:p>
        </w:tc>
        <w:tc>
          <w:tcPr>
            <w:tcW w:w="1540" w:type="dxa"/>
            <w:vAlign w:val="bottom"/>
            <w:tcBorders>
              <w:bottom w:val="single" w:sz="8" w:color="808080"/>
            </w:tcBorders>
          </w:tcPr>
          <w:p>
            <w:pPr>
              <w:jc w:val="right"/>
              <w:ind w:right="126"/>
              <w:spacing w:after="0" w:line="183" w:lineRule="exact"/>
              <w:rPr>
                <w:sz w:val="20"/>
                <w:szCs w:val="20"/>
                <w:color w:val="auto"/>
              </w:rPr>
            </w:pPr>
            <w:r>
              <w:rPr>
                <w:rFonts w:ascii="Arial" w:cs="Arial" w:eastAsia="Arial" w:hAnsi="Arial"/>
                <w:sz w:val="16"/>
                <w:szCs w:val="16"/>
                <w:color w:val="auto"/>
              </w:rPr>
              <w:t>183,160</w:t>
            </w:r>
          </w:p>
        </w:tc>
        <w:tc>
          <w:tcPr>
            <w:tcW w:w="220" w:type="dxa"/>
            <w:vAlign w:val="bottom"/>
            <w:tcBorders>
              <w:bottom w:val="single" w:sz="8" w:color="808080"/>
            </w:tcBorders>
          </w:tcPr>
          <w:p>
            <w:pPr>
              <w:spacing w:after="0"/>
              <w:rPr>
                <w:sz w:val="15"/>
                <w:szCs w:val="15"/>
                <w:color w:val="auto"/>
              </w:rPr>
            </w:pPr>
          </w:p>
        </w:tc>
        <w:tc>
          <w:tcPr>
            <w:tcW w:w="1460" w:type="dxa"/>
            <w:vAlign w:val="bottom"/>
            <w:tcBorders>
              <w:bottom w:val="single" w:sz="8" w:color="808080"/>
            </w:tcBorders>
          </w:tcPr>
          <w:p>
            <w:pPr>
              <w:jc w:val="right"/>
              <w:ind w:right="19"/>
              <w:spacing w:after="0" w:line="183" w:lineRule="exact"/>
              <w:rPr>
                <w:sz w:val="20"/>
                <w:szCs w:val="20"/>
                <w:color w:val="auto"/>
              </w:rPr>
            </w:pPr>
            <w:r>
              <w:rPr>
                <w:rFonts w:ascii="Arial" w:cs="Arial" w:eastAsia="Arial" w:hAnsi="Arial"/>
                <w:sz w:val="16"/>
                <w:szCs w:val="16"/>
                <w:color w:val="auto"/>
              </w:rPr>
              <w:t>72,466</w:t>
            </w:r>
          </w:p>
        </w:tc>
        <w:tc>
          <w:tcPr>
            <w:tcW w:w="460" w:type="dxa"/>
            <w:vAlign w:val="bottom"/>
            <w:tcBorders>
              <w:bottom w:val="single" w:sz="8" w:color="808080"/>
            </w:tcBorders>
          </w:tcPr>
          <w:p>
            <w:pPr>
              <w:spacing w:after="0"/>
              <w:rPr>
                <w:sz w:val="15"/>
                <w:szCs w:val="15"/>
                <w:color w:val="auto"/>
              </w:rPr>
            </w:pPr>
          </w:p>
        </w:tc>
        <w:tc>
          <w:tcPr>
            <w:tcW w:w="1280" w:type="dxa"/>
            <w:vAlign w:val="bottom"/>
            <w:tcBorders>
              <w:bottom w:val="single" w:sz="8" w:color="808080"/>
            </w:tcBorders>
          </w:tcPr>
          <w:p>
            <w:pPr>
              <w:jc w:val="right"/>
              <w:spacing w:after="0" w:line="183" w:lineRule="exact"/>
              <w:rPr>
                <w:sz w:val="20"/>
                <w:szCs w:val="20"/>
                <w:color w:val="auto"/>
              </w:rPr>
            </w:pPr>
            <w:r>
              <w:rPr>
                <w:rFonts w:ascii="Arial" w:cs="Arial" w:eastAsia="Arial" w:hAnsi="Arial"/>
                <w:sz w:val="16"/>
                <w:szCs w:val="16"/>
                <w:color w:val="auto"/>
              </w:rPr>
              <w:t>415,626</w:t>
            </w:r>
          </w:p>
        </w:tc>
      </w:tr>
      <w:tr>
        <w:trPr>
          <w:trHeight w:val="183"/>
        </w:trPr>
        <w:tc>
          <w:tcPr>
            <w:tcW w:w="2560" w:type="dxa"/>
            <w:vAlign w:val="bottom"/>
            <w:tcBorders>
              <w:bottom w:val="single" w:sz="8" w:color="808080"/>
            </w:tcBorders>
          </w:tcPr>
          <w:p>
            <w:pPr>
              <w:ind w:left="120"/>
              <w:spacing w:after="0" w:line="183" w:lineRule="exact"/>
              <w:rPr>
                <w:sz w:val="20"/>
                <w:szCs w:val="20"/>
                <w:color w:val="auto"/>
              </w:rPr>
            </w:pPr>
            <w:r>
              <w:rPr>
                <w:rFonts w:ascii="Arial" w:cs="Arial" w:eastAsia="Arial" w:hAnsi="Arial"/>
                <w:sz w:val="16"/>
                <w:szCs w:val="16"/>
                <w:color w:val="auto"/>
              </w:rPr>
              <w:t>Laysha  Ward</w:t>
            </w:r>
          </w:p>
        </w:tc>
        <w:tc>
          <w:tcPr>
            <w:tcW w:w="2200" w:type="dxa"/>
            <w:vAlign w:val="bottom"/>
            <w:tcBorders>
              <w:bottom w:val="single" w:sz="8" w:color="808080"/>
            </w:tcBorders>
            <w:gridSpan w:val="2"/>
          </w:tcPr>
          <w:p>
            <w:pPr>
              <w:jc w:val="right"/>
              <w:ind w:right="373"/>
              <w:spacing w:after="0" w:line="183" w:lineRule="exact"/>
              <w:rPr>
                <w:sz w:val="20"/>
                <w:szCs w:val="20"/>
                <w:color w:val="auto"/>
              </w:rPr>
            </w:pPr>
            <w:r>
              <w:rPr>
                <w:rFonts w:ascii="Arial" w:cs="Arial" w:eastAsia="Arial" w:hAnsi="Arial"/>
                <w:sz w:val="16"/>
                <w:szCs w:val="16"/>
                <w:color w:val="auto"/>
              </w:rPr>
              <w:t>155,000</w:t>
            </w:r>
          </w:p>
        </w:tc>
        <w:tc>
          <w:tcPr>
            <w:tcW w:w="1540" w:type="dxa"/>
            <w:vAlign w:val="bottom"/>
            <w:tcBorders>
              <w:bottom w:val="single" w:sz="8" w:color="808080"/>
            </w:tcBorders>
          </w:tcPr>
          <w:p>
            <w:pPr>
              <w:jc w:val="right"/>
              <w:ind w:right="126"/>
              <w:spacing w:after="0" w:line="183" w:lineRule="exact"/>
              <w:rPr>
                <w:sz w:val="20"/>
                <w:szCs w:val="20"/>
                <w:color w:val="auto"/>
              </w:rPr>
            </w:pPr>
            <w:r>
              <w:rPr>
                <w:rFonts w:ascii="Arial" w:cs="Arial" w:eastAsia="Arial" w:hAnsi="Arial"/>
                <w:sz w:val="16"/>
                <w:szCs w:val="16"/>
                <w:color w:val="auto"/>
              </w:rPr>
              <w:t>183,160</w:t>
            </w:r>
          </w:p>
        </w:tc>
        <w:tc>
          <w:tcPr>
            <w:tcW w:w="220" w:type="dxa"/>
            <w:vAlign w:val="bottom"/>
            <w:tcBorders>
              <w:bottom w:val="single" w:sz="8" w:color="808080"/>
            </w:tcBorders>
          </w:tcPr>
          <w:p>
            <w:pPr>
              <w:spacing w:after="0"/>
              <w:rPr>
                <w:sz w:val="15"/>
                <w:szCs w:val="15"/>
                <w:color w:val="auto"/>
              </w:rPr>
            </w:pPr>
          </w:p>
        </w:tc>
        <w:tc>
          <w:tcPr>
            <w:tcW w:w="1460" w:type="dxa"/>
            <w:vAlign w:val="bottom"/>
            <w:tcBorders>
              <w:bottom w:val="single" w:sz="8" w:color="808080"/>
            </w:tcBorders>
          </w:tcPr>
          <w:p>
            <w:pPr>
              <w:jc w:val="right"/>
              <w:ind w:right="19"/>
              <w:spacing w:after="0" w:line="183" w:lineRule="exact"/>
              <w:rPr>
                <w:sz w:val="20"/>
                <w:szCs w:val="20"/>
                <w:color w:val="auto"/>
              </w:rPr>
            </w:pPr>
            <w:r>
              <w:rPr>
                <w:rFonts w:ascii="Arial" w:cs="Arial" w:eastAsia="Arial" w:hAnsi="Arial"/>
                <w:sz w:val="16"/>
                <w:szCs w:val="16"/>
                <w:color w:val="auto"/>
              </w:rPr>
              <w:t>73,433</w:t>
            </w:r>
          </w:p>
        </w:tc>
        <w:tc>
          <w:tcPr>
            <w:tcW w:w="460" w:type="dxa"/>
            <w:vAlign w:val="bottom"/>
            <w:tcBorders>
              <w:bottom w:val="single" w:sz="8" w:color="808080"/>
            </w:tcBorders>
          </w:tcPr>
          <w:p>
            <w:pPr>
              <w:spacing w:after="0"/>
              <w:rPr>
                <w:sz w:val="15"/>
                <w:szCs w:val="15"/>
                <w:color w:val="auto"/>
              </w:rPr>
            </w:pPr>
          </w:p>
        </w:tc>
        <w:tc>
          <w:tcPr>
            <w:tcW w:w="1280" w:type="dxa"/>
            <w:vAlign w:val="bottom"/>
            <w:tcBorders>
              <w:bottom w:val="single" w:sz="8" w:color="808080"/>
            </w:tcBorders>
          </w:tcPr>
          <w:p>
            <w:pPr>
              <w:jc w:val="right"/>
              <w:spacing w:after="0" w:line="183" w:lineRule="exact"/>
              <w:rPr>
                <w:sz w:val="20"/>
                <w:szCs w:val="20"/>
                <w:color w:val="auto"/>
              </w:rPr>
            </w:pPr>
            <w:r>
              <w:rPr>
                <w:rFonts w:ascii="Arial" w:cs="Arial" w:eastAsia="Arial" w:hAnsi="Arial"/>
                <w:sz w:val="16"/>
                <w:szCs w:val="16"/>
                <w:color w:val="auto"/>
              </w:rPr>
              <w:t>411,593</w:t>
            </w:r>
          </w:p>
        </w:tc>
      </w:tr>
      <w:tr>
        <w:trPr>
          <w:trHeight w:val="183"/>
        </w:trPr>
        <w:tc>
          <w:tcPr>
            <w:tcW w:w="2560" w:type="dxa"/>
            <w:vAlign w:val="bottom"/>
            <w:tcBorders>
              <w:bottom w:val="single" w:sz="8" w:color="808080"/>
            </w:tcBorders>
          </w:tcPr>
          <w:p>
            <w:pPr>
              <w:ind w:left="120"/>
              <w:spacing w:after="0" w:line="183" w:lineRule="exact"/>
              <w:rPr>
                <w:sz w:val="20"/>
                <w:szCs w:val="20"/>
                <w:color w:val="auto"/>
              </w:rPr>
            </w:pPr>
            <w:r>
              <w:rPr>
                <w:rFonts w:ascii="Arial" w:cs="Arial" w:eastAsia="Arial" w:hAnsi="Arial"/>
                <w:sz w:val="16"/>
                <w:szCs w:val="16"/>
                <w:color w:val="auto"/>
              </w:rPr>
              <w:t>James  M.  Whitehurst</w:t>
            </w:r>
          </w:p>
        </w:tc>
        <w:tc>
          <w:tcPr>
            <w:tcW w:w="2200" w:type="dxa"/>
            <w:vAlign w:val="bottom"/>
            <w:tcBorders>
              <w:bottom w:val="single" w:sz="8" w:color="808080"/>
            </w:tcBorders>
            <w:gridSpan w:val="2"/>
          </w:tcPr>
          <w:p>
            <w:pPr>
              <w:jc w:val="right"/>
              <w:ind w:right="373"/>
              <w:spacing w:after="0" w:line="183" w:lineRule="exact"/>
              <w:rPr>
                <w:sz w:val="20"/>
                <w:szCs w:val="20"/>
                <w:color w:val="auto"/>
              </w:rPr>
            </w:pPr>
            <w:r>
              <w:rPr>
                <w:rFonts w:ascii="Arial" w:cs="Arial" w:eastAsia="Arial" w:hAnsi="Arial"/>
                <w:sz w:val="16"/>
                <w:szCs w:val="16"/>
                <w:color w:val="auto"/>
              </w:rPr>
              <w:t>165,000</w:t>
            </w:r>
          </w:p>
        </w:tc>
        <w:tc>
          <w:tcPr>
            <w:tcW w:w="1540" w:type="dxa"/>
            <w:vAlign w:val="bottom"/>
            <w:tcBorders>
              <w:bottom w:val="single" w:sz="8" w:color="808080"/>
            </w:tcBorders>
          </w:tcPr>
          <w:p>
            <w:pPr>
              <w:jc w:val="right"/>
              <w:ind w:right="126"/>
              <w:spacing w:after="0" w:line="183" w:lineRule="exact"/>
              <w:rPr>
                <w:sz w:val="20"/>
                <w:szCs w:val="20"/>
                <w:color w:val="auto"/>
              </w:rPr>
            </w:pPr>
            <w:r>
              <w:rPr>
                <w:rFonts w:ascii="Arial" w:cs="Arial" w:eastAsia="Arial" w:hAnsi="Arial"/>
                <w:sz w:val="16"/>
                <w:szCs w:val="16"/>
                <w:color w:val="auto"/>
              </w:rPr>
              <w:t>181,606</w:t>
            </w:r>
          </w:p>
        </w:tc>
        <w:tc>
          <w:tcPr>
            <w:tcW w:w="220" w:type="dxa"/>
            <w:vAlign w:val="bottom"/>
            <w:tcBorders>
              <w:bottom w:val="single" w:sz="8" w:color="808080"/>
            </w:tcBorders>
          </w:tcPr>
          <w:p>
            <w:pPr>
              <w:spacing w:after="0"/>
              <w:rPr>
                <w:sz w:val="15"/>
                <w:szCs w:val="15"/>
                <w:color w:val="auto"/>
              </w:rPr>
            </w:pPr>
          </w:p>
        </w:tc>
        <w:tc>
          <w:tcPr>
            <w:tcW w:w="1460" w:type="dxa"/>
            <w:vAlign w:val="bottom"/>
            <w:tcBorders>
              <w:bottom w:val="single" w:sz="8" w:color="808080"/>
            </w:tcBorders>
          </w:tcPr>
          <w:p>
            <w:pPr>
              <w:jc w:val="right"/>
              <w:ind w:right="19"/>
              <w:spacing w:after="0" w:line="183" w:lineRule="exact"/>
              <w:rPr>
                <w:sz w:val="20"/>
                <w:szCs w:val="20"/>
                <w:color w:val="auto"/>
              </w:rPr>
            </w:pPr>
            <w:r>
              <w:rPr>
                <w:rFonts w:ascii="Arial" w:cs="Arial" w:eastAsia="Arial" w:hAnsi="Arial"/>
                <w:sz w:val="16"/>
                <w:szCs w:val="16"/>
                <w:color w:val="auto"/>
              </w:rPr>
              <w:t>53,341</w:t>
            </w:r>
          </w:p>
        </w:tc>
        <w:tc>
          <w:tcPr>
            <w:tcW w:w="460" w:type="dxa"/>
            <w:vAlign w:val="bottom"/>
            <w:tcBorders>
              <w:bottom w:val="single" w:sz="8" w:color="808080"/>
            </w:tcBorders>
          </w:tcPr>
          <w:p>
            <w:pPr>
              <w:spacing w:after="0"/>
              <w:rPr>
                <w:sz w:val="15"/>
                <w:szCs w:val="15"/>
                <w:color w:val="auto"/>
              </w:rPr>
            </w:pPr>
          </w:p>
        </w:tc>
        <w:tc>
          <w:tcPr>
            <w:tcW w:w="1280" w:type="dxa"/>
            <w:vAlign w:val="bottom"/>
            <w:tcBorders>
              <w:bottom w:val="single" w:sz="8" w:color="808080"/>
            </w:tcBorders>
          </w:tcPr>
          <w:p>
            <w:pPr>
              <w:jc w:val="right"/>
              <w:spacing w:after="0" w:line="183" w:lineRule="exact"/>
              <w:rPr>
                <w:sz w:val="20"/>
                <w:szCs w:val="20"/>
                <w:color w:val="auto"/>
              </w:rPr>
            </w:pPr>
            <w:r>
              <w:rPr>
                <w:rFonts w:ascii="Arial" w:cs="Arial" w:eastAsia="Arial" w:hAnsi="Arial"/>
                <w:sz w:val="16"/>
                <w:szCs w:val="16"/>
                <w:color w:val="auto"/>
              </w:rPr>
              <w:t>399,947</w:t>
            </w:r>
          </w:p>
        </w:tc>
      </w:tr>
      <w:tr>
        <w:trPr>
          <w:trHeight w:val="156"/>
        </w:trPr>
        <w:tc>
          <w:tcPr>
            <w:tcW w:w="2560" w:type="dxa"/>
            <w:vAlign w:val="bottom"/>
          </w:tcPr>
          <w:p>
            <w:pPr>
              <w:ind w:left="120"/>
              <w:spacing w:after="0" w:line="156" w:lineRule="exact"/>
              <w:rPr>
                <w:sz w:val="20"/>
                <w:szCs w:val="20"/>
                <w:color w:val="auto"/>
              </w:rPr>
            </w:pPr>
            <w:r>
              <w:rPr>
                <w:rFonts w:ascii="Arial" w:cs="Arial" w:eastAsia="Arial" w:hAnsi="Arial"/>
                <w:sz w:val="16"/>
                <w:szCs w:val="16"/>
                <w:b w:val="1"/>
                <w:bCs w:val="1"/>
                <w:i w:val="1"/>
                <w:iCs w:val="1"/>
                <w:color w:val="auto"/>
                <w:w w:val="93"/>
              </w:rPr>
              <w:t>Former Directors who served as a</w:t>
            </w:r>
          </w:p>
        </w:tc>
        <w:tc>
          <w:tcPr>
            <w:tcW w:w="30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229"/>
        </w:trPr>
        <w:tc>
          <w:tcPr>
            <w:tcW w:w="2560" w:type="dxa"/>
            <w:vAlign w:val="bottom"/>
            <w:tcBorders>
              <w:bottom w:val="single" w:sz="8" w:color="808080"/>
            </w:tcBorders>
          </w:tcPr>
          <w:p>
            <w:pPr>
              <w:ind w:left="120"/>
              <w:spacing w:after="0"/>
              <w:rPr>
                <w:sz w:val="20"/>
                <w:szCs w:val="20"/>
                <w:color w:val="auto"/>
              </w:rPr>
            </w:pPr>
            <w:r>
              <w:rPr>
                <w:rFonts w:ascii="Arial" w:cs="Arial" w:eastAsia="Arial" w:hAnsi="Arial"/>
                <w:sz w:val="16"/>
                <w:szCs w:val="16"/>
                <w:b w:val="1"/>
                <w:bCs w:val="1"/>
                <w:i w:val="1"/>
                <w:iCs w:val="1"/>
                <w:color w:val="auto"/>
              </w:rPr>
              <w:t>Director for part of 2025</w:t>
            </w:r>
          </w:p>
        </w:tc>
        <w:tc>
          <w:tcPr>
            <w:tcW w:w="300" w:type="dxa"/>
            <w:vAlign w:val="bottom"/>
            <w:tcBorders>
              <w:bottom w:val="single" w:sz="8" w:color="808080"/>
            </w:tcBorders>
          </w:tcPr>
          <w:p>
            <w:pPr>
              <w:spacing w:after="0"/>
              <w:rPr>
                <w:sz w:val="19"/>
                <w:szCs w:val="19"/>
                <w:color w:val="auto"/>
              </w:rPr>
            </w:pPr>
          </w:p>
        </w:tc>
        <w:tc>
          <w:tcPr>
            <w:tcW w:w="1900" w:type="dxa"/>
            <w:vAlign w:val="bottom"/>
            <w:tcBorders>
              <w:bottom w:val="single" w:sz="8" w:color="808080"/>
            </w:tcBorders>
          </w:tcPr>
          <w:p>
            <w:pPr>
              <w:spacing w:after="0"/>
              <w:rPr>
                <w:sz w:val="19"/>
                <w:szCs w:val="19"/>
                <w:color w:val="auto"/>
              </w:rPr>
            </w:pPr>
          </w:p>
        </w:tc>
        <w:tc>
          <w:tcPr>
            <w:tcW w:w="15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46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r>
      <w:tr>
        <w:trPr>
          <w:trHeight w:val="223"/>
        </w:trPr>
        <w:tc>
          <w:tcPr>
            <w:tcW w:w="2560" w:type="dxa"/>
            <w:vAlign w:val="bottom"/>
            <w:tcBorders>
              <w:bottom w:val="single" w:sz="8" w:color="808080"/>
            </w:tcBorders>
          </w:tcPr>
          <w:p>
            <w:pPr>
              <w:ind w:left="120"/>
              <w:spacing w:after="0" w:line="222" w:lineRule="exact"/>
              <w:rPr>
                <w:sz w:val="20"/>
                <w:szCs w:val="20"/>
                <w:color w:val="auto"/>
              </w:rPr>
            </w:pPr>
            <w:r>
              <w:rPr>
                <w:rFonts w:ascii="Arial" w:cs="Arial" w:eastAsia="Arial" w:hAnsi="Arial"/>
                <w:sz w:val="16"/>
                <w:szCs w:val="16"/>
                <w:color w:val="auto"/>
              </w:rPr>
              <w:t xml:space="preserve">Captain  Anne  Worster  </w:t>
            </w:r>
            <w:r>
              <w:rPr>
                <w:rFonts w:ascii="Arial" w:cs="Arial" w:eastAsia="Arial" w:hAnsi="Arial"/>
                <w:sz w:val="24"/>
                <w:szCs w:val="24"/>
                <w:color w:val="auto"/>
                <w:vertAlign w:val="superscript"/>
              </w:rPr>
              <w:t>(7)</w:t>
            </w:r>
          </w:p>
        </w:tc>
        <w:tc>
          <w:tcPr>
            <w:tcW w:w="300" w:type="dxa"/>
            <w:vAlign w:val="bottom"/>
            <w:tcBorders>
              <w:bottom w:val="single" w:sz="8" w:color="808080"/>
            </w:tcBorders>
          </w:tcPr>
          <w:p>
            <w:pPr>
              <w:spacing w:after="0"/>
              <w:rPr>
                <w:sz w:val="19"/>
                <w:szCs w:val="19"/>
                <w:color w:val="auto"/>
              </w:rPr>
            </w:pPr>
          </w:p>
        </w:tc>
        <w:tc>
          <w:tcPr>
            <w:tcW w:w="1900" w:type="dxa"/>
            <w:vAlign w:val="bottom"/>
            <w:tcBorders>
              <w:bottom w:val="single" w:sz="8" w:color="808080"/>
            </w:tcBorders>
          </w:tcPr>
          <w:p>
            <w:pPr>
              <w:jc w:val="right"/>
              <w:ind w:right="193"/>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1"/>
                <w:szCs w:val="11"/>
                <w:color w:val="auto"/>
              </w:rPr>
              <w:t xml:space="preserve">  (5)</w:t>
            </w:r>
          </w:p>
        </w:tc>
        <w:tc>
          <w:tcPr>
            <w:tcW w:w="1540" w:type="dxa"/>
            <w:vAlign w:val="bottom"/>
            <w:tcBorders>
              <w:bottom w:val="single" w:sz="8" w:color="808080"/>
            </w:tcBorders>
          </w:tcPr>
          <w:p>
            <w:pPr>
              <w:jc w:val="right"/>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1"/>
                <w:szCs w:val="11"/>
                <w:color w:val="auto"/>
              </w:rPr>
              <w:t xml:space="preserve">  (5)</w:t>
            </w:r>
          </w:p>
        </w:tc>
        <w:tc>
          <w:tcPr>
            <w:tcW w:w="220" w:type="dxa"/>
            <w:vAlign w:val="bottom"/>
            <w:tcBorders>
              <w:bottom w:val="single" w:sz="8" w:color="808080"/>
            </w:tcBorders>
          </w:tcPr>
          <w:p>
            <w:pPr>
              <w:spacing w:after="0"/>
              <w:rPr>
                <w:sz w:val="19"/>
                <w:szCs w:val="19"/>
                <w:color w:val="auto"/>
              </w:rPr>
            </w:pPr>
          </w:p>
        </w:tc>
        <w:tc>
          <w:tcPr>
            <w:tcW w:w="1460" w:type="dxa"/>
            <w:vAlign w:val="bottom"/>
            <w:tcBorders>
              <w:bottom w:val="single" w:sz="8" w:color="808080"/>
            </w:tcBorders>
          </w:tcPr>
          <w:p>
            <w:pPr>
              <w:jc w:val="right"/>
              <w:ind w:right="19"/>
              <w:spacing w:after="0"/>
              <w:rPr>
                <w:sz w:val="20"/>
                <w:szCs w:val="20"/>
                <w:color w:val="auto"/>
              </w:rPr>
            </w:pPr>
            <w:r>
              <w:rPr>
                <w:rFonts w:ascii="Arial" w:cs="Arial" w:eastAsia="Arial" w:hAnsi="Arial"/>
                <w:sz w:val="16"/>
                <w:szCs w:val="16"/>
                <w:color w:val="auto"/>
              </w:rPr>
              <w:t>395</w:t>
            </w:r>
          </w:p>
        </w:tc>
        <w:tc>
          <w:tcPr>
            <w:tcW w:w="46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jc w:val="right"/>
              <w:spacing w:after="0"/>
              <w:rPr>
                <w:sz w:val="20"/>
                <w:szCs w:val="20"/>
                <w:color w:val="auto"/>
              </w:rPr>
            </w:pPr>
            <w:r>
              <w:rPr>
                <w:rFonts w:ascii="Arial" w:cs="Arial" w:eastAsia="Arial" w:hAnsi="Arial"/>
                <w:sz w:val="16"/>
                <w:szCs w:val="16"/>
                <w:color w:val="auto"/>
              </w:rPr>
              <w:t>395</w:t>
            </w:r>
          </w:p>
        </w:tc>
      </w:tr>
    </w:tbl>
    <w:p>
      <w:pPr>
        <w:spacing w:after="0" w:line="116" w:lineRule="exact"/>
        <w:rPr>
          <w:sz w:val="20"/>
          <w:szCs w:val="20"/>
          <w:color w:val="auto"/>
        </w:rPr>
      </w:pPr>
    </w:p>
    <w:p>
      <w:pPr>
        <w:ind w:left="320" w:right="20" w:hanging="316"/>
        <w:spacing w:after="0" w:line="214" w:lineRule="auto"/>
        <w:tabs>
          <w:tab w:leader="none" w:pos="320" w:val="left"/>
        </w:tabs>
        <w:numPr>
          <w:ilvl w:val="0"/>
          <w:numId w:val="70"/>
        </w:numPr>
        <w:rPr>
          <w:rFonts w:ascii="Arial" w:cs="Arial" w:eastAsia="Arial" w:hAnsi="Arial"/>
          <w:sz w:val="22"/>
          <w:szCs w:val="22"/>
          <w:color w:val="auto"/>
          <w:vertAlign w:val="superscript"/>
        </w:rPr>
      </w:pPr>
      <w:r>
        <w:rPr>
          <w:rFonts w:ascii="Arial" w:cs="Arial" w:eastAsia="Arial" w:hAnsi="Arial"/>
          <w:sz w:val="14"/>
          <w:szCs w:val="14"/>
          <w:color w:val="auto"/>
        </w:rPr>
        <w:t>Messrs. Friend, Harford, Isaacson and Shapiro and Ms. Ward each elected to receive 100% of their 2025 Board and Committee retainer fees in deferred share units as described above under “Director Compensation Deferral Opportunities.”</w:t>
      </w:r>
    </w:p>
    <w:p>
      <w:pPr>
        <w:spacing w:after="0" w:line="76" w:lineRule="exact"/>
        <w:rPr>
          <w:rFonts w:ascii="Arial" w:cs="Arial" w:eastAsia="Arial" w:hAnsi="Arial"/>
          <w:sz w:val="22"/>
          <w:szCs w:val="22"/>
          <w:color w:val="auto"/>
          <w:vertAlign w:val="superscript"/>
        </w:rPr>
      </w:pPr>
    </w:p>
    <w:p>
      <w:pPr>
        <w:ind w:left="320" w:right="280" w:hanging="316"/>
        <w:spacing w:after="0" w:line="214" w:lineRule="auto"/>
        <w:tabs>
          <w:tab w:leader="none" w:pos="320" w:val="left"/>
        </w:tabs>
        <w:numPr>
          <w:ilvl w:val="0"/>
          <w:numId w:val="70"/>
        </w:numPr>
        <w:rPr>
          <w:rFonts w:ascii="Arial" w:cs="Arial" w:eastAsia="Arial" w:hAnsi="Arial"/>
          <w:sz w:val="22"/>
          <w:szCs w:val="22"/>
          <w:color w:val="auto"/>
          <w:vertAlign w:val="superscript"/>
        </w:rPr>
      </w:pPr>
      <w:r>
        <w:rPr>
          <w:rFonts w:ascii="Arial" w:cs="Arial" w:eastAsia="Arial" w:hAnsi="Arial"/>
          <w:sz w:val="14"/>
          <w:szCs w:val="14"/>
          <w:color w:val="auto"/>
        </w:rPr>
        <w:t>Each of Mses. Brewer, Freyre, Hooper and Ward and Messrs. Friend, Harford, Isaacson, Philip and Shapiro elected to defer 100% of their 2025 equity awards in deferred share units as described above under “Director Compensation Deferral Opportunities.”</w:t>
      </w:r>
    </w:p>
    <w:p>
      <w:pPr>
        <w:spacing w:after="0" w:line="76" w:lineRule="exact"/>
        <w:rPr>
          <w:rFonts w:ascii="Arial" w:cs="Arial" w:eastAsia="Arial" w:hAnsi="Arial"/>
          <w:sz w:val="22"/>
          <w:szCs w:val="22"/>
          <w:color w:val="auto"/>
          <w:vertAlign w:val="superscript"/>
        </w:rPr>
      </w:pPr>
    </w:p>
    <w:p>
      <w:pPr>
        <w:ind w:left="320" w:right="120" w:hanging="316"/>
        <w:spacing w:after="0" w:line="236" w:lineRule="auto"/>
        <w:tabs>
          <w:tab w:leader="none" w:pos="320" w:val="left"/>
        </w:tabs>
        <w:numPr>
          <w:ilvl w:val="0"/>
          <w:numId w:val="70"/>
        </w:numPr>
        <w:rPr>
          <w:rFonts w:ascii="Arial" w:cs="Arial" w:eastAsia="Arial" w:hAnsi="Arial"/>
          <w:sz w:val="22"/>
          <w:szCs w:val="22"/>
          <w:color w:val="auto"/>
          <w:vertAlign w:val="superscript"/>
        </w:rPr>
      </w:pPr>
      <w:r>
        <w:rPr>
          <w:rFonts w:ascii="Arial" w:cs="Arial" w:eastAsia="Arial" w:hAnsi="Arial"/>
          <w:sz w:val="14"/>
          <w:szCs w:val="14"/>
          <w:color w:val="auto"/>
        </w:rPr>
        <w:t>The amounts shown in this column represent the grant date fair value of 2,410 share units granted to each of the non-employee directors on May 22, 2025 determined in accordance with FASB ASC Topic 718, taking into account deferral elections as noted in footnote 2. With respect to Mr. Phillip, the grant date fair value of his 2025 award of 3,012 share units for his service as United’s independent Chairman of the Board is also included. For details regarding how the number of share units subject to each director’s award was calculated as well as the vesting and settlement terms, see the section entitled “Equity Compensation” above.</w:t>
      </w:r>
    </w:p>
    <w:p>
      <w:pPr>
        <w:spacing w:after="0" w:line="76" w:lineRule="exact"/>
        <w:rPr>
          <w:rFonts w:ascii="Arial" w:cs="Arial" w:eastAsia="Arial" w:hAnsi="Arial"/>
          <w:sz w:val="22"/>
          <w:szCs w:val="22"/>
          <w:color w:val="auto"/>
          <w:vertAlign w:val="superscript"/>
        </w:rPr>
      </w:pPr>
    </w:p>
    <w:p>
      <w:pPr>
        <w:ind w:left="320" w:right="60"/>
        <w:spacing w:after="0" w:line="278" w:lineRule="auto"/>
        <w:rPr>
          <w:rFonts w:ascii="Arial" w:cs="Arial" w:eastAsia="Arial" w:hAnsi="Arial"/>
          <w:sz w:val="22"/>
          <w:szCs w:val="22"/>
          <w:color w:val="auto"/>
          <w:vertAlign w:val="superscript"/>
        </w:rPr>
      </w:pPr>
      <w:r>
        <w:rPr>
          <w:rFonts w:ascii="Arial" w:cs="Arial" w:eastAsia="Arial" w:hAnsi="Arial"/>
          <w:sz w:val="14"/>
          <w:szCs w:val="14"/>
          <w:color w:val="auto"/>
        </w:rPr>
        <w:t>As of December 31, 2025, the aggregate number of share units outstanding (including, as applicable, deferred share units) for each individual who served as a non-employee director during 2025 was: Ms. Brewer—5,869; Ms. Freyre—2,410; Mr. Friend—23,887; Mr. Harford —10,369; Ms. Hooper—24,833; Mr. Isaacson—77,648; Mr. Philip—50,035; Mr. Shapiro—50,117; Ms. Ward—26,137; and Mr. Whitehurst— 30,016. None of Mr. Johnsen or Captains Noyes or Worster held any outstanding share units as of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2026  Proxy  Statement</w:t>
      </w:r>
    </w:p>
    <w:p>
      <w:pPr>
        <w:spacing w:after="0" w:line="167" w:lineRule="exact"/>
        <w:rPr>
          <w:sz w:val="20"/>
          <w:szCs w:val="20"/>
          <w:color w:val="auto"/>
        </w:rPr>
      </w:pPr>
    </w:p>
    <w:p>
      <w:pPr>
        <w:ind w:left="9540"/>
        <w:spacing w:after="0"/>
        <w:rPr>
          <w:sz w:val="20"/>
          <w:szCs w:val="20"/>
          <w:color w:val="auto"/>
        </w:rPr>
      </w:pPr>
      <w:r>
        <w:rPr>
          <w:rFonts w:ascii="Arial" w:cs="Arial" w:eastAsia="Arial" w:hAnsi="Arial"/>
          <w:sz w:val="16"/>
          <w:szCs w:val="16"/>
          <w:b w:val="1"/>
          <w:bCs w:val="1"/>
          <w:color w:val="1414D2"/>
        </w:rPr>
        <w:t>65</w:t>
      </w:r>
    </w:p>
    <w:p>
      <w:pPr>
        <w:sectPr>
          <w:pgSz w:w="11900" w:h="16838" w:orient="portrait"/>
          <w:cols w:equalWidth="0" w:num="1">
            <w:col w:w="9720"/>
          </w:cols>
          <w:pgMar w:left="1080" w:top="695" w:right="1099" w:bottom="1440" w:gutter="0" w:footer="0" w:header="0"/>
        </w:sectPr>
      </w:pPr>
    </w:p>
    <w:bookmarkStart w:id="76" w:name="page77"/>
    <w:bookmarkEnd w:id="76"/>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6D6F71"/>
        </w:rPr>
        <w:t>Board  and  Corporate  Governance  Matters</w:t>
      </w:r>
    </w:p>
    <w:p>
      <w:pPr>
        <w:spacing w:after="0" w:line="153" w:lineRule="exact"/>
        <w:rPr>
          <w:sz w:val="20"/>
          <w:szCs w:val="20"/>
          <w:color w:val="auto"/>
        </w:rPr>
      </w:pPr>
    </w:p>
    <w:p>
      <w:pPr>
        <w:ind w:left="320" w:hanging="316"/>
        <w:spacing w:after="0"/>
        <w:tabs>
          <w:tab w:leader="none" w:pos="320" w:val="left"/>
        </w:tabs>
        <w:numPr>
          <w:ilvl w:val="0"/>
          <w:numId w:val="71"/>
        </w:numPr>
        <w:rPr>
          <w:rFonts w:ascii="Arial" w:cs="Arial" w:eastAsia="Arial" w:hAnsi="Arial"/>
          <w:sz w:val="22"/>
          <w:szCs w:val="22"/>
          <w:color w:val="auto"/>
          <w:vertAlign w:val="superscript"/>
        </w:rPr>
      </w:pPr>
      <w:r>
        <w:rPr>
          <w:rFonts w:ascii="Arial" w:cs="Arial" w:eastAsia="Arial" w:hAnsi="Arial"/>
          <w:sz w:val="14"/>
          <w:szCs w:val="14"/>
          <w:color w:val="auto"/>
        </w:rPr>
        <w:t>All  other  compensation  includes:  (a)  with  respect  to  certain  directors,  matching  contributions  of  up  to  $20,000  to  nonproft  organization(s)</w:t>
      </w:r>
    </w:p>
    <w:p>
      <w:pPr>
        <w:ind w:left="320" w:right="20"/>
        <w:spacing w:after="0" w:line="251" w:lineRule="auto"/>
        <w:rPr>
          <w:rFonts w:ascii="Arial" w:cs="Arial" w:eastAsia="Arial" w:hAnsi="Arial"/>
          <w:sz w:val="22"/>
          <w:szCs w:val="22"/>
          <w:color w:val="auto"/>
          <w:vertAlign w:val="superscript"/>
        </w:rPr>
      </w:pPr>
      <w:r>
        <w:rPr>
          <w:rFonts w:ascii="Arial" w:cs="Arial" w:eastAsia="Arial" w:hAnsi="Arial"/>
          <w:sz w:val="14"/>
          <w:szCs w:val="14"/>
          <w:color w:val="auto"/>
        </w:rPr>
        <w:t>to which the director made a contribution(s) (including contributions as follows: $20,000 for each of Ms. Hooper and Messrs. Harford and Isaacson, $19,250 for Ms. Ward and $10,000 for Ms. Brewer), as discussed under the caption “Charitable Contribution Program” above; (b) a tax reimbursement relating to fight benefts (which value is greater than the incremental cost to United of providing such benefts) for each director as follows: Ms. Brewer—$7,780; Ms. Freyre—$22,724; Mr. Friend—$28,805; Mr. Harford—$25,215; Ms. Hooper—$11,848;</w:t>
      </w:r>
    </w:p>
    <w:p>
      <w:pPr>
        <w:spacing w:after="0" w:line="1" w:lineRule="exact"/>
        <w:rPr>
          <w:rFonts w:ascii="Arial" w:cs="Arial" w:eastAsia="Arial" w:hAnsi="Arial"/>
          <w:sz w:val="22"/>
          <w:szCs w:val="22"/>
          <w:color w:val="auto"/>
          <w:vertAlign w:val="superscript"/>
        </w:rPr>
      </w:pPr>
    </w:p>
    <w:p>
      <w:pPr>
        <w:ind w:left="320"/>
        <w:spacing w:after="0" w:line="267" w:lineRule="auto"/>
        <w:rPr>
          <w:rFonts w:ascii="Arial" w:cs="Arial" w:eastAsia="Arial" w:hAnsi="Arial"/>
          <w:sz w:val="22"/>
          <w:szCs w:val="22"/>
          <w:color w:val="auto"/>
          <w:vertAlign w:val="superscript"/>
        </w:rPr>
      </w:pPr>
      <w:r>
        <w:rPr>
          <w:rFonts w:ascii="Arial" w:cs="Arial" w:eastAsia="Arial" w:hAnsi="Arial"/>
          <w:sz w:val="14"/>
          <w:szCs w:val="14"/>
          <w:color w:val="auto"/>
        </w:rPr>
        <w:t>Mr. Isaacson—$17,029; Mr. Johnsen—$38,687; Mr. Philip—$28,812; Mr. Shapiro—$31,817; Ms. Ward—$10,887; Mr. Whitehurst—$21,090; and Captain Worster—$395; (c) as required by SEC rules, the aggregate incremental cost to United of the director’s fight benefts; (d) with respect to certain directors, as required by SEC rules, the aggregate cost to United of tickets donated by the director to charitable organizations (including the following costs: Ms. Brewer—$29,200; Mr. Harford—$29,200; Ms. Hooper—$29,200; Mr. Shapiro—$21,900; Ms. Ward—$29,200; and Mr. Whitehurst—$14,600), as discussed under the caption “Charitable Contribution Program” above; and (e) with respect to Mses. Brewer, Freyre, Hooper and Ward and Messrs. Harford, Isaacson, Philip, Shapiro and Whitehurst, the cost of cybersecurity / identity protection services provided by United.</w:t>
      </w:r>
    </w:p>
    <w:p>
      <w:pPr>
        <w:spacing w:after="0" w:line="234" w:lineRule="exact"/>
        <w:rPr>
          <w:rFonts w:ascii="Arial" w:cs="Arial" w:eastAsia="Arial" w:hAnsi="Arial"/>
          <w:sz w:val="22"/>
          <w:szCs w:val="22"/>
          <w:color w:val="auto"/>
          <w:vertAlign w:val="superscript"/>
        </w:rPr>
      </w:pPr>
    </w:p>
    <w:p>
      <w:pPr>
        <w:ind w:left="320" w:right="100" w:hanging="316"/>
        <w:spacing w:after="0" w:line="239" w:lineRule="auto"/>
        <w:tabs>
          <w:tab w:leader="none" w:pos="320" w:val="left"/>
        </w:tabs>
        <w:numPr>
          <w:ilvl w:val="0"/>
          <w:numId w:val="71"/>
        </w:numPr>
        <w:rPr>
          <w:rFonts w:ascii="Arial" w:cs="Arial" w:eastAsia="Arial" w:hAnsi="Arial"/>
          <w:sz w:val="22"/>
          <w:szCs w:val="22"/>
          <w:color w:val="auto"/>
          <w:vertAlign w:val="superscript"/>
        </w:rPr>
      </w:pPr>
      <w:r>
        <w:rPr>
          <w:rFonts w:ascii="Arial" w:cs="Arial" w:eastAsia="Arial" w:hAnsi="Arial"/>
          <w:sz w:val="14"/>
          <w:szCs w:val="14"/>
          <w:color w:val="auto"/>
        </w:rPr>
        <w:t>Our directors who are employees of United or who are directors elected by a class of stock other than Common Stock do not receive any cash or equity compensation from United related to their service as directors. However, each of the ALPA director and the IAM director are entitled to receive certain travel and charitable contribution benefts. See “Travel Benefts” and “Charitable Contribution Program” above and footnote 4 above. With respect to 2025, none of Mr. Johnsen or Captains Noyes or Worster received any director compensation other than the benefts set forth in the “All Other Compensation” column.</w:t>
      </w:r>
    </w:p>
    <w:p>
      <w:pPr>
        <w:spacing w:after="0" w:line="65" w:lineRule="exact"/>
        <w:rPr>
          <w:rFonts w:ascii="Arial" w:cs="Arial" w:eastAsia="Arial" w:hAnsi="Arial"/>
          <w:sz w:val="22"/>
          <w:szCs w:val="22"/>
          <w:color w:val="auto"/>
          <w:vertAlign w:val="superscript"/>
        </w:rPr>
      </w:pPr>
    </w:p>
    <w:p>
      <w:pPr>
        <w:ind w:left="320" w:right="200" w:hanging="316"/>
        <w:spacing w:after="0" w:line="222" w:lineRule="auto"/>
        <w:tabs>
          <w:tab w:leader="none" w:pos="320" w:val="left"/>
        </w:tabs>
        <w:numPr>
          <w:ilvl w:val="0"/>
          <w:numId w:val="71"/>
        </w:numPr>
        <w:rPr>
          <w:rFonts w:ascii="Arial" w:cs="Arial" w:eastAsia="Arial" w:hAnsi="Arial"/>
          <w:sz w:val="22"/>
          <w:szCs w:val="22"/>
          <w:color w:val="auto"/>
          <w:vertAlign w:val="superscript"/>
        </w:rPr>
      </w:pPr>
      <w:r>
        <w:rPr>
          <w:rFonts w:ascii="Arial" w:cs="Arial" w:eastAsia="Arial" w:hAnsi="Arial"/>
          <w:sz w:val="14"/>
          <w:szCs w:val="14"/>
          <w:color w:val="auto"/>
        </w:rPr>
        <w:t>Efective January 15, 2025, ALPA-MEC designated Brian Noyes to fll the vacancy on the Board resulting from Captain Worster’s departure (see footnote 7).</w:t>
      </w:r>
    </w:p>
    <w:p>
      <w:pPr>
        <w:spacing w:after="0" w:line="62" w:lineRule="exact"/>
        <w:rPr>
          <w:rFonts w:ascii="Arial" w:cs="Arial" w:eastAsia="Arial" w:hAnsi="Arial"/>
          <w:sz w:val="22"/>
          <w:szCs w:val="22"/>
          <w:color w:val="auto"/>
          <w:vertAlign w:val="superscript"/>
        </w:rPr>
      </w:pPr>
    </w:p>
    <w:p>
      <w:pPr>
        <w:ind w:left="320" w:right="280" w:hanging="316"/>
        <w:spacing w:after="0" w:line="222" w:lineRule="auto"/>
        <w:tabs>
          <w:tab w:leader="none" w:pos="320" w:val="left"/>
        </w:tabs>
        <w:numPr>
          <w:ilvl w:val="0"/>
          <w:numId w:val="71"/>
        </w:numPr>
        <w:rPr>
          <w:rFonts w:ascii="Arial" w:cs="Arial" w:eastAsia="Arial" w:hAnsi="Arial"/>
          <w:sz w:val="22"/>
          <w:szCs w:val="22"/>
          <w:color w:val="auto"/>
          <w:vertAlign w:val="superscript"/>
        </w:rPr>
      </w:pPr>
      <w:r>
        <w:rPr>
          <w:rFonts w:ascii="Arial" w:cs="Arial" w:eastAsia="Arial" w:hAnsi="Arial"/>
          <w:sz w:val="14"/>
          <w:szCs w:val="14"/>
          <w:color w:val="auto"/>
        </w:rPr>
        <w:t>On January 13, 2025, we received notice that Captain Worster was no longer the chairperson of the ALPA-MEC and, accordingly, Captain Worster resigned from the Board efective as of such date.</w:t>
      </w:r>
    </w:p>
    <w:p>
      <w:pPr>
        <w:sectPr>
          <w:pgSz w:w="11900" w:h="16838" w:orient="portrait"/>
          <w:cols w:equalWidth="0" w:num="1">
            <w:col w:w="9720"/>
          </w:cols>
          <w:pgMar w:left="1080" w:top="695"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ind w:right="7720"/>
        <w:spacing w:after="0"/>
        <w:rPr>
          <w:sz w:val="20"/>
          <w:szCs w:val="20"/>
          <w:color w:val="auto"/>
        </w:rPr>
      </w:pPr>
      <w:r>
        <w:rPr>
          <w:rFonts w:ascii="Arial" w:cs="Arial" w:eastAsia="Arial" w:hAnsi="Arial"/>
          <w:sz w:val="16"/>
          <w:szCs w:val="16"/>
          <w:color w:val="auto"/>
        </w:rPr>
        <w:t>​​2026​  Proxy</w:t>
      </w:r>
    </w:p>
    <w:p>
      <w:pPr>
        <w:spacing w:after="0" w:line="5" w:lineRule="exact"/>
        <w:rPr>
          <w:sz w:val="20"/>
          <w:szCs w:val="20"/>
          <w:color w:val="auto"/>
        </w:rPr>
      </w:pPr>
    </w:p>
    <w:p>
      <w:pPr>
        <w:ind w:left="660" w:hanging="656"/>
        <w:spacing w:after="0"/>
        <w:tabs>
          <w:tab w:leader="none" w:pos="660" w:val="left"/>
        </w:tabs>
        <w:numPr>
          <w:ilvl w:val="0"/>
          <w:numId w:val="72"/>
        </w:numPr>
        <w:rPr>
          <w:rFonts w:ascii="Arial" w:cs="Arial" w:eastAsia="Arial" w:hAnsi="Arial"/>
          <w:sz w:val="16"/>
          <w:szCs w:val="16"/>
          <w:b w:val="1"/>
          <w:bCs w:val="1"/>
          <w:color w:val="1414D2"/>
        </w:rPr>
      </w:pPr>
      <w:r>
        <w:rPr>
          <w:rFonts w:ascii="Arial" w:cs="Arial" w:eastAsia="Arial" w:hAnsi="Arial"/>
          <w:sz w:val="16"/>
          <w:szCs w:val="16"/>
          <w:color w:val="auto"/>
        </w:rPr>
        <w:t>Statement</w:t>
      </w:r>
    </w:p>
    <w:p>
      <w:pPr>
        <w:sectPr>
          <w:pgSz w:w="11900" w:h="16838" w:orient="portrait"/>
          <w:cols w:equalWidth="0" w:num="1">
            <w:col w:w="9720"/>
          </w:cols>
          <w:pgMar w:left="1080" w:top="695" w:right="1099" w:bottom="1440" w:gutter="0" w:footer="0" w:header="0"/>
          <w:type w:val="continuous"/>
        </w:sectPr>
      </w:pPr>
    </w:p>
    <w:bookmarkStart w:id="77" w:name="page78"/>
    <w:bookmarkEnd w:id="77"/>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16"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Securities Ownership</w:t>
      </w:r>
    </w:p>
    <w:p>
      <w:pPr>
        <w:spacing w:after="0" w:line="400" w:lineRule="exact"/>
        <w:rPr>
          <w:sz w:val="20"/>
          <w:szCs w:val="20"/>
          <w:color w:val="auto"/>
        </w:rPr>
      </w:pPr>
    </w:p>
    <w:p>
      <w:pPr>
        <w:spacing w:after="0"/>
        <w:rPr>
          <w:sz w:val="20"/>
          <w:szCs w:val="20"/>
          <w:color w:val="auto"/>
        </w:rPr>
      </w:pPr>
      <w:r>
        <w:rPr>
          <w:rFonts w:ascii="Arial" w:cs="Arial" w:eastAsia="Arial" w:hAnsi="Arial"/>
          <w:sz w:val="25"/>
          <w:szCs w:val="25"/>
          <w:b w:val="1"/>
          <w:bCs w:val="1"/>
          <w:color w:val="1414D2"/>
        </w:rPr>
        <w:t>Certain Benefcial Owners</w:t>
      </w:r>
    </w:p>
    <w:p>
      <w:pPr>
        <w:spacing w:after="0" w:line="133" w:lineRule="exact"/>
        <w:rPr>
          <w:sz w:val="20"/>
          <w:szCs w:val="20"/>
          <w:color w:val="auto"/>
        </w:rPr>
      </w:pPr>
    </w:p>
    <w:p>
      <w:pPr>
        <w:ind w:right="500"/>
        <w:spacing w:after="0" w:line="313" w:lineRule="auto"/>
        <w:rPr>
          <w:sz w:val="20"/>
          <w:szCs w:val="20"/>
          <w:color w:val="auto"/>
        </w:rPr>
      </w:pPr>
      <w:r>
        <w:rPr>
          <w:rFonts w:ascii="Arial" w:cs="Arial" w:eastAsia="Arial" w:hAnsi="Arial"/>
          <w:sz w:val="16"/>
          <w:szCs w:val="16"/>
          <w:color w:val="auto"/>
        </w:rPr>
        <w:t>The following table shows the number of shares of our voting securities owned by any person or group known to us, as of March 24, 2026, to be the benefcial owner of more than 5% of any class of our voting securities.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240" w:type="dxa"/>
            <w:vAlign w:val="bottom"/>
            <w:tcBorders>
              <w:top w:val="single" w:sz="8" w:color="1414D2"/>
            </w:tcBorders>
            <w:shd w:val="clear" w:color="auto" w:fill="F2F2F2"/>
          </w:tcPr>
          <w:p>
            <w:pPr>
              <w:spacing w:after="0"/>
              <w:rPr>
                <w:sz w:val="15"/>
                <w:szCs w:val="15"/>
                <w:color w:val="auto"/>
              </w:rPr>
            </w:pPr>
          </w:p>
        </w:tc>
        <w:tc>
          <w:tcPr>
            <w:tcW w:w="1860" w:type="dxa"/>
            <w:vAlign w:val="bottom"/>
            <w:tcBorders>
              <w:top w:val="single" w:sz="8" w:color="1414D2"/>
            </w:tcBorders>
            <w:shd w:val="clear" w:color="auto" w:fill="F2F2F2"/>
          </w:tcPr>
          <w:p>
            <w:pPr>
              <w:ind w:left="80"/>
              <w:spacing w:after="0"/>
              <w:rPr>
                <w:sz w:val="20"/>
                <w:szCs w:val="20"/>
                <w:color w:val="auto"/>
              </w:rPr>
            </w:pPr>
            <w:r>
              <w:rPr>
                <w:rFonts w:ascii="Arial" w:cs="Arial" w:eastAsia="Arial" w:hAnsi="Arial"/>
                <w:sz w:val="14"/>
                <w:szCs w:val="14"/>
                <w:b w:val="1"/>
                <w:bCs w:val="1"/>
                <w:color w:val="auto"/>
              </w:rPr>
              <w:t>​​​</w:t>
            </w:r>
          </w:p>
        </w:tc>
        <w:tc>
          <w:tcPr>
            <w:tcW w:w="1600" w:type="dxa"/>
            <w:vAlign w:val="bottom"/>
            <w:tcBorders>
              <w:top w:val="single" w:sz="8" w:color="1414D2"/>
            </w:tcBorders>
            <w:shd w:val="clear" w:color="auto" w:fill="F2F2F2"/>
          </w:tcPr>
          <w:p>
            <w:pPr>
              <w:jc w:val="right"/>
              <w:spacing w:after="0"/>
              <w:rPr>
                <w:sz w:val="20"/>
                <w:szCs w:val="20"/>
                <w:color w:val="auto"/>
              </w:rPr>
            </w:pPr>
            <w:r>
              <w:rPr>
                <w:rFonts w:ascii="Arial" w:cs="Arial" w:eastAsia="Arial" w:hAnsi="Arial"/>
                <w:sz w:val="14"/>
                <w:szCs w:val="14"/>
                <w:b w:val="1"/>
                <w:bCs w:val="1"/>
                <w:color w:val="auto"/>
              </w:rPr>
              <w:t>​​Amount​ and Nature</w:t>
            </w:r>
          </w:p>
        </w:tc>
        <w:tc>
          <w:tcPr>
            <w:tcW w:w="1020" w:type="dxa"/>
            <w:vAlign w:val="bottom"/>
            <w:tcBorders>
              <w:top w:val="single" w:sz="8" w:color="1414D2"/>
            </w:tcBorders>
            <w:shd w:val="clear" w:color="auto" w:fill="F2F2F2"/>
          </w:tcPr>
          <w:p>
            <w:pPr>
              <w:jc w:val="right"/>
              <w:ind w:right="85"/>
              <w:spacing w:after="0"/>
              <w:rPr>
                <w:sz w:val="20"/>
                <w:szCs w:val="20"/>
                <w:color w:val="auto"/>
              </w:rPr>
            </w:pPr>
            <w:r>
              <w:rPr>
                <w:rFonts w:ascii="Arial" w:cs="Arial" w:eastAsia="Arial" w:hAnsi="Arial"/>
                <w:sz w:val="14"/>
                <w:szCs w:val="14"/>
                <w:b w:val="1"/>
                <w:bCs w:val="1"/>
                <w:color w:val="auto"/>
              </w:rPr>
              <w:t>​​Percent​ of</w:t>
            </w:r>
          </w:p>
        </w:tc>
        <w:tc>
          <w:tcPr>
            <w:tcW w:w="20" w:type="dxa"/>
            <w:vAlign w:val="bottom"/>
          </w:tcPr>
          <w:p>
            <w:pPr>
              <w:spacing w:after="0"/>
              <w:rPr>
                <w:sz w:val="15"/>
                <w:szCs w:val="15"/>
                <w:color w:val="auto"/>
              </w:rPr>
            </w:pPr>
          </w:p>
        </w:tc>
      </w:tr>
      <w:tr>
        <w:trPr>
          <w:trHeight w:val="217"/>
        </w:trPr>
        <w:tc>
          <w:tcPr>
            <w:tcW w:w="5240" w:type="dxa"/>
            <w:vAlign w:val="bottom"/>
            <w:tcBorders>
              <w:bottom w:val="single" w:sz="8" w:color="F2F2F2"/>
            </w:tcBorders>
            <w:shd w:val="clear" w:color="auto" w:fill="F2F2F2"/>
          </w:tcPr>
          <w:p>
            <w:pPr>
              <w:ind w:left="120"/>
              <w:spacing w:after="0"/>
              <w:rPr>
                <w:sz w:val="20"/>
                <w:szCs w:val="20"/>
                <w:color w:val="auto"/>
              </w:rPr>
            </w:pPr>
            <w:r>
              <w:rPr>
                <w:rFonts w:ascii="Arial" w:cs="Arial" w:eastAsia="Arial" w:hAnsi="Arial"/>
                <w:sz w:val="14"/>
                <w:szCs w:val="14"/>
                <w:b w:val="1"/>
                <w:bCs w:val="1"/>
                <w:color w:val="auto"/>
              </w:rPr>
              <w:t>Name and Address of Benefcial Owner</w:t>
            </w:r>
          </w:p>
        </w:tc>
        <w:tc>
          <w:tcPr>
            <w:tcW w:w="1860" w:type="dxa"/>
            <w:vAlign w:val="bottom"/>
            <w:tcBorders>
              <w:bottom w:val="single" w:sz="8" w:color="F2F2F2"/>
            </w:tcBorders>
            <w:shd w:val="clear" w:color="auto" w:fill="F2F2F2"/>
          </w:tcPr>
          <w:p>
            <w:pPr>
              <w:jc w:val="center"/>
              <w:ind w:left="41"/>
              <w:spacing w:after="0"/>
              <w:rPr>
                <w:sz w:val="20"/>
                <w:szCs w:val="20"/>
                <w:color w:val="auto"/>
              </w:rPr>
            </w:pPr>
            <w:r>
              <w:rPr>
                <w:rFonts w:ascii="Arial" w:cs="Arial" w:eastAsia="Arial" w:hAnsi="Arial"/>
                <w:sz w:val="14"/>
                <w:szCs w:val="14"/>
                <w:b w:val="1"/>
                <w:bCs w:val="1"/>
                <w:color w:val="auto"/>
              </w:rPr>
              <w:t>Title of Class</w:t>
            </w:r>
          </w:p>
        </w:tc>
        <w:tc>
          <w:tcPr>
            <w:tcW w:w="1600" w:type="dxa"/>
            <w:vAlign w:val="bottom"/>
            <w:tcBorders>
              <w:bottom w:val="single" w:sz="8" w:color="F2F2F2"/>
            </w:tcBorders>
            <w:shd w:val="clear" w:color="auto" w:fill="F2F2F2"/>
          </w:tcPr>
          <w:p>
            <w:pPr>
              <w:jc w:val="right"/>
              <w:ind w:right="182"/>
              <w:spacing w:after="0"/>
              <w:rPr>
                <w:sz w:val="20"/>
                <w:szCs w:val="20"/>
                <w:color w:val="auto"/>
              </w:rPr>
            </w:pPr>
            <w:r>
              <w:rPr>
                <w:rFonts w:ascii="Arial" w:cs="Arial" w:eastAsia="Arial" w:hAnsi="Arial"/>
                <w:sz w:val="14"/>
                <w:szCs w:val="14"/>
                <w:b w:val="1"/>
                <w:bCs w:val="1"/>
                <w:color w:val="auto"/>
              </w:rPr>
              <w:t>of Ownership</w:t>
            </w:r>
          </w:p>
        </w:tc>
        <w:tc>
          <w:tcPr>
            <w:tcW w:w="1020" w:type="dxa"/>
            <w:vAlign w:val="bottom"/>
            <w:tcBorders>
              <w:bottom w:val="single" w:sz="8" w:color="F2F2F2"/>
            </w:tcBorders>
            <w:shd w:val="clear" w:color="auto" w:fill="F2F2F2"/>
          </w:tcPr>
          <w:p>
            <w:pPr>
              <w:jc w:val="right"/>
              <w:ind w:right="85"/>
              <w:spacing w:after="0" w:line="210" w:lineRule="exact"/>
              <w:rPr>
                <w:sz w:val="20"/>
                <w:szCs w:val="20"/>
                <w:color w:val="auto"/>
              </w:rPr>
            </w:pPr>
            <w:r>
              <w:rPr>
                <w:rFonts w:ascii="Arial" w:cs="Arial" w:eastAsia="Arial" w:hAnsi="Arial"/>
                <w:sz w:val="24"/>
                <w:szCs w:val="24"/>
                <w:b w:val="1"/>
                <w:bCs w:val="1"/>
                <w:color w:val="auto"/>
                <w:vertAlign w:val="subscript"/>
              </w:rPr>
              <w:t>Class</w:t>
            </w:r>
            <w:r>
              <w:rPr>
                <w:rFonts w:ascii="Arial" w:cs="Arial" w:eastAsia="Arial" w:hAnsi="Arial"/>
                <w:sz w:val="10"/>
                <w:szCs w:val="10"/>
                <w:b w:val="1"/>
                <w:bCs w:val="1"/>
                <w:color w:val="auto"/>
              </w:rPr>
              <w:t>(1), (2)</w:t>
            </w:r>
          </w:p>
        </w:tc>
        <w:tc>
          <w:tcPr>
            <w:tcW w:w="20" w:type="dxa"/>
            <w:vAlign w:val="bottom"/>
          </w:tcPr>
          <w:p>
            <w:pPr>
              <w:spacing w:after="0"/>
              <w:rPr>
                <w:sz w:val="18"/>
                <w:szCs w:val="18"/>
                <w:color w:val="auto"/>
              </w:rPr>
            </w:pPr>
          </w:p>
        </w:tc>
      </w:tr>
      <w:tr>
        <w:trPr>
          <w:trHeight w:val="245"/>
        </w:trPr>
        <w:tc>
          <w:tcPr>
            <w:tcW w:w="5240" w:type="dxa"/>
            <w:vAlign w:val="bottom"/>
          </w:tcPr>
          <w:p>
            <w:pPr>
              <w:ind w:left="120"/>
              <w:spacing w:after="0" w:line="245" w:lineRule="exact"/>
              <w:rPr>
                <w:sz w:val="20"/>
                <w:szCs w:val="20"/>
                <w:color w:val="auto"/>
              </w:rPr>
            </w:pPr>
            <w:r>
              <w:rPr>
                <w:rFonts w:ascii="Arial" w:cs="Arial" w:eastAsia="Arial" w:hAnsi="Arial"/>
                <w:sz w:val="16"/>
                <w:szCs w:val="16"/>
                <w:color w:val="auto"/>
              </w:rPr>
              <w:t>BlackRock,  Inc.</w:t>
            </w:r>
            <w:r>
              <w:rPr>
                <w:rFonts w:ascii="Arial" w:cs="Arial" w:eastAsia="Arial" w:hAnsi="Arial"/>
                <w:sz w:val="24"/>
                <w:szCs w:val="24"/>
                <w:color w:val="auto"/>
                <w:vertAlign w:val="superscript"/>
              </w:rPr>
              <w:t>(3)</w:t>
            </w:r>
          </w:p>
        </w:tc>
        <w:tc>
          <w:tcPr>
            <w:tcW w:w="1860" w:type="dxa"/>
            <w:vAlign w:val="bottom"/>
          </w:tcPr>
          <w:p>
            <w:pPr>
              <w:jc w:val="center"/>
              <w:ind w:left="61"/>
              <w:spacing w:after="0"/>
              <w:rPr>
                <w:sz w:val="20"/>
                <w:szCs w:val="20"/>
                <w:color w:val="auto"/>
              </w:rPr>
            </w:pPr>
            <w:r>
              <w:rPr>
                <w:rFonts w:ascii="Arial" w:cs="Arial" w:eastAsia="Arial" w:hAnsi="Arial"/>
                <w:sz w:val="16"/>
                <w:szCs w:val="16"/>
                <w:color w:val="auto"/>
              </w:rPr>
              <w:t>Common  Stock</w:t>
            </w:r>
          </w:p>
        </w:tc>
        <w:tc>
          <w:tcPr>
            <w:tcW w:w="1600" w:type="dxa"/>
            <w:vAlign w:val="bottom"/>
          </w:tcPr>
          <w:p>
            <w:pPr>
              <w:jc w:val="right"/>
              <w:spacing w:after="0"/>
              <w:rPr>
                <w:sz w:val="20"/>
                <w:szCs w:val="20"/>
                <w:color w:val="auto"/>
              </w:rPr>
            </w:pPr>
            <w:r>
              <w:rPr>
                <w:rFonts w:ascii="Arial" w:cs="Arial" w:eastAsia="Arial" w:hAnsi="Arial"/>
                <w:sz w:val="16"/>
                <w:szCs w:val="16"/>
                <w:color w:val="auto"/>
              </w:rPr>
              <w:t>21,530,333</w:t>
            </w:r>
          </w:p>
        </w:tc>
        <w:tc>
          <w:tcPr>
            <w:tcW w:w="1020" w:type="dxa"/>
            <w:vAlign w:val="bottom"/>
          </w:tcPr>
          <w:p>
            <w:pPr>
              <w:jc w:val="right"/>
              <w:spacing w:after="0"/>
              <w:rPr>
                <w:sz w:val="20"/>
                <w:szCs w:val="20"/>
                <w:color w:val="auto"/>
              </w:rPr>
            </w:pPr>
            <w:r>
              <w:rPr>
                <w:rFonts w:ascii="Arial" w:cs="Arial" w:eastAsia="Arial" w:hAnsi="Arial"/>
                <w:sz w:val="16"/>
                <w:szCs w:val="16"/>
                <w:color w:val="auto"/>
              </w:rPr>
              <w:t>6.6  %</w:t>
            </w:r>
          </w:p>
        </w:tc>
        <w:tc>
          <w:tcPr>
            <w:tcW w:w="20" w:type="dxa"/>
            <w:vAlign w:val="bottom"/>
          </w:tcPr>
          <w:p>
            <w:pPr>
              <w:spacing w:after="0"/>
              <w:rPr>
                <w:sz w:val="21"/>
                <w:szCs w:val="21"/>
                <w:color w:val="auto"/>
              </w:rPr>
            </w:pPr>
          </w:p>
        </w:tc>
      </w:tr>
      <w:tr>
        <w:trPr>
          <w:trHeight w:val="229"/>
        </w:trPr>
        <w:tc>
          <w:tcPr>
            <w:tcW w:w="5240" w:type="dxa"/>
            <w:vAlign w:val="bottom"/>
          </w:tcPr>
          <w:p>
            <w:pPr>
              <w:ind w:left="220"/>
              <w:spacing w:after="0"/>
              <w:rPr>
                <w:sz w:val="20"/>
                <w:szCs w:val="20"/>
                <w:color w:val="auto"/>
              </w:rPr>
            </w:pPr>
            <w:r>
              <w:rPr>
                <w:rFonts w:ascii="Arial" w:cs="Arial" w:eastAsia="Arial" w:hAnsi="Arial"/>
                <w:sz w:val="16"/>
                <w:szCs w:val="16"/>
                <w:color w:val="auto"/>
              </w:rPr>
              <w:t>50  Hudson  Yards</w:t>
            </w:r>
          </w:p>
        </w:tc>
        <w:tc>
          <w:tcPr>
            <w:tcW w:w="18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4"/>
        </w:trPr>
        <w:tc>
          <w:tcPr>
            <w:tcW w:w="5240" w:type="dxa"/>
            <w:vAlign w:val="bottom"/>
            <w:tcBorders>
              <w:bottom w:val="single" w:sz="8" w:color="808080"/>
            </w:tcBorders>
          </w:tcPr>
          <w:p>
            <w:pPr>
              <w:ind w:left="220"/>
              <w:spacing w:after="0"/>
              <w:rPr>
                <w:sz w:val="20"/>
                <w:szCs w:val="20"/>
                <w:color w:val="auto"/>
              </w:rPr>
            </w:pPr>
            <w:r>
              <w:rPr>
                <w:rFonts w:ascii="Arial" w:cs="Arial" w:eastAsia="Arial" w:hAnsi="Arial"/>
                <w:sz w:val="16"/>
                <w:szCs w:val="16"/>
                <w:color w:val="auto"/>
              </w:rPr>
              <w:t>New  York,  NY  10001</w:t>
            </w:r>
          </w:p>
        </w:tc>
        <w:tc>
          <w:tcPr>
            <w:tcW w:w="1860" w:type="dxa"/>
            <w:vAlign w:val="bottom"/>
            <w:tcBorders>
              <w:bottom w:val="single" w:sz="8" w:color="808080"/>
            </w:tcBorders>
          </w:tcPr>
          <w:p>
            <w:pPr>
              <w:spacing w:after="0"/>
              <w:rPr>
                <w:sz w:val="18"/>
                <w:szCs w:val="18"/>
                <w:color w:val="auto"/>
              </w:rPr>
            </w:pPr>
          </w:p>
        </w:tc>
        <w:tc>
          <w:tcPr>
            <w:tcW w:w="1600" w:type="dxa"/>
            <w:vAlign w:val="bottom"/>
            <w:tcBorders>
              <w:bottom w:val="single" w:sz="8" w:color="808080"/>
            </w:tcBorders>
          </w:tcPr>
          <w:p>
            <w:pPr>
              <w:spacing w:after="0"/>
              <w:rPr>
                <w:sz w:val="18"/>
                <w:szCs w:val="18"/>
                <w:color w:val="auto"/>
              </w:rPr>
            </w:pPr>
          </w:p>
        </w:tc>
        <w:tc>
          <w:tcPr>
            <w:tcW w:w="1020" w:type="dxa"/>
            <w:vAlign w:val="bottom"/>
            <w:tcBorders>
              <w:bottom w:val="single" w:sz="8" w:color="808080"/>
            </w:tcBorders>
          </w:tcPr>
          <w:p>
            <w:pPr>
              <w:spacing w:after="0"/>
              <w:rPr>
                <w:sz w:val="18"/>
                <w:szCs w:val="18"/>
                <w:color w:val="auto"/>
              </w:rPr>
            </w:pPr>
          </w:p>
        </w:tc>
        <w:tc>
          <w:tcPr>
            <w:tcW w:w="20" w:type="dxa"/>
            <w:vAlign w:val="bottom"/>
          </w:tcPr>
          <w:p>
            <w:pPr>
              <w:spacing w:after="0"/>
              <w:rPr>
                <w:sz w:val="18"/>
                <w:szCs w:val="18"/>
                <w:color w:val="auto"/>
              </w:rPr>
            </w:pPr>
          </w:p>
        </w:tc>
      </w:tr>
      <w:tr>
        <w:trPr>
          <w:trHeight w:val="239"/>
        </w:trPr>
        <w:tc>
          <w:tcPr>
            <w:tcW w:w="5240" w:type="dxa"/>
            <w:vAlign w:val="bottom"/>
          </w:tcPr>
          <w:p>
            <w:pPr>
              <w:ind w:left="120"/>
              <w:spacing w:after="0" w:line="239" w:lineRule="exact"/>
              <w:rPr>
                <w:sz w:val="20"/>
                <w:szCs w:val="20"/>
                <w:color w:val="auto"/>
              </w:rPr>
            </w:pPr>
            <w:r>
              <w:rPr>
                <w:rFonts w:ascii="Arial" w:cs="Arial" w:eastAsia="Arial" w:hAnsi="Arial"/>
                <w:sz w:val="16"/>
                <w:szCs w:val="16"/>
                <w:color w:val="auto"/>
              </w:rPr>
              <w:t xml:space="preserve">Capital  International  Investors  </w:t>
            </w:r>
            <w:r>
              <w:rPr>
                <w:rFonts w:ascii="Arial" w:cs="Arial" w:eastAsia="Arial" w:hAnsi="Arial"/>
                <w:sz w:val="24"/>
                <w:szCs w:val="24"/>
                <w:color w:val="auto"/>
                <w:vertAlign w:val="superscript"/>
              </w:rPr>
              <w:t>(4)</w:t>
            </w:r>
          </w:p>
        </w:tc>
        <w:tc>
          <w:tcPr>
            <w:tcW w:w="1860" w:type="dxa"/>
            <w:vAlign w:val="bottom"/>
          </w:tcPr>
          <w:p>
            <w:pPr>
              <w:jc w:val="center"/>
              <w:ind w:left="61"/>
              <w:spacing w:after="0"/>
              <w:rPr>
                <w:sz w:val="20"/>
                <w:szCs w:val="20"/>
                <w:color w:val="auto"/>
              </w:rPr>
            </w:pPr>
            <w:r>
              <w:rPr>
                <w:rFonts w:ascii="Arial" w:cs="Arial" w:eastAsia="Arial" w:hAnsi="Arial"/>
                <w:sz w:val="16"/>
                <w:szCs w:val="16"/>
                <w:color w:val="auto"/>
              </w:rPr>
              <w:t>Common  Stock</w:t>
            </w:r>
          </w:p>
        </w:tc>
        <w:tc>
          <w:tcPr>
            <w:tcW w:w="1600" w:type="dxa"/>
            <w:vAlign w:val="bottom"/>
          </w:tcPr>
          <w:p>
            <w:pPr>
              <w:jc w:val="right"/>
              <w:spacing w:after="0"/>
              <w:rPr>
                <w:sz w:val="20"/>
                <w:szCs w:val="20"/>
                <w:color w:val="auto"/>
              </w:rPr>
            </w:pPr>
            <w:r>
              <w:rPr>
                <w:rFonts w:ascii="Arial" w:cs="Arial" w:eastAsia="Arial" w:hAnsi="Arial"/>
                <w:sz w:val="16"/>
                <w:szCs w:val="16"/>
                <w:color w:val="auto"/>
              </w:rPr>
              <w:t>18,214,883</w:t>
            </w:r>
          </w:p>
        </w:tc>
        <w:tc>
          <w:tcPr>
            <w:tcW w:w="1020" w:type="dxa"/>
            <w:vAlign w:val="bottom"/>
          </w:tcPr>
          <w:p>
            <w:pPr>
              <w:jc w:val="right"/>
              <w:spacing w:after="0"/>
              <w:rPr>
                <w:sz w:val="20"/>
                <w:szCs w:val="20"/>
                <w:color w:val="auto"/>
              </w:rPr>
            </w:pPr>
            <w:r>
              <w:rPr>
                <w:rFonts w:ascii="Arial" w:cs="Arial" w:eastAsia="Arial" w:hAnsi="Arial"/>
                <w:sz w:val="16"/>
                <w:szCs w:val="16"/>
                <w:color w:val="auto"/>
              </w:rPr>
              <w:t>5.6  %</w:t>
            </w:r>
          </w:p>
        </w:tc>
        <w:tc>
          <w:tcPr>
            <w:tcW w:w="20" w:type="dxa"/>
            <w:vAlign w:val="bottom"/>
          </w:tcPr>
          <w:p>
            <w:pPr>
              <w:spacing w:after="0"/>
              <w:rPr>
                <w:sz w:val="20"/>
                <w:szCs w:val="20"/>
                <w:color w:val="auto"/>
              </w:rPr>
            </w:pPr>
          </w:p>
        </w:tc>
      </w:tr>
      <w:tr>
        <w:trPr>
          <w:trHeight w:val="189"/>
        </w:trPr>
        <w:tc>
          <w:tcPr>
            <w:tcW w:w="5240" w:type="dxa"/>
            <w:vAlign w:val="bottom"/>
          </w:tcPr>
          <w:p>
            <w:pPr>
              <w:ind w:left="220"/>
              <w:spacing w:after="0"/>
              <w:rPr>
                <w:sz w:val="20"/>
                <w:szCs w:val="20"/>
                <w:color w:val="auto"/>
              </w:rPr>
            </w:pPr>
            <w:r>
              <w:rPr>
                <w:rFonts w:ascii="Arial" w:cs="Arial" w:eastAsia="Arial" w:hAnsi="Arial"/>
                <w:sz w:val="16"/>
                <w:szCs w:val="16"/>
                <w:color w:val="auto"/>
              </w:rPr>
              <w:t>333  South  Hope  Street,  55th  Floor</w:t>
            </w:r>
          </w:p>
        </w:tc>
        <w:tc>
          <w:tcPr>
            <w:tcW w:w="18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48"/>
        </w:trPr>
        <w:tc>
          <w:tcPr>
            <w:tcW w:w="5240" w:type="dxa"/>
            <w:vAlign w:val="bottom"/>
            <w:tcBorders>
              <w:bottom w:val="single" w:sz="8" w:color="808080"/>
            </w:tcBorders>
          </w:tcPr>
          <w:p>
            <w:pPr>
              <w:ind w:left="220"/>
              <w:spacing w:after="0"/>
              <w:rPr>
                <w:sz w:val="20"/>
                <w:szCs w:val="20"/>
                <w:color w:val="auto"/>
              </w:rPr>
            </w:pPr>
            <w:r>
              <w:rPr>
                <w:rFonts w:ascii="Arial" w:cs="Arial" w:eastAsia="Arial" w:hAnsi="Arial"/>
                <w:sz w:val="16"/>
                <w:szCs w:val="16"/>
                <w:color w:val="auto"/>
              </w:rPr>
              <w:t>Los  Angeles,  CA  90071</w:t>
            </w:r>
          </w:p>
        </w:tc>
        <w:tc>
          <w:tcPr>
            <w:tcW w:w="1860" w:type="dxa"/>
            <w:vAlign w:val="bottom"/>
            <w:tcBorders>
              <w:bottom w:val="single" w:sz="8" w:color="808080"/>
            </w:tcBorders>
          </w:tcPr>
          <w:p>
            <w:pPr>
              <w:spacing w:after="0"/>
              <w:rPr>
                <w:sz w:val="21"/>
                <w:szCs w:val="21"/>
                <w:color w:val="auto"/>
              </w:rPr>
            </w:pPr>
          </w:p>
        </w:tc>
        <w:tc>
          <w:tcPr>
            <w:tcW w:w="1600" w:type="dxa"/>
            <w:vAlign w:val="bottom"/>
            <w:tcBorders>
              <w:bottom w:val="single" w:sz="8" w:color="808080"/>
            </w:tcBorders>
          </w:tcPr>
          <w:p>
            <w:pPr>
              <w:spacing w:after="0"/>
              <w:rPr>
                <w:sz w:val="21"/>
                <w:szCs w:val="21"/>
                <w:color w:val="auto"/>
              </w:rPr>
            </w:pPr>
          </w:p>
        </w:tc>
        <w:tc>
          <w:tcPr>
            <w:tcW w:w="1020" w:type="dxa"/>
            <w:vAlign w:val="bottom"/>
            <w:tcBorders>
              <w:bottom w:val="single" w:sz="8" w:color="808080"/>
            </w:tcBorders>
          </w:tcPr>
          <w:p>
            <w:pPr>
              <w:spacing w:after="0"/>
              <w:rPr>
                <w:sz w:val="21"/>
                <w:szCs w:val="21"/>
                <w:color w:val="auto"/>
              </w:rPr>
            </w:pPr>
          </w:p>
        </w:tc>
        <w:tc>
          <w:tcPr>
            <w:tcW w:w="20" w:type="dxa"/>
            <w:vAlign w:val="bottom"/>
          </w:tcPr>
          <w:p>
            <w:pPr>
              <w:spacing w:after="0"/>
              <w:rPr>
                <w:sz w:val="21"/>
                <w:szCs w:val="21"/>
                <w:color w:val="auto"/>
              </w:rPr>
            </w:pPr>
          </w:p>
        </w:tc>
      </w:tr>
      <w:tr>
        <w:trPr>
          <w:trHeight w:val="245"/>
        </w:trPr>
        <w:tc>
          <w:tcPr>
            <w:tcW w:w="5240" w:type="dxa"/>
            <w:vAlign w:val="bottom"/>
          </w:tcPr>
          <w:p>
            <w:pPr>
              <w:ind w:left="120"/>
              <w:spacing w:after="0" w:line="245" w:lineRule="exact"/>
              <w:rPr>
                <w:sz w:val="20"/>
                <w:szCs w:val="20"/>
                <w:color w:val="auto"/>
              </w:rPr>
            </w:pPr>
            <w:r>
              <w:rPr>
                <w:rFonts w:ascii="Arial" w:cs="Arial" w:eastAsia="Arial" w:hAnsi="Arial"/>
                <w:sz w:val="16"/>
                <w:szCs w:val="16"/>
                <w:color w:val="auto"/>
              </w:rPr>
              <w:t>FMR  LLC</w:t>
            </w:r>
            <w:r>
              <w:rPr>
                <w:rFonts w:ascii="Arial" w:cs="Arial" w:eastAsia="Arial" w:hAnsi="Arial"/>
                <w:sz w:val="24"/>
                <w:szCs w:val="24"/>
                <w:color w:val="auto"/>
                <w:vertAlign w:val="superscript"/>
              </w:rPr>
              <w:t>(5)</w:t>
            </w:r>
          </w:p>
        </w:tc>
        <w:tc>
          <w:tcPr>
            <w:tcW w:w="1860" w:type="dxa"/>
            <w:vAlign w:val="bottom"/>
          </w:tcPr>
          <w:p>
            <w:pPr>
              <w:jc w:val="center"/>
              <w:ind w:left="61"/>
              <w:spacing w:after="0"/>
              <w:rPr>
                <w:sz w:val="20"/>
                <w:szCs w:val="20"/>
                <w:color w:val="auto"/>
              </w:rPr>
            </w:pPr>
            <w:r>
              <w:rPr>
                <w:rFonts w:ascii="Arial" w:cs="Arial" w:eastAsia="Arial" w:hAnsi="Arial"/>
                <w:sz w:val="16"/>
                <w:szCs w:val="16"/>
                <w:color w:val="auto"/>
              </w:rPr>
              <w:t>Common  Stock</w:t>
            </w:r>
          </w:p>
        </w:tc>
        <w:tc>
          <w:tcPr>
            <w:tcW w:w="1600" w:type="dxa"/>
            <w:vAlign w:val="bottom"/>
          </w:tcPr>
          <w:p>
            <w:pPr>
              <w:jc w:val="right"/>
              <w:spacing w:after="0"/>
              <w:rPr>
                <w:sz w:val="20"/>
                <w:szCs w:val="20"/>
                <w:color w:val="auto"/>
              </w:rPr>
            </w:pPr>
            <w:r>
              <w:rPr>
                <w:rFonts w:ascii="Arial" w:cs="Arial" w:eastAsia="Arial" w:hAnsi="Arial"/>
                <w:sz w:val="16"/>
                <w:szCs w:val="16"/>
                <w:color w:val="auto"/>
              </w:rPr>
              <w:t>16,417,563</w:t>
            </w:r>
          </w:p>
        </w:tc>
        <w:tc>
          <w:tcPr>
            <w:tcW w:w="1020" w:type="dxa"/>
            <w:vAlign w:val="bottom"/>
          </w:tcPr>
          <w:p>
            <w:pPr>
              <w:jc w:val="right"/>
              <w:spacing w:after="0"/>
              <w:rPr>
                <w:sz w:val="20"/>
                <w:szCs w:val="20"/>
                <w:color w:val="auto"/>
              </w:rPr>
            </w:pPr>
            <w:r>
              <w:rPr>
                <w:rFonts w:ascii="Arial" w:cs="Arial" w:eastAsia="Arial" w:hAnsi="Arial"/>
                <w:sz w:val="16"/>
                <w:szCs w:val="16"/>
                <w:color w:val="auto"/>
              </w:rPr>
              <w:t>5.1  %</w:t>
            </w:r>
          </w:p>
        </w:tc>
        <w:tc>
          <w:tcPr>
            <w:tcW w:w="20" w:type="dxa"/>
            <w:vAlign w:val="bottom"/>
          </w:tcPr>
          <w:p>
            <w:pPr>
              <w:spacing w:after="0"/>
              <w:rPr>
                <w:sz w:val="21"/>
                <w:szCs w:val="21"/>
                <w:color w:val="auto"/>
              </w:rPr>
            </w:pPr>
          </w:p>
        </w:tc>
      </w:tr>
      <w:tr>
        <w:trPr>
          <w:trHeight w:val="229"/>
        </w:trPr>
        <w:tc>
          <w:tcPr>
            <w:tcW w:w="5240" w:type="dxa"/>
            <w:vAlign w:val="bottom"/>
          </w:tcPr>
          <w:p>
            <w:pPr>
              <w:ind w:left="220"/>
              <w:spacing w:after="0"/>
              <w:rPr>
                <w:sz w:val="20"/>
                <w:szCs w:val="20"/>
                <w:color w:val="auto"/>
              </w:rPr>
            </w:pPr>
            <w:r>
              <w:rPr>
                <w:rFonts w:ascii="Arial" w:cs="Arial" w:eastAsia="Arial" w:hAnsi="Arial"/>
                <w:sz w:val="16"/>
                <w:szCs w:val="16"/>
                <w:color w:val="auto"/>
              </w:rPr>
              <w:t>245  Summer  Street</w:t>
            </w:r>
          </w:p>
        </w:tc>
        <w:tc>
          <w:tcPr>
            <w:tcW w:w="18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4"/>
        </w:trPr>
        <w:tc>
          <w:tcPr>
            <w:tcW w:w="5240" w:type="dxa"/>
            <w:vAlign w:val="bottom"/>
            <w:tcBorders>
              <w:bottom w:val="single" w:sz="8" w:color="808080"/>
            </w:tcBorders>
          </w:tcPr>
          <w:p>
            <w:pPr>
              <w:ind w:left="220"/>
              <w:spacing w:after="0"/>
              <w:rPr>
                <w:sz w:val="20"/>
                <w:szCs w:val="20"/>
                <w:color w:val="auto"/>
              </w:rPr>
            </w:pPr>
            <w:r>
              <w:rPr>
                <w:rFonts w:ascii="Arial" w:cs="Arial" w:eastAsia="Arial" w:hAnsi="Arial"/>
                <w:sz w:val="16"/>
                <w:szCs w:val="16"/>
                <w:color w:val="auto"/>
              </w:rPr>
              <w:t>Boston,  MA  02210</w:t>
            </w:r>
          </w:p>
        </w:tc>
        <w:tc>
          <w:tcPr>
            <w:tcW w:w="1860" w:type="dxa"/>
            <w:vAlign w:val="bottom"/>
            <w:tcBorders>
              <w:bottom w:val="single" w:sz="8" w:color="808080"/>
            </w:tcBorders>
          </w:tcPr>
          <w:p>
            <w:pPr>
              <w:spacing w:after="0"/>
              <w:rPr>
                <w:sz w:val="18"/>
                <w:szCs w:val="18"/>
                <w:color w:val="auto"/>
              </w:rPr>
            </w:pPr>
          </w:p>
        </w:tc>
        <w:tc>
          <w:tcPr>
            <w:tcW w:w="1600" w:type="dxa"/>
            <w:vAlign w:val="bottom"/>
            <w:tcBorders>
              <w:bottom w:val="single" w:sz="8" w:color="808080"/>
            </w:tcBorders>
          </w:tcPr>
          <w:p>
            <w:pPr>
              <w:spacing w:after="0"/>
              <w:rPr>
                <w:sz w:val="18"/>
                <w:szCs w:val="18"/>
                <w:color w:val="auto"/>
              </w:rPr>
            </w:pPr>
          </w:p>
        </w:tc>
        <w:tc>
          <w:tcPr>
            <w:tcW w:w="1020" w:type="dxa"/>
            <w:vAlign w:val="bottom"/>
            <w:tcBorders>
              <w:bottom w:val="single" w:sz="8" w:color="808080"/>
            </w:tcBorders>
          </w:tcPr>
          <w:p>
            <w:pPr>
              <w:spacing w:after="0"/>
              <w:rPr>
                <w:sz w:val="18"/>
                <w:szCs w:val="18"/>
                <w:color w:val="auto"/>
              </w:rPr>
            </w:pPr>
          </w:p>
        </w:tc>
        <w:tc>
          <w:tcPr>
            <w:tcW w:w="20" w:type="dxa"/>
            <w:vAlign w:val="bottom"/>
          </w:tcPr>
          <w:p>
            <w:pPr>
              <w:spacing w:after="0"/>
              <w:rPr>
                <w:sz w:val="18"/>
                <w:szCs w:val="18"/>
                <w:color w:val="auto"/>
              </w:rPr>
            </w:pPr>
          </w:p>
        </w:tc>
      </w:tr>
      <w:tr>
        <w:trPr>
          <w:trHeight w:val="201"/>
        </w:trPr>
        <w:tc>
          <w:tcPr>
            <w:tcW w:w="5240" w:type="dxa"/>
            <w:vAlign w:val="bottom"/>
          </w:tcPr>
          <w:p>
            <w:pPr>
              <w:ind w:left="220"/>
              <w:spacing w:after="0"/>
              <w:rPr>
                <w:sz w:val="20"/>
                <w:szCs w:val="20"/>
                <w:color w:val="auto"/>
              </w:rPr>
            </w:pPr>
            <w:r>
              <w:rPr>
                <w:rFonts w:ascii="Arial" w:cs="Arial" w:eastAsia="Arial" w:hAnsi="Arial"/>
                <w:sz w:val="16"/>
                <w:szCs w:val="16"/>
                <w:color w:val="auto"/>
              </w:rPr>
              <w:t>United  Airlines  Pilots  Master  Executive  Council,</w:t>
            </w:r>
          </w:p>
        </w:tc>
        <w:tc>
          <w:tcPr>
            <w:tcW w:w="1860" w:type="dxa"/>
            <w:vAlign w:val="bottom"/>
          </w:tcPr>
          <w:p>
            <w:pPr>
              <w:jc w:val="center"/>
              <w:ind w:left="1"/>
              <w:spacing w:after="0"/>
              <w:rPr>
                <w:sz w:val="20"/>
                <w:szCs w:val="20"/>
                <w:color w:val="auto"/>
              </w:rPr>
            </w:pPr>
            <w:r>
              <w:rPr>
                <w:rFonts w:ascii="Arial" w:cs="Arial" w:eastAsia="Arial" w:hAnsi="Arial"/>
                <w:sz w:val="16"/>
                <w:szCs w:val="16"/>
                <w:color w:val="auto"/>
                <w:w w:val="91"/>
              </w:rPr>
              <w:t>Class  Pilot  MEC</w:t>
            </w:r>
          </w:p>
        </w:tc>
        <w:tc>
          <w:tcPr>
            <w:tcW w:w="1600" w:type="dxa"/>
            <w:vAlign w:val="bottom"/>
          </w:tcPr>
          <w:p>
            <w:pPr>
              <w:jc w:val="right"/>
              <w:spacing w:after="0"/>
              <w:rPr>
                <w:sz w:val="20"/>
                <w:szCs w:val="20"/>
                <w:color w:val="auto"/>
              </w:rPr>
            </w:pPr>
            <w:r>
              <w:rPr>
                <w:rFonts w:ascii="Arial" w:cs="Arial" w:eastAsia="Arial" w:hAnsi="Arial"/>
                <w:sz w:val="16"/>
                <w:szCs w:val="16"/>
                <w:color w:val="auto"/>
              </w:rPr>
              <w:t>1</w:t>
            </w:r>
          </w:p>
        </w:tc>
        <w:tc>
          <w:tcPr>
            <w:tcW w:w="1020" w:type="dxa"/>
            <w:vAlign w:val="bottom"/>
          </w:tcPr>
          <w:p>
            <w:pPr>
              <w:jc w:val="right"/>
              <w:spacing w:after="0"/>
              <w:rPr>
                <w:sz w:val="20"/>
                <w:szCs w:val="20"/>
                <w:color w:val="auto"/>
              </w:rPr>
            </w:pPr>
            <w:r>
              <w:rPr>
                <w:rFonts w:ascii="Arial" w:cs="Arial" w:eastAsia="Arial" w:hAnsi="Arial"/>
                <w:sz w:val="16"/>
                <w:szCs w:val="16"/>
                <w:color w:val="auto"/>
              </w:rPr>
              <w:t>100  %</w:t>
            </w:r>
          </w:p>
        </w:tc>
        <w:tc>
          <w:tcPr>
            <w:tcW w:w="20" w:type="dxa"/>
            <w:vAlign w:val="bottom"/>
          </w:tcPr>
          <w:p>
            <w:pPr>
              <w:spacing w:after="0"/>
              <w:rPr>
                <w:sz w:val="17"/>
                <w:szCs w:val="17"/>
                <w:color w:val="auto"/>
              </w:rPr>
            </w:pPr>
          </w:p>
        </w:tc>
      </w:tr>
      <w:tr>
        <w:trPr>
          <w:trHeight w:val="267"/>
        </w:trPr>
        <w:tc>
          <w:tcPr>
            <w:tcW w:w="5240" w:type="dxa"/>
            <w:vAlign w:val="bottom"/>
          </w:tcPr>
          <w:p>
            <w:pPr>
              <w:ind w:left="220"/>
              <w:spacing w:after="0" w:line="267" w:lineRule="exact"/>
              <w:rPr>
                <w:sz w:val="20"/>
                <w:szCs w:val="20"/>
                <w:color w:val="auto"/>
              </w:rPr>
            </w:pPr>
            <w:r>
              <w:rPr>
                <w:rFonts w:ascii="Arial" w:cs="Arial" w:eastAsia="Arial" w:hAnsi="Arial"/>
                <w:sz w:val="16"/>
                <w:szCs w:val="16"/>
                <w:color w:val="auto"/>
              </w:rPr>
              <w:t>Air  Line  Pilots  Association,  International</w:t>
            </w:r>
            <w:r>
              <w:rPr>
                <w:rFonts w:ascii="Arial" w:cs="Arial" w:eastAsia="Arial" w:hAnsi="Arial"/>
                <w:sz w:val="24"/>
                <w:szCs w:val="24"/>
                <w:color w:val="auto"/>
                <w:vertAlign w:val="superscript"/>
              </w:rPr>
              <w:t>(6)</w:t>
            </w:r>
          </w:p>
        </w:tc>
        <w:tc>
          <w:tcPr>
            <w:tcW w:w="1860" w:type="dxa"/>
            <w:vAlign w:val="bottom"/>
          </w:tcPr>
          <w:p>
            <w:pPr>
              <w:jc w:val="center"/>
              <w:ind w:left="61"/>
              <w:spacing w:after="0"/>
              <w:rPr>
                <w:sz w:val="20"/>
                <w:szCs w:val="20"/>
                <w:color w:val="auto"/>
              </w:rPr>
            </w:pPr>
            <w:r>
              <w:rPr>
                <w:rFonts w:ascii="Arial" w:cs="Arial" w:eastAsia="Arial" w:hAnsi="Arial"/>
                <w:sz w:val="16"/>
                <w:szCs w:val="16"/>
                <w:color w:val="auto"/>
                <w:w w:val="99"/>
              </w:rPr>
              <w:t>Junior  Preferred  Stock</w:t>
            </w:r>
          </w:p>
        </w:tc>
        <w:tc>
          <w:tcPr>
            <w:tcW w:w="16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03"/>
        </w:trPr>
        <w:tc>
          <w:tcPr>
            <w:tcW w:w="5240" w:type="dxa"/>
            <w:vAlign w:val="bottom"/>
          </w:tcPr>
          <w:p>
            <w:pPr>
              <w:ind w:left="220"/>
              <w:spacing w:after="0"/>
              <w:rPr>
                <w:sz w:val="20"/>
                <w:szCs w:val="20"/>
                <w:color w:val="auto"/>
              </w:rPr>
            </w:pPr>
            <w:r>
              <w:rPr>
                <w:rFonts w:ascii="Arial" w:cs="Arial" w:eastAsia="Arial" w:hAnsi="Arial"/>
                <w:sz w:val="16"/>
                <w:szCs w:val="16"/>
                <w:color w:val="auto"/>
              </w:rPr>
              <w:t>9550  West  Higgins  Road,  Suite  1000</w:t>
            </w:r>
          </w:p>
        </w:tc>
        <w:tc>
          <w:tcPr>
            <w:tcW w:w="18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5"/>
        </w:trPr>
        <w:tc>
          <w:tcPr>
            <w:tcW w:w="5240" w:type="dxa"/>
            <w:vAlign w:val="bottom"/>
            <w:tcBorders>
              <w:bottom w:val="single" w:sz="8" w:color="808080"/>
            </w:tcBorders>
          </w:tcPr>
          <w:p>
            <w:pPr>
              <w:ind w:left="220"/>
              <w:spacing w:after="0"/>
              <w:rPr>
                <w:sz w:val="20"/>
                <w:szCs w:val="20"/>
                <w:color w:val="auto"/>
              </w:rPr>
            </w:pPr>
            <w:r>
              <w:rPr>
                <w:rFonts w:ascii="Arial" w:cs="Arial" w:eastAsia="Arial" w:hAnsi="Arial"/>
                <w:sz w:val="16"/>
                <w:szCs w:val="16"/>
                <w:color w:val="auto"/>
              </w:rPr>
              <w:t>Rosemont,  IL  60018</w:t>
            </w:r>
          </w:p>
        </w:tc>
        <w:tc>
          <w:tcPr>
            <w:tcW w:w="1860" w:type="dxa"/>
            <w:vAlign w:val="bottom"/>
            <w:tcBorders>
              <w:bottom w:val="single" w:sz="8" w:color="808080"/>
            </w:tcBorders>
          </w:tcPr>
          <w:p>
            <w:pPr>
              <w:spacing w:after="0"/>
              <w:rPr>
                <w:sz w:val="20"/>
                <w:szCs w:val="20"/>
                <w:color w:val="auto"/>
              </w:rPr>
            </w:pPr>
          </w:p>
        </w:tc>
        <w:tc>
          <w:tcPr>
            <w:tcW w:w="1600" w:type="dxa"/>
            <w:vAlign w:val="bottom"/>
            <w:tcBorders>
              <w:bottom w:val="single" w:sz="8" w:color="808080"/>
            </w:tcBorders>
          </w:tcPr>
          <w:p>
            <w:pPr>
              <w:spacing w:after="0"/>
              <w:rPr>
                <w:sz w:val="20"/>
                <w:szCs w:val="20"/>
                <w:color w:val="auto"/>
              </w:rPr>
            </w:pPr>
          </w:p>
        </w:tc>
        <w:tc>
          <w:tcPr>
            <w:tcW w:w="1020" w:type="dxa"/>
            <w:vAlign w:val="bottom"/>
            <w:tcBorders>
              <w:bottom w:val="single" w:sz="8" w:color="808080"/>
            </w:tcBorders>
          </w:tcPr>
          <w:p>
            <w:pPr>
              <w:spacing w:after="0"/>
              <w:rPr>
                <w:sz w:val="20"/>
                <w:szCs w:val="20"/>
                <w:color w:val="auto"/>
              </w:rPr>
            </w:pPr>
          </w:p>
        </w:tc>
        <w:tc>
          <w:tcPr>
            <w:tcW w:w="20" w:type="dxa"/>
            <w:vAlign w:val="bottom"/>
          </w:tcPr>
          <w:p>
            <w:pPr>
              <w:spacing w:after="0"/>
              <w:rPr>
                <w:sz w:val="20"/>
                <w:szCs w:val="20"/>
                <w:color w:val="auto"/>
              </w:rPr>
            </w:pPr>
          </w:p>
        </w:tc>
      </w:tr>
      <w:tr>
        <w:trPr>
          <w:trHeight w:val="231"/>
        </w:trPr>
        <w:tc>
          <w:tcPr>
            <w:tcW w:w="5240" w:type="dxa"/>
            <w:vAlign w:val="bottom"/>
          </w:tcPr>
          <w:p>
            <w:pPr>
              <w:ind w:left="220"/>
              <w:spacing w:after="0" w:line="230" w:lineRule="exact"/>
              <w:rPr>
                <w:sz w:val="20"/>
                <w:szCs w:val="20"/>
                <w:color w:val="auto"/>
              </w:rPr>
            </w:pPr>
            <w:r>
              <w:rPr>
                <w:rFonts w:ascii="Arial" w:cs="Arial" w:eastAsia="Arial" w:hAnsi="Arial"/>
                <w:sz w:val="16"/>
                <w:szCs w:val="16"/>
                <w:color w:val="auto"/>
              </w:rPr>
              <w:t>International  Association  of  Machinists  and  Aerospace  Workers</w:t>
            </w:r>
            <w:r>
              <w:rPr>
                <w:rFonts w:ascii="Arial" w:cs="Arial" w:eastAsia="Arial" w:hAnsi="Arial"/>
                <w:sz w:val="24"/>
                <w:szCs w:val="24"/>
                <w:color w:val="auto"/>
                <w:vertAlign w:val="superscript"/>
              </w:rPr>
              <w:t>(6)</w:t>
            </w:r>
          </w:p>
        </w:tc>
        <w:tc>
          <w:tcPr>
            <w:tcW w:w="1860" w:type="dxa"/>
            <w:vAlign w:val="bottom"/>
          </w:tcPr>
          <w:p>
            <w:pPr>
              <w:jc w:val="center"/>
              <w:ind w:left="1"/>
              <w:spacing w:after="0"/>
              <w:rPr>
                <w:sz w:val="20"/>
                <w:szCs w:val="20"/>
                <w:color w:val="auto"/>
              </w:rPr>
            </w:pPr>
            <w:r>
              <w:rPr>
                <w:rFonts w:ascii="Arial" w:cs="Arial" w:eastAsia="Arial" w:hAnsi="Arial"/>
                <w:sz w:val="16"/>
                <w:szCs w:val="16"/>
                <w:color w:val="auto"/>
                <w:w w:val="95"/>
              </w:rPr>
              <w:t>Class  IAM</w:t>
            </w:r>
          </w:p>
        </w:tc>
        <w:tc>
          <w:tcPr>
            <w:tcW w:w="1600" w:type="dxa"/>
            <w:vAlign w:val="bottom"/>
          </w:tcPr>
          <w:p>
            <w:pPr>
              <w:jc w:val="right"/>
              <w:spacing w:after="0"/>
              <w:rPr>
                <w:sz w:val="20"/>
                <w:szCs w:val="20"/>
                <w:color w:val="auto"/>
              </w:rPr>
            </w:pPr>
            <w:r>
              <w:rPr>
                <w:rFonts w:ascii="Arial" w:cs="Arial" w:eastAsia="Arial" w:hAnsi="Arial"/>
                <w:sz w:val="16"/>
                <w:szCs w:val="16"/>
                <w:color w:val="auto"/>
              </w:rPr>
              <w:t>1</w:t>
            </w:r>
          </w:p>
        </w:tc>
        <w:tc>
          <w:tcPr>
            <w:tcW w:w="1020" w:type="dxa"/>
            <w:vAlign w:val="bottom"/>
          </w:tcPr>
          <w:p>
            <w:pPr>
              <w:jc w:val="right"/>
              <w:spacing w:after="0"/>
              <w:rPr>
                <w:sz w:val="20"/>
                <w:szCs w:val="20"/>
                <w:color w:val="auto"/>
              </w:rPr>
            </w:pPr>
            <w:r>
              <w:rPr>
                <w:rFonts w:ascii="Arial" w:cs="Arial" w:eastAsia="Arial" w:hAnsi="Arial"/>
                <w:sz w:val="16"/>
                <w:szCs w:val="16"/>
                <w:color w:val="auto"/>
              </w:rPr>
              <w:t>100  %</w:t>
            </w:r>
          </w:p>
        </w:tc>
        <w:tc>
          <w:tcPr>
            <w:tcW w:w="20" w:type="dxa"/>
            <w:vAlign w:val="bottom"/>
          </w:tcPr>
          <w:p>
            <w:pPr>
              <w:spacing w:after="0"/>
              <w:rPr>
                <w:sz w:val="20"/>
                <w:szCs w:val="20"/>
                <w:color w:val="auto"/>
              </w:rPr>
            </w:pPr>
          </w:p>
        </w:tc>
      </w:tr>
      <w:tr>
        <w:trPr>
          <w:trHeight w:val="203"/>
        </w:trPr>
        <w:tc>
          <w:tcPr>
            <w:tcW w:w="5240" w:type="dxa"/>
            <w:vAlign w:val="bottom"/>
          </w:tcPr>
          <w:p>
            <w:pPr>
              <w:ind w:left="220"/>
              <w:spacing w:after="0"/>
              <w:rPr>
                <w:sz w:val="20"/>
                <w:szCs w:val="20"/>
                <w:color w:val="auto"/>
              </w:rPr>
            </w:pPr>
            <w:r>
              <w:rPr>
                <w:rFonts w:ascii="Arial" w:cs="Arial" w:eastAsia="Arial" w:hAnsi="Arial"/>
                <w:sz w:val="16"/>
                <w:szCs w:val="16"/>
                <w:color w:val="auto"/>
              </w:rPr>
              <w:t>District  #141  900  Machinists  Place</w:t>
            </w:r>
          </w:p>
        </w:tc>
        <w:tc>
          <w:tcPr>
            <w:tcW w:w="1860" w:type="dxa"/>
            <w:vAlign w:val="bottom"/>
          </w:tcPr>
          <w:p>
            <w:pPr>
              <w:jc w:val="center"/>
              <w:ind w:left="61"/>
              <w:spacing w:after="0"/>
              <w:rPr>
                <w:sz w:val="20"/>
                <w:szCs w:val="20"/>
                <w:color w:val="auto"/>
              </w:rPr>
            </w:pPr>
            <w:r>
              <w:rPr>
                <w:rFonts w:ascii="Arial" w:cs="Arial" w:eastAsia="Arial" w:hAnsi="Arial"/>
                <w:sz w:val="16"/>
                <w:szCs w:val="16"/>
                <w:color w:val="auto"/>
                <w:w w:val="99"/>
              </w:rPr>
              <w:t>Junior  Preferred  Stock</w:t>
            </w:r>
          </w:p>
        </w:tc>
        <w:tc>
          <w:tcPr>
            <w:tcW w:w="16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r>
    </w:tbl>
    <w:p>
      <w:pPr>
        <w:ind w:left="220"/>
        <w:spacing w:after="0"/>
        <w:rPr>
          <w:sz w:val="20"/>
          <w:szCs w:val="20"/>
          <w:color w:val="auto"/>
        </w:rPr>
      </w:pPr>
      <w:r>
        <w:rPr>
          <w:rFonts w:ascii="Arial" w:cs="Arial" w:eastAsia="Arial" w:hAnsi="Arial"/>
          <w:sz w:val="16"/>
          <w:szCs w:val="16"/>
          <w:color w:val="auto"/>
        </w:rPr>
        <w:t>Upper  Marlboro,  MD  20722</w:t>
      </w:r>
    </w:p>
    <w:p>
      <w:pPr>
        <w:spacing w:after="0" w:line="200" w:lineRule="exact"/>
        <w:rPr>
          <w:sz w:val="20"/>
          <w:szCs w:val="20"/>
          <w:color w:val="auto"/>
        </w:rPr>
      </w:pPr>
    </w:p>
    <w:p>
      <w:pPr>
        <w:ind w:left="320" w:right="220" w:hanging="316"/>
        <w:spacing w:after="0" w:line="214" w:lineRule="auto"/>
        <w:tabs>
          <w:tab w:leader="none" w:pos="320" w:val="left"/>
        </w:tabs>
        <w:numPr>
          <w:ilvl w:val="0"/>
          <w:numId w:val="73"/>
        </w:numPr>
        <w:rPr>
          <w:rFonts w:ascii="Arial" w:cs="Arial" w:eastAsia="Arial" w:hAnsi="Arial"/>
          <w:sz w:val="22"/>
          <w:szCs w:val="22"/>
          <w:color w:val="auto"/>
          <w:vertAlign w:val="superscript"/>
        </w:rPr>
      </w:pPr>
      <w:r>
        <w:rPr>
          <w:rFonts w:ascii="Arial" w:cs="Arial" w:eastAsia="Arial" w:hAnsi="Arial"/>
          <w:sz w:val="14"/>
          <w:szCs w:val="14"/>
          <w:color w:val="auto"/>
        </w:rPr>
        <w:t>For benefcial owners of Common Stock, percentages are calculated based upon 324,649,382 shares of Common Stock outstanding as of March 24, 2026.</w:t>
      </w:r>
    </w:p>
    <w:p>
      <w:pPr>
        <w:spacing w:after="0" w:line="76" w:lineRule="exact"/>
        <w:rPr>
          <w:rFonts w:ascii="Arial" w:cs="Arial" w:eastAsia="Arial" w:hAnsi="Arial"/>
          <w:sz w:val="22"/>
          <w:szCs w:val="22"/>
          <w:color w:val="auto"/>
          <w:vertAlign w:val="superscript"/>
        </w:rPr>
      </w:pPr>
    </w:p>
    <w:p>
      <w:pPr>
        <w:ind w:left="320" w:right="60" w:hanging="316"/>
        <w:spacing w:after="0" w:line="227" w:lineRule="auto"/>
        <w:tabs>
          <w:tab w:leader="none" w:pos="320" w:val="left"/>
        </w:tabs>
        <w:numPr>
          <w:ilvl w:val="0"/>
          <w:numId w:val="73"/>
        </w:numPr>
        <w:rPr>
          <w:rFonts w:ascii="Arial" w:cs="Arial" w:eastAsia="Arial" w:hAnsi="Arial"/>
          <w:sz w:val="22"/>
          <w:szCs w:val="22"/>
          <w:color w:val="auto"/>
          <w:vertAlign w:val="superscript"/>
        </w:rPr>
      </w:pPr>
      <w:r>
        <w:rPr>
          <w:rFonts w:ascii="Arial" w:cs="Arial" w:eastAsia="Arial" w:hAnsi="Arial"/>
          <w:sz w:val="14"/>
          <w:szCs w:val="14"/>
          <w:color w:val="auto"/>
        </w:rPr>
        <w:t>The Vanguard Group, Inc. (“Vanguard”) previously reported, in Amendment No. 11 to its Schedule 13G fled with the SEC on February 13, 2024, benefcial ownership as of December 29, 2023. Based solely on such fling, Vanguard, on behalf of itself and certain wholly owned subsidiaries, reported benefcial ownership of 37,024,814 shares, including shared voting power over 276,619 shares, sole dispositive power over 36,086,062 shares and shared dispositive power over 938,752 shares. Based on Amendment No. 12 to its Schedule 13G fled on March 27, 2026, Vanguard disclosed that, following an internal realignment on January 12, 2026, and in accordance with SEC Release No.</w:t>
      </w:r>
    </w:p>
    <w:p>
      <w:pPr>
        <w:spacing w:after="0" w:line="2" w:lineRule="exact"/>
        <w:rPr>
          <w:rFonts w:ascii="Arial" w:cs="Arial" w:eastAsia="Arial" w:hAnsi="Arial"/>
          <w:sz w:val="22"/>
          <w:szCs w:val="22"/>
          <w:color w:val="auto"/>
          <w:vertAlign w:val="superscript"/>
        </w:rPr>
      </w:pPr>
    </w:p>
    <w:p>
      <w:pPr>
        <w:ind w:left="320" w:right="40"/>
        <w:spacing w:after="0" w:line="276" w:lineRule="auto"/>
        <w:rPr>
          <w:rFonts w:ascii="Arial" w:cs="Arial" w:eastAsia="Arial" w:hAnsi="Arial"/>
          <w:sz w:val="22"/>
          <w:szCs w:val="22"/>
          <w:color w:val="auto"/>
          <w:vertAlign w:val="superscript"/>
        </w:rPr>
      </w:pPr>
      <w:r>
        <w:rPr>
          <w:rFonts w:ascii="Arial" w:cs="Arial" w:eastAsia="Arial" w:hAnsi="Arial"/>
          <w:sz w:val="14"/>
          <w:szCs w:val="14"/>
          <w:color w:val="auto"/>
        </w:rPr>
        <w:t>34-39538 ( January 12, 1998), certain subsidiaries or business divisions of subsidiaries that previously may have been deemed to share benefcial ownership with Vanguard will report benefcial ownership separately on a disaggregated basis. These subsidiaries and/or business divisions continue to pursue the same investment strategies as prior to the realignment. As a result, Vanguard no longer has, and is no longer deemed to have, benefcial ownership over securities held by such entities. Accordingly, Vanguard has been removed from the foregoing table.</w:t>
      </w:r>
    </w:p>
    <w:p>
      <w:pPr>
        <w:spacing w:after="0" w:line="231" w:lineRule="exact"/>
        <w:rPr>
          <w:rFonts w:ascii="Arial" w:cs="Arial" w:eastAsia="Arial" w:hAnsi="Arial"/>
          <w:sz w:val="22"/>
          <w:szCs w:val="22"/>
          <w:color w:val="auto"/>
          <w:vertAlign w:val="superscript"/>
        </w:rPr>
      </w:pPr>
    </w:p>
    <w:p>
      <w:pPr>
        <w:ind w:left="320" w:right="360" w:hanging="316"/>
        <w:spacing w:after="0" w:line="214" w:lineRule="auto"/>
        <w:tabs>
          <w:tab w:leader="none" w:pos="320" w:val="left"/>
        </w:tabs>
        <w:numPr>
          <w:ilvl w:val="0"/>
          <w:numId w:val="73"/>
        </w:numPr>
        <w:rPr>
          <w:rFonts w:ascii="Arial" w:cs="Arial" w:eastAsia="Arial" w:hAnsi="Arial"/>
          <w:sz w:val="22"/>
          <w:szCs w:val="22"/>
          <w:color w:val="auto"/>
          <w:vertAlign w:val="superscript"/>
        </w:rPr>
      </w:pPr>
      <w:r>
        <w:rPr>
          <w:rFonts w:ascii="Arial" w:cs="Arial" w:eastAsia="Arial" w:hAnsi="Arial"/>
          <w:sz w:val="14"/>
          <w:szCs w:val="14"/>
          <w:color w:val="auto"/>
        </w:rPr>
        <w:t>Based solely on a Schedule 13G/A (Amendment No. 3) fled on January 29, 2024, in which BlackRock, Inc., on behalf of itself and certain subsidiaries, reported sole voting power for 20,557,095 shares and sole dispositive power for 21,530,333 shares.</w:t>
      </w:r>
    </w:p>
    <w:p>
      <w:pPr>
        <w:spacing w:after="0" w:line="76" w:lineRule="exact"/>
        <w:rPr>
          <w:rFonts w:ascii="Arial" w:cs="Arial" w:eastAsia="Arial" w:hAnsi="Arial"/>
          <w:sz w:val="22"/>
          <w:szCs w:val="22"/>
          <w:color w:val="auto"/>
          <w:vertAlign w:val="superscript"/>
        </w:rPr>
      </w:pPr>
    </w:p>
    <w:p>
      <w:pPr>
        <w:ind w:left="320" w:right="380" w:hanging="316"/>
        <w:spacing w:after="0" w:line="214" w:lineRule="auto"/>
        <w:tabs>
          <w:tab w:leader="none" w:pos="320" w:val="left"/>
        </w:tabs>
        <w:numPr>
          <w:ilvl w:val="0"/>
          <w:numId w:val="73"/>
        </w:numPr>
        <w:rPr>
          <w:rFonts w:ascii="Arial" w:cs="Arial" w:eastAsia="Arial" w:hAnsi="Arial"/>
          <w:sz w:val="22"/>
          <w:szCs w:val="22"/>
          <w:color w:val="auto"/>
          <w:vertAlign w:val="superscript"/>
        </w:rPr>
      </w:pPr>
      <w:r>
        <w:rPr>
          <w:rFonts w:ascii="Arial" w:cs="Arial" w:eastAsia="Arial" w:hAnsi="Arial"/>
          <w:sz w:val="14"/>
          <w:szCs w:val="14"/>
          <w:color w:val="auto"/>
        </w:rPr>
        <w:t>Based solely on a Schedule 13G/A (Amendment No. 2) fled on February 13, 2026, in which Capital International Investors, on behalf of itself and certain subsidiaries, reported sole voting power for 18,205,976 shares and sole dispositive power for 18,214,883 shares.</w:t>
      </w:r>
    </w:p>
    <w:p>
      <w:pPr>
        <w:spacing w:after="0" w:line="76" w:lineRule="exact"/>
        <w:rPr>
          <w:rFonts w:ascii="Arial" w:cs="Arial" w:eastAsia="Arial" w:hAnsi="Arial"/>
          <w:sz w:val="22"/>
          <w:szCs w:val="22"/>
          <w:color w:val="auto"/>
          <w:vertAlign w:val="superscript"/>
        </w:rPr>
      </w:pPr>
    </w:p>
    <w:p>
      <w:pPr>
        <w:ind w:left="320" w:right="460" w:hanging="316"/>
        <w:spacing w:after="0" w:line="214" w:lineRule="auto"/>
        <w:tabs>
          <w:tab w:leader="none" w:pos="320" w:val="left"/>
        </w:tabs>
        <w:numPr>
          <w:ilvl w:val="0"/>
          <w:numId w:val="73"/>
        </w:numPr>
        <w:rPr>
          <w:rFonts w:ascii="Arial" w:cs="Arial" w:eastAsia="Arial" w:hAnsi="Arial"/>
          <w:sz w:val="22"/>
          <w:szCs w:val="22"/>
          <w:color w:val="auto"/>
          <w:vertAlign w:val="superscript"/>
        </w:rPr>
      </w:pPr>
      <w:r>
        <w:rPr>
          <w:rFonts w:ascii="Arial" w:cs="Arial" w:eastAsia="Arial" w:hAnsi="Arial"/>
          <w:sz w:val="14"/>
          <w:szCs w:val="14"/>
          <w:color w:val="auto"/>
        </w:rPr>
        <w:t>Based solely on a Schedule 13G fled on February 5, 2026, in which FMR LLC, on behalf of itself and certain subsidiaries, reported sole voting power for 15,070,211.30 shares and sole dispositive power for 16,417,562.77 shares.</w:t>
      </w:r>
    </w:p>
    <w:p>
      <w:pPr>
        <w:spacing w:after="0" w:line="143" w:lineRule="exact"/>
        <w:rPr>
          <w:rFonts w:ascii="Arial" w:cs="Arial" w:eastAsia="Arial" w:hAnsi="Arial"/>
          <w:sz w:val="22"/>
          <w:szCs w:val="22"/>
          <w:color w:val="auto"/>
          <w:vertAlign w:val="superscript"/>
        </w:rPr>
      </w:pPr>
    </w:p>
    <w:p>
      <w:pPr>
        <w:ind w:left="320" w:right="100" w:hanging="316"/>
        <w:spacing w:after="0" w:line="222" w:lineRule="auto"/>
        <w:tabs>
          <w:tab w:leader="none" w:pos="320" w:val="left"/>
        </w:tabs>
        <w:numPr>
          <w:ilvl w:val="0"/>
          <w:numId w:val="73"/>
        </w:numPr>
        <w:rPr>
          <w:rFonts w:ascii="Arial" w:cs="Arial" w:eastAsia="Arial" w:hAnsi="Arial"/>
          <w:sz w:val="22"/>
          <w:szCs w:val="22"/>
          <w:color w:val="auto"/>
          <w:vertAlign w:val="superscript"/>
        </w:rPr>
      </w:pPr>
      <w:r>
        <w:rPr>
          <w:rFonts w:ascii="Arial" w:cs="Arial" w:eastAsia="Arial" w:hAnsi="Arial"/>
          <w:sz w:val="14"/>
          <w:szCs w:val="14"/>
          <w:color w:val="auto"/>
        </w:rPr>
        <w:t>Shares of Class Pilot MEC and Class IAM stock elect one ALPA and IAM director, respectively, and have one vote on all matters submitted to the holders of Common Stock other than the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2026  Proxy  Statement</w:t>
      </w:r>
    </w:p>
    <w:p>
      <w:pPr>
        <w:spacing w:after="0" w:line="167" w:lineRule="exact"/>
        <w:rPr>
          <w:sz w:val="20"/>
          <w:szCs w:val="20"/>
          <w:color w:val="auto"/>
        </w:rPr>
      </w:pPr>
    </w:p>
    <w:p>
      <w:pPr>
        <w:ind w:left="9540"/>
        <w:spacing w:after="0"/>
        <w:rPr>
          <w:sz w:val="20"/>
          <w:szCs w:val="20"/>
          <w:color w:val="auto"/>
        </w:rPr>
      </w:pPr>
      <w:r>
        <w:rPr>
          <w:rFonts w:ascii="Arial" w:cs="Arial" w:eastAsia="Arial" w:hAnsi="Arial"/>
          <w:sz w:val="16"/>
          <w:szCs w:val="16"/>
          <w:b w:val="1"/>
          <w:bCs w:val="1"/>
          <w:color w:val="1414D2"/>
        </w:rPr>
        <w:t>67</w:t>
      </w:r>
    </w:p>
    <w:p>
      <w:pPr>
        <w:sectPr>
          <w:pgSz w:w="11900" w:h="16838" w:orient="portrait"/>
          <w:cols w:equalWidth="0" w:num="1">
            <w:col w:w="9740"/>
          </w:cols>
          <w:pgMar w:left="1080" w:top="695" w:right="1079" w:bottom="1440" w:gutter="0" w:footer="0" w:header="0"/>
        </w:sectPr>
      </w:pPr>
    </w:p>
    <w:bookmarkStart w:id="78" w:name="page79"/>
    <w:bookmarkEnd w:id="78"/>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6D6F71"/>
        </w:rPr>
        <w:t>Securities  Ownership</w:t>
      </w:r>
    </w:p>
    <w:p>
      <w:pPr>
        <w:spacing w:after="0" w:line="223" w:lineRule="exact"/>
        <w:rPr>
          <w:sz w:val="20"/>
          <w:szCs w:val="20"/>
          <w:color w:val="auto"/>
        </w:rPr>
      </w:pPr>
    </w:p>
    <w:p>
      <w:pPr>
        <w:spacing w:after="0"/>
        <w:rPr>
          <w:sz w:val="20"/>
          <w:szCs w:val="20"/>
          <w:color w:val="auto"/>
        </w:rPr>
      </w:pPr>
      <w:r>
        <w:rPr>
          <w:rFonts w:ascii="Arial" w:cs="Arial" w:eastAsia="Arial" w:hAnsi="Arial"/>
          <w:sz w:val="25"/>
          <w:szCs w:val="25"/>
          <w:b w:val="1"/>
          <w:bCs w:val="1"/>
          <w:color w:val="1414D2"/>
        </w:rPr>
        <w:t>Directors and Executive Ofcers</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the  number  of  shares  of  Common  Stock  owned  by  our  directors,  director  nominees,  the  named</w:t>
      </w:r>
    </w:p>
    <w:p>
      <w:pPr>
        <w:spacing w:after="0" w:line="19" w:lineRule="exact"/>
        <w:rPr>
          <w:sz w:val="20"/>
          <w:szCs w:val="20"/>
          <w:color w:val="auto"/>
        </w:rPr>
      </w:pPr>
    </w:p>
    <w:p>
      <w:pPr>
        <w:ind w:right="60"/>
        <w:spacing w:after="0" w:line="268" w:lineRule="auto"/>
        <w:rPr>
          <w:sz w:val="20"/>
          <w:szCs w:val="20"/>
          <w:color w:val="auto"/>
        </w:rPr>
      </w:pPr>
      <w:r>
        <w:rPr>
          <w:rFonts w:ascii="Arial" w:cs="Arial" w:eastAsia="Arial" w:hAnsi="Arial"/>
          <w:sz w:val="16"/>
          <w:szCs w:val="16"/>
          <w:color w:val="auto"/>
        </w:rPr>
        <w:t>executive ofcers identifed in this Proxy Statement and all our directors, director nominees and executive ofcers as a group as of March 24, 2026. The persons listed below have sole voting and investment power with respect to all shares of Common Stock benefcially owned by them, except to the extent this power may be shared with a spouse, or as otherwise described in the footnotes following the table.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860" w:type="dxa"/>
            <w:vAlign w:val="bottom"/>
            <w:tcBorders>
              <w:top w:val="single" w:sz="8" w:color="1414D2"/>
            </w:tcBorders>
            <w:shd w:val="clear" w:color="auto" w:fill="F2F2F2"/>
          </w:tcPr>
          <w:p>
            <w:pPr>
              <w:spacing w:after="0"/>
              <w:rPr>
                <w:sz w:val="23"/>
                <w:szCs w:val="23"/>
                <w:color w:val="auto"/>
              </w:rPr>
            </w:pPr>
          </w:p>
        </w:tc>
        <w:tc>
          <w:tcPr>
            <w:tcW w:w="280" w:type="dxa"/>
            <w:vAlign w:val="bottom"/>
            <w:tcBorders>
              <w:top w:val="single" w:sz="8" w:color="1414D2"/>
            </w:tcBorders>
            <w:shd w:val="clear" w:color="auto" w:fill="F2F2F2"/>
          </w:tcPr>
          <w:p>
            <w:pPr>
              <w:ind w:left="100"/>
              <w:spacing w:after="0"/>
              <w:rPr>
                <w:sz w:val="20"/>
                <w:szCs w:val="20"/>
                <w:color w:val="auto"/>
              </w:rPr>
            </w:pPr>
            <w:r>
              <w:rPr>
                <w:rFonts w:ascii="Arial" w:cs="Arial" w:eastAsia="Arial" w:hAnsi="Arial"/>
                <w:sz w:val="20"/>
                <w:szCs w:val="20"/>
                <w:b w:val="1"/>
                <w:bCs w:val="1"/>
                <w:color w:val="auto"/>
              </w:rPr>
              <w:t>​​​</w:t>
            </w:r>
          </w:p>
        </w:tc>
        <w:tc>
          <w:tcPr>
            <w:tcW w:w="1120" w:type="dxa"/>
            <w:vAlign w:val="bottom"/>
            <w:tcBorders>
              <w:top w:val="single" w:sz="8" w:color="1414D2"/>
            </w:tcBorders>
            <w:shd w:val="clear" w:color="auto" w:fill="F2F2F2"/>
          </w:tcPr>
          <w:p>
            <w:pPr>
              <w:jc w:val="center"/>
              <w:spacing w:after="0"/>
              <w:rPr>
                <w:sz w:val="20"/>
                <w:szCs w:val="20"/>
                <w:color w:val="auto"/>
              </w:rPr>
            </w:pPr>
            <w:r>
              <w:rPr>
                <w:rFonts w:ascii="Arial" w:cs="Arial" w:eastAsia="Arial" w:hAnsi="Arial"/>
                <w:sz w:val="14"/>
                <w:szCs w:val="14"/>
                <w:b w:val="1"/>
                <w:bCs w:val="1"/>
                <w:color w:val="auto"/>
              </w:rPr>
              <w:t>Amount and</w:t>
            </w:r>
          </w:p>
        </w:tc>
        <w:tc>
          <w:tcPr>
            <w:tcW w:w="240" w:type="dxa"/>
            <w:vAlign w:val="bottom"/>
            <w:tcBorders>
              <w:top w:val="single" w:sz="8" w:color="1414D2"/>
            </w:tcBorders>
            <w:shd w:val="clear" w:color="auto" w:fill="F2F2F2"/>
          </w:tcPr>
          <w:p>
            <w:pPr>
              <w:spacing w:after="0"/>
              <w:rPr>
                <w:sz w:val="23"/>
                <w:szCs w:val="23"/>
                <w:color w:val="auto"/>
              </w:rPr>
            </w:pPr>
          </w:p>
        </w:tc>
        <w:tc>
          <w:tcPr>
            <w:tcW w:w="1220" w:type="dxa"/>
            <w:vAlign w:val="bottom"/>
            <w:tcBorders>
              <w:top w:val="single" w:sz="8" w:color="1414D2"/>
            </w:tcBorders>
            <w:shd w:val="clear" w:color="auto" w:fill="F2F2F2"/>
          </w:tcPr>
          <w:p>
            <w:pPr>
              <w:spacing w:after="0"/>
              <w:rPr>
                <w:sz w:val="23"/>
                <w:szCs w:val="23"/>
                <w:color w:val="auto"/>
              </w:rPr>
            </w:pP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r>
      <w:tr>
        <w:trPr>
          <w:trHeight w:val="216"/>
        </w:trPr>
        <w:tc>
          <w:tcPr>
            <w:tcW w:w="6860" w:type="dxa"/>
            <w:vAlign w:val="bottom"/>
            <w:shd w:val="clear" w:color="auto" w:fill="F2F2F2"/>
          </w:tcPr>
          <w:p>
            <w:pPr>
              <w:spacing w:after="0"/>
              <w:rPr>
                <w:sz w:val="18"/>
                <w:szCs w:val="18"/>
                <w:color w:val="auto"/>
              </w:rPr>
            </w:pPr>
          </w:p>
        </w:tc>
        <w:tc>
          <w:tcPr>
            <w:tcW w:w="280" w:type="dxa"/>
            <w:vAlign w:val="bottom"/>
            <w:shd w:val="clear" w:color="auto" w:fill="F2F2F2"/>
          </w:tcPr>
          <w:p>
            <w:pPr>
              <w:spacing w:after="0"/>
              <w:rPr>
                <w:sz w:val="18"/>
                <w:szCs w:val="18"/>
                <w:color w:val="auto"/>
              </w:rPr>
            </w:pPr>
          </w:p>
        </w:tc>
        <w:tc>
          <w:tcPr>
            <w:tcW w:w="1120" w:type="dxa"/>
            <w:vAlign w:val="bottom"/>
            <w:shd w:val="clear" w:color="auto" w:fill="F2F2F2"/>
          </w:tcPr>
          <w:p>
            <w:pPr>
              <w:jc w:val="center"/>
              <w:spacing w:after="0"/>
              <w:rPr>
                <w:sz w:val="20"/>
                <w:szCs w:val="20"/>
                <w:color w:val="auto"/>
              </w:rPr>
            </w:pPr>
            <w:r>
              <w:rPr>
                <w:rFonts w:ascii="Arial" w:cs="Arial" w:eastAsia="Arial" w:hAnsi="Arial"/>
                <w:sz w:val="14"/>
                <w:szCs w:val="14"/>
                <w:b w:val="1"/>
                <w:bCs w:val="1"/>
                <w:color w:val="auto"/>
              </w:rPr>
              <w:t>Nature of</w:t>
            </w:r>
          </w:p>
        </w:tc>
        <w:tc>
          <w:tcPr>
            <w:tcW w:w="240" w:type="dxa"/>
            <w:vAlign w:val="bottom"/>
            <w:shd w:val="clear" w:color="auto" w:fill="F2F2F2"/>
          </w:tcPr>
          <w:p>
            <w:pPr>
              <w:spacing w:after="0"/>
              <w:rPr>
                <w:sz w:val="18"/>
                <w:szCs w:val="18"/>
                <w:color w:val="auto"/>
              </w:rPr>
            </w:pPr>
          </w:p>
        </w:tc>
        <w:tc>
          <w:tcPr>
            <w:tcW w:w="1220" w:type="dxa"/>
            <w:vAlign w:val="bottom"/>
            <w:shd w:val="clear" w:color="auto" w:fill="F2F2F2"/>
          </w:tcPr>
          <w:p>
            <w:pPr>
              <w:jc w:val="center"/>
              <w:spacing w:after="0"/>
              <w:rPr>
                <w:sz w:val="20"/>
                <w:szCs w:val="20"/>
                <w:color w:val="auto"/>
              </w:rPr>
            </w:pPr>
            <w:r>
              <w:rPr>
                <w:rFonts w:ascii="Arial" w:cs="Arial" w:eastAsia="Arial" w:hAnsi="Arial"/>
                <w:sz w:val="14"/>
                <w:szCs w:val="14"/>
                <w:b w:val="1"/>
                <w:bCs w:val="1"/>
                <w:color w:val="auto"/>
              </w:rPr>
              <w:t>Percent of</w:t>
            </w:r>
          </w:p>
        </w:tc>
        <w:tc>
          <w:tcPr>
            <w:tcW w:w="40" w:type="dxa"/>
            <w:vAlign w:val="bottom"/>
          </w:tcPr>
          <w:p>
            <w:pPr>
              <w:spacing w:after="0"/>
              <w:rPr>
                <w:sz w:val="18"/>
                <w:szCs w:val="18"/>
                <w:color w:val="auto"/>
              </w:rPr>
            </w:pPr>
          </w:p>
        </w:tc>
      </w:tr>
      <w:tr>
        <w:trPr>
          <w:trHeight w:val="277"/>
        </w:trPr>
        <w:tc>
          <w:tcPr>
            <w:tcW w:w="6860" w:type="dxa"/>
            <w:vAlign w:val="bottom"/>
            <w:tcBorders>
              <w:bottom w:val="single" w:sz="8" w:color="F2F2F2"/>
            </w:tcBorders>
            <w:shd w:val="clear" w:color="auto" w:fill="F2F2F2"/>
          </w:tcPr>
          <w:p>
            <w:pPr>
              <w:ind w:left="120"/>
              <w:spacing w:after="0"/>
              <w:rPr>
                <w:sz w:val="20"/>
                <w:szCs w:val="20"/>
                <w:color w:val="auto"/>
              </w:rPr>
            </w:pPr>
            <w:r>
              <w:rPr>
                <w:rFonts w:ascii="Arial" w:cs="Arial" w:eastAsia="Arial" w:hAnsi="Arial"/>
                <w:sz w:val="14"/>
                <w:szCs w:val="14"/>
                <w:b w:val="1"/>
                <w:bCs w:val="1"/>
                <w:color w:val="auto"/>
              </w:rPr>
              <w:t>Name of Benefcial Owner</w:t>
            </w:r>
          </w:p>
        </w:tc>
        <w:tc>
          <w:tcPr>
            <w:tcW w:w="280" w:type="dxa"/>
            <w:vAlign w:val="bottom"/>
            <w:tcBorders>
              <w:bottom w:val="single" w:sz="8" w:color="F2F2F2"/>
            </w:tcBorders>
            <w:shd w:val="clear" w:color="auto" w:fill="F2F2F2"/>
          </w:tcPr>
          <w:p>
            <w:pPr>
              <w:ind w:left="100"/>
              <w:spacing w:after="0"/>
              <w:rPr>
                <w:sz w:val="20"/>
                <w:szCs w:val="20"/>
                <w:color w:val="auto"/>
              </w:rPr>
            </w:pPr>
            <w:r>
              <w:rPr>
                <w:rFonts w:ascii="Arial" w:cs="Arial" w:eastAsia="Arial" w:hAnsi="Arial"/>
                <w:sz w:val="20"/>
                <w:szCs w:val="20"/>
                <w:b w:val="1"/>
                <w:bCs w:val="1"/>
                <w:color w:val="auto"/>
              </w:rPr>
              <w:t>​​​</w:t>
            </w:r>
          </w:p>
        </w:tc>
        <w:tc>
          <w:tcPr>
            <w:tcW w:w="112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b w:val="1"/>
                <w:bCs w:val="1"/>
                <w:color w:val="auto"/>
              </w:rPr>
              <w:t>Ownership (1)</w:t>
            </w:r>
          </w:p>
        </w:tc>
        <w:tc>
          <w:tcPr>
            <w:tcW w:w="240" w:type="dxa"/>
            <w:vAlign w:val="bottom"/>
            <w:tcBorders>
              <w:bottom w:val="single" w:sz="8" w:color="F2F2F2"/>
            </w:tcBorders>
            <w:shd w:val="clear" w:color="auto" w:fill="F2F2F2"/>
          </w:tcPr>
          <w:p>
            <w:pPr>
              <w:spacing w:after="0"/>
              <w:rPr>
                <w:sz w:val="24"/>
                <w:szCs w:val="24"/>
                <w:color w:val="auto"/>
              </w:rPr>
            </w:pPr>
          </w:p>
        </w:tc>
        <w:tc>
          <w:tcPr>
            <w:tcW w:w="122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b w:val="1"/>
                <w:bCs w:val="1"/>
                <w:color w:val="auto"/>
                <w:w w:val="96"/>
              </w:rPr>
              <w:t>Class</w:t>
            </w:r>
          </w:p>
        </w:tc>
        <w:tc>
          <w:tcPr>
            <w:tcW w:w="40" w:type="dxa"/>
            <w:vAlign w:val="bottom"/>
          </w:tcPr>
          <w:p>
            <w:pPr>
              <w:spacing w:after="0"/>
              <w:rPr>
                <w:sz w:val="24"/>
                <w:szCs w:val="24"/>
                <w:color w:val="auto"/>
              </w:rPr>
            </w:pPr>
          </w:p>
        </w:tc>
      </w:tr>
      <w:tr>
        <w:trPr>
          <w:trHeight w:val="243"/>
        </w:trPr>
        <w:tc>
          <w:tcPr>
            <w:tcW w:w="6860" w:type="dxa"/>
            <w:vAlign w:val="bottom"/>
          </w:tcPr>
          <w:p>
            <w:pPr>
              <w:ind w:left="120"/>
              <w:spacing w:after="0"/>
              <w:rPr>
                <w:sz w:val="20"/>
                <w:szCs w:val="20"/>
                <w:color w:val="auto"/>
              </w:rPr>
            </w:pPr>
            <w:r>
              <w:rPr>
                <w:rFonts w:ascii="Arial" w:cs="Arial" w:eastAsia="Arial" w:hAnsi="Arial"/>
                <w:sz w:val="16"/>
                <w:szCs w:val="16"/>
                <w:b w:val="1"/>
                <w:bCs w:val="1"/>
                <w:i w:val="1"/>
                <w:iCs w:val="1"/>
                <w:color w:val="auto"/>
              </w:rPr>
              <w:t>Directors</w:t>
            </w: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0"/>
                <w:szCs w:val="20"/>
                <w:color w:val="auto"/>
              </w:rPr>
            </w:pPr>
            <w:r>
              <w:rPr>
                <w:rFonts w:ascii="Arial" w:cs="Arial" w:eastAsia="Arial" w:hAnsi="Arial"/>
                <w:sz w:val="16"/>
                <w:szCs w:val="16"/>
                <w:color w:val="auto"/>
              </w:rPr>
              <w:t>​</w:t>
            </w:r>
          </w:p>
        </w:tc>
        <w:tc>
          <w:tcPr>
            <w:tcW w:w="1260" w:type="dxa"/>
            <w:vAlign w:val="bottom"/>
            <w:gridSpan w:val="2"/>
          </w:tcPr>
          <w:p>
            <w:pPr>
              <w:ind w:left="1140"/>
              <w:spacing w:after="0"/>
              <w:rPr>
                <w:sz w:val="20"/>
                <w:szCs w:val="20"/>
                <w:color w:val="auto"/>
              </w:rPr>
            </w:pPr>
            <w:r>
              <w:rPr>
                <w:rFonts w:ascii="Arial" w:cs="Arial" w:eastAsia="Arial" w:hAnsi="Arial"/>
                <w:sz w:val="16"/>
                <w:szCs w:val="16"/>
                <w:color w:val="auto"/>
              </w:rPr>
              <w:t>​</w:t>
            </w:r>
          </w:p>
        </w:tc>
      </w:tr>
      <w:tr>
        <w:trPr>
          <w:trHeight w:val="237"/>
        </w:trPr>
        <w:tc>
          <w:tcPr>
            <w:tcW w:w="6860" w:type="dxa"/>
            <w:vAlign w:val="bottom"/>
            <w:tcBorders>
              <w:top w:val="single" w:sz="8" w:color="808080"/>
              <w:bottom w:val="single" w:sz="8" w:color="808080"/>
            </w:tcBorders>
          </w:tcPr>
          <w:p>
            <w:pPr>
              <w:ind w:left="120"/>
              <w:spacing w:after="0"/>
              <w:rPr>
                <w:sz w:val="20"/>
                <w:szCs w:val="20"/>
                <w:color w:val="auto"/>
              </w:rPr>
            </w:pPr>
            <w:r>
              <w:rPr>
                <w:rFonts w:ascii="Arial" w:cs="Arial" w:eastAsia="Arial" w:hAnsi="Arial"/>
                <w:sz w:val="16"/>
                <w:szCs w:val="16"/>
                <w:color w:val="auto"/>
              </w:rPr>
              <w:t>Rosalind  Brewer  (2)(3)</w:t>
            </w:r>
          </w:p>
        </w:tc>
        <w:tc>
          <w:tcPr>
            <w:tcW w:w="280" w:type="dxa"/>
            <w:vAlign w:val="bottom"/>
            <w:tcBorders>
              <w:top w:val="single" w:sz="8" w:color="808080"/>
              <w:bottom w:val="single" w:sz="8" w:color="808080"/>
            </w:tcBorders>
          </w:tcPr>
          <w:p>
            <w:pPr>
              <w:spacing w:after="0"/>
              <w:rPr>
                <w:sz w:val="20"/>
                <w:szCs w:val="20"/>
                <w:color w:val="auto"/>
              </w:rPr>
            </w:pPr>
          </w:p>
        </w:tc>
        <w:tc>
          <w:tcPr>
            <w:tcW w:w="112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6"/>
                <w:szCs w:val="16"/>
                <w:color w:val="auto"/>
              </w:rPr>
              <w:t>6,064</w:t>
            </w:r>
          </w:p>
        </w:tc>
        <w:tc>
          <w:tcPr>
            <w:tcW w:w="240" w:type="dxa"/>
            <w:vAlign w:val="bottom"/>
            <w:tcBorders>
              <w:top w:val="single" w:sz="8" w:color="808080"/>
              <w:bottom w:val="single" w:sz="8" w:color="808080"/>
            </w:tcBorders>
          </w:tcPr>
          <w:p>
            <w:pPr>
              <w:spacing w:after="0"/>
              <w:rPr>
                <w:sz w:val="20"/>
                <w:szCs w:val="20"/>
                <w:color w:val="auto"/>
              </w:rPr>
            </w:pPr>
          </w:p>
        </w:tc>
        <w:tc>
          <w:tcPr>
            <w:tcW w:w="1220" w:type="dxa"/>
            <w:vAlign w:val="bottom"/>
            <w:tcBorders>
              <w:top w:val="single" w:sz="8" w:color="808080"/>
              <w:bottom w:val="single" w:sz="8" w:color="808080"/>
            </w:tcBorders>
          </w:tcPr>
          <w:p>
            <w:pPr>
              <w:jc w:val="center"/>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r>
      <w:tr>
        <w:trPr>
          <w:trHeight w:val="237"/>
        </w:trPr>
        <w:tc>
          <w:tcPr>
            <w:tcW w:w="6860" w:type="dxa"/>
            <w:vAlign w:val="bottom"/>
            <w:tcBorders>
              <w:bottom w:val="single" w:sz="8" w:color="808080"/>
            </w:tcBorders>
          </w:tcPr>
          <w:p>
            <w:pPr>
              <w:ind w:left="120"/>
              <w:spacing w:after="0"/>
              <w:rPr>
                <w:sz w:val="20"/>
                <w:szCs w:val="20"/>
                <w:color w:val="auto"/>
              </w:rPr>
            </w:pPr>
            <w:r>
              <w:rPr>
                <w:rFonts w:ascii="Arial" w:cs="Arial" w:eastAsia="Arial" w:hAnsi="Arial"/>
                <w:sz w:val="16"/>
                <w:szCs w:val="16"/>
                <w:color w:val="auto"/>
              </w:rPr>
              <w:t>Michelle  Freyre  (2)(3)</w:t>
            </w:r>
          </w:p>
        </w:tc>
        <w:tc>
          <w:tcPr>
            <w:tcW w:w="280" w:type="dxa"/>
            <w:vAlign w:val="bottom"/>
            <w:tcBorders>
              <w:bottom w:val="single" w:sz="8" w:color="808080"/>
            </w:tcBorders>
          </w:tcPr>
          <w:p>
            <w:pPr>
              <w:spacing w:after="0"/>
              <w:rPr>
                <w:sz w:val="20"/>
                <w:szCs w:val="20"/>
                <w:color w:val="auto"/>
              </w:rPr>
            </w:pPr>
          </w:p>
        </w:tc>
        <w:tc>
          <w:tcPr>
            <w:tcW w:w="1120" w:type="dxa"/>
            <w:vAlign w:val="bottom"/>
            <w:tcBorders>
              <w:bottom w:val="single" w:sz="8" w:color="808080"/>
            </w:tcBorders>
          </w:tcPr>
          <w:p>
            <w:pPr>
              <w:jc w:val="right"/>
              <w:spacing w:after="0"/>
              <w:rPr>
                <w:sz w:val="20"/>
                <w:szCs w:val="20"/>
                <w:color w:val="auto"/>
              </w:rPr>
            </w:pPr>
            <w:r>
              <w:rPr>
                <w:rFonts w:ascii="Arial" w:cs="Arial" w:eastAsia="Arial" w:hAnsi="Arial"/>
                <w:sz w:val="16"/>
                <w:szCs w:val="16"/>
                <w:color w:val="auto"/>
              </w:rPr>
              <w:t>3,239</w:t>
            </w:r>
          </w:p>
        </w:tc>
        <w:tc>
          <w:tcPr>
            <w:tcW w:w="240" w:type="dxa"/>
            <w:vAlign w:val="bottom"/>
            <w:tcBorders>
              <w:bottom w:val="single" w:sz="8" w:color="808080"/>
            </w:tcBorders>
          </w:tcPr>
          <w:p>
            <w:pPr>
              <w:spacing w:after="0"/>
              <w:rPr>
                <w:sz w:val="20"/>
                <w:szCs w:val="20"/>
                <w:color w:val="auto"/>
              </w:rPr>
            </w:pPr>
          </w:p>
        </w:tc>
        <w:tc>
          <w:tcPr>
            <w:tcW w:w="1220" w:type="dxa"/>
            <w:vAlign w:val="bottom"/>
            <w:tcBorders>
              <w:bottom w:val="single" w:sz="8" w:color="808080"/>
            </w:tcBorders>
          </w:tcPr>
          <w:p>
            <w:pPr>
              <w:jc w:val="center"/>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r>
      <w:tr>
        <w:trPr>
          <w:trHeight w:val="236"/>
        </w:trPr>
        <w:tc>
          <w:tcPr>
            <w:tcW w:w="6860" w:type="dxa"/>
            <w:vAlign w:val="bottom"/>
            <w:tcBorders>
              <w:bottom w:val="single" w:sz="8" w:color="808080"/>
            </w:tcBorders>
          </w:tcPr>
          <w:p>
            <w:pPr>
              <w:ind w:left="120"/>
              <w:spacing w:after="0"/>
              <w:rPr>
                <w:sz w:val="20"/>
                <w:szCs w:val="20"/>
                <w:color w:val="auto"/>
              </w:rPr>
            </w:pPr>
            <w:r>
              <w:rPr>
                <w:rFonts w:ascii="Arial" w:cs="Arial" w:eastAsia="Arial" w:hAnsi="Arial"/>
                <w:sz w:val="16"/>
                <w:szCs w:val="16"/>
                <w:color w:val="auto"/>
              </w:rPr>
              <w:t>Matthew  Friend  (2)(3)</w:t>
            </w:r>
          </w:p>
        </w:tc>
        <w:tc>
          <w:tcPr>
            <w:tcW w:w="280" w:type="dxa"/>
            <w:vAlign w:val="bottom"/>
            <w:tcBorders>
              <w:bottom w:val="single" w:sz="8" w:color="808080"/>
            </w:tcBorders>
          </w:tcPr>
          <w:p>
            <w:pPr>
              <w:spacing w:after="0"/>
              <w:rPr>
                <w:sz w:val="20"/>
                <w:szCs w:val="20"/>
                <w:color w:val="auto"/>
              </w:rPr>
            </w:pPr>
          </w:p>
        </w:tc>
        <w:tc>
          <w:tcPr>
            <w:tcW w:w="1120" w:type="dxa"/>
            <w:vAlign w:val="bottom"/>
            <w:tcBorders>
              <w:bottom w:val="single" w:sz="8" w:color="808080"/>
            </w:tcBorders>
          </w:tcPr>
          <w:p>
            <w:pPr>
              <w:jc w:val="right"/>
              <w:spacing w:after="0"/>
              <w:rPr>
                <w:sz w:val="20"/>
                <w:szCs w:val="20"/>
                <w:color w:val="auto"/>
              </w:rPr>
            </w:pPr>
            <w:r>
              <w:rPr>
                <w:rFonts w:ascii="Arial" w:cs="Arial" w:eastAsia="Arial" w:hAnsi="Arial"/>
                <w:sz w:val="16"/>
                <w:szCs w:val="16"/>
                <w:color w:val="auto"/>
              </w:rPr>
              <w:t>24,335</w:t>
            </w:r>
          </w:p>
        </w:tc>
        <w:tc>
          <w:tcPr>
            <w:tcW w:w="240" w:type="dxa"/>
            <w:vAlign w:val="bottom"/>
            <w:tcBorders>
              <w:bottom w:val="single" w:sz="8" w:color="808080"/>
            </w:tcBorders>
          </w:tcPr>
          <w:p>
            <w:pPr>
              <w:spacing w:after="0"/>
              <w:rPr>
                <w:sz w:val="20"/>
                <w:szCs w:val="20"/>
                <w:color w:val="auto"/>
              </w:rPr>
            </w:pPr>
          </w:p>
        </w:tc>
        <w:tc>
          <w:tcPr>
            <w:tcW w:w="1220" w:type="dxa"/>
            <w:vAlign w:val="bottom"/>
            <w:tcBorders>
              <w:bottom w:val="single" w:sz="8" w:color="808080"/>
            </w:tcBorders>
          </w:tcPr>
          <w:p>
            <w:pPr>
              <w:jc w:val="center"/>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r>
      <w:tr>
        <w:trPr>
          <w:trHeight w:val="237"/>
        </w:trPr>
        <w:tc>
          <w:tcPr>
            <w:tcW w:w="6860" w:type="dxa"/>
            <w:vAlign w:val="bottom"/>
            <w:tcBorders>
              <w:bottom w:val="single" w:sz="8" w:color="808080"/>
            </w:tcBorders>
          </w:tcPr>
          <w:p>
            <w:pPr>
              <w:ind w:left="120"/>
              <w:spacing w:after="0"/>
              <w:rPr>
                <w:sz w:val="20"/>
                <w:szCs w:val="20"/>
                <w:color w:val="auto"/>
              </w:rPr>
            </w:pPr>
            <w:r>
              <w:rPr>
                <w:rFonts w:ascii="Arial" w:cs="Arial" w:eastAsia="Arial" w:hAnsi="Arial"/>
                <w:sz w:val="16"/>
                <w:szCs w:val="16"/>
                <w:color w:val="auto"/>
              </w:rPr>
              <w:t>Barney  Harford  (2)(3)</w:t>
            </w:r>
          </w:p>
        </w:tc>
        <w:tc>
          <w:tcPr>
            <w:tcW w:w="280" w:type="dxa"/>
            <w:vAlign w:val="bottom"/>
            <w:tcBorders>
              <w:bottom w:val="single" w:sz="8" w:color="808080"/>
            </w:tcBorders>
          </w:tcPr>
          <w:p>
            <w:pPr>
              <w:spacing w:after="0"/>
              <w:rPr>
                <w:sz w:val="20"/>
                <w:szCs w:val="20"/>
                <w:color w:val="auto"/>
              </w:rPr>
            </w:pPr>
          </w:p>
        </w:tc>
        <w:tc>
          <w:tcPr>
            <w:tcW w:w="1120" w:type="dxa"/>
            <w:vAlign w:val="bottom"/>
            <w:tcBorders>
              <w:bottom w:val="single" w:sz="8" w:color="808080"/>
            </w:tcBorders>
          </w:tcPr>
          <w:p>
            <w:pPr>
              <w:jc w:val="right"/>
              <w:spacing w:after="0"/>
              <w:rPr>
                <w:sz w:val="20"/>
                <w:szCs w:val="20"/>
                <w:color w:val="auto"/>
              </w:rPr>
            </w:pPr>
            <w:r>
              <w:rPr>
                <w:rFonts w:ascii="Arial" w:cs="Arial" w:eastAsia="Arial" w:hAnsi="Arial"/>
                <w:sz w:val="16"/>
                <w:szCs w:val="16"/>
                <w:color w:val="auto"/>
              </w:rPr>
              <w:t>92,037</w:t>
            </w:r>
          </w:p>
        </w:tc>
        <w:tc>
          <w:tcPr>
            <w:tcW w:w="240" w:type="dxa"/>
            <w:vAlign w:val="bottom"/>
            <w:tcBorders>
              <w:bottom w:val="single" w:sz="8" w:color="808080"/>
            </w:tcBorders>
          </w:tcPr>
          <w:p>
            <w:pPr>
              <w:spacing w:after="0"/>
              <w:rPr>
                <w:sz w:val="20"/>
                <w:szCs w:val="20"/>
                <w:color w:val="auto"/>
              </w:rPr>
            </w:pPr>
          </w:p>
        </w:tc>
        <w:tc>
          <w:tcPr>
            <w:tcW w:w="1220" w:type="dxa"/>
            <w:vAlign w:val="bottom"/>
            <w:tcBorders>
              <w:bottom w:val="single" w:sz="8" w:color="808080"/>
            </w:tcBorders>
          </w:tcPr>
          <w:p>
            <w:pPr>
              <w:jc w:val="center"/>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r>
      <w:tr>
        <w:trPr>
          <w:trHeight w:val="237"/>
        </w:trPr>
        <w:tc>
          <w:tcPr>
            <w:tcW w:w="6860" w:type="dxa"/>
            <w:vAlign w:val="bottom"/>
            <w:tcBorders>
              <w:bottom w:val="single" w:sz="8" w:color="808080"/>
            </w:tcBorders>
          </w:tcPr>
          <w:p>
            <w:pPr>
              <w:ind w:left="120"/>
              <w:spacing w:after="0"/>
              <w:rPr>
                <w:sz w:val="20"/>
                <w:szCs w:val="20"/>
                <w:color w:val="auto"/>
              </w:rPr>
            </w:pPr>
            <w:r>
              <w:rPr>
                <w:rFonts w:ascii="Arial" w:cs="Arial" w:eastAsia="Arial" w:hAnsi="Arial"/>
                <w:sz w:val="16"/>
                <w:szCs w:val="16"/>
                <w:color w:val="auto"/>
              </w:rPr>
              <w:t>Michele  J.  Hooper  (2)(3)</w:t>
            </w:r>
          </w:p>
        </w:tc>
        <w:tc>
          <w:tcPr>
            <w:tcW w:w="280" w:type="dxa"/>
            <w:vAlign w:val="bottom"/>
            <w:tcBorders>
              <w:bottom w:val="single" w:sz="8" w:color="808080"/>
            </w:tcBorders>
          </w:tcPr>
          <w:p>
            <w:pPr>
              <w:spacing w:after="0"/>
              <w:rPr>
                <w:sz w:val="20"/>
                <w:szCs w:val="20"/>
                <w:color w:val="auto"/>
              </w:rPr>
            </w:pPr>
          </w:p>
        </w:tc>
        <w:tc>
          <w:tcPr>
            <w:tcW w:w="1120" w:type="dxa"/>
            <w:vAlign w:val="bottom"/>
            <w:tcBorders>
              <w:bottom w:val="single" w:sz="8" w:color="808080"/>
            </w:tcBorders>
          </w:tcPr>
          <w:p>
            <w:pPr>
              <w:jc w:val="right"/>
              <w:spacing w:after="0"/>
              <w:rPr>
                <w:sz w:val="20"/>
                <w:szCs w:val="20"/>
                <w:color w:val="auto"/>
              </w:rPr>
            </w:pPr>
            <w:r>
              <w:rPr>
                <w:rFonts w:ascii="Arial" w:cs="Arial" w:eastAsia="Arial" w:hAnsi="Arial"/>
                <w:sz w:val="16"/>
                <w:szCs w:val="16"/>
                <w:color w:val="auto"/>
              </w:rPr>
              <w:t>27,875</w:t>
            </w:r>
          </w:p>
        </w:tc>
        <w:tc>
          <w:tcPr>
            <w:tcW w:w="240" w:type="dxa"/>
            <w:vAlign w:val="bottom"/>
            <w:tcBorders>
              <w:bottom w:val="single" w:sz="8" w:color="808080"/>
            </w:tcBorders>
          </w:tcPr>
          <w:p>
            <w:pPr>
              <w:spacing w:after="0"/>
              <w:rPr>
                <w:sz w:val="20"/>
                <w:szCs w:val="20"/>
                <w:color w:val="auto"/>
              </w:rPr>
            </w:pPr>
          </w:p>
        </w:tc>
        <w:tc>
          <w:tcPr>
            <w:tcW w:w="1220" w:type="dxa"/>
            <w:vAlign w:val="bottom"/>
            <w:tcBorders>
              <w:bottom w:val="single" w:sz="8" w:color="808080"/>
            </w:tcBorders>
          </w:tcPr>
          <w:p>
            <w:pPr>
              <w:jc w:val="center"/>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r>
      <w:tr>
        <w:trPr>
          <w:trHeight w:val="237"/>
        </w:trPr>
        <w:tc>
          <w:tcPr>
            <w:tcW w:w="6860" w:type="dxa"/>
            <w:vAlign w:val="bottom"/>
            <w:tcBorders>
              <w:bottom w:val="single" w:sz="8" w:color="808080"/>
            </w:tcBorders>
          </w:tcPr>
          <w:p>
            <w:pPr>
              <w:ind w:left="120"/>
              <w:spacing w:after="0"/>
              <w:rPr>
                <w:sz w:val="20"/>
                <w:szCs w:val="20"/>
                <w:color w:val="auto"/>
              </w:rPr>
            </w:pPr>
            <w:r>
              <w:rPr>
                <w:rFonts w:ascii="Arial" w:cs="Arial" w:eastAsia="Arial" w:hAnsi="Arial"/>
                <w:sz w:val="16"/>
                <w:szCs w:val="16"/>
                <w:color w:val="auto"/>
              </w:rPr>
              <w:t>Walter  Isaacson  (2)(3)</w:t>
            </w:r>
          </w:p>
        </w:tc>
        <w:tc>
          <w:tcPr>
            <w:tcW w:w="280" w:type="dxa"/>
            <w:vAlign w:val="bottom"/>
            <w:tcBorders>
              <w:bottom w:val="single" w:sz="8" w:color="808080"/>
            </w:tcBorders>
          </w:tcPr>
          <w:p>
            <w:pPr>
              <w:spacing w:after="0"/>
              <w:rPr>
                <w:sz w:val="20"/>
                <w:szCs w:val="20"/>
                <w:color w:val="auto"/>
              </w:rPr>
            </w:pPr>
          </w:p>
        </w:tc>
        <w:tc>
          <w:tcPr>
            <w:tcW w:w="1120" w:type="dxa"/>
            <w:vAlign w:val="bottom"/>
            <w:tcBorders>
              <w:bottom w:val="single" w:sz="8" w:color="808080"/>
            </w:tcBorders>
          </w:tcPr>
          <w:p>
            <w:pPr>
              <w:jc w:val="right"/>
              <w:spacing w:after="0"/>
              <w:rPr>
                <w:sz w:val="20"/>
                <w:szCs w:val="20"/>
                <w:color w:val="auto"/>
              </w:rPr>
            </w:pPr>
            <w:r>
              <w:rPr>
                <w:rFonts w:ascii="Arial" w:cs="Arial" w:eastAsia="Arial" w:hAnsi="Arial"/>
                <w:sz w:val="16"/>
                <w:szCs w:val="16"/>
                <w:color w:val="auto"/>
              </w:rPr>
              <w:t>57,740</w:t>
            </w:r>
          </w:p>
        </w:tc>
        <w:tc>
          <w:tcPr>
            <w:tcW w:w="240" w:type="dxa"/>
            <w:vAlign w:val="bottom"/>
            <w:tcBorders>
              <w:bottom w:val="single" w:sz="8" w:color="808080"/>
            </w:tcBorders>
          </w:tcPr>
          <w:p>
            <w:pPr>
              <w:spacing w:after="0"/>
              <w:rPr>
                <w:sz w:val="20"/>
                <w:szCs w:val="20"/>
                <w:color w:val="auto"/>
              </w:rPr>
            </w:pPr>
          </w:p>
        </w:tc>
        <w:tc>
          <w:tcPr>
            <w:tcW w:w="1220" w:type="dxa"/>
            <w:vAlign w:val="bottom"/>
            <w:tcBorders>
              <w:bottom w:val="single" w:sz="8" w:color="808080"/>
            </w:tcBorders>
          </w:tcPr>
          <w:p>
            <w:pPr>
              <w:jc w:val="center"/>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r>
      <w:tr>
        <w:trPr>
          <w:trHeight w:val="237"/>
        </w:trPr>
        <w:tc>
          <w:tcPr>
            <w:tcW w:w="6860" w:type="dxa"/>
            <w:vAlign w:val="bottom"/>
            <w:tcBorders>
              <w:bottom w:val="single" w:sz="8" w:color="808080"/>
            </w:tcBorders>
          </w:tcPr>
          <w:p>
            <w:pPr>
              <w:ind w:left="120"/>
              <w:spacing w:after="0"/>
              <w:rPr>
                <w:sz w:val="20"/>
                <w:szCs w:val="20"/>
                <w:color w:val="auto"/>
              </w:rPr>
            </w:pPr>
            <w:r>
              <w:rPr>
                <w:rFonts w:ascii="Arial" w:cs="Arial" w:eastAsia="Arial" w:hAnsi="Arial"/>
                <w:sz w:val="16"/>
                <w:szCs w:val="16"/>
                <w:color w:val="auto"/>
              </w:rPr>
              <w:t>Richard  Johnsen</w:t>
            </w:r>
          </w:p>
        </w:tc>
        <w:tc>
          <w:tcPr>
            <w:tcW w:w="280" w:type="dxa"/>
            <w:vAlign w:val="bottom"/>
            <w:tcBorders>
              <w:bottom w:val="single" w:sz="8" w:color="808080"/>
            </w:tcBorders>
          </w:tcPr>
          <w:p>
            <w:pPr>
              <w:spacing w:after="0"/>
              <w:rPr>
                <w:sz w:val="20"/>
                <w:szCs w:val="20"/>
                <w:color w:val="auto"/>
              </w:rPr>
            </w:pPr>
          </w:p>
        </w:tc>
        <w:tc>
          <w:tcPr>
            <w:tcW w:w="1120" w:type="dxa"/>
            <w:vAlign w:val="bottom"/>
            <w:tcBorders>
              <w:bottom w:val="single" w:sz="8" w:color="808080"/>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808080"/>
            </w:tcBorders>
          </w:tcPr>
          <w:p>
            <w:pPr>
              <w:spacing w:after="0"/>
              <w:rPr>
                <w:sz w:val="20"/>
                <w:szCs w:val="20"/>
                <w:color w:val="auto"/>
              </w:rPr>
            </w:pPr>
          </w:p>
        </w:tc>
        <w:tc>
          <w:tcPr>
            <w:tcW w:w="1220" w:type="dxa"/>
            <w:vAlign w:val="bottom"/>
            <w:tcBorders>
              <w:bottom w:val="single" w:sz="8" w:color="808080"/>
            </w:tcBorders>
          </w:tcPr>
          <w:p>
            <w:pPr>
              <w:jc w:val="center"/>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r>
      <w:tr>
        <w:trPr>
          <w:trHeight w:val="236"/>
        </w:trPr>
        <w:tc>
          <w:tcPr>
            <w:tcW w:w="6860" w:type="dxa"/>
            <w:vAlign w:val="bottom"/>
            <w:tcBorders>
              <w:bottom w:val="single" w:sz="8" w:color="808080"/>
            </w:tcBorders>
          </w:tcPr>
          <w:p>
            <w:pPr>
              <w:ind w:left="120"/>
              <w:spacing w:after="0"/>
              <w:rPr>
                <w:sz w:val="20"/>
                <w:szCs w:val="20"/>
                <w:color w:val="auto"/>
              </w:rPr>
            </w:pPr>
            <w:r>
              <w:rPr>
                <w:rFonts w:ascii="Arial" w:cs="Arial" w:eastAsia="Arial" w:hAnsi="Arial"/>
                <w:sz w:val="16"/>
                <w:szCs w:val="16"/>
                <w:color w:val="auto"/>
              </w:rPr>
              <w:t>Scott  Kirby  (4)(5)</w:t>
            </w:r>
          </w:p>
        </w:tc>
        <w:tc>
          <w:tcPr>
            <w:tcW w:w="280" w:type="dxa"/>
            <w:vAlign w:val="bottom"/>
            <w:tcBorders>
              <w:bottom w:val="single" w:sz="8" w:color="808080"/>
            </w:tcBorders>
          </w:tcPr>
          <w:p>
            <w:pPr>
              <w:spacing w:after="0"/>
              <w:rPr>
                <w:sz w:val="20"/>
                <w:szCs w:val="20"/>
                <w:color w:val="auto"/>
              </w:rPr>
            </w:pPr>
          </w:p>
        </w:tc>
        <w:tc>
          <w:tcPr>
            <w:tcW w:w="1120" w:type="dxa"/>
            <w:vAlign w:val="bottom"/>
            <w:tcBorders>
              <w:bottom w:val="single" w:sz="8" w:color="808080"/>
            </w:tcBorders>
          </w:tcPr>
          <w:p>
            <w:pPr>
              <w:jc w:val="right"/>
              <w:spacing w:after="0"/>
              <w:rPr>
                <w:sz w:val="20"/>
                <w:szCs w:val="20"/>
                <w:color w:val="auto"/>
              </w:rPr>
            </w:pPr>
            <w:r>
              <w:rPr>
                <w:rFonts w:ascii="Arial" w:cs="Arial" w:eastAsia="Arial" w:hAnsi="Arial"/>
                <w:sz w:val="16"/>
                <w:szCs w:val="16"/>
                <w:color w:val="auto"/>
              </w:rPr>
              <w:t>1,255,838</w:t>
            </w:r>
          </w:p>
        </w:tc>
        <w:tc>
          <w:tcPr>
            <w:tcW w:w="240" w:type="dxa"/>
            <w:vAlign w:val="bottom"/>
            <w:tcBorders>
              <w:bottom w:val="single" w:sz="8" w:color="808080"/>
            </w:tcBorders>
          </w:tcPr>
          <w:p>
            <w:pPr>
              <w:spacing w:after="0"/>
              <w:rPr>
                <w:sz w:val="20"/>
                <w:szCs w:val="20"/>
                <w:color w:val="auto"/>
              </w:rPr>
            </w:pPr>
          </w:p>
        </w:tc>
        <w:tc>
          <w:tcPr>
            <w:tcW w:w="1220" w:type="dxa"/>
            <w:vAlign w:val="bottom"/>
            <w:tcBorders>
              <w:bottom w:val="single" w:sz="8" w:color="808080"/>
            </w:tcBorders>
          </w:tcPr>
          <w:p>
            <w:pPr>
              <w:jc w:val="center"/>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r>
      <w:tr>
        <w:trPr>
          <w:trHeight w:val="237"/>
        </w:trPr>
        <w:tc>
          <w:tcPr>
            <w:tcW w:w="6860" w:type="dxa"/>
            <w:vAlign w:val="bottom"/>
            <w:tcBorders>
              <w:bottom w:val="single" w:sz="8" w:color="808080"/>
            </w:tcBorders>
          </w:tcPr>
          <w:p>
            <w:pPr>
              <w:ind w:left="120"/>
              <w:spacing w:after="0"/>
              <w:rPr>
                <w:sz w:val="20"/>
                <w:szCs w:val="20"/>
                <w:color w:val="auto"/>
              </w:rPr>
            </w:pPr>
            <w:r>
              <w:rPr>
                <w:rFonts w:ascii="Arial" w:cs="Arial" w:eastAsia="Arial" w:hAnsi="Arial"/>
                <w:sz w:val="16"/>
                <w:szCs w:val="16"/>
                <w:color w:val="auto"/>
              </w:rPr>
              <w:t>Brian  Noyes</w:t>
            </w:r>
          </w:p>
        </w:tc>
        <w:tc>
          <w:tcPr>
            <w:tcW w:w="280" w:type="dxa"/>
            <w:vAlign w:val="bottom"/>
            <w:tcBorders>
              <w:bottom w:val="single" w:sz="8" w:color="808080"/>
            </w:tcBorders>
          </w:tcPr>
          <w:p>
            <w:pPr>
              <w:spacing w:after="0"/>
              <w:rPr>
                <w:sz w:val="20"/>
                <w:szCs w:val="20"/>
                <w:color w:val="auto"/>
              </w:rPr>
            </w:pPr>
          </w:p>
        </w:tc>
        <w:tc>
          <w:tcPr>
            <w:tcW w:w="1120" w:type="dxa"/>
            <w:vAlign w:val="bottom"/>
            <w:tcBorders>
              <w:bottom w:val="single" w:sz="8" w:color="808080"/>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808080"/>
            </w:tcBorders>
          </w:tcPr>
          <w:p>
            <w:pPr>
              <w:spacing w:after="0"/>
              <w:rPr>
                <w:sz w:val="20"/>
                <w:szCs w:val="20"/>
                <w:color w:val="auto"/>
              </w:rPr>
            </w:pPr>
          </w:p>
        </w:tc>
        <w:tc>
          <w:tcPr>
            <w:tcW w:w="1220" w:type="dxa"/>
            <w:vAlign w:val="bottom"/>
            <w:tcBorders>
              <w:bottom w:val="single" w:sz="8" w:color="808080"/>
            </w:tcBorders>
          </w:tcPr>
          <w:p>
            <w:pPr>
              <w:jc w:val="center"/>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r>
      <w:tr>
        <w:trPr>
          <w:trHeight w:val="237"/>
        </w:trPr>
        <w:tc>
          <w:tcPr>
            <w:tcW w:w="6860" w:type="dxa"/>
            <w:vAlign w:val="bottom"/>
            <w:tcBorders>
              <w:bottom w:val="single" w:sz="8" w:color="808080"/>
            </w:tcBorders>
          </w:tcPr>
          <w:p>
            <w:pPr>
              <w:ind w:left="120"/>
              <w:spacing w:after="0"/>
              <w:rPr>
                <w:sz w:val="20"/>
                <w:szCs w:val="20"/>
                <w:color w:val="auto"/>
              </w:rPr>
            </w:pPr>
            <w:r>
              <w:rPr>
                <w:rFonts w:ascii="Arial" w:cs="Arial" w:eastAsia="Arial" w:hAnsi="Arial"/>
                <w:sz w:val="16"/>
                <w:szCs w:val="16"/>
                <w:color w:val="auto"/>
              </w:rPr>
              <w:t>Edward  M.  Philip  (2)(3)(6)</w:t>
            </w:r>
          </w:p>
        </w:tc>
        <w:tc>
          <w:tcPr>
            <w:tcW w:w="280" w:type="dxa"/>
            <w:vAlign w:val="bottom"/>
            <w:tcBorders>
              <w:bottom w:val="single" w:sz="8" w:color="808080"/>
            </w:tcBorders>
          </w:tcPr>
          <w:p>
            <w:pPr>
              <w:spacing w:after="0"/>
              <w:rPr>
                <w:sz w:val="20"/>
                <w:szCs w:val="20"/>
                <w:color w:val="auto"/>
              </w:rPr>
            </w:pPr>
          </w:p>
        </w:tc>
        <w:tc>
          <w:tcPr>
            <w:tcW w:w="1120" w:type="dxa"/>
            <w:vAlign w:val="bottom"/>
            <w:tcBorders>
              <w:bottom w:val="single" w:sz="8" w:color="808080"/>
            </w:tcBorders>
          </w:tcPr>
          <w:p>
            <w:pPr>
              <w:jc w:val="right"/>
              <w:spacing w:after="0"/>
              <w:rPr>
                <w:sz w:val="20"/>
                <w:szCs w:val="20"/>
                <w:color w:val="auto"/>
              </w:rPr>
            </w:pPr>
            <w:r>
              <w:rPr>
                <w:rFonts w:ascii="Arial" w:cs="Arial" w:eastAsia="Arial" w:hAnsi="Arial"/>
                <w:sz w:val="16"/>
                <w:szCs w:val="16"/>
                <w:color w:val="auto"/>
              </w:rPr>
              <w:t>50,888</w:t>
            </w:r>
          </w:p>
        </w:tc>
        <w:tc>
          <w:tcPr>
            <w:tcW w:w="240" w:type="dxa"/>
            <w:vAlign w:val="bottom"/>
            <w:tcBorders>
              <w:bottom w:val="single" w:sz="8" w:color="808080"/>
            </w:tcBorders>
          </w:tcPr>
          <w:p>
            <w:pPr>
              <w:spacing w:after="0"/>
              <w:rPr>
                <w:sz w:val="20"/>
                <w:szCs w:val="20"/>
                <w:color w:val="auto"/>
              </w:rPr>
            </w:pPr>
          </w:p>
        </w:tc>
        <w:tc>
          <w:tcPr>
            <w:tcW w:w="1220" w:type="dxa"/>
            <w:vAlign w:val="bottom"/>
            <w:tcBorders>
              <w:bottom w:val="single" w:sz="8" w:color="808080"/>
            </w:tcBorders>
          </w:tcPr>
          <w:p>
            <w:pPr>
              <w:jc w:val="center"/>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r>
      <w:tr>
        <w:trPr>
          <w:trHeight w:val="236"/>
        </w:trPr>
        <w:tc>
          <w:tcPr>
            <w:tcW w:w="6860" w:type="dxa"/>
            <w:vAlign w:val="bottom"/>
            <w:tcBorders>
              <w:bottom w:val="single" w:sz="8" w:color="808080"/>
            </w:tcBorders>
          </w:tcPr>
          <w:p>
            <w:pPr>
              <w:ind w:left="120"/>
              <w:spacing w:after="0"/>
              <w:rPr>
                <w:sz w:val="20"/>
                <w:szCs w:val="20"/>
                <w:color w:val="auto"/>
              </w:rPr>
            </w:pPr>
            <w:r>
              <w:rPr>
                <w:rFonts w:ascii="Arial" w:cs="Arial" w:eastAsia="Arial" w:hAnsi="Arial"/>
                <w:sz w:val="16"/>
                <w:szCs w:val="16"/>
                <w:color w:val="auto"/>
              </w:rPr>
              <w:t>Edward  L.  Shapiro  (2)(3)</w:t>
            </w:r>
          </w:p>
        </w:tc>
        <w:tc>
          <w:tcPr>
            <w:tcW w:w="280" w:type="dxa"/>
            <w:vAlign w:val="bottom"/>
            <w:tcBorders>
              <w:bottom w:val="single" w:sz="8" w:color="808080"/>
            </w:tcBorders>
          </w:tcPr>
          <w:p>
            <w:pPr>
              <w:spacing w:after="0"/>
              <w:rPr>
                <w:sz w:val="20"/>
                <w:szCs w:val="20"/>
                <w:color w:val="auto"/>
              </w:rPr>
            </w:pPr>
          </w:p>
        </w:tc>
        <w:tc>
          <w:tcPr>
            <w:tcW w:w="1120" w:type="dxa"/>
            <w:vAlign w:val="bottom"/>
            <w:tcBorders>
              <w:bottom w:val="single" w:sz="8" w:color="808080"/>
            </w:tcBorders>
          </w:tcPr>
          <w:p>
            <w:pPr>
              <w:jc w:val="right"/>
              <w:spacing w:after="0"/>
              <w:rPr>
                <w:sz w:val="20"/>
                <w:szCs w:val="20"/>
                <w:color w:val="auto"/>
              </w:rPr>
            </w:pPr>
            <w:r>
              <w:rPr>
                <w:rFonts w:ascii="Arial" w:cs="Arial" w:eastAsia="Arial" w:hAnsi="Arial"/>
                <w:sz w:val="16"/>
                <w:szCs w:val="16"/>
                <w:color w:val="auto"/>
              </w:rPr>
              <w:t>250,564</w:t>
            </w:r>
          </w:p>
        </w:tc>
        <w:tc>
          <w:tcPr>
            <w:tcW w:w="240" w:type="dxa"/>
            <w:vAlign w:val="bottom"/>
            <w:tcBorders>
              <w:bottom w:val="single" w:sz="8" w:color="808080"/>
            </w:tcBorders>
          </w:tcPr>
          <w:p>
            <w:pPr>
              <w:spacing w:after="0"/>
              <w:rPr>
                <w:sz w:val="20"/>
                <w:szCs w:val="20"/>
                <w:color w:val="auto"/>
              </w:rPr>
            </w:pPr>
          </w:p>
        </w:tc>
        <w:tc>
          <w:tcPr>
            <w:tcW w:w="1220" w:type="dxa"/>
            <w:vAlign w:val="bottom"/>
            <w:tcBorders>
              <w:bottom w:val="single" w:sz="8" w:color="808080"/>
            </w:tcBorders>
          </w:tcPr>
          <w:p>
            <w:pPr>
              <w:jc w:val="center"/>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r>
      <w:tr>
        <w:trPr>
          <w:trHeight w:val="237"/>
        </w:trPr>
        <w:tc>
          <w:tcPr>
            <w:tcW w:w="6860" w:type="dxa"/>
            <w:vAlign w:val="bottom"/>
            <w:tcBorders>
              <w:bottom w:val="single" w:sz="8" w:color="808080"/>
            </w:tcBorders>
          </w:tcPr>
          <w:p>
            <w:pPr>
              <w:ind w:left="120"/>
              <w:spacing w:after="0"/>
              <w:rPr>
                <w:sz w:val="20"/>
                <w:szCs w:val="20"/>
                <w:color w:val="auto"/>
              </w:rPr>
            </w:pPr>
            <w:r>
              <w:rPr>
                <w:rFonts w:ascii="Arial" w:cs="Arial" w:eastAsia="Arial" w:hAnsi="Arial"/>
                <w:sz w:val="16"/>
                <w:szCs w:val="16"/>
                <w:color w:val="auto"/>
              </w:rPr>
              <w:t>Laysha  Ward  (2)(3)</w:t>
            </w:r>
          </w:p>
        </w:tc>
        <w:tc>
          <w:tcPr>
            <w:tcW w:w="280" w:type="dxa"/>
            <w:vAlign w:val="bottom"/>
            <w:tcBorders>
              <w:bottom w:val="single" w:sz="8" w:color="808080"/>
            </w:tcBorders>
          </w:tcPr>
          <w:p>
            <w:pPr>
              <w:spacing w:after="0"/>
              <w:rPr>
                <w:sz w:val="20"/>
                <w:szCs w:val="20"/>
                <w:color w:val="auto"/>
              </w:rPr>
            </w:pPr>
          </w:p>
        </w:tc>
        <w:tc>
          <w:tcPr>
            <w:tcW w:w="1120" w:type="dxa"/>
            <w:vAlign w:val="bottom"/>
            <w:tcBorders>
              <w:bottom w:val="single" w:sz="8" w:color="808080"/>
            </w:tcBorders>
          </w:tcPr>
          <w:p>
            <w:pPr>
              <w:jc w:val="right"/>
              <w:spacing w:after="0"/>
              <w:rPr>
                <w:sz w:val="20"/>
                <w:szCs w:val="20"/>
                <w:color w:val="auto"/>
              </w:rPr>
            </w:pPr>
            <w:r>
              <w:rPr>
                <w:rFonts w:ascii="Arial" w:cs="Arial" w:eastAsia="Arial" w:hAnsi="Arial"/>
                <w:sz w:val="16"/>
                <w:szCs w:val="16"/>
                <w:color w:val="auto"/>
              </w:rPr>
              <w:t>5,770</w:t>
            </w:r>
          </w:p>
        </w:tc>
        <w:tc>
          <w:tcPr>
            <w:tcW w:w="240" w:type="dxa"/>
            <w:vAlign w:val="bottom"/>
            <w:tcBorders>
              <w:bottom w:val="single" w:sz="8" w:color="808080"/>
            </w:tcBorders>
          </w:tcPr>
          <w:p>
            <w:pPr>
              <w:spacing w:after="0"/>
              <w:rPr>
                <w:sz w:val="20"/>
                <w:szCs w:val="20"/>
                <w:color w:val="auto"/>
              </w:rPr>
            </w:pPr>
          </w:p>
        </w:tc>
        <w:tc>
          <w:tcPr>
            <w:tcW w:w="1220" w:type="dxa"/>
            <w:vAlign w:val="bottom"/>
            <w:tcBorders>
              <w:bottom w:val="single" w:sz="8" w:color="808080"/>
            </w:tcBorders>
          </w:tcPr>
          <w:p>
            <w:pPr>
              <w:jc w:val="center"/>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r>
      <w:tr>
        <w:trPr>
          <w:trHeight w:val="236"/>
        </w:trPr>
        <w:tc>
          <w:tcPr>
            <w:tcW w:w="6860" w:type="dxa"/>
            <w:vAlign w:val="bottom"/>
            <w:tcBorders>
              <w:bottom w:val="single" w:sz="8" w:color="808080"/>
            </w:tcBorders>
          </w:tcPr>
          <w:p>
            <w:pPr>
              <w:ind w:left="120"/>
              <w:spacing w:after="0"/>
              <w:rPr>
                <w:sz w:val="20"/>
                <w:szCs w:val="20"/>
                <w:color w:val="auto"/>
              </w:rPr>
            </w:pPr>
            <w:r>
              <w:rPr>
                <w:rFonts w:ascii="Arial" w:cs="Arial" w:eastAsia="Arial" w:hAnsi="Arial"/>
                <w:sz w:val="16"/>
                <w:szCs w:val="16"/>
                <w:color w:val="auto"/>
              </w:rPr>
              <w:t>James  M.  Whitehurst  (2)(3)</w:t>
            </w:r>
          </w:p>
        </w:tc>
        <w:tc>
          <w:tcPr>
            <w:tcW w:w="280" w:type="dxa"/>
            <w:vAlign w:val="bottom"/>
            <w:tcBorders>
              <w:bottom w:val="single" w:sz="8" w:color="808080"/>
            </w:tcBorders>
          </w:tcPr>
          <w:p>
            <w:pPr>
              <w:spacing w:after="0"/>
              <w:rPr>
                <w:sz w:val="20"/>
                <w:szCs w:val="20"/>
                <w:color w:val="auto"/>
              </w:rPr>
            </w:pPr>
          </w:p>
        </w:tc>
        <w:tc>
          <w:tcPr>
            <w:tcW w:w="1120" w:type="dxa"/>
            <w:vAlign w:val="bottom"/>
            <w:tcBorders>
              <w:bottom w:val="single" w:sz="8" w:color="808080"/>
            </w:tcBorders>
          </w:tcPr>
          <w:p>
            <w:pPr>
              <w:jc w:val="right"/>
              <w:spacing w:after="0"/>
              <w:rPr>
                <w:sz w:val="20"/>
                <w:szCs w:val="20"/>
                <w:color w:val="auto"/>
              </w:rPr>
            </w:pPr>
            <w:r>
              <w:rPr>
                <w:rFonts w:ascii="Arial" w:cs="Arial" w:eastAsia="Arial" w:hAnsi="Arial"/>
                <w:sz w:val="16"/>
                <w:szCs w:val="16"/>
                <w:color w:val="auto"/>
              </w:rPr>
              <w:t>39,529</w:t>
            </w:r>
          </w:p>
        </w:tc>
        <w:tc>
          <w:tcPr>
            <w:tcW w:w="240" w:type="dxa"/>
            <w:vAlign w:val="bottom"/>
            <w:tcBorders>
              <w:bottom w:val="single" w:sz="8" w:color="808080"/>
            </w:tcBorders>
          </w:tcPr>
          <w:p>
            <w:pPr>
              <w:spacing w:after="0"/>
              <w:rPr>
                <w:sz w:val="20"/>
                <w:szCs w:val="20"/>
                <w:color w:val="auto"/>
              </w:rPr>
            </w:pPr>
          </w:p>
        </w:tc>
        <w:tc>
          <w:tcPr>
            <w:tcW w:w="1220" w:type="dxa"/>
            <w:vAlign w:val="bottom"/>
            <w:tcBorders>
              <w:bottom w:val="single" w:sz="8" w:color="808080"/>
            </w:tcBorders>
          </w:tcPr>
          <w:p>
            <w:pPr>
              <w:jc w:val="center"/>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r>
      <w:tr>
        <w:trPr>
          <w:trHeight w:val="237"/>
        </w:trPr>
        <w:tc>
          <w:tcPr>
            <w:tcW w:w="6860" w:type="dxa"/>
            <w:vAlign w:val="bottom"/>
            <w:tcBorders>
              <w:bottom w:val="single" w:sz="8" w:color="808080"/>
            </w:tcBorders>
          </w:tcPr>
          <w:p>
            <w:pPr>
              <w:ind w:left="120"/>
              <w:spacing w:after="0"/>
              <w:rPr>
                <w:sz w:val="20"/>
                <w:szCs w:val="20"/>
                <w:color w:val="auto"/>
              </w:rPr>
            </w:pPr>
            <w:r>
              <w:rPr>
                <w:rFonts w:ascii="Arial" w:cs="Arial" w:eastAsia="Arial" w:hAnsi="Arial"/>
                <w:sz w:val="16"/>
                <w:szCs w:val="16"/>
                <w:b w:val="1"/>
                <w:bCs w:val="1"/>
                <w:i w:val="1"/>
                <w:iCs w:val="1"/>
                <w:color w:val="auto"/>
              </w:rPr>
              <w:t>Named Executive Ofcers</w:t>
            </w:r>
          </w:p>
        </w:tc>
        <w:tc>
          <w:tcPr>
            <w:tcW w:w="280" w:type="dxa"/>
            <w:vAlign w:val="bottom"/>
            <w:tcBorders>
              <w:bottom w:val="single" w:sz="8" w:color="808080"/>
            </w:tcBorders>
          </w:tcPr>
          <w:p>
            <w:pPr>
              <w:spacing w:after="0"/>
              <w:rPr>
                <w:sz w:val="20"/>
                <w:szCs w:val="20"/>
                <w:color w:val="auto"/>
              </w:rPr>
            </w:pPr>
          </w:p>
        </w:tc>
        <w:tc>
          <w:tcPr>
            <w:tcW w:w="1120" w:type="dxa"/>
            <w:vAlign w:val="bottom"/>
            <w:tcBorders>
              <w:bottom w:val="single" w:sz="8" w:color="808080"/>
            </w:tcBorders>
          </w:tcPr>
          <w:p>
            <w:pPr>
              <w:spacing w:after="0"/>
              <w:rPr>
                <w:sz w:val="20"/>
                <w:szCs w:val="20"/>
                <w:color w:val="auto"/>
              </w:rPr>
            </w:pPr>
          </w:p>
        </w:tc>
        <w:tc>
          <w:tcPr>
            <w:tcW w:w="240" w:type="dxa"/>
            <w:vAlign w:val="bottom"/>
            <w:tcBorders>
              <w:bottom w:val="single" w:sz="8" w:color="808080"/>
            </w:tcBorders>
          </w:tcPr>
          <w:p>
            <w:pPr>
              <w:spacing w:after="0"/>
              <w:rPr>
                <w:sz w:val="20"/>
                <w:szCs w:val="20"/>
                <w:color w:val="auto"/>
              </w:rPr>
            </w:pPr>
          </w:p>
        </w:tc>
        <w:tc>
          <w:tcPr>
            <w:tcW w:w="1220" w:type="dxa"/>
            <w:vAlign w:val="bottom"/>
            <w:tcBorders>
              <w:bottom w:val="single" w:sz="8" w:color="808080"/>
            </w:tcBorders>
          </w:tcPr>
          <w:p>
            <w:pPr>
              <w:spacing w:after="0"/>
              <w:rPr>
                <w:sz w:val="20"/>
                <w:szCs w:val="20"/>
                <w:color w:val="auto"/>
              </w:rPr>
            </w:pPr>
          </w:p>
        </w:tc>
        <w:tc>
          <w:tcPr>
            <w:tcW w:w="40" w:type="dxa"/>
            <w:vAlign w:val="bottom"/>
          </w:tcPr>
          <w:p>
            <w:pPr>
              <w:spacing w:after="0"/>
              <w:rPr>
                <w:sz w:val="20"/>
                <w:szCs w:val="20"/>
                <w:color w:val="auto"/>
              </w:rPr>
            </w:pPr>
          </w:p>
        </w:tc>
      </w:tr>
      <w:tr>
        <w:trPr>
          <w:trHeight w:val="236"/>
        </w:trPr>
        <w:tc>
          <w:tcPr>
            <w:tcW w:w="6860" w:type="dxa"/>
            <w:vAlign w:val="bottom"/>
            <w:tcBorders>
              <w:bottom w:val="single" w:sz="8" w:color="808080"/>
            </w:tcBorders>
          </w:tcPr>
          <w:p>
            <w:pPr>
              <w:ind w:left="120"/>
              <w:spacing w:after="0"/>
              <w:rPr>
                <w:sz w:val="20"/>
                <w:szCs w:val="20"/>
                <w:color w:val="auto"/>
              </w:rPr>
            </w:pPr>
            <w:r>
              <w:rPr>
                <w:rFonts w:ascii="Arial" w:cs="Arial" w:eastAsia="Arial" w:hAnsi="Arial"/>
                <w:sz w:val="16"/>
                <w:szCs w:val="16"/>
                <w:color w:val="auto"/>
              </w:rPr>
              <w:t>Brett  Hart  (7)</w:t>
            </w:r>
          </w:p>
        </w:tc>
        <w:tc>
          <w:tcPr>
            <w:tcW w:w="280" w:type="dxa"/>
            <w:vAlign w:val="bottom"/>
            <w:tcBorders>
              <w:bottom w:val="single" w:sz="8" w:color="808080"/>
            </w:tcBorders>
          </w:tcPr>
          <w:p>
            <w:pPr>
              <w:spacing w:after="0"/>
              <w:rPr>
                <w:sz w:val="20"/>
                <w:szCs w:val="20"/>
                <w:color w:val="auto"/>
              </w:rPr>
            </w:pPr>
          </w:p>
        </w:tc>
        <w:tc>
          <w:tcPr>
            <w:tcW w:w="1120" w:type="dxa"/>
            <w:vAlign w:val="bottom"/>
            <w:tcBorders>
              <w:bottom w:val="single" w:sz="8" w:color="808080"/>
            </w:tcBorders>
          </w:tcPr>
          <w:p>
            <w:pPr>
              <w:jc w:val="right"/>
              <w:spacing w:after="0"/>
              <w:rPr>
                <w:sz w:val="20"/>
                <w:szCs w:val="20"/>
                <w:color w:val="auto"/>
              </w:rPr>
            </w:pPr>
            <w:r>
              <w:rPr>
                <w:rFonts w:ascii="Arial" w:cs="Arial" w:eastAsia="Arial" w:hAnsi="Arial"/>
                <w:sz w:val="16"/>
                <w:szCs w:val="16"/>
                <w:color w:val="auto"/>
              </w:rPr>
              <w:t>393,104</w:t>
            </w:r>
          </w:p>
        </w:tc>
        <w:tc>
          <w:tcPr>
            <w:tcW w:w="240" w:type="dxa"/>
            <w:vAlign w:val="bottom"/>
            <w:tcBorders>
              <w:bottom w:val="single" w:sz="8" w:color="808080"/>
            </w:tcBorders>
          </w:tcPr>
          <w:p>
            <w:pPr>
              <w:spacing w:after="0"/>
              <w:rPr>
                <w:sz w:val="20"/>
                <w:szCs w:val="20"/>
                <w:color w:val="auto"/>
              </w:rPr>
            </w:pPr>
          </w:p>
        </w:tc>
        <w:tc>
          <w:tcPr>
            <w:tcW w:w="1220" w:type="dxa"/>
            <w:vAlign w:val="bottom"/>
            <w:tcBorders>
              <w:bottom w:val="single" w:sz="8" w:color="808080"/>
            </w:tcBorders>
          </w:tcPr>
          <w:p>
            <w:pPr>
              <w:jc w:val="center"/>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r>
      <w:tr>
        <w:trPr>
          <w:trHeight w:val="237"/>
        </w:trPr>
        <w:tc>
          <w:tcPr>
            <w:tcW w:w="6860" w:type="dxa"/>
            <w:vAlign w:val="bottom"/>
            <w:tcBorders>
              <w:bottom w:val="single" w:sz="8" w:color="808080"/>
            </w:tcBorders>
          </w:tcPr>
          <w:p>
            <w:pPr>
              <w:ind w:left="120"/>
              <w:spacing w:after="0"/>
              <w:rPr>
                <w:sz w:val="20"/>
                <w:szCs w:val="20"/>
                <w:color w:val="auto"/>
              </w:rPr>
            </w:pPr>
            <w:r>
              <w:rPr>
                <w:rFonts w:ascii="Arial" w:cs="Arial" w:eastAsia="Arial" w:hAnsi="Arial"/>
                <w:sz w:val="16"/>
                <w:szCs w:val="16"/>
                <w:color w:val="auto"/>
              </w:rPr>
              <w:t>Torbjorn  Enqvist</w:t>
            </w:r>
          </w:p>
        </w:tc>
        <w:tc>
          <w:tcPr>
            <w:tcW w:w="280" w:type="dxa"/>
            <w:vAlign w:val="bottom"/>
            <w:tcBorders>
              <w:bottom w:val="single" w:sz="8" w:color="808080"/>
            </w:tcBorders>
          </w:tcPr>
          <w:p>
            <w:pPr>
              <w:spacing w:after="0"/>
              <w:rPr>
                <w:sz w:val="20"/>
                <w:szCs w:val="20"/>
                <w:color w:val="auto"/>
              </w:rPr>
            </w:pPr>
          </w:p>
        </w:tc>
        <w:tc>
          <w:tcPr>
            <w:tcW w:w="1120" w:type="dxa"/>
            <w:vAlign w:val="bottom"/>
            <w:tcBorders>
              <w:bottom w:val="single" w:sz="8" w:color="808080"/>
            </w:tcBorders>
          </w:tcPr>
          <w:p>
            <w:pPr>
              <w:jc w:val="right"/>
              <w:spacing w:after="0"/>
              <w:rPr>
                <w:sz w:val="20"/>
                <w:szCs w:val="20"/>
                <w:color w:val="auto"/>
              </w:rPr>
            </w:pPr>
            <w:r>
              <w:rPr>
                <w:rFonts w:ascii="Arial" w:cs="Arial" w:eastAsia="Arial" w:hAnsi="Arial"/>
                <w:sz w:val="16"/>
                <w:szCs w:val="16"/>
                <w:color w:val="auto"/>
              </w:rPr>
              <w:t>134,800</w:t>
            </w:r>
          </w:p>
        </w:tc>
        <w:tc>
          <w:tcPr>
            <w:tcW w:w="240" w:type="dxa"/>
            <w:vAlign w:val="bottom"/>
            <w:tcBorders>
              <w:bottom w:val="single" w:sz="8" w:color="808080"/>
            </w:tcBorders>
          </w:tcPr>
          <w:p>
            <w:pPr>
              <w:spacing w:after="0"/>
              <w:rPr>
                <w:sz w:val="20"/>
                <w:szCs w:val="20"/>
                <w:color w:val="auto"/>
              </w:rPr>
            </w:pPr>
          </w:p>
        </w:tc>
        <w:tc>
          <w:tcPr>
            <w:tcW w:w="1220" w:type="dxa"/>
            <w:vAlign w:val="bottom"/>
            <w:tcBorders>
              <w:bottom w:val="single" w:sz="8" w:color="808080"/>
            </w:tcBorders>
          </w:tcPr>
          <w:p>
            <w:pPr>
              <w:jc w:val="center"/>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r>
      <w:tr>
        <w:trPr>
          <w:trHeight w:val="237"/>
        </w:trPr>
        <w:tc>
          <w:tcPr>
            <w:tcW w:w="6860" w:type="dxa"/>
            <w:vAlign w:val="bottom"/>
            <w:tcBorders>
              <w:bottom w:val="single" w:sz="8" w:color="808080"/>
            </w:tcBorders>
          </w:tcPr>
          <w:p>
            <w:pPr>
              <w:ind w:left="120"/>
              <w:spacing w:after="0"/>
              <w:rPr>
                <w:sz w:val="20"/>
                <w:szCs w:val="20"/>
                <w:color w:val="auto"/>
              </w:rPr>
            </w:pPr>
            <w:r>
              <w:rPr>
                <w:rFonts w:ascii="Arial" w:cs="Arial" w:eastAsia="Arial" w:hAnsi="Arial"/>
                <w:sz w:val="16"/>
                <w:szCs w:val="16"/>
                <w:color w:val="auto"/>
              </w:rPr>
              <w:t>Andrew  Nocella</w:t>
            </w:r>
          </w:p>
        </w:tc>
        <w:tc>
          <w:tcPr>
            <w:tcW w:w="280" w:type="dxa"/>
            <w:vAlign w:val="bottom"/>
            <w:tcBorders>
              <w:bottom w:val="single" w:sz="8" w:color="808080"/>
            </w:tcBorders>
          </w:tcPr>
          <w:p>
            <w:pPr>
              <w:spacing w:after="0"/>
              <w:rPr>
                <w:sz w:val="20"/>
                <w:szCs w:val="20"/>
                <w:color w:val="auto"/>
              </w:rPr>
            </w:pPr>
          </w:p>
        </w:tc>
        <w:tc>
          <w:tcPr>
            <w:tcW w:w="1120" w:type="dxa"/>
            <w:vAlign w:val="bottom"/>
            <w:tcBorders>
              <w:bottom w:val="single" w:sz="8" w:color="808080"/>
            </w:tcBorders>
          </w:tcPr>
          <w:p>
            <w:pPr>
              <w:jc w:val="right"/>
              <w:spacing w:after="0"/>
              <w:rPr>
                <w:sz w:val="20"/>
                <w:szCs w:val="20"/>
                <w:color w:val="auto"/>
              </w:rPr>
            </w:pPr>
            <w:r>
              <w:rPr>
                <w:rFonts w:ascii="Arial" w:cs="Arial" w:eastAsia="Arial" w:hAnsi="Arial"/>
                <w:sz w:val="16"/>
                <w:szCs w:val="16"/>
                <w:color w:val="auto"/>
              </w:rPr>
              <w:t>222,345</w:t>
            </w:r>
          </w:p>
        </w:tc>
        <w:tc>
          <w:tcPr>
            <w:tcW w:w="240" w:type="dxa"/>
            <w:vAlign w:val="bottom"/>
            <w:tcBorders>
              <w:bottom w:val="single" w:sz="8" w:color="808080"/>
            </w:tcBorders>
          </w:tcPr>
          <w:p>
            <w:pPr>
              <w:spacing w:after="0"/>
              <w:rPr>
                <w:sz w:val="20"/>
                <w:szCs w:val="20"/>
                <w:color w:val="auto"/>
              </w:rPr>
            </w:pPr>
          </w:p>
        </w:tc>
        <w:tc>
          <w:tcPr>
            <w:tcW w:w="1220" w:type="dxa"/>
            <w:vAlign w:val="bottom"/>
            <w:tcBorders>
              <w:bottom w:val="single" w:sz="8" w:color="808080"/>
            </w:tcBorders>
          </w:tcPr>
          <w:p>
            <w:pPr>
              <w:jc w:val="center"/>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r>
      <w:tr>
        <w:trPr>
          <w:trHeight w:val="236"/>
        </w:trPr>
        <w:tc>
          <w:tcPr>
            <w:tcW w:w="6860" w:type="dxa"/>
            <w:vAlign w:val="bottom"/>
            <w:tcBorders>
              <w:bottom w:val="single" w:sz="8" w:color="808080"/>
            </w:tcBorders>
          </w:tcPr>
          <w:p>
            <w:pPr>
              <w:ind w:left="120"/>
              <w:spacing w:after="0"/>
              <w:rPr>
                <w:sz w:val="20"/>
                <w:szCs w:val="20"/>
                <w:color w:val="auto"/>
              </w:rPr>
            </w:pPr>
            <w:r>
              <w:rPr>
                <w:rFonts w:ascii="Arial" w:cs="Arial" w:eastAsia="Arial" w:hAnsi="Arial"/>
                <w:sz w:val="16"/>
                <w:szCs w:val="16"/>
                <w:color w:val="auto"/>
              </w:rPr>
              <w:t>Michael  Leskinen</w:t>
            </w:r>
          </w:p>
        </w:tc>
        <w:tc>
          <w:tcPr>
            <w:tcW w:w="280" w:type="dxa"/>
            <w:vAlign w:val="bottom"/>
            <w:tcBorders>
              <w:bottom w:val="single" w:sz="8" w:color="808080"/>
            </w:tcBorders>
          </w:tcPr>
          <w:p>
            <w:pPr>
              <w:spacing w:after="0"/>
              <w:rPr>
                <w:sz w:val="20"/>
                <w:szCs w:val="20"/>
                <w:color w:val="auto"/>
              </w:rPr>
            </w:pPr>
          </w:p>
        </w:tc>
        <w:tc>
          <w:tcPr>
            <w:tcW w:w="1120" w:type="dxa"/>
            <w:vAlign w:val="bottom"/>
            <w:tcBorders>
              <w:bottom w:val="single" w:sz="8" w:color="808080"/>
            </w:tcBorders>
          </w:tcPr>
          <w:p>
            <w:pPr>
              <w:jc w:val="right"/>
              <w:spacing w:after="0"/>
              <w:rPr>
                <w:sz w:val="20"/>
                <w:szCs w:val="20"/>
                <w:color w:val="auto"/>
              </w:rPr>
            </w:pPr>
            <w:r>
              <w:rPr>
                <w:rFonts w:ascii="Arial" w:cs="Arial" w:eastAsia="Arial" w:hAnsi="Arial"/>
                <w:sz w:val="16"/>
                <w:szCs w:val="16"/>
                <w:color w:val="auto"/>
              </w:rPr>
              <w:t>49,000</w:t>
            </w:r>
          </w:p>
        </w:tc>
        <w:tc>
          <w:tcPr>
            <w:tcW w:w="240" w:type="dxa"/>
            <w:vAlign w:val="bottom"/>
            <w:tcBorders>
              <w:bottom w:val="single" w:sz="8" w:color="808080"/>
            </w:tcBorders>
          </w:tcPr>
          <w:p>
            <w:pPr>
              <w:spacing w:after="0"/>
              <w:rPr>
                <w:sz w:val="20"/>
                <w:szCs w:val="20"/>
                <w:color w:val="auto"/>
              </w:rPr>
            </w:pPr>
          </w:p>
        </w:tc>
        <w:tc>
          <w:tcPr>
            <w:tcW w:w="1220" w:type="dxa"/>
            <w:vAlign w:val="bottom"/>
            <w:tcBorders>
              <w:bottom w:val="single" w:sz="8" w:color="808080"/>
            </w:tcBorders>
          </w:tcPr>
          <w:p>
            <w:pPr>
              <w:jc w:val="center"/>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r>
      <w:tr>
        <w:trPr>
          <w:trHeight w:val="237"/>
        </w:trPr>
        <w:tc>
          <w:tcPr>
            <w:tcW w:w="6860" w:type="dxa"/>
            <w:vAlign w:val="bottom"/>
            <w:tcBorders>
              <w:bottom w:val="single" w:sz="8" w:color="808080"/>
            </w:tcBorders>
          </w:tcPr>
          <w:p>
            <w:pPr>
              <w:ind w:left="220"/>
              <w:spacing w:after="0"/>
              <w:rPr>
                <w:sz w:val="20"/>
                <w:szCs w:val="20"/>
                <w:color w:val="auto"/>
              </w:rPr>
            </w:pPr>
            <w:r>
              <w:rPr>
                <w:rFonts w:ascii="Arial" w:cs="Arial" w:eastAsia="Arial" w:hAnsi="Arial"/>
                <w:sz w:val="16"/>
                <w:szCs w:val="16"/>
                <w:b w:val="1"/>
                <w:bCs w:val="1"/>
                <w:i w:val="1"/>
                <w:iCs w:val="1"/>
                <w:color w:val="auto"/>
              </w:rPr>
              <w:t xml:space="preserve">Directors and Executive Ofcers as a Group </w:t>
            </w:r>
            <w:r>
              <w:rPr>
                <w:rFonts w:ascii="Arial" w:cs="Arial" w:eastAsia="Arial" w:hAnsi="Arial"/>
                <w:sz w:val="16"/>
                <w:szCs w:val="16"/>
                <w:color w:val="auto"/>
              </w:rPr>
              <w:t>(18  persons)  (2)(3)(4)(5)(6)(7)</w:t>
            </w:r>
          </w:p>
        </w:tc>
        <w:tc>
          <w:tcPr>
            <w:tcW w:w="280" w:type="dxa"/>
            <w:vAlign w:val="bottom"/>
            <w:tcBorders>
              <w:bottom w:val="single" w:sz="8" w:color="808080"/>
            </w:tcBorders>
          </w:tcPr>
          <w:p>
            <w:pPr>
              <w:spacing w:after="0"/>
              <w:rPr>
                <w:sz w:val="20"/>
                <w:szCs w:val="20"/>
                <w:color w:val="auto"/>
              </w:rPr>
            </w:pPr>
          </w:p>
        </w:tc>
        <w:tc>
          <w:tcPr>
            <w:tcW w:w="1120" w:type="dxa"/>
            <w:vAlign w:val="bottom"/>
            <w:tcBorders>
              <w:bottom w:val="single" w:sz="8" w:color="808080"/>
            </w:tcBorders>
          </w:tcPr>
          <w:p>
            <w:pPr>
              <w:jc w:val="right"/>
              <w:spacing w:after="0"/>
              <w:rPr>
                <w:sz w:val="20"/>
                <w:szCs w:val="20"/>
                <w:color w:val="auto"/>
              </w:rPr>
            </w:pPr>
            <w:r>
              <w:rPr>
                <w:rFonts w:ascii="Arial" w:cs="Arial" w:eastAsia="Arial" w:hAnsi="Arial"/>
                <w:sz w:val="16"/>
                <w:szCs w:val="16"/>
                <w:color w:val="auto"/>
              </w:rPr>
              <w:t>2,781,227</w:t>
            </w:r>
          </w:p>
        </w:tc>
        <w:tc>
          <w:tcPr>
            <w:tcW w:w="240" w:type="dxa"/>
            <w:vAlign w:val="bottom"/>
            <w:tcBorders>
              <w:bottom w:val="single" w:sz="8" w:color="808080"/>
            </w:tcBorders>
          </w:tcPr>
          <w:p>
            <w:pPr>
              <w:spacing w:after="0"/>
              <w:rPr>
                <w:sz w:val="20"/>
                <w:szCs w:val="20"/>
                <w:color w:val="auto"/>
              </w:rPr>
            </w:pPr>
          </w:p>
        </w:tc>
        <w:tc>
          <w:tcPr>
            <w:tcW w:w="1220" w:type="dxa"/>
            <w:vAlign w:val="bottom"/>
            <w:tcBorders>
              <w:bottom w:val="single" w:sz="8" w:color="808080"/>
            </w:tcBorders>
          </w:tcPr>
          <w:p>
            <w:pPr>
              <w:jc w:val="center"/>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r>
    </w:tbl>
    <w:p>
      <w:pPr>
        <w:spacing w:after="0" w:line="116" w:lineRule="exact"/>
        <w:rPr>
          <w:sz w:val="20"/>
          <w:szCs w:val="20"/>
          <w:color w:val="auto"/>
        </w:rPr>
      </w:pPr>
    </w:p>
    <w:p>
      <w:pPr>
        <w:ind w:left="320" w:hanging="316"/>
        <w:spacing w:after="0"/>
        <w:tabs>
          <w:tab w:leader="none" w:pos="320" w:val="left"/>
        </w:tabs>
        <w:numPr>
          <w:ilvl w:val="0"/>
          <w:numId w:val="74"/>
        </w:numPr>
        <w:rPr>
          <w:rFonts w:ascii="Arial" w:cs="Arial" w:eastAsia="Arial" w:hAnsi="Arial"/>
          <w:sz w:val="14"/>
          <w:szCs w:val="14"/>
          <w:color w:val="auto"/>
        </w:rPr>
      </w:pPr>
      <w:r>
        <w:rPr>
          <w:rFonts w:ascii="Arial" w:cs="Arial" w:eastAsia="Arial" w:hAnsi="Arial"/>
          <w:sz w:val="14"/>
          <w:szCs w:val="14"/>
          <w:color w:val="auto"/>
        </w:rPr>
        <w:t>Less  than  1%  of  outstanding  shares.</w:t>
      </w:r>
    </w:p>
    <w:p>
      <w:pPr>
        <w:spacing w:after="0" w:line="123" w:lineRule="exact"/>
        <w:rPr>
          <w:sz w:val="20"/>
          <w:szCs w:val="20"/>
          <w:color w:val="auto"/>
        </w:rPr>
      </w:pPr>
    </w:p>
    <w:p>
      <w:pPr>
        <w:ind w:left="320" w:right="200" w:hanging="316"/>
        <w:spacing w:after="0" w:line="214" w:lineRule="auto"/>
        <w:tabs>
          <w:tab w:leader="none" w:pos="320" w:val="left"/>
        </w:tabs>
        <w:numPr>
          <w:ilvl w:val="0"/>
          <w:numId w:val="75"/>
        </w:numPr>
        <w:rPr>
          <w:rFonts w:ascii="Arial" w:cs="Arial" w:eastAsia="Arial" w:hAnsi="Arial"/>
          <w:sz w:val="22"/>
          <w:szCs w:val="22"/>
          <w:color w:val="auto"/>
          <w:vertAlign w:val="superscript"/>
        </w:rPr>
      </w:pPr>
      <w:r>
        <w:rPr>
          <w:rFonts w:ascii="Arial" w:cs="Arial" w:eastAsia="Arial" w:hAnsi="Arial"/>
          <w:sz w:val="14"/>
          <w:szCs w:val="14"/>
          <w:color w:val="auto"/>
        </w:rPr>
        <w:t>For purposes of this table, a person or group of persons is deemed to have “benefcial ownership” of any shares as of a given date if such person has the right to acquire such shares within 60 days after such date.</w:t>
      </w:r>
    </w:p>
    <w:p>
      <w:pPr>
        <w:spacing w:after="0" w:line="76" w:lineRule="exact"/>
        <w:rPr>
          <w:rFonts w:ascii="Arial" w:cs="Arial" w:eastAsia="Arial" w:hAnsi="Arial"/>
          <w:sz w:val="22"/>
          <w:szCs w:val="22"/>
          <w:color w:val="auto"/>
          <w:vertAlign w:val="superscript"/>
        </w:rPr>
      </w:pPr>
    </w:p>
    <w:p>
      <w:pPr>
        <w:ind w:left="320" w:right="40" w:hanging="316"/>
        <w:spacing w:after="0" w:line="235" w:lineRule="auto"/>
        <w:tabs>
          <w:tab w:leader="none" w:pos="320" w:val="left"/>
        </w:tabs>
        <w:numPr>
          <w:ilvl w:val="0"/>
          <w:numId w:val="75"/>
        </w:numPr>
        <w:rPr>
          <w:rFonts w:ascii="Arial" w:cs="Arial" w:eastAsia="Arial" w:hAnsi="Arial"/>
          <w:sz w:val="22"/>
          <w:szCs w:val="22"/>
          <w:color w:val="auto"/>
          <w:vertAlign w:val="superscript"/>
        </w:rPr>
      </w:pPr>
      <w:r>
        <w:rPr>
          <w:rFonts w:ascii="Arial" w:cs="Arial" w:eastAsia="Arial" w:hAnsi="Arial"/>
          <w:sz w:val="14"/>
          <w:szCs w:val="14"/>
          <w:color w:val="auto"/>
        </w:rPr>
        <w:t>The number of shares shown as benefcially owned includes the following number of unvested share units which are scheduled to vest within 60 days of March 24, 2026: Ms. Brewer – 2,410 share units; Ms. Freyre – 2,410 share units; Mr. Friend– 2,410 share units; Mr. Harford – 2,410 share units; Ms. Hooper – 2,410 share units; Mr. Isaacson – 2,410 share units; Mr. Philip – 5,422 share units; Mr. Shapiro – 2,410 share units; Ms. Ward – 2,410 share units; and Mr. Whitehurst – 1,205 share units.</w:t>
      </w:r>
    </w:p>
    <w:p>
      <w:pPr>
        <w:sectPr>
          <w:pgSz w:w="11900" w:h="16838" w:orient="portrait"/>
          <w:cols w:equalWidth="0" w:num="1">
            <w:col w:w="9760"/>
          </w:cols>
          <w:pgMar w:left="1080" w:top="695" w:right="10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ind w:right="7760"/>
        <w:spacing w:after="0"/>
        <w:rPr>
          <w:sz w:val="20"/>
          <w:szCs w:val="20"/>
          <w:color w:val="auto"/>
        </w:rPr>
      </w:pPr>
      <w:r>
        <w:rPr>
          <w:rFonts w:ascii="Arial" w:cs="Arial" w:eastAsia="Arial" w:hAnsi="Arial"/>
          <w:sz w:val="16"/>
          <w:szCs w:val="16"/>
          <w:color w:val="auto"/>
        </w:rPr>
        <w:t>​​2026​  Proxy</w:t>
      </w:r>
    </w:p>
    <w:p>
      <w:pPr>
        <w:spacing w:after="0" w:line="5" w:lineRule="exact"/>
        <w:rPr>
          <w:sz w:val="20"/>
          <w:szCs w:val="20"/>
          <w:color w:val="auto"/>
        </w:rPr>
      </w:pPr>
    </w:p>
    <w:p>
      <w:pPr>
        <w:ind w:left="660" w:hanging="656"/>
        <w:spacing w:after="0"/>
        <w:tabs>
          <w:tab w:leader="none" w:pos="660" w:val="left"/>
        </w:tabs>
        <w:numPr>
          <w:ilvl w:val="0"/>
          <w:numId w:val="76"/>
        </w:numPr>
        <w:rPr>
          <w:rFonts w:ascii="Arial" w:cs="Arial" w:eastAsia="Arial" w:hAnsi="Arial"/>
          <w:sz w:val="16"/>
          <w:szCs w:val="16"/>
          <w:b w:val="1"/>
          <w:bCs w:val="1"/>
          <w:color w:val="1414D2"/>
        </w:rPr>
      </w:pPr>
      <w:r>
        <w:rPr>
          <w:rFonts w:ascii="Arial" w:cs="Arial" w:eastAsia="Arial" w:hAnsi="Arial"/>
          <w:sz w:val="16"/>
          <w:szCs w:val="16"/>
          <w:color w:val="auto"/>
        </w:rPr>
        <w:t>Statement</w:t>
      </w:r>
    </w:p>
    <w:p>
      <w:pPr>
        <w:sectPr>
          <w:pgSz w:w="11900" w:h="16838" w:orient="portrait"/>
          <w:cols w:equalWidth="0" w:num="1">
            <w:col w:w="9760"/>
          </w:cols>
          <w:pgMar w:left="1080" w:top="695" w:right="1059" w:bottom="1440" w:gutter="0" w:footer="0" w:header="0"/>
          <w:type w:val="continuous"/>
        </w:sectPr>
      </w:pPr>
    </w:p>
    <w:bookmarkStart w:id="79" w:name="page80"/>
    <w:bookmarkEnd w:id="79"/>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27" w:lineRule="exact"/>
        <w:rPr>
          <w:sz w:val="20"/>
          <w:szCs w:val="20"/>
          <w:color w:val="auto"/>
        </w:rPr>
      </w:pPr>
    </w:p>
    <w:p>
      <w:pPr>
        <w:jc w:val="right"/>
        <w:spacing w:after="0"/>
        <w:rPr>
          <w:sz w:val="20"/>
          <w:szCs w:val="20"/>
          <w:color w:val="auto"/>
        </w:rPr>
      </w:pPr>
      <w:r>
        <w:rPr>
          <w:rFonts w:ascii="Arial" w:cs="Arial" w:eastAsia="Arial" w:hAnsi="Arial"/>
          <w:sz w:val="14"/>
          <w:szCs w:val="14"/>
          <w:color w:val="6D6F71"/>
        </w:rPr>
        <w:t>Securities  Ownership</w:t>
      </w:r>
    </w:p>
    <w:p>
      <w:pPr>
        <w:spacing w:after="0" w:line="231" w:lineRule="exact"/>
        <w:rPr>
          <w:sz w:val="20"/>
          <w:szCs w:val="20"/>
          <w:color w:val="auto"/>
        </w:rPr>
      </w:pPr>
    </w:p>
    <w:p>
      <w:pPr>
        <w:ind w:left="320" w:hanging="316"/>
        <w:spacing w:after="0" w:line="243" w:lineRule="auto"/>
        <w:tabs>
          <w:tab w:leader="none" w:pos="320" w:val="left"/>
        </w:tabs>
        <w:numPr>
          <w:ilvl w:val="0"/>
          <w:numId w:val="77"/>
        </w:numPr>
        <w:rPr>
          <w:rFonts w:ascii="Arial" w:cs="Arial" w:eastAsia="Arial" w:hAnsi="Arial"/>
          <w:sz w:val="22"/>
          <w:szCs w:val="22"/>
          <w:color w:val="auto"/>
          <w:vertAlign w:val="superscript"/>
        </w:rPr>
      </w:pPr>
      <w:r>
        <w:rPr>
          <w:rFonts w:ascii="Arial" w:cs="Arial" w:eastAsia="Arial" w:hAnsi="Arial"/>
          <w:sz w:val="14"/>
          <w:szCs w:val="14"/>
          <w:color w:val="auto"/>
        </w:rPr>
        <w:t>The number of shares shown as benefcially owned includes the following number of share units that the director has elected to defer into a share account pursuant to the terms of the DEIP (including any unvested share units noted in footnote 2 above which, upon their vesting within 60 days will be deferred into a share account as well as any quarterly retainer fees to be deferred into the director’s share account within 60 days), to the extent such share units will be settled within 60 days following the director’s separation from service on the Board: Ms. Brewer – 6,064 share units; Ms. Freyre – 2,410 share units; Mr. Friend – 24,320 share units; Mr. Harford – 1,037 share units; Ms. Hooper – 24,833 share units; Mr. Isaacson – 51,387 share units; Mr. Philip – 50,035 share units; Mr. Shapiro – 50,564 share units; Ms. Ward – 5,770 share units; and Mr. Whitehurst – 20,637 share units. Deferred share units that will be settled more than 60 days following the director’s separation from service are not included.</w:t>
      </w:r>
    </w:p>
    <w:p>
      <w:pPr>
        <w:spacing w:after="0" w:line="192" w:lineRule="exact"/>
        <w:rPr>
          <w:rFonts w:ascii="Arial" w:cs="Arial" w:eastAsia="Arial" w:hAnsi="Arial"/>
          <w:sz w:val="22"/>
          <w:szCs w:val="22"/>
          <w:color w:val="auto"/>
          <w:vertAlign w:val="superscript"/>
        </w:rPr>
      </w:pPr>
    </w:p>
    <w:p>
      <w:pPr>
        <w:ind w:left="320" w:hanging="316"/>
        <w:spacing w:after="0"/>
        <w:tabs>
          <w:tab w:leader="none" w:pos="320" w:val="left"/>
        </w:tabs>
        <w:numPr>
          <w:ilvl w:val="0"/>
          <w:numId w:val="77"/>
        </w:numPr>
        <w:rPr>
          <w:rFonts w:ascii="Arial" w:cs="Arial" w:eastAsia="Arial" w:hAnsi="Arial"/>
          <w:sz w:val="22"/>
          <w:szCs w:val="22"/>
          <w:color w:val="auto"/>
          <w:vertAlign w:val="superscript"/>
        </w:rPr>
      </w:pPr>
      <w:r>
        <w:rPr>
          <w:rFonts w:ascii="Arial" w:cs="Arial" w:eastAsia="Arial" w:hAnsi="Arial"/>
          <w:sz w:val="14"/>
          <w:szCs w:val="14"/>
          <w:color w:val="auto"/>
        </w:rPr>
        <w:t>Mr.  Kirby  is  also  a  named  executive  ofcer.</w:t>
      </w:r>
    </w:p>
    <w:p>
      <w:pPr>
        <w:spacing w:after="0" w:line="102" w:lineRule="exact"/>
        <w:rPr>
          <w:rFonts w:ascii="Arial" w:cs="Arial" w:eastAsia="Arial" w:hAnsi="Arial"/>
          <w:sz w:val="22"/>
          <w:szCs w:val="22"/>
          <w:color w:val="auto"/>
          <w:vertAlign w:val="superscript"/>
        </w:rPr>
      </w:pPr>
    </w:p>
    <w:p>
      <w:pPr>
        <w:ind w:left="320" w:right="80" w:hanging="316"/>
        <w:spacing w:after="0"/>
        <w:tabs>
          <w:tab w:leader="none" w:pos="320" w:val="left"/>
        </w:tabs>
        <w:numPr>
          <w:ilvl w:val="0"/>
          <w:numId w:val="77"/>
        </w:numPr>
        <w:rPr>
          <w:rFonts w:ascii="Arial" w:cs="Arial" w:eastAsia="Arial" w:hAnsi="Arial"/>
          <w:sz w:val="22"/>
          <w:szCs w:val="22"/>
          <w:color w:val="auto"/>
          <w:vertAlign w:val="superscript"/>
        </w:rPr>
      </w:pPr>
      <w:r>
        <w:rPr>
          <w:rFonts w:ascii="Arial" w:cs="Arial" w:eastAsia="Arial" w:hAnsi="Arial"/>
          <w:sz w:val="14"/>
          <w:szCs w:val="14"/>
          <w:color w:val="auto"/>
        </w:rPr>
        <w:t>The number of shares shown as benefcially owned includes: (i) 159,321 vested options to purchase shares of Common Stock at $58.69 per share, (ii) 168,775 vested options to purchase shares of Common Stock at $110.21 per share, (iii) 67,510 unvested options to purchase shares of Common Stock at $110.21 (which option will vest within 60 days of March 24, 2026), (iv) 5,000 shares of Common Stock held in a trust for the beneft of Mr. Kirby’s children and other relatives in which Mr. Kirby serves as the trustee (Mr. Kirby disclaims benefcial ownership of these securities except to the extent of his pecuniary interest therein) and (v) 8,000 shares of Common Stock held in a trust for the beneft of Mr. Kirby’s children in which Mr. Kirby’s brother serves as the trustee (Mr. Kirby disclaims benefcial ownership of these securities).</w:t>
      </w:r>
    </w:p>
    <w:p>
      <w:pPr>
        <w:spacing w:after="0" w:line="206" w:lineRule="exact"/>
        <w:rPr>
          <w:rFonts w:ascii="Arial" w:cs="Arial" w:eastAsia="Arial" w:hAnsi="Arial"/>
          <w:sz w:val="22"/>
          <w:szCs w:val="22"/>
          <w:color w:val="auto"/>
          <w:vertAlign w:val="superscript"/>
        </w:rPr>
      </w:pPr>
    </w:p>
    <w:p>
      <w:pPr>
        <w:ind w:left="320" w:hanging="316"/>
        <w:spacing w:after="0"/>
        <w:tabs>
          <w:tab w:leader="none" w:pos="320" w:val="left"/>
        </w:tabs>
        <w:numPr>
          <w:ilvl w:val="0"/>
          <w:numId w:val="77"/>
        </w:numPr>
        <w:rPr>
          <w:rFonts w:ascii="Arial" w:cs="Arial" w:eastAsia="Arial" w:hAnsi="Arial"/>
          <w:sz w:val="22"/>
          <w:szCs w:val="22"/>
          <w:color w:val="auto"/>
          <w:vertAlign w:val="superscript"/>
        </w:rPr>
      </w:pPr>
      <w:r>
        <w:rPr>
          <w:rFonts w:ascii="Arial" w:cs="Arial" w:eastAsia="Arial" w:hAnsi="Arial"/>
          <w:sz w:val="14"/>
          <w:szCs w:val="14"/>
          <w:color w:val="auto"/>
        </w:rPr>
        <w:t>Includes  shared  voting  and  investment  power  for  six  shares  of  Common  Stock.</w:t>
      </w:r>
    </w:p>
    <w:p>
      <w:pPr>
        <w:spacing w:after="0" w:line="120" w:lineRule="exact"/>
        <w:rPr>
          <w:rFonts w:ascii="Arial" w:cs="Arial" w:eastAsia="Arial" w:hAnsi="Arial"/>
          <w:sz w:val="22"/>
          <w:szCs w:val="22"/>
          <w:color w:val="auto"/>
          <w:vertAlign w:val="superscript"/>
        </w:rPr>
      </w:pPr>
    </w:p>
    <w:p>
      <w:pPr>
        <w:ind w:left="320" w:hanging="316"/>
        <w:spacing w:after="0" w:line="218" w:lineRule="auto"/>
        <w:tabs>
          <w:tab w:leader="none" w:pos="320" w:val="left"/>
        </w:tabs>
        <w:numPr>
          <w:ilvl w:val="0"/>
          <w:numId w:val="77"/>
        </w:numPr>
        <w:rPr>
          <w:rFonts w:ascii="Arial" w:cs="Arial" w:eastAsia="Arial" w:hAnsi="Arial"/>
          <w:sz w:val="22"/>
          <w:szCs w:val="22"/>
          <w:color w:val="auto"/>
          <w:vertAlign w:val="superscript"/>
        </w:rPr>
      </w:pPr>
      <w:r>
        <w:rPr>
          <w:rFonts w:ascii="Arial" w:cs="Arial" w:eastAsia="Arial" w:hAnsi="Arial"/>
          <w:sz w:val="14"/>
          <w:szCs w:val="14"/>
          <w:color w:val="auto"/>
        </w:rPr>
        <w:t>Includes  21,521  options  to  purchase  shares  of  Common  Stock  at  $77.56.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2026  Proxy  Statement</w:t>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1414D2"/>
        </w:rPr>
        <w:t>69</w:t>
      </w:r>
    </w:p>
    <w:p>
      <w:pPr>
        <w:sectPr>
          <w:pgSz w:w="11900" w:h="16838" w:orient="portrait"/>
          <w:cols w:equalWidth="0" w:num="1">
            <w:col w:w="9720"/>
          </w:cols>
          <w:pgMar w:left="1080" w:top="695" w:right="1099" w:bottom="1440" w:gutter="0" w:footer="0" w:header="0"/>
        </w:sectPr>
      </w:pPr>
    </w:p>
    <w:bookmarkStart w:id="80" w:name="page81"/>
    <w:bookmarkEnd w:id="80"/>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02"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Equity Compensation Plan Information</w:t>
      </w:r>
    </w:p>
    <w:p>
      <w:pPr>
        <w:spacing w:after="0" w:line="186" w:lineRule="exact"/>
        <w:rPr>
          <w:sz w:val="20"/>
          <w:szCs w:val="20"/>
          <w:color w:val="auto"/>
        </w:rPr>
      </w:pPr>
    </w:p>
    <w:p>
      <w:pPr>
        <w:ind w:right="60"/>
        <w:spacing w:after="0" w:line="313" w:lineRule="auto"/>
        <w:rPr>
          <w:sz w:val="20"/>
          <w:szCs w:val="20"/>
          <w:color w:val="auto"/>
        </w:rPr>
      </w:pPr>
      <w:r>
        <w:rPr>
          <w:rFonts w:ascii="Arial" w:cs="Arial" w:eastAsia="Arial" w:hAnsi="Arial"/>
          <w:sz w:val="16"/>
          <w:szCs w:val="16"/>
          <w:color w:val="auto"/>
        </w:rPr>
        <w:t>The following table sets forth information as of December 31, 2025 regarding the number of shares of Common Stock that may be issued under the Company’s equity compensation plans.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3820" w:type="dxa"/>
            <w:vAlign w:val="bottom"/>
            <w:tcBorders>
              <w:top w:val="single" w:sz="8" w:color="1414D2"/>
            </w:tcBorders>
            <w:shd w:val="clear" w:color="auto" w:fill="F2F2F2"/>
          </w:tcPr>
          <w:p>
            <w:pPr>
              <w:spacing w:after="0"/>
              <w:rPr>
                <w:sz w:val="22"/>
                <w:szCs w:val="22"/>
                <w:color w:val="auto"/>
              </w:rPr>
            </w:pPr>
          </w:p>
        </w:tc>
        <w:tc>
          <w:tcPr>
            <w:tcW w:w="300" w:type="dxa"/>
            <w:vAlign w:val="bottom"/>
            <w:tcBorders>
              <w:top w:val="single" w:sz="8" w:color="1414D2"/>
            </w:tcBorders>
            <w:gridSpan w:val="2"/>
            <w:shd w:val="clear" w:color="auto" w:fill="F2F2F2"/>
          </w:tcPr>
          <w:p>
            <w:pPr>
              <w:ind w:left="100"/>
              <w:spacing w:after="0"/>
              <w:rPr>
                <w:sz w:val="20"/>
                <w:szCs w:val="20"/>
                <w:color w:val="auto"/>
              </w:rPr>
            </w:pPr>
            <w:r>
              <w:rPr>
                <w:rFonts w:ascii="Arial" w:cs="Arial" w:eastAsia="Arial" w:hAnsi="Arial"/>
                <w:sz w:val="20"/>
                <w:szCs w:val="20"/>
                <w:b w:val="1"/>
                <w:bCs w:val="1"/>
                <w:color w:val="auto"/>
              </w:rPr>
              <w:t>​​​</w:t>
            </w:r>
          </w:p>
        </w:tc>
        <w:tc>
          <w:tcPr>
            <w:tcW w:w="1620" w:type="dxa"/>
            <w:vAlign w:val="bottom"/>
            <w:tcBorders>
              <w:top w:val="single" w:sz="8" w:color="1414D2"/>
            </w:tcBorders>
            <w:shd w:val="clear" w:color="auto" w:fill="F2F2F2"/>
          </w:tcPr>
          <w:p>
            <w:pPr>
              <w:spacing w:after="0"/>
              <w:rPr>
                <w:sz w:val="22"/>
                <w:szCs w:val="22"/>
                <w:color w:val="auto"/>
              </w:rPr>
            </w:pPr>
          </w:p>
        </w:tc>
        <w:tc>
          <w:tcPr>
            <w:tcW w:w="20" w:type="dxa"/>
            <w:vAlign w:val="bottom"/>
            <w:tcBorders>
              <w:top w:val="single" w:sz="8" w:color="1414D2"/>
            </w:tcBorders>
            <w:shd w:val="clear" w:color="auto" w:fill="F2F2F2"/>
          </w:tcPr>
          <w:p>
            <w:pPr>
              <w:spacing w:after="0"/>
              <w:rPr>
                <w:sz w:val="22"/>
                <w:szCs w:val="22"/>
                <w:color w:val="auto"/>
              </w:rPr>
            </w:pPr>
          </w:p>
        </w:tc>
        <w:tc>
          <w:tcPr>
            <w:tcW w:w="200" w:type="dxa"/>
            <w:vAlign w:val="bottom"/>
            <w:tcBorders>
              <w:top w:val="single" w:sz="8" w:color="1414D2"/>
            </w:tcBorders>
            <w:shd w:val="clear" w:color="auto" w:fill="F2F2F2"/>
          </w:tcPr>
          <w:p>
            <w:pPr>
              <w:ind w:left="80"/>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1414D2"/>
            </w:tcBorders>
            <w:shd w:val="clear" w:color="auto" w:fill="F2F2F2"/>
          </w:tcPr>
          <w:p>
            <w:pPr>
              <w:spacing w:after="0"/>
              <w:rPr>
                <w:sz w:val="22"/>
                <w:szCs w:val="22"/>
                <w:color w:val="auto"/>
              </w:rPr>
            </w:pPr>
          </w:p>
        </w:tc>
        <w:tc>
          <w:tcPr>
            <w:tcW w:w="1380" w:type="dxa"/>
            <w:vAlign w:val="bottom"/>
            <w:tcBorders>
              <w:top w:val="single" w:sz="8" w:color="1414D2"/>
            </w:tcBorders>
            <w:shd w:val="clear" w:color="auto" w:fill="F2F2F2"/>
          </w:tcPr>
          <w:p>
            <w:pPr>
              <w:spacing w:after="0"/>
              <w:rPr>
                <w:sz w:val="22"/>
                <w:szCs w:val="22"/>
                <w:color w:val="auto"/>
              </w:rPr>
            </w:pPr>
          </w:p>
        </w:tc>
        <w:tc>
          <w:tcPr>
            <w:tcW w:w="180" w:type="dxa"/>
            <w:vAlign w:val="bottom"/>
            <w:tcBorders>
              <w:top w:val="single" w:sz="8" w:color="1414D2"/>
            </w:tcBorders>
            <w:shd w:val="clear" w:color="auto" w:fill="F2F2F2"/>
          </w:tcPr>
          <w:p>
            <w:pPr>
              <w:ind w:left="80"/>
              <w:spacing w:after="0"/>
              <w:rPr>
                <w:sz w:val="20"/>
                <w:szCs w:val="20"/>
                <w:color w:val="auto"/>
              </w:rPr>
            </w:pPr>
            <w:r>
              <w:rPr>
                <w:rFonts w:ascii="Arial" w:cs="Arial" w:eastAsia="Arial" w:hAnsi="Arial"/>
                <w:sz w:val="14"/>
                <w:szCs w:val="14"/>
                <w:b w:val="1"/>
                <w:bCs w:val="1"/>
                <w:color w:val="auto"/>
              </w:rPr>
              <w:t>​​​</w:t>
            </w:r>
          </w:p>
        </w:tc>
        <w:tc>
          <w:tcPr>
            <w:tcW w:w="1920" w:type="dxa"/>
            <w:vAlign w:val="bottom"/>
            <w:tcBorders>
              <w:top w:val="single" w:sz="8" w:color="1414D2"/>
            </w:tcBorders>
            <w:shd w:val="clear" w:color="auto" w:fill="F2F2F2"/>
          </w:tcPr>
          <w:p>
            <w:pPr>
              <w:jc w:val="center"/>
              <w:spacing w:after="0"/>
              <w:rPr>
                <w:sz w:val="20"/>
                <w:szCs w:val="20"/>
                <w:color w:val="auto"/>
              </w:rPr>
            </w:pPr>
            <w:r>
              <w:rPr>
                <w:rFonts w:ascii="Arial" w:cs="Arial" w:eastAsia="Arial" w:hAnsi="Arial"/>
                <w:sz w:val="14"/>
                <w:szCs w:val="14"/>
                <w:b w:val="1"/>
                <w:bCs w:val="1"/>
                <w:color w:val="auto"/>
              </w:rPr>
              <w:t>Number of securities</w:t>
            </w:r>
          </w:p>
        </w:tc>
        <w:tc>
          <w:tcPr>
            <w:tcW w:w="160" w:type="dxa"/>
            <w:vAlign w:val="bottom"/>
            <w:tcBorders>
              <w:top w:val="single" w:sz="8" w:color="1414D2"/>
            </w:tcBorders>
            <w:shd w:val="clear" w:color="auto" w:fill="F2F2F2"/>
          </w:tcPr>
          <w:p>
            <w:pPr>
              <w:spacing w:after="0"/>
              <w:rPr>
                <w:sz w:val="22"/>
                <w:szCs w:val="22"/>
                <w:color w:val="auto"/>
              </w:rPr>
            </w:pPr>
          </w:p>
        </w:tc>
        <w:tc>
          <w:tcPr>
            <w:tcW w:w="20" w:type="dxa"/>
            <w:vAlign w:val="bottom"/>
          </w:tcPr>
          <w:p>
            <w:pPr>
              <w:spacing w:after="0"/>
              <w:rPr>
                <w:sz w:val="22"/>
                <w:szCs w:val="22"/>
                <w:color w:val="auto"/>
              </w:rPr>
            </w:pPr>
          </w:p>
        </w:tc>
      </w:tr>
      <w:tr>
        <w:trPr>
          <w:trHeight w:val="230"/>
        </w:trPr>
        <w:tc>
          <w:tcPr>
            <w:tcW w:w="3820" w:type="dxa"/>
            <w:vAlign w:val="bottom"/>
            <w:shd w:val="clear" w:color="auto" w:fill="F2F2F2"/>
          </w:tcPr>
          <w:p>
            <w:pPr>
              <w:spacing w:after="0"/>
              <w:rPr>
                <w:sz w:val="19"/>
                <w:szCs w:val="19"/>
                <w:color w:val="auto"/>
              </w:rPr>
            </w:pPr>
          </w:p>
        </w:tc>
        <w:tc>
          <w:tcPr>
            <w:tcW w:w="200" w:type="dxa"/>
            <w:vAlign w:val="bottom"/>
            <w:shd w:val="clear" w:color="auto" w:fill="F2F2F2"/>
          </w:tcPr>
          <w:p>
            <w:pPr>
              <w:spacing w:after="0"/>
              <w:rPr>
                <w:sz w:val="19"/>
                <w:szCs w:val="19"/>
                <w:color w:val="auto"/>
              </w:rPr>
            </w:pPr>
          </w:p>
        </w:tc>
        <w:tc>
          <w:tcPr>
            <w:tcW w:w="100" w:type="dxa"/>
            <w:vAlign w:val="bottom"/>
            <w:shd w:val="clear" w:color="auto" w:fill="F2F2F2"/>
          </w:tcPr>
          <w:p>
            <w:pPr>
              <w:spacing w:after="0"/>
              <w:rPr>
                <w:sz w:val="19"/>
                <w:szCs w:val="19"/>
                <w:color w:val="auto"/>
              </w:rPr>
            </w:pPr>
          </w:p>
        </w:tc>
        <w:tc>
          <w:tcPr>
            <w:tcW w:w="1620" w:type="dxa"/>
            <w:vAlign w:val="bottom"/>
            <w:shd w:val="clear" w:color="auto" w:fill="F2F2F2"/>
          </w:tcPr>
          <w:p>
            <w:pPr>
              <w:spacing w:after="0"/>
              <w:rPr>
                <w:sz w:val="19"/>
                <w:szCs w:val="19"/>
                <w:color w:val="auto"/>
              </w:rPr>
            </w:pPr>
          </w:p>
        </w:tc>
        <w:tc>
          <w:tcPr>
            <w:tcW w:w="20" w:type="dxa"/>
            <w:vAlign w:val="bottom"/>
            <w:shd w:val="clear" w:color="auto" w:fill="F2F2F2"/>
          </w:tcPr>
          <w:p>
            <w:pPr>
              <w:spacing w:after="0"/>
              <w:rPr>
                <w:sz w:val="19"/>
                <w:szCs w:val="19"/>
                <w:color w:val="auto"/>
              </w:rPr>
            </w:pPr>
          </w:p>
        </w:tc>
        <w:tc>
          <w:tcPr>
            <w:tcW w:w="200" w:type="dxa"/>
            <w:vAlign w:val="bottom"/>
            <w:shd w:val="clear" w:color="auto" w:fill="F2F2F2"/>
          </w:tcPr>
          <w:p>
            <w:pPr>
              <w:spacing w:after="0"/>
              <w:rPr>
                <w:sz w:val="19"/>
                <w:szCs w:val="19"/>
                <w:color w:val="auto"/>
              </w:rPr>
            </w:pPr>
          </w:p>
        </w:tc>
        <w:tc>
          <w:tcPr>
            <w:tcW w:w="120" w:type="dxa"/>
            <w:vAlign w:val="bottom"/>
            <w:shd w:val="clear" w:color="auto" w:fill="F2F2F2"/>
          </w:tcPr>
          <w:p>
            <w:pPr>
              <w:spacing w:after="0"/>
              <w:rPr>
                <w:sz w:val="19"/>
                <w:szCs w:val="19"/>
                <w:color w:val="auto"/>
              </w:rPr>
            </w:pPr>
          </w:p>
        </w:tc>
        <w:tc>
          <w:tcPr>
            <w:tcW w:w="1380" w:type="dxa"/>
            <w:vAlign w:val="bottom"/>
            <w:shd w:val="clear" w:color="auto" w:fill="F2F2F2"/>
          </w:tcPr>
          <w:p>
            <w:pPr>
              <w:spacing w:after="0"/>
              <w:rPr>
                <w:sz w:val="19"/>
                <w:szCs w:val="19"/>
                <w:color w:val="auto"/>
              </w:rPr>
            </w:pPr>
          </w:p>
        </w:tc>
        <w:tc>
          <w:tcPr>
            <w:tcW w:w="180" w:type="dxa"/>
            <w:vAlign w:val="bottom"/>
            <w:shd w:val="clear" w:color="auto" w:fill="F2F2F2"/>
          </w:tcPr>
          <w:p>
            <w:pPr>
              <w:spacing w:after="0"/>
              <w:rPr>
                <w:sz w:val="19"/>
                <w:szCs w:val="19"/>
                <w:color w:val="auto"/>
              </w:rPr>
            </w:pPr>
          </w:p>
        </w:tc>
        <w:tc>
          <w:tcPr>
            <w:tcW w:w="1920" w:type="dxa"/>
            <w:vAlign w:val="bottom"/>
            <w:shd w:val="clear" w:color="auto" w:fill="F2F2F2"/>
          </w:tcPr>
          <w:p>
            <w:pPr>
              <w:jc w:val="center"/>
              <w:spacing w:after="0"/>
              <w:rPr>
                <w:sz w:val="20"/>
                <w:szCs w:val="20"/>
                <w:color w:val="auto"/>
              </w:rPr>
            </w:pPr>
            <w:r>
              <w:rPr>
                <w:rFonts w:ascii="Arial" w:cs="Arial" w:eastAsia="Arial" w:hAnsi="Arial"/>
                <w:sz w:val="14"/>
                <w:szCs w:val="14"/>
                <w:b w:val="1"/>
                <w:bCs w:val="1"/>
                <w:color w:val="auto"/>
              </w:rPr>
              <w:t>remaining available for</w:t>
            </w:r>
          </w:p>
        </w:tc>
        <w:tc>
          <w:tcPr>
            <w:tcW w:w="160" w:type="dxa"/>
            <w:vAlign w:val="bottom"/>
            <w:shd w:val="clear" w:color="auto" w:fill="F2F2F2"/>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3820" w:type="dxa"/>
            <w:vAlign w:val="bottom"/>
            <w:shd w:val="clear" w:color="auto" w:fill="F2F2F2"/>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gridSpan w:val="2"/>
            <w:shd w:val="clear" w:color="auto" w:fill="F2F2F2"/>
          </w:tcPr>
          <w:p>
            <w:pPr>
              <w:jc w:val="center"/>
              <w:spacing w:after="0"/>
              <w:rPr>
                <w:sz w:val="20"/>
                <w:szCs w:val="20"/>
                <w:color w:val="auto"/>
              </w:rPr>
            </w:pPr>
            <w:r>
              <w:rPr>
                <w:rFonts w:ascii="Arial" w:cs="Arial" w:eastAsia="Arial" w:hAnsi="Arial"/>
                <w:sz w:val="14"/>
                <w:szCs w:val="14"/>
                <w:b w:val="1"/>
                <w:bCs w:val="1"/>
                <w:color w:val="auto"/>
              </w:rPr>
              <w:t>Number of securities to</w:t>
            </w:r>
          </w:p>
        </w:tc>
        <w:tc>
          <w:tcPr>
            <w:tcW w:w="20" w:type="dxa"/>
            <w:vAlign w:val="bottom"/>
            <w:shd w:val="clear" w:color="auto" w:fill="F2F2F2"/>
          </w:tcPr>
          <w:p>
            <w:pPr>
              <w:spacing w:after="0"/>
              <w:rPr>
                <w:sz w:val="19"/>
                <w:szCs w:val="19"/>
                <w:color w:val="auto"/>
              </w:rPr>
            </w:pPr>
          </w:p>
        </w:tc>
        <w:tc>
          <w:tcPr>
            <w:tcW w:w="200" w:type="dxa"/>
            <w:vAlign w:val="bottom"/>
            <w:shd w:val="clear" w:color="auto" w:fill="F2F2F2"/>
          </w:tcPr>
          <w:p>
            <w:pPr>
              <w:spacing w:after="0"/>
              <w:rPr>
                <w:sz w:val="19"/>
                <w:szCs w:val="19"/>
                <w:color w:val="auto"/>
              </w:rPr>
            </w:pPr>
          </w:p>
        </w:tc>
        <w:tc>
          <w:tcPr>
            <w:tcW w:w="1500" w:type="dxa"/>
            <w:vAlign w:val="bottom"/>
            <w:gridSpan w:val="2"/>
            <w:shd w:val="clear" w:color="auto" w:fill="F2F2F2"/>
          </w:tcPr>
          <w:p>
            <w:pPr>
              <w:jc w:val="right"/>
              <w:ind w:right="41"/>
              <w:spacing w:after="0"/>
              <w:rPr>
                <w:sz w:val="20"/>
                <w:szCs w:val="20"/>
                <w:color w:val="auto"/>
              </w:rPr>
            </w:pPr>
            <w:r>
              <w:rPr>
                <w:rFonts w:ascii="Arial" w:cs="Arial" w:eastAsia="Arial" w:hAnsi="Arial"/>
                <w:sz w:val="14"/>
                <w:szCs w:val="14"/>
                <w:b w:val="1"/>
                <w:bCs w:val="1"/>
                <w:color w:val="auto"/>
              </w:rPr>
              <w:t>Weighted average</w:t>
            </w:r>
          </w:p>
        </w:tc>
        <w:tc>
          <w:tcPr>
            <w:tcW w:w="180" w:type="dxa"/>
            <w:vAlign w:val="bottom"/>
            <w:shd w:val="clear" w:color="auto" w:fill="F2F2F2"/>
          </w:tcPr>
          <w:p>
            <w:pPr>
              <w:spacing w:after="0"/>
              <w:rPr>
                <w:sz w:val="19"/>
                <w:szCs w:val="19"/>
                <w:color w:val="auto"/>
              </w:rPr>
            </w:pPr>
          </w:p>
        </w:tc>
        <w:tc>
          <w:tcPr>
            <w:tcW w:w="1920" w:type="dxa"/>
            <w:vAlign w:val="bottom"/>
            <w:shd w:val="clear" w:color="auto" w:fill="F2F2F2"/>
          </w:tcPr>
          <w:p>
            <w:pPr>
              <w:jc w:val="center"/>
              <w:spacing w:after="0"/>
              <w:rPr>
                <w:sz w:val="20"/>
                <w:szCs w:val="20"/>
                <w:color w:val="auto"/>
              </w:rPr>
            </w:pPr>
            <w:r>
              <w:rPr>
                <w:rFonts w:ascii="Arial" w:cs="Arial" w:eastAsia="Arial" w:hAnsi="Arial"/>
                <w:sz w:val="14"/>
                <w:szCs w:val="14"/>
                <w:b w:val="1"/>
                <w:bCs w:val="1"/>
                <w:color w:val="auto"/>
              </w:rPr>
              <w:t>future issuance under</w:t>
            </w:r>
          </w:p>
        </w:tc>
        <w:tc>
          <w:tcPr>
            <w:tcW w:w="160" w:type="dxa"/>
            <w:vAlign w:val="bottom"/>
            <w:shd w:val="clear" w:color="auto" w:fill="F2F2F2"/>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3820" w:type="dxa"/>
            <w:vAlign w:val="bottom"/>
            <w:shd w:val="clear" w:color="auto" w:fill="F2F2F2"/>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2"/>
          </w:tcPr>
          <w:p>
            <w:pPr>
              <w:jc w:val="center"/>
              <w:spacing w:after="0"/>
              <w:rPr>
                <w:sz w:val="20"/>
                <w:szCs w:val="20"/>
                <w:color w:val="auto"/>
              </w:rPr>
            </w:pPr>
            <w:r>
              <w:rPr>
                <w:rFonts w:ascii="Arial" w:cs="Arial" w:eastAsia="Arial" w:hAnsi="Arial"/>
                <w:sz w:val="14"/>
                <w:szCs w:val="14"/>
                <w:b w:val="1"/>
                <w:bCs w:val="1"/>
                <w:color w:val="auto"/>
              </w:rPr>
              <w:t>be issued upon exercise</w:t>
            </w:r>
          </w:p>
        </w:tc>
        <w:tc>
          <w:tcPr>
            <w:tcW w:w="20" w:type="dxa"/>
            <w:vAlign w:val="bottom"/>
          </w:tcPr>
          <w:p>
            <w:pPr>
              <w:spacing w:after="0"/>
              <w:rPr>
                <w:sz w:val="18"/>
                <w:szCs w:val="18"/>
                <w:color w:val="auto"/>
              </w:rPr>
            </w:pPr>
          </w:p>
        </w:tc>
        <w:tc>
          <w:tcPr>
            <w:tcW w:w="200" w:type="dxa"/>
            <w:vAlign w:val="bottom"/>
            <w:shd w:val="clear" w:color="auto" w:fill="F2F2F2"/>
          </w:tcPr>
          <w:p>
            <w:pPr>
              <w:spacing w:after="0"/>
              <w:rPr>
                <w:sz w:val="18"/>
                <w:szCs w:val="18"/>
                <w:color w:val="auto"/>
              </w:rPr>
            </w:pPr>
          </w:p>
        </w:tc>
        <w:tc>
          <w:tcPr>
            <w:tcW w:w="120" w:type="dxa"/>
            <w:vAlign w:val="bottom"/>
            <w:shd w:val="clear" w:color="auto" w:fill="F2F2F2"/>
          </w:tcPr>
          <w:p>
            <w:pPr>
              <w:spacing w:after="0"/>
              <w:rPr>
                <w:sz w:val="18"/>
                <w:szCs w:val="18"/>
                <w:color w:val="auto"/>
              </w:rPr>
            </w:pPr>
          </w:p>
        </w:tc>
        <w:tc>
          <w:tcPr>
            <w:tcW w:w="1380" w:type="dxa"/>
            <w:vAlign w:val="bottom"/>
            <w:shd w:val="clear" w:color="auto" w:fill="F2F2F2"/>
          </w:tcPr>
          <w:p>
            <w:pPr>
              <w:jc w:val="right"/>
              <w:ind w:right="121"/>
              <w:spacing w:after="0"/>
              <w:rPr>
                <w:sz w:val="20"/>
                <w:szCs w:val="20"/>
                <w:color w:val="auto"/>
              </w:rPr>
            </w:pPr>
            <w:r>
              <w:rPr>
                <w:rFonts w:ascii="Arial" w:cs="Arial" w:eastAsia="Arial" w:hAnsi="Arial"/>
                <w:sz w:val="14"/>
                <w:szCs w:val="14"/>
                <w:b w:val="1"/>
                <w:bCs w:val="1"/>
                <w:color w:val="auto"/>
              </w:rPr>
              <w:t>exercise price of</w:t>
            </w:r>
          </w:p>
        </w:tc>
        <w:tc>
          <w:tcPr>
            <w:tcW w:w="180" w:type="dxa"/>
            <w:vAlign w:val="bottom"/>
            <w:shd w:val="clear" w:color="auto" w:fill="F2F2F2"/>
          </w:tcPr>
          <w:p>
            <w:pPr>
              <w:spacing w:after="0"/>
              <w:rPr>
                <w:sz w:val="18"/>
                <w:szCs w:val="18"/>
                <w:color w:val="auto"/>
              </w:rPr>
            </w:pPr>
          </w:p>
        </w:tc>
        <w:tc>
          <w:tcPr>
            <w:tcW w:w="1920" w:type="dxa"/>
            <w:vAlign w:val="bottom"/>
            <w:shd w:val="clear" w:color="auto" w:fill="F2F2F2"/>
          </w:tcPr>
          <w:p>
            <w:pPr>
              <w:jc w:val="center"/>
              <w:spacing w:after="0"/>
              <w:rPr>
                <w:sz w:val="20"/>
                <w:szCs w:val="20"/>
                <w:color w:val="auto"/>
              </w:rPr>
            </w:pPr>
            <w:r>
              <w:rPr>
                <w:rFonts w:ascii="Arial" w:cs="Arial" w:eastAsia="Arial" w:hAnsi="Arial"/>
                <w:sz w:val="14"/>
                <w:szCs w:val="14"/>
                <w:b w:val="1"/>
                <w:bCs w:val="1"/>
                <w:color w:val="auto"/>
              </w:rPr>
              <w:t>equity compensation</w:t>
            </w:r>
          </w:p>
        </w:tc>
        <w:tc>
          <w:tcPr>
            <w:tcW w:w="160" w:type="dxa"/>
            <w:vAlign w:val="bottom"/>
            <w:shd w:val="clear" w:color="auto" w:fill="F2F2F2"/>
          </w:tcPr>
          <w:p>
            <w:pPr>
              <w:spacing w:after="0"/>
              <w:rPr>
                <w:sz w:val="18"/>
                <w:szCs w:val="18"/>
                <w:color w:val="auto"/>
              </w:rPr>
            </w:pPr>
          </w:p>
        </w:tc>
        <w:tc>
          <w:tcPr>
            <w:tcW w:w="20" w:type="dxa"/>
            <w:vAlign w:val="bottom"/>
          </w:tcPr>
          <w:p>
            <w:pPr>
              <w:spacing w:after="0"/>
              <w:rPr>
                <w:sz w:val="18"/>
                <w:szCs w:val="18"/>
                <w:color w:val="auto"/>
              </w:rPr>
            </w:pPr>
          </w:p>
        </w:tc>
      </w:tr>
      <w:tr>
        <w:trPr>
          <w:trHeight w:val="220"/>
        </w:trPr>
        <w:tc>
          <w:tcPr>
            <w:tcW w:w="3820" w:type="dxa"/>
            <w:vAlign w:val="bottom"/>
            <w:shd w:val="clear" w:color="auto" w:fill="F2F2F2"/>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gridSpan w:val="2"/>
          </w:tcPr>
          <w:p>
            <w:pPr>
              <w:jc w:val="center"/>
              <w:spacing w:after="0"/>
              <w:rPr>
                <w:sz w:val="20"/>
                <w:szCs w:val="20"/>
                <w:color w:val="auto"/>
              </w:rPr>
            </w:pPr>
            <w:r>
              <w:rPr>
                <w:rFonts w:ascii="Arial" w:cs="Arial" w:eastAsia="Arial" w:hAnsi="Arial"/>
                <w:sz w:val="14"/>
                <w:szCs w:val="14"/>
                <w:b w:val="1"/>
                <w:bCs w:val="1"/>
                <w:color w:val="auto"/>
              </w:rPr>
              <w:t>of outstanding options,</w:t>
            </w:r>
          </w:p>
        </w:tc>
        <w:tc>
          <w:tcPr>
            <w:tcW w:w="20" w:type="dxa"/>
            <w:vAlign w:val="bottom"/>
          </w:tcPr>
          <w:p>
            <w:pPr>
              <w:spacing w:after="0"/>
              <w:rPr>
                <w:sz w:val="19"/>
                <w:szCs w:val="19"/>
                <w:color w:val="auto"/>
              </w:rPr>
            </w:pPr>
          </w:p>
        </w:tc>
        <w:tc>
          <w:tcPr>
            <w:tcW w:w="200" w:type="dxa"/>
            <w:vAlign w:val="bottom"/>
            <w:shd w:val="clear" w:color="auto" w:fill="F2F2F2"/>
          </w:tcPr>
          <w:p>
            <w:pPr>
              <w:spacing w:after="0"/>
              <w:rPr>
                <w:sz w:val="19"/>
                <w:szCs w:val="19"/>
                <w:color w:val="auto"/>
              </w:rPr>
            </w:pPr>
          </w:p>
        </w:tc>
        <w:tc>
          <w:tcPr>
            <w:tcW w:w="1500" w:type="dxa"/>
            <w:vAlign w:val="bottom"/>
            <w:gridSpan w:val="2"/>
            <w:shd w:val="clear" w:color="auto" w:fill="F2F2F2"/>
          </w:tcPr>
          <w:p>
            <w:pPr>
              <w:spacing w:after="0"/>
              <w:rPr>
                <w:sz w:val="20"/>
                <w:szCs w:val="20"/>
                <w:color w:val="auto"/>
              </w:rPr>
            </w:pPr>
            <w:r>
              <w:rPr>
                <w:rFonts w:ascii="Arial" w:cs="Arial" w:eastAsia="Arial" w:hAnsi="Arial"/>
                <w:sz w:val="14"/>
                <w:szCs w:val="14"/>
                <w:b w:val="1"/>
                <w:bCs w:val="1"/>
                <w:color w:val="auto"/>
              </w:rPr>
              <w:t>outstanding options,</w:t>
            </w:r>
          </w:p>
        </w:tc>
        <w:tc>
          <w:tcPr>
            <w:tcW w:w="180" w:type="dxa"/>
            <w:vAlign w:val="bottom"/>
            <w:shd w:val="clear" w:color="auto" w:fill="F2F2F2"/>
          </w:tcPr>
          <w:p>
            <w:pPr>
              <w:spacing w:after="0"/>
              <w:rPr>
                <w:sz w:val="19"/>
                <w:szCs w:val="19"/>
                <w:color w:val="auto"/>
              </w:rPr>
            </w:pPr>
          </w:p>
        </w:tc>
        <w:tc>
          <w:tcPr>
            <w:tcW w:w="1920" w:type="dxa"/>
            <w:vAlign w:val="bottom"/>
            <w:shd w:val="clear" w:color="auto" w:fill="F2F2F2"/>
          </w:tcPr>
          <w:p>
            <w:pPr>
              <w:jc w:val="center"/>
              <w:spacing w:after="0"/>
              <w:rPr>
                <w:sz w:val="20"/>
                <w:szCs w:val="20"/>
                <w:color w:val="auto"/>
              </w:rPr>
            </w:pPr>
            <w:r>
              <w:rPr>
                <w:rFonts w:ascii="Arial" w:cs="Arial" w:eastAsia="Arial" w:hAnsi="Arial"/>
                <w:sz w:val="14"/>
                <w:szCs w:val="14"/>
                <w:b w:val="1"/>
                <w:bCs w:val="1"/>
                <w:color w:val="auto"/>
              </w:rPr>
              <w:t>plans (excluding securities</w:t>
            </w:r>
          </w:p>
        </w:tc>
        <w:tc>
          <w:tcPr>
            <w:tcW w:w="160" w:type="dxa"/>
            <w:vAlign w:val="bottom"/>
            <w:shd w:val="clear" w:color="auto" w:fill="F2F2F2"/>
          </w:tcPr>
          <w:p>
            <w:pPr>
              <w:spacing w:after="0"/>
              <w:rPr>
                <w:sz w:val="19"/>
                <w:szCs w:val="19"/>
                <w:color w:val="auto"/>
              </w:rPr>
            </w:pPr>
          </w:p>
        </w:tc>
        <w:tc>
          <w:tcPr>
            <w:tcW w:w="20" w:type="dxa"/>
            <w:vAlign w:val="bottom"/>
          </w:tcPr>
          <w:p>
            <w:pPr>
              <w:spacing w:after="0"/>
              <w:rPr>
                <w:sz w:val="19"/>
                <w:szCs w:val="19"/>
                <w:color w:val="auto"/>
              </w:rPr>
            </w:pPr>
          </w:p>
        </w:tc>
      </w:tr>
      <w:tr>
        <w:trPr>
          <w:trHeight w:val="252"/>
        </w:trPr>
        <w:tc>
          <w:tcPr>
            <w:tcW w:w="3820" w:type="dxa"/>
            <w:vAlign w:val="bottom"/>
            <w:shd w:val="clear" w:color="auto" w:fill="F2F2F2"/>
          </w:tcPr>
          <w:p>
            <w:pPr>
              <w:ind w:left="120"/>
              <w:spacing w:after="0"/>
              <w:rPr>
                <w:sz w:val="20"/>
                <w:szCs w:val="20"/>
                <w:color w:val="auto"/>
              </w:rPr>
            </w:pPr>
            <w:r>
              <w:rPr>
                <w:rFonts w:ascii="Arial" w:cs="Arial" w:eastAsia="Arial" w:hAnsi="Arial"/>
                <w:sz w:val="14"/>
                <w:szCs w:val="14"/>
                <w:b w:val="1"/>
                <w:bCs w:val="1"/>
                <w:color w:val="auto"/>
              </w:rPr>
              <w:t>Plan Category</w:t>
            </w:r>
          </w:p>
        </w:tc>
        <w:tc>
          <w:tcPr>
            <w:tcW w:w="300" w:type="dxa"/>
            <w:vAlign w:val="bottom"/>
            <w:gridSpan w:val="2"/>
          </w:tcPr>
          <w:p>
            <w:pPr>
              <w:ind w:left="100"/>
              <w:spacing w:after="0"/>
              <w:rPr>
                <w:sz w:val="20"/>
                <w:szCs w:val="20"/>
                <w:color w:val="auto"/>
              </w:rPr>
            </w:pPr>
            <w:r>
              <w:rPr>
                <w:rFonts w:ascii="Arial" w:cs="Arial" w:eastAsia="Arial" w:hAnsi="Arial"/>
                <w:sz w:val="20"/>
                <w:szCs w:val="20"/>
                <w:b w:val="1"/>
                <w:bCs w:val="1"/>
                <w:color w:val="auto"/>
              </w:rPr>
              <w:t>​​​</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rPr>
              <w:t>warrants and rights</w:t>
            </w:r>
          </w:p>
        </w:tc>
        <w:tc>
          <w:tcPr>
            <w:tcW w:w="20" w:type="dxa"/>
            <w:vAlign w:val="bottom"/>
          </w:tcPr>
          <w:p>
            <w:pPr>
              <w:spacing w:after="0"/>
              <w:rPr>
                <w:sz w:val="21"/>
                <w:szCs w:val="21"/>
                <w:color w:val="auto"/>
              </w:rPr>
            </w:pPr>
          </w:p>
        </w:tc>
        <w:tc>
          <w:tcPr>
            <w:tcW w:w="200" w:type="dxa"/>
            <w:vAlign w:val="bottom"/>
            <w:shd w:val="clear" w:color="auto" w:fill="F2F2F2"/>
          </w:tcPr>
          <w:p>
            <w:pPr>
              <w:spacing w:after="0"/>
              <w:rPr>
                <w:sz w:val="21"/>
                <w:szCs w:val="21"/>
                <w:color w:val="auto"/>
              </w:rPr>
            </w:pPr>
          </w:p>
        </w:tc>
        <w:tc>
          <w:tcPr>
            <w:tcW w:w="1500" w:type="dxa"/>
            <w:vAlign w:val="bottom"/>
            <w:gridSpan w:val="2"/>
            <w:shd w:val="clear" w:color="auto" w:fill="F2F2F2"/>
          </w:tcPr>
          <w:p>
            <w:pPr>
              <w:jc w:val="right"/>
              <w:spacing w:after="0"/>
              <w:rPr>
                <w:sz w:val="20"/>
                <w:szCs w:val="20"/>
                <w:color w:val="auto"/>
              </w:rPr>
            </w:pPr>
            <w:r>
              <w:rPr>
                <w:rFonts w:ascii="Arial" w:cs="Arial" w:eastAsia="Arial" w:hAnsi="Arial"/>
                <w:sz w:val="14"/>
                <w:szCs w:val="14"/>
                <w:b w:val="1"/>
                <w:bCs w:val="1"/>
                <w:color w:val="auto"/>
              </w:rPr>
              <w:t>warrants and rights</w:t>
            </w:r>
          </w:p>
        </w:tc>
        <w:tc>
          <w:tcPr>
            <w:tcW w:w="180" w:type="dxa"/>
            <w:vAlign w:val="bottom"/>
            <w:shd w:val="clear" w:color="auto" w:fill="F2F2F2"/>
          </w:tcPr>
          <w:p>
            <w:pPr>
              <w:spacing w:after="0"/>
              <w:rPr>
                <w:sz w:val="21"/>
                <w:szCs w:val="21"/>
                <w:color w:val="auto"/>
              </w:rPr>
            </w:pPr>
          </w:p>
        </w:tc>
        <w:tc>
          <w:tcPr>
            <w:tcW w:w="1920" w:type="dxa"/>
            <w:vAlign w:val="bottom"/>
            <w:shd w:val="clear" w:color="auto" w:fill="F2F2F2"/>
          </w:tcPr>
          <w:p>
            <w:pPr>
              <w:jc w:val="center"/>
              <w:spacing w:after="0"/>
              <w:rPr>
                <w:sz w:val="20"/>
                <w:szCs w:val="20"/>
                <w:color w:val="auto"/>
              </w:rPr>
            </w:pPr>
            <w:r>
              <w:rPr>
                <w:rFonts w:ascii="Arial" w:cs="Arial" w:eastAsia="Arial" w:hAnsi="Arial"/>
                <w:sz w:val="14"/>
                <w:szCs w:val="14"/>
                <w:b w:val="1"/>
                <w:bCs w:val="1"/>
                <w:color w:val="auto"/>
              </w:rPr>
              <w:t>refected in frst column)</w:t>
            </w:r>
          </w:p>
        </w:tc>
        <w:tc>
          <w:tcPr>
            <w:tcW w:w="160" w:type="dxa"/>
            <w:vAlign w:val="bottom"/>
            <w:shd w:val="clear" w:color="auto" w:fill="F2F2F2"/>
          </w:tcPr>
          <w:p>
            <w:pPr>
              <w:spacing w:after="0"/>
              <w:rPr>
                <w:sz w:val="21"/>
                <w:szCs w:val="21"/>
                <w:color w:val="auto"/>
              </w:rPr>
            </w:pPr>
          </w:p>
        </w:tc>
        <w:tc>
          <w:tcPr>
            <w:tcW w:w="20" w:type="dxa"/>
            <w:vAlign w:val="bottom"/>
          </w:tcPr>
          <w:p>
            <w:pPr>
              <w:spacing w:after="0"/>
              <w:rPr>
                <w:sz w:val="21"/>
                <w:szCs w:val="21"/>
                <w:color w:val="auto"/>
              </w:rPr>
            </w:pPr>
          </w:p>
        </w:tc>
      </w:tr>
      <w:tr>
        <w:trPr>
          <w:trHeight w:val="178"/>
        </w:trPr>
        <w:tc>
          <w:tcPr>
            <w:tcW w:w="3820" w:type="dxa"/>
            <w:vAlign w:val="bottom"/>
          </w:tcPr>
          <w:p>
            <w:pPr>
              <w:ind w:left="120"/>
              <w:spacing w:after="0" w:line="178" w:lineRule="exact"/>
              <w:rPr>
                <w:sz w:val="20"/>
                <w:szCs w:val="20"/>
                <w:color w:val="auto"/>
              </w:rPr>
            </w:pPr>
            <w:r>
              <w:rPr>
                <w:rFonts w:ascii="Arial" w:cs="Arial" w:eastAsia="Arial" w:hAnsi="Arial"/>
                <w:sz w:val="16"/>
                <w:szCs w:val="16"/>
                <w:color w:val="auto"/>
              </w:rPr>
              <w:t>Equity  compensation  plans  approved  by  security</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4"/>
        </w:trPr>
        <w:tc>
          <w:tcPr>
            <w:tcW w:w="3820" w:type="dxa"/>
            <w:vAlign w:val="bottom"/>
            <w:tcBorders>
              <w:bottom w:val="single" w:sz="8" w:color="808080"/>
            </w:tcBorders>
          </w:tcPr>
          <w:p>
            <w:pPr>
              <w:ind w:left="120"/>
              <w:spacing w:after="0"/>
              <w:rPr>
                <w:sz w:val="20"/>
                <w:szCs w:val="20"/>
                <w:color w:val="auto"/>
              </w:rPr>
            </w:pPr>
            <w:r>
              <w:rPr>
                <w:rFonts w:ascii="Arial" w:cs="Arial" w:eastAsia="Arial" w:hAnsi="Arial"/>
                <w:sz w:val="16"/>
                <w:szCs w:val="16"/>
                <w:color w:val="auto"/>
              </w:rPr>
              <w:t>holders</w:t>
            </w:r>
          </w:p>
        </w:tc>
        <w:tc>
          <w:tcPr>
            <w:tcW w:w="20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162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808080"/>
            </w:tcBorders>
          </w:tcPr>
          <w:p>
            <w:pPr>
              <w:spacing w:after="0"/>
              <w:rPr>
                <w:sz w:val="18"/>
                <w:szCs w:val="18"/>
                <w:color w:val="auto"/>
              </w:rPr>
            </w:pPr>
          </w:p>
        </w:tc>
        <w:tc>
          <w:tcPr>
            <w:tcW w:w="138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ind w:left="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r>
      <w:tr>
        <w:trPr>
          <w:trHeight w:val="223"/>
        </w:trPr>
        <w:tc>
          <w:tcPr>
            <w:tcW w:w="3820" w:type="dxa"/>
            <w:vAlign w:val="bottom"/>
            <w:tcBorders>
              <w:bottom w:val="single" w:sz="8" w:color="808080"/>
            </w:tcBorders>
          </w:tcPr>
          <w:p>
            <w:pPr>
              <w:ind w:left="220"/>
              <w:spacing w:after="0"/>
              <w:rPr>
                <w:sz w:val="20"/>
                <w:szCs w:val="20"/>
                <w:color w:val="auto"/>
              </w:rPr>
            </w:pPr>
            <w:r>
              <w:rPr>
                <w:rFonts w:ascii="Arial" w:cs="Arial" w:eastAsia="Arial" w:hAnsi="Arial"/>
                <w:sz w:val="16"/>
                <w:szCs w:val="16"/>
                <w:color w:val="auto"/>
              </w:rPr>
              <w:t>Options</w:t>
            </w:r>
          </w:p>
        </w:tc>
        <w:tc>
          <w:tcPr>
            <w:tcW w:w="2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620" w:type="dxa"/>
            <w:vAlign w:val="bottom"/>
            <w:tcBorders>
              <w:bottom w:val="single" w:sz="8" w:color="808080"/>
            </w:tcBorders>
          </w:tcPr>
          <w:p>
            <w:pPr>
              <w:jc w:val="right"/>
              <w:spacing w:after="0"/>
              <w:rPr>
                <w:sz w:val="20"/>
                <w:szCs w:val="20"/>
                <w:color w:val="auto"/>
              </w:rPr>
            </w:pPr>
            <w:r>
              <w:rPr>
                <w:rFonts w:ascii="Arial" w:cs="Arial" w:eastAsia="Arial" w:hAnsi="Arial"/>
                <w:sz w:val="16"/>
                <w:szCs w:val="16"/>
                <w:color w:val="auto"/>
              </w:rPr>
              <w:t>502,055</w:t>
            </w:r>
          </w:p>
        </w:tc>
        <w:tc>
          <w:tcPr>
            <w:tcW w:w="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808080"/>
            </w:tcBorders>
          </w:tcPr>
          <w:p>
            <w:pPr>
              <w:jc w:val="right"/>
              <w:spacing w:after="0"/>
              <w:rPr>
                <w:sz w:val="20"/>
                <w:szCs w:val="20"/>
                <w:color w:val="auto"/>
              </w:rPr>
            </w:pPr>
            <w:r>
              <w:rPr>
                <w:rFonts w:ascii="Arial" w:cs="Arial" w:eastAsia="Arial" w:hAnsi="Arial"/>
                <w:sz w:val="16"/>
                <w:szCs w:val="16"/>
                <w:color w:val="auto"/>
              </w:rPr>
              <w:t>91.53</w:t>
            </w:r>
          </w:p>
        </w:tc>
        <w:tc>
          <w:tcPr>
            <w:tcW w:w="180" w:type="dxa"/>
            <w:vAlign w:val="bottom"/>
            <w:tcBorders>
              <w:bottom w:val="single" w:sz="8" w:color="808080"/>
            </w:tcBorders>
          </w:tcPr>
          <w:p>
            <w:pPr>
              <w:spacing w:after="0"/>
              <w:rPr>
                <w:sz w:val="19"/>
                <w:szCs w:val="19"/>
                <w:color w:val="auto"/>
              </w:rPr>
            </w:pPr>
          </w:p>
        </w:tc>
        <w:tc>
          <w:tcPr>
            <w:tcW w:w="19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ind w:left="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r>
      <w:tr>
        <w:trPr>
          <w:trHeight w:val="223"/>
        </w:trPr>
        <w:tc>
          <w:tcPr>
            <w:tcW w:w="3820" w:type="dxa"/>
            <w:vAlign w:val="bottom"/>
          </w:tcPr>
          <w:p>
            <w:pPr>
              <w:ind w:left="220"/>
              <w:spacing w:after="0"/>
              <w:rPr>
                <w:sz w:val="20"/>
                <w:szCs w:val="20"/>
                <w:color w:val="auto"/>
              </w:rPr>
            </w:pPr>
            <w:r>
              <w:rPr>
                <w:rFonts w:ascii="Arial" w:cs="Arial" w:eastAsia="Arial" w:hAnsi="Arial"/>
                <w:sz w:val="16"/>
                <w:szCs w:val="16"/>
                <w:color w:val="auto"/>
              </w:rPr>
              <w:t>Restricted  Stock  Units</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5,499,797</w:t>
            </w:r>
          </w:p>
        </w:tc>
        <w:tc>
          <w:tcPr>
            <w:tcW w:w="220" w:type="dxa"/>
            <w:vAlign w:val="bottom"/>
            <w:gridSpan w:val="2"/>
          </w:tcPr>
          <w:p>
            <w:pPr>
              <w:ind w:left="20"/>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80" w:type="dxa"/>
            <w:vAlign w:val="bottom"/>
            <w:gridSpan w:val="2"/>
          </w:tcPr>
          <w:p>
            <w:pPr>
              <w:ind w:left="20"/>
              <w:spacing w:after="0"/>
              <w:rPr>
                <w:sz w:val="20"/>
                <w:szCs w:val="20"/>
                <w:color w:val="auto"/>
              </w:rPr>
            </w:pPr>
            <w:r>
              <w:rPr>
                <w:rFonts w:ascii="Arial" w:cs="Arial" w:eastAsia="Arial" w:hAnsi="Arial"/>
                <w:sz w:val="16"/>
                <w:szCs w:val="16"/>
                <w:color w:val="auto"/>
              </w:rPr>
              <w:t>​</w:t>
            </w:r>
          </w:p>
        </w:tc>
      </w:tr>
      <w:tr>
        <w:trPr>
          <w:trHeight w:val="223"/>
        </w:trPr>
        <w:tc>
          <w:tcPr>
            <w:tcW w:w="3820" w:type="dxa"/>
            <w:vAlign w:val="bottom"/>
            <w:tcBorders>
              <w:top w:val="single" w:sz="8" w:color="808080"/>
              <w:bottom w:val="single" w:sz="8" w:color="808080"/>
            </w:tcBorders>
          </w:tcPr>
          <w:p>
            <w:pPr>
              <w:ind w:left="220"/>
              <w:spacing w:after="0"/>
              <w:rPr>
                <w:sz w:val="20"/>
                <w:szCs w:val="20"/>
                <w:color w:val="auto"/>
              </w:rPr>
            </w:pPr>
            <w:r>
              <w:rPr>
                <w:rFonts w:ascii="Arial" w:cs="Arial" w:eastAsia="Arial" w:hAnsi="Arial"/>
                <w:sz w:val="16"/>
                <w:szCs w:val="16"/>
                <w:color w:val="auto"/>
              </w:rPr>
              <w:t>Subtotal</w:t>
            </w:r>
          </w:p>
        </w:tc>
        <w:tc>
          <w:tcPr>
            <w:tcW w:w="200" w:type="dxa"/>
            <w:vAlign w:val="bottom"/>
            <w:tcBorders>
              <w:top w:val="single" w:sz="8" w:color="808080"/>
              <w:bottom w:val="single" w:sz="8" w:color="808080"/>
            </w:tcBorders>
          </w:tcPr>
          <w:p>
            <w:pPr>
              <w:spacing w:after="0"/>
              <w:rPr>
                <w:sz w:val="19"/>
                <w:szCs w:val="19"/>
                <w:color w:val="auto"/>
              </w:rPr>
            </w:pPr>
          </w:p>
        </w:tc>
        <w:tc>
          <w:tcPr>
            <w:tcW w:w="100" w:type="dxa"/>
            <w:vAlign w:val="bottom"/>
            <w:tcBorders>
              <w:top w:val="single" w:sz="8" w:color="808080"/>
              <w:bottom w:val="single" w:sz="8" w:color="808080"/>
            </w:tcBorders>
          </w:tcPr>
          <w:p>
            <w:pPr>
              <w:spacing w:after="0"/>
              <w:rPr>
                <w:sz w:val="19"/>
                <w:szCs w:val="19"/>
                <w:color w:val="auto"/>
              </w:rPr>
            </w:pPr>
          </w:p>
        </w:tc>
        <w:tc>
          <w:tcPr>
            <w:tcW w:w="162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6"/>
                <w:szCs w:val="16"/>
                <w:color w:val="auto"/>
              </w:rPr>
              <w:t>6,001,852</w:t>
            </w:r>
          </w:p>
        </w:tc>
        <w:tc>
          <w:tcPr>
            <w:tcW w:w="20" w:type="dxa"/>
            <w:vAlign w:val="bottom"/>
            <w:tcBorders>
              <w:top w:val="single" w:sz="8" w:color="808080"/>
              <w:bottom w:val="single" w:sz="8" w:color="808080"/>
            </w:tcBorders>
          </w:tcPr>
          <w:p>
            <w:pPr>
              <w:spacing w:after="0"/>
              <w:rPr>
                <w:sz w:val="19"/>
                <w:szCs w:val="19"/>
                <w:color w:val="auto"/>
              </w:rPr>
            </w:pPr>
          </w:p>
        </w:tc>
        <w:tc>
          <w:tcPr>
            <w:tcW w:w="200" w:type="dxa"/>
            <w:vAlign w:val="bottom"/>
            <w:tcBorders>
              <w:top w:val="single" w:sz="8" w:color="808080"/>
              <w:bottom w:val="single" w:sz="8" w:color="808080"/>
            </w:tcBorders>
          </w:tcPr>
          <w:p>
            <w:pPr>
              <w:spacing w:after="0"/>
              <w:rPr>
                <w:sz w:val="19"/>
                <w:szCs w:val="19"/>
                <w:color w:val="auto"/>
              </w:rPr>
            </w:pPr>
          </w:p>
        </w:tc>
        <w:tc>
          <w:tcPr>
            <w:tcW w:w="120" w:type="dxa"/>
            <w:vAlign w:val="bottom"/>
            <w:tcBorders>
              <w:top w:val="single" w:sz="8" w:color="808080"/>
              <w:bottom w:val="single" w:sz="8" w:color="808080"/>
            </w:tcBorders>
          </w:tcPr>
          <w:p>
            <w:pPr>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6"/>
                <w:szCs w:val="16"/>
                <w:color w:val="auto"/>
              </w:rPr>
              <w:t>91.53</w:t>
            </w:r>
          </w:p>
        </w:tc>
        <w:tc>
          <w:tcPr>
            <w:tcW w:w="180" w:type="dxa"/>
            <w:vAlign w:val="bottom"/>
            <w:tcBorders>
              <w:top w:val="single" w:sz="8" w:color="808080"/>
              <w:bottom w:val="single" w:sz="8" w:color="808080"/>
            </w:tcBorders>
          </w:tcPr>
          <w:p>
            <w:pPr>
              <w:spacing w:after="0"/>
              <w:rPr>
                <w:sz w:val="20"/>
                <w:szCs w:val="20"/>
                <w:color w:val="auto"/>
              </w:rPr>
            </w:pPr>
            <w:r>
              <w:rPr>
                <w:rFonts w:ascii="Arial" w:cs="Arial" w:eastAsia="Arial" w:hAnsi="Arial"/>
                <w:sz w:val="12"/>
                <w:szCs w:val="12"/>
                <w:color w:val="auto"/>
              </w:rPr>
              <w:t>(2)</w:t>
            </w:r>
          </w:p>
        </w:tc>
        <w:tc>
          <w:tcPr>
            <w:tcW w:w="192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6"/>
                <w:szCs w:val="16"/>
                <w:color w:val="auto"/>
              </w:rPr>
              <w:t>3,665,354</w:t>
            </w:r>
          </w:p>
        </w:tc>
        <w:tc>
          <w:tcPr>
            <w:tcW w:w="160" w:type="dxa"/>
            <w:vAlign w:val="bottom"/>
            <w:tcBorders>
              <w:top w:val="single" w:sz="8" w:color="808080"/>
              <w:bottom w:val="single" w:sz="8" w:color="808080"/>
            </w:tcBorders>
          </w:tcPr>
          <w:p>
            <w:pPr>
              <w:ind w:left="20"/>
              <w:spacing w:after="0"/>
              <w:rPr>
                <w:sz w:val="20"/>
                <w:szCs w:val="20"/>
                <w:color w:val="auto"/>
              </w:rPr>
            </w:pPr>
            <w:r>
              <w:rPr>
                <w:rFonts w:ascii="Arial" w:cs="Arial" w:eastAsia="Arial" w:hAnsi="Arial"/>
                <w:sz w:val="12"/>
                <w:szCs w:val="12"/>
                <w:color w:val="auto"/>
                <w:w w:val="81"/>
              </w:rPr>
              <w:t>(3)</w:t>
            </w:r>
          </w:p>
        </w:tc>
        <w:tc>
          <w:tcPr>
            <w:tcW w:w="20" w:type="dxa"/>
            <w:vAlign w:val="bottom"/>
          </w:tcPr>
          <w:p>
            <w:pPr>
              <w:spacing w:after="0"/>
              <w:rPr>
                <w:sz w:val="19"/>
                <w:szCs w:val="19"/>
                <w:color w:val="auto"/>
              </w:rPr>
            </w:pPr>
          </w:p>
        </w:tc>
      </w:tr>
      <w:tr>
        <w:trPr>
          <w:trHeight w:val="171"/>
        </w:trPr>
        <w:tc>
          <w:tcPr>
            <w:tcW w:w="3820" w:type="dxa"/>
            <w:vAlign w:val="bottom"/>
          </w:tcPr>
          <w:p>
            <w:pPr>
              <w:ind w:left="120"/>
              <w:spacing w:after="0" w:line="171" w:lineRule="exact"/>
              <w:rPr>
                <w:sz w:val="20"/>
                <w:szCs w:val="20"/>
                <w:color w:val="auto"/>
              </w:rPr>
            </w:pPr>
            <w:r>
              <w:rPr>
                <w:rFonts w:ascii="Arial" w:cs="Arial" w:eastAsia="Arial" w:hAnsi="Arial"/>
                <w:sz w:val="16"/>
                <w:szCs w:val="16"/>
                <w:color w:val="auto"/>
              </w:rPr>
              <w:t>Equity  compensation  plans  not  approved  by</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4"/>
        </w:trPr>
        <w:tc>
          <w:tcPr>
            <w:tcW w:w="3820" w:type="dxa"/>
            <w:vAlign w:val="bottom"/>
            <w:tcBorders>
              <w:bottom w:val="single" w:sz="8" w:color="808080"/>
            </w:tcBorders>
          </w:tcPr>
          <w:p>
            <w:pPr>
              <w:ind w:left="120"/>
              <w:spacing w:after="0"/>
              <w:rPr>
                <w:sz w:val="20"/>
                <w:szCs w:val="20"/>
                <w:color w:val="auto"/>
              </w:rPr>
            </w:pPr>
            <w:r>
              <w:rPr>
                <w:rFonts w:ascii="Arial" w:cs="Arial" w:eastAsia="Arial" w:hAnsi="Arial"/>
                <w:sz w:val="16"/>
                <w:szCs w:val="16"/>
                <w:color w:val="auto"/>
              </w:rPr>
              <w:t>security  holders</w:t>
            </w:r>
          </w:p>
        </w:tc>
        <w:tc>
          <w:tcPr>
            <w:tcW w:w="20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1620" w:type="dxa"/>
            <w:vAlign w:val="bottom"/>
            <w:tcBorders>
              <w:bottom w:val="single" w:sz="8" w:color="808080"/>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1380" w:type="dxa"/>
            <w:vAlign w:val="bottom"/>
            <w:tcBorders>
              <w:bottom w:val="single" w:sz="8" w:color="808080"/>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808080"/>
            </w:tcBorders>
          </w:tcPr>
          <w:p>
            <w:pPr>
              <w:spacing w:after="0"/>
              <w:rPr>
                <w:sz w:val="18"/>
                <w:szCs w:val="18"/>
                <w:color w:val="auto"/>
              </w:rPr>
            </w:pPr>
          </w:p>
        </w:tc>
        <w:tc>
          <w:tcPr>
            <w:tcW w:w="1920" w:type="dxa"/>
            <w:vAlign w:val="bottom"/>
            <w:tcBorders>
              <w:bottom w:val="single" w:sz="8" w:color="808080"/>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808080"/>
            </w:tcBorders>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3820" w:type="dxa"/>
            <w:vAlign w:val="bottom"/>
            <w:tcBorders>
              <w:bottom w:val="single" w:sz="8" w:color="808080"/>
            </w:tcBorders>
          </w:tcPr>
          <w:p>
            <w:pPr>
              <w:ind w:left="220"/>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620" w:type="dxa"/>
            <w:vAlign w:val="bottom"/>
            <w:tcBorders>
              <w:bottom w:val="single" w:sz="8" w:color="808080"/>
            </w:tcBorders>
          </w:tcPr>
          <w:p>
            <w:pPr>
              <w:jc w:val="right"/>
              <w:spacing w:after="0"/>
              <w:rPr>
                <w:sz w:val="20"/>
                <w:szCs w:val="20"/>
                <w:color w:val="auto"/>
              </w:rPr>
            </w:pPr>
            <w:r>
              <w:rPr>
                <w:rFonts w:ascii="Arial" w:cs="Arial" w:eastAsia="Arial" w:hAnsi="Arial"/>
                <w:sz w:val="16"/>
                <w:szCs w:val="16"/>
                <w:color w:val="auto"/>
              </w:rPr>
              <w:t>6,001,852</w:t>
            </w:r>
          </w:p>
        </w:tc>
        <w:tc>
          <w:tcPr>
            <w:tcW w:w="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808080"/>
            </w:tcBorders>
          </w:tcPr>
          <w:p>
            <w:pPr>
              <w:jc w:val="right"/>
              <w:spacing w:after="0"/>
              <w:rPr>
                <w:sz w:val="20"/>
                <w:szCs w:val="20"/>
                <w:color w:val="auto"/>
              </w:rPr>
            </w:pPr>
            <w:r>
              <w:rPr>
                <w:rFonts w:ascii="Arial" w:cs="Arial" w:eastAsia="Arial" w:hAnsi="Arial"/>
                <w:sz w:val="16"/>
                <w:szCs w:val="16"/>
                <w:color w:val="auto"/>
              </w:rPr>
              <w:t>91.53</w:t>
            </w:r>
          </w:p>
        </w:tc>
        <w:tc>
          <w:tcPr>
            <w:tcW w:w="180" w:type="dxa"/>
            <w:vAlign w:val="bottom"/>
            <w:tcBorders>
              <w:bottom w:val="single" w:sz="8" w:color="808080"/>
            </w:tcBorders>
          </w:tcPr>
          <w:p>
            <w:pPr>
              <w:spacing w:after="0"/>
              <w:rPr>
                <w:sz w:val="20"/>
                <w:szCs w:val="20"/>
                <w:color w:val="auto"/>
              </w:rPr>
            </w:pPr>
            <w:r>
              <w:rPr>
                <w:rFonts w:ascii="Arial" w:cs="Arial" w:eastAsia="Arial" w:hAnsi="Arial"/>
                <w:sz w:val="12"/>
                <w:szCs w:val="12"/>
                <w:color w:val="auto"/>
              </w:rPr>
              <w:t>(2)</w:t>
            </w:r>
          </w:p>
        </w:tc>
        <w:tc>
          <w:tcPr>
            <w:tcW w:w="1920" w:type="dxa"/>
            <w:vAlign w:val="bottom"/>
            <w:tcBorders>
              <w:bottom w:val="single" w:sz="8" w:color="808080"/>
            </w:tcBorders>
          </w:tcPr>
          <w:p>
            <w:pPr>
              <w:jc w:val="right"/>
              <w:spacing w:after="0"/>
              <w:rPr>
                <w:sz w:val="20"/>
                <w:szCs w:val="20"/>
                <w:color w:val="auto"/>
              </w:rPr>
            </w:pPr>
            <w:r>
              <w:rPr>
                <w:rFonts w:ascii="Arial" w:cs="Arial" w:eastAsia="Arial" w:hAnsi="Arial"/>
                <w:sz w:val="16"/>
                <w:szCs w:val="16"/>
                <w:color w:val="auto"/>
              </w:rPr>
              <w:t>3,665,354</w:t>
            </w:r>
          </w:p>
        </w:tc>
        <w:tc>
          <w:tcPr>
            <w:tcW w:w="160" w:type="dxa"/>
            <w:vAlign w:val="bottom"/>
            <w:tcBorders>
              <w:bottom w:val="single" w:sz="8" w:color="808080"/>
            </w:tcBorders>
          </w:tcPr>
          <w:p>
            <w:pPr>
              <w:ind w:left="20"/>
              <w:spacing w:after="0"/>
              <w:rPr>
                <w:sz w:val="20"/>
                <w:szCs w:val="20"/>
                <w:color w:val="auto"/>
              </w:rPr>
            </w:pPr>
            <w:r>
              <w:rPr>
                <w:rFonts w:ascii="Arial" w:cs="Arial" w:eastAsia="Arial" w:hAnsi="Arial"/>
                <w:sz w:val="12"/>
                <w:szCs w:val="12"/>
                <w:color w:val="auto"/>
                <w:w w:val="81"/>
              </w:rPr>
              <w:t>(3)</w:t>
            </w:r>
          </w:p>
        </w:tc>
        <w:tc>
          <w:tcPr>
            <w:tcW w:w="20" w:type="dxa"/>
            <w:vAlign w:val="bottom"/>
            <w:tcBorders>
              <w:bottom w:val="single" w:sz="8" w:color="808080"/>
            </w:tcBorders>
          </w:tcPr>
          <w:p>
            <w:pPr>
              <w:spacing w:after="0"/>
              <w:rPr>
                <w:sz w:val="19"/>
                <w:szCs w:val="19"/>
                <w:color w:val="auto"/>
              </w:rPr>
            </w:pPr>
          </w:p>
        </w:tc>
      </w:tr>
    </w:tbl>
    <w:p>
      <w:pPr>
        <w:spacing w:after="0" w:line="116" w:lineRule="exact"/>
        <w:rPr>
          <w:sz w:val="20"/>
          <w:szCs w:val="20"/>
          <w:color w:val="auto"/>
        </w:rPr>
      </w:pPr>
    </w:p>
    <w:p>
      <w:pPr>
        <w:ind w:left="320" w:right="20" w:hanging="316"/>
        <w:spacing w:after="0" w:line="227" w:lineRule="auto"/>
        <w:tabs>
          <w:tab w:leader="none" w:pos="320" w:val="left"/>
        </w:tabs>
        <w:numPr>
          <w:ilvl w:val="0"/>
          <w:numId w:val="78"/>
        </w:numPr>
        <w:rPr>
          <w:rFonts w:ascii="Arial" w:cs="Arial" w:eastAsia="Arial" w:hAnsi="Arial"/>
          <w:sz w:val="22"/>
          <w:szCs w:val="22"/>
          <w:color w:val="auto"/>
          <w:vertAlign w:val="superscript"/>
        </w:rPr>
      </w:pPr>
      <w:r>
        <w:rPr>
          <w:rFonts w:ascii="Arial" w:cs="Arial" w:eastAsia="Arial" w:hAnsi="Arial"/>
          <w:sz w:val="14"/>
          <w:szCs w:val="14"/>
          <w:color w:val="auto"/>
        </w:rPr>
        <w:t>Includes outstanding Performance-Based RSUs under the Company’s Amended and Restated 2021 Incentive Compensation Plan (the “2021 Plan”) assuming the awards achieve the maximum “stretch” level of performance. Settlement of these Performance-Based RSUs is subject to the Compensation Committee’s certifcation of achievement of specifed performance conditions.</w:t>
      </w:r>
    </w:p>
    <w:p>
      <w:pPr>
        <w:spacing w:after="0" w:line="32" w:lineRule="exact"/>
        <w:rPr>
          <w:rFonts w:ascii="Arial" w:cs="Arial" w:eastAsia="Arial" w:hAnsi="Arial"/>
          <w:sz w:val="22"/>
          <w:szCs w:val="22"/>
          <w:color w:val="auto"/>
          <w:vertAlign w:val="superscript"/>
        </w:rPr>
      </w:pPr>
    </w:p>
    <w:p>
      <w:pPr>
        <w:ind w:left="320" w:hanging="316"/>
        <w:spacing w:after="0"/>
        <w:tabs>
          <w:tab w:leader="none" w:pos="320" w:val="left"/>
        </w:tabs>
        <w:numPr>
          <w:ilvl w:val="0"/>
          <w:numId w:val="78"/>
        </w:numPr>
        <w:rPr>
          <w:rFonts w:ascii="Arial" w:cs="Arial" w:eastAsia="Arial" w:hAnsi="Arial"/>
          <w:sz w:val="22"/>
          <w:szCs w:val="22"/>
          <w:color w:val="auto"/>
          <w:vertAlign w:val="superscript"/>
        </w:rPr>
      </w:pPr>
      <w:r>
        <w:rPr>
          <w:rFonts w:ascii="Arial" w:cs="Arial" w:eastAsia="Arial" w:hAnsi="Arial"/>
          <w:sz w:val="14"/>
          <w:szCs w:val="14"/>
          <w:color w:val="auto"/>
        </w:rPr>
        <w:t>Weighted  average  exercise  price  excludes  restricted  stock  units  that  convert  to  shares  of  Common  Stock.</w:t>
      </w:r>
    </w:p>
    <w:p>
      <w:pPr>
        <w:spacing w:after="0" w:line="143" w:lineRule="exact"/>
        <w:rPr>
          <w:rFonts w:ascii="Arial" w:cs="Arial" w:eastAsia="Arial" w:hAnsi="Arial"/>
          <w:sz w:val="22"/>
          <w:szCs w:val="22"/>
          <w:color w:val="auto"/>
          <w:vertAlign w:val="superscript"/>
        </w:rPr>
      </w:pPr>
    </w:p>
    <w:p>
      <w:pPr>
        <w:ind w:left="320" w:right="320" w:hanging="316"/>
        <w:spacing w:after="0" w:line="222" w:lineRule="auto"/>
        <w:tabs>
          <w:tab w:leader="none" w:pos="320" w:val="left"/>
        </w:tabs>
        <w:numPr>
          <w:ilvl w:val="0"/>
          <w:numId w:val="78"/>
        </w:numPr>
        <w:rPr>
          <w:rFonts w:ascii="Arial" w:cs="Arial" w:eastAsia="Arial" w:hAnsi="Arial"/>
          <w:sz w:val="22"/>
          <w:szCs w:val="22"/>
          <w:color w:val="auto"/>
          <w:vertAlign w:val="superscript"/>
        </w:rPr>
      </w:pPr>
      <w:r>
        <w:rPr>
          <w:rFonts w:ascii="Arial" w:cs="Arial" w:eastAsia="Arial" w:hAnsi="Arial"/>
          <w:sz w:val="14"/>
          <w:szCs w:val="14"/>
          <w:color w:val="auto"/>
        </w:rPr>
        <w:t>Includes 214,779 shares available under the DEIP and 3,450,575 shares available under the 2021 Plan, assuming that the Performance-Based RSUs referenced in footnote 1 above achieve the level of performance as described in footnote 1 for such awards.</w:t>
      </w: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DELINQUENT SECTION 16(A) REPORTS</w:t>
      </w:r>
    </w:p>
    <w:p>
      <w:pPr>
        <w:spacing w:after="0" w:line="123"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To the best of our knowledge, based solely on our review of reports fled with the SEC by our directors, executive ofcers and benefcial owners of more than ten percent of our outstanding Common Stock, and a review of written certifcations provided to the Company by our directors and executive ofcers, we believe that our directors and executive ofcers fled on a timely basis</w:t>
      </w:r>
    </w:p>
    <w:p>
      <w:pPr>
        <w:spacing w:after="0" w:line="1" w:lineRule="exact"/>
        <w:rPr>
          <w:sz w:val="20"/>
          <w:szCs w:val="20"/>
          <w:color w:val="auto"/>
        </w:rPr>
      </w:pPr>
    </w:p>
    <w:p>
      <w:pPr>
        <w:ind w:right="340"/>
        <w:spacing w:after="0" w:line="279" w:lineRule="auto"/>
        <w:rPr>
          <w:sz w:val="20"/>
          <w:szCs w:val="20"/>
          <w:color w:val="auto"/>
        </w:rPr>
      </w:pPr>
      <w:r>
        <w:rPr>
          <w:rFonts w:ascii="Arial" w:cs="Arial" w:eastAsia="Arial" w:hAnsi="Arial"/>
          <w:sz w:val="16"/>
          <w:szCs w:val="16"/>
          <w:color w:val="auto"/>
        </w:rPr>
        <w:t>reports required by Section 16(a) of the Exchange Act during fscal year 2025 except for one late fling of the initial Form 3 ownership report for Captain Noyes in connection with his appointment to the Board, which was delayed in connection with obtaining new EDGAR fling codes.</w:t>
      </w:r>
    </w:p>
    <w:p>
      <w:pPr>
        <w:sectPr>
          <w:pgSz w:w="11900" w:h="16838" w:orient="portrait"/>
          <w:cols w:equalWidth="0" w:num="1">
            <w:col w:w="9740"/>
          </w:cols>
          <w:pgMar w:left="1080" w:top="695" w:right="10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right"/>
        <w:ind w:right="7740"/>
        <w:spacing w:after="0"/>
        <w:rPr>
          <w:sz w:val="20"/>
          <w:szCs w:val="20"/>
          <w:color w:val="auto"/>
        </w:rPr>
      </w:pPr>
      <w:r>
        <w:rPr>
          <w:rFonts w:ascii="Arial" w:cs="Arial" w:eastAsia="Arial" w:hAnsi="Arial"/>
          <w:sz w:val="16"/>
          <w:szCs w:val="16"/>
          <w:color w:val="auto"/>
        </w:rPr>
        <w:t>​​2026​  Proxy</w:t>
      </w:r>
    </w:p>
    <w:p>
      <w:pPr>
        <w:spacing w:after="0" w:line="5" w:lineRule="exact"/>
        <w:rPr>
          <w:sz w:val="20"/>
          <w:szCs w:val="20"/>
          <w:color w:val="auto"/>
        </w:rPr>
      </w:pPr>
    </w:p>
    <w:p>
      <w:pPr>
        <w:ind w:left="660" w:hanging="656"/>
        <w:spacing w:after="0"/>
        <w:tabs>
          <w:tab w:leader="none" w:pos="660" w:val="left"/>
        </w:tabs>
        <w:numPr>
          <w:ilvl w:val="0"/>
          <w:numId w:val="79"/>
        </w:numPr>
        <w:rPr>
          <w:rFonts w:ascii="Arial" w:cs="Arial" w:eastAsia="Arial" w:hAnsi="Arial"/>
          <w:sz w:val="16"/>
          <w:szCs w:val="16"/>
          <w:b w:val="1"/>
          <w:bCs w:val="1"/>
          <w:color w:val="1414D2"/>
        </w:rPr>
      </w:pPr>
      <w:r>
        <w:rPr>
          <w:rFonts w:ascii="Arial" w:cs="Arial" w:eastAsia="Arial" w:hAnsi="Arial"/>
          <w:sz w:val="16"/>
          <w:szCs w:val="16"/>
          <w:color w:val="auto"/>
        </w:rPr>
        <w:t>Statement</w:t>
      </w:r>
    </w:p>
    <w:p>
      <w:pPr>
        <w:sectPr>
          <w:pgSz w:w="11900" w:h="16838" w:orient="portrait"/>
          <w:cols w:equalWidth="0" w:num="1">
            <w:col w:w="9740"/>
          </w:cols>
          <w:pgMar w:left="1080" w:top="695" w:right="1079" w:bottom="1440" w:gutter="0" w:footer="0" w:header="0"/>
          <w:type w:val="continuous"/>
        </w:sectPr>
      </w:pPr>
    </w:p>
    <w:bookmarkStart w:id="81" w:name="page82"/>
    <w:bookmarkEnd w:id="81"/>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16" w:lineRule="exact"/>
        <w:rPr>
          <w:sz w:val="20"/>
          <w:szCs w:val="20"/>
          <w:color w:val="auto"/>
        </w:rPr>
      </w:pPr>
    </w:p>
    <w:p>
      <w:pPr>
        <w:ind w:right="500"/>
        <w:spacing w:after="0" w:line="301" w:lineRule="auto"/>
        <w:rPr>
          <w:sz w:val="20"/>
          <w:szCs w:val="20"/>
          <w:color w:val="auto"/>
        </w:rPr>
      </w:pPr>
      <w:r>
        <w:rPr>
          <w:rFonts w:ascii="Arial" w:cs="Arial" w:eastAsia="Arial" w:hAnsi="Arial"/>
          <w:sz w:val="43"/>
          <w:szCs w:val="43"/>
          <w:b w:val="1"/>
          <w:bCs w:val="1"/>
          <w:color w:val="auto"/>
        </w:rPr>
        <w:t>Item 2-Ratifcation of Appointment of Independent Registered Public Accounting Firm</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The  Audit  Committee  appointed,  and  the  Board  has  ratifed  the  appointment  of,  Ernst  &amp;  Young  to  serve  as  our  independent</w:t>
      </w:r>
    </w:p>
    <w:p>
      <w:pPr>
        <w:spacing w:after="0" w:line="19" w:lineRule="exact"/>
        <w:rPr>
          <w:sz w:val="20"/>
          <w:szCs w:val="20"/>
          <w:color w:val="auto"/>
        </w:rPr>
      </w:pPr>
    </w:p>
    <w:p>
      <w:pPr>
        <w:ind w:right="140"/>
        <w:spacing w:after="0" w:line="268" w:lineRule="auto"/>
        <w:rPr>
          <w:sz w:val="20"/>
          <w:szCs w:val="20"/>
          <w:color w:val="auto"/>
        </w:rPr>
      </w:pPr>
      <w:r>
        <w:rPr>
          <w:rFonts w:ascii="Arial" w:cs="Arial" w:eastAsia="Arial" w:hAnsi="Arial"/>
          <w:sz w:val="16"/>
          <w:szCs w:val="16"/>
          <w:color w:val="auto"/>
        </w:rPr>
        <w:t>registered public accounting frm for the fscal year ending December 31, 2026, subject to ratifcation by the holders of Common Stock of the Company. The Board is presenting a resolution to our stockholders requesting ratifcation of Ernst &amp; Young’s appointment as the Board and the Audit Committee believes that the continued retention of Ernst &amp; Young for 2026 is in the best interest of the Company and its stockholders.</w:t>
      </w:r>
    </w:p>
    <w:p>
      <w:pPr>
        <w:spacing w:after="0" w:line="56" w:lineRule="exact"/>
        <w:rPr>
          <w:sz w:val="20"/>
          <w:szCs w:val="20"/>
          <w:color w:val="auto"/>
        </w:rPr>
      </w:pPr>
    </w:p>
    <w:p>
      <w:pPr>
        <w:ind w:right="240"/>
        <w:spacing w:after="0" w:line="250" w:lineRule="auto"/>
        <w:rPr>
          <w:sz w:val="20"/>
          <w:szCs w:val="20"/>
          <w:color w:val="auto"/>
        </w:rPr>
      </w:pPr>
      <w:r>
        <w:rPr>
          <w:rFonts w:ascii="Arial" w:cs="Arial" w:eastAsia="Arial" w:hAnsi="Arial"/>
          <w:sz w:val="16"/>
          <w:szCs w:val="16"/>
          <w:color w:val="auto"/>
        </w:rPr>
        <w:t>The Audit Committee is directly responsible for the appointment, compensation (including pre-approval of the audit fee), retention, termination, oversight and evaluation of the independent registered public accounting frm that audits our consolidated fnancial statements and internal controls over fnancial reporting. In order to ensure continuing auditor independence, the Audit Committee periodically considers whether there should be a rotation of the independent registered</w:t>
      </w:r>
    </w:p>
    <w:p>
      <w:pPr>
        <w:spacing w:after="0" w:line="3" w:lineRule="exact"/>
        <w:rPr>
          <w:sz w:val="20"/>
          <w:szCs w:val="20"/>
          <w:color w:val="auto"/>
        </w:rPr>
      </w:pPr>
    </w:p>
    <w:p>
      <w:pPr>
        <w:jc w:val="both"/>
        <w:ind w:right="400"/>
        <w:spacing w:after="0" w:line="313" w:lineRule="auto"/>
        <w:rPr>
          <w:sz w:val="20"/>
          <w:szCs w:val="20"/>
          <w:color w:val="auto"/>
        </w:rPr>
      </w:pPr>
      <w:r>
        <w:rPr>
          <w:rFonts w:ascii="Arial" w:cs="Arial" w:eastAsia="Arial" w:hAnsi="Arial"/>
          <w:sz w:val="16"/>
          <w:szCs w:val="16"/>
          <w:color w:val="auto"/>
        </w:rPr>
        <w:t>public accounting frm. Further, in conjunction with the mandated rotation of the audit frm’s lead engagement partner, the Audit Committee and its Chair participate in the process for the selection of Ernst &amp; Young’s new lead engagement partner.</w:t>
      </w:r>
    </w:p>
    <w:p>
      <w:pPr>
        <w:spacing w:after="0" w:line="6" w:lineRule="exact"/>
        <w:rPr>
          <w:sz w:val="20"/>
          <w:szCs w:val="20"/>
          <w:color w:val="auto"/>
        </w:rPr>
      </w:pPr>
    </w:p>
    <w:p>
      <w:pPr>
        <w:ind w:right="240"/>
        <w:spacing w:after="0" w:line="255" w:lineRule="auto"/>
        <w:rPr>
          <w:sz w:val="20"/>
          <w:szCs w:val="20"/>
          <w:color w:val="auto"/>
        </w:rPr>
      </w:pPr>
      <w:r>
        <w:rPr>
          <w:rFonts w:ascii="Arial" w:cs="Arial" w:eastAsia="Arial" w:hAnsi="Arial"/>
          <w:sz w:val="16"/>
          <w:szCs w:val="16"/>
          <w:color w:val="auto"/>
        </w:rPr>
        <w:t>In making the determination to reappoint of Ernst &amp; Young, the Audit Committee considered, among other factors, Ernst &amp; Young’s performance as our independent registered public accounting frm since its retention in 2009, its independence with</w:t>
      </w:r>
    </w:p>
    <w:p>
      <w:pPr>
        <w:spacing w:after="0" w:line="1"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respect to the services to be performed and the quality and candor of Ernst &amp; Young’s communications with the Audit Committee and management. Although ratifcation of the appointment of Ernst &amp; Young is not required by law or our Amended and Restated Bylaws, we value the opinion of our stockholders on our independent auditors and, as a matter of good corporate</w:t>
      </w:r>
    </w:p>
    <w:p>
      <w:pPr>
        <w:spacing w:after="0" w:line="1" w:lineRule="exact"/>
        <w:rPr>
          <w:sz w:val="20"/>
          <w:szCs w:val="20"/>
          <w:color w:val="auto"/>
        </w:rPr>
      </w:pPr>
    </w:p>
    <w:p>
      <w:pPr>
        <w:ind w:right="40"/>
        <w:spacing w:after="0" w:line="268" w:lineRule="auto"/>
        <w:rPr>
          <w:sz w:val="20"/>
          <w:szCs w:val="20"/>
          <w:color w:val="auto"/>
        </w:rPr>
      </w:pPr>
      <w:r>
        <w:rPr>
          <w:rFonts w:ascii="Arial" w:cs="Arial" w:eastAsia="Arial" w:hAnsi="Arial"/>
          <w:sz w:val="16"/>
          <w:szCs w:val="16"/>
          <w:color w:val="auto"/>
        </w:rPr>
        <w:t>governance, the Board is presenting the appointment to our stockholders for ratifcation. If ratifcation is withheld, the Audit Committee and the Board will reconsider its appointment. Even if this appointment is ratifed, the Audit Committee, in its discretion, may direct the appointment of a diferent independent registered public accounting frm at any time during the year if the Audit Committee determines that such a change would be in the best interests of the Company and its stockholders.</w:t>
      </w:r>
    </w:p>
    <w:p>
      <w:pPr>
        <w:spacing w:after="0" w:line="56" w:lineRule="exact"/>
        <w:rPr>
          <w:sz w:val="20"/>
          <w:szCs w:val="20"/>
          <w:color w:val="auto"/>
        </w:rPr>
      </w:pPr>
    </w:p>
    <w:p>
      <w:pPr>
        <w:ind w:right="340"/>
        <w:spacing w:after="0" w:line="313" w:lineRule="auto"/>
        <w:rPr>
          <w:sz w:val="20"/>
          <w:szCs w:val="20"/>
          <w:color w:val="auto"/>
        </w:rPr>
      </w:pPr>
      <w:r>
        <w:rPr>
          <w:rFonts w:ascii="Arial" w:cs="Arial" w:eastAsia="Arial" w:hAnsi="Arial"/>
          <w:sz w:val="16"/>
          <w:szCs w:val="16"/>
          <w:color w:val="auto"/>
        </w:rPr>
        <w:t>Representatives from Ernst &amp; Young are expected to attend the Annual Meeting to respond to appropriate questions and to make any statements as they may desire.</w:t>
      </w:r>
    </w:p>
    <w:p>
      <w:pPr>
        <w:sectPr>
          <w:pgSz w:w="11900" w:h="16838" w:orient="portrait"/>
          <w:cols w:equalWidth="0" w:num="1">
            <w:col w:w="9720"/>
          </w:cols>
          <w:pgMar w:left="1080" w:top="695"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40"/>
        <w:spacing w:after="0" w:line="255" w:lineRule="auto"/>
        <w:rPr>
          <w:sz w:val="20"/>
          <w:szCs w:val="20"/>
          <w:color w:val="auto"/>
        </w:rPr>
      </w:pPr>
      <w:r>
        <w:rPr>
          <w:rFonts w:ascii="Arial" w:cs="Arial" w:eastAsia="Arial" w:hAnsi="Arial"/>
          <w:sz w:val="16"/>
          <w:szCs w:val="16"/>
          <w:b w:val="1"/>
          <w:bCs w:val="1"/>
          <w:color w:val="auto"/>
        </w:rPr>
        <w:t>The Board and Audit Committee recommend</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 xml:space="preserve">you vote </w:t>
      </w:r>
      <w:r>
        <w:rPr>
          <w:rFonts w:ascii="Arial" w:cs="Arial" w:eastAsia="Arial" w:hAnsi="Arial"/>
          <w:sz w:val="16"/>
          <w:szCs w:val="16"/>
          <w:b w:val="1"/>
          <w:bCs w:val="1"/>
          <w:color w:val="1414D2"/>
        </w:rPr>
        <w:t>FOR</w:t>
      </w:r>
      <w:r>
        <w:rPr>
          <w:rFonts w:ascii="Arial" w:cs="Arial" w:eastAsia="Arial" w:hAnsi="Arial"/>
          <w:sz w:val="16"/>
          <w:szCs w:val="16"/>
          <w:b w:val="1"/>
          <w:bCs w:val="1"/>
          <w:color w:val="auto"/>
        </w:rPr>
        <w:t xml:space="preserve"> Item 2</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VOTE REQUIRED</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Approval  of  Item  2-Ratifcation  of  Appointment  of  Independent  Registered  Public</w:t>
      </w:r>
    </w:p>
    <w:p>
      <w:pPr>
        <w:spacing w:after="0" w:line="19" w:lineRule="exact"/>
        <w:rPr>
          <w:sz w:val="20"/>
          <w:szCs w:val="20"/>
          <w:color w:val="auto"/>
        </w:rPr>
      </w:pPr>
    </w:p>
    <w:p>
      <w:pPr>
        <w:ind w:right="380"/>
        <w:spacing w:after="0" w:line="313" w:lineRule="auto"/>
        <w:rPr>
          <w:sz w:val="20"/>
          <w:szCs w:val="20"/>
          <w:color w:val="auto"/>
        </w:rPr>
      </w:pPr>
      <w:r>
        <w:rPr>
          <w:rFonts w:ascii="Arial" w:cs="Arial" w:eastAsia="Arial" w:hAnsi="Arial"/>
          <w:sz w:val="16"/>
          <w:szCs w:val="16"/>
          <w:color w:val="auto"/>
        </w:rPr>
        <w:t>Accounting Firm-requires the afrmative vote of a majority in voting power of the shares present in person or represented by proxy and entitled to vote on such matter.</w:t>
      </w:r>
    </w:p>
    <w:p>
      <w:pPr>
        <w:spacing w:after="0" w:line="6" w:lineRule="exact"/>
        <w:rPr>
          <w:sz w:val="20"/>
          <w:szCs w:val="20"/>
          <w:color w:val="auto"/>
        </w:rPr>
      </w:pPr>
    </w:p>
    <w:p>
      <w:pPr>
        <w:ind w:right="220"/>
        <w:spacing w:after="0" w:line="255" w:lineRule="auto"/>
        <w:rPr>
          <w:sz w:val="20"/>
          <w:szCs w:val="20"/>
          <w:color w:val="auto"/>
        </w:rPr>
      </w:pPr>
      <w:r>
        <w:rPr>
          <w:rFonts w:ascii="Arial" w:cs="Arial" w:eastAsia="Arial" w:hAnsi="Arial"/>
          <w:sz w:val="16"/>
          <w:szCs w:val="16"/>
          <w:color w:val="auto"/>
        </w:rPr>
        <w:t>If you elect to abstain, the abstention will have the same efect as an “AGAINST” vote. Because brokers will have discretionary authority to vote on this proposal, there will not be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any  broker  non-votes.</w:t>
      </w:r>
    </w:p>
    <w:p>
      <w:pPr>
        <w:spacing w:after="0" w:line="200" w:lineRule="exact"/>
        <w:rPr>
          <w:sz w:val="20"/>
          <w:szCs w:val="20"/>
          <w:color w:val="auto"/>
        </w:rPr>
      </w:pPr>
    </w:p>
    <w:p>
      <w:pPr>
        <w:sectPr>
          <w:pgSz w:w="11900" w:h="16838" w:orient="portrait"/>
          <w:cols w:equalWidth="0" w:num="2">
            <w:col w:w="2140" w:space="480"/>
            <w:col w:w="7100"/>
          </w:cols>
          <w:pgMar w:left="1080" w:top="695" w:right="10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2026  Proxy  Statement</w:t>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1414D2"/>
        </w:rPr>
        <w:t>71</w:t>
      </w:r>
    </w:p>
    <w:p>
      <w:pPr>
        <w:sectPr>
          <w:pgSz w:w="11900" w:h="16838" w:orient="portrait"/>
          <w:cols w:equalWidth="0" w:num="1">
            <w:col w:w="9720"/>
          </w:cols>
          <w:pgMar w:left="1080" w:top="695" w:right="1099" w:bottom="1440" w:gutter="0" w:footer="0" w:header="0"/>
          <w:type w:val="continuous"/>
        </w:sectPr>
      </w:pPr>
    </w:p>
    <w:bookmarkStart w:id="82" w:name="page83"/>
    <w:bookmarkEnd w:id="82"/>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6D6F71"/>
        </w:rPr>
        <w:t>Item  2-Ratifcation  of  Appointment  of  Independent  Registered  Public  Accounting  Firm</w:t>
      </w:r>
    </w:p>
    <w:p>
      <w:pPr>
        <w:spacing w:after="0" w:line="223" w:lineRule="exact"/>
        <w:rPr>
          <w:sz w:val="20"/>
          <w:szCs w:val="20"/>
          <w:color w:val="auto"/>
        </w:rPr>
      </w:pPr>
    </w:p>
    <w:p>
      <w:pPr>
        <w:spacing w:after="0"/>
        <w:rPr>
          <w:sz w:val="20"/>
          <w:szCs w:val="20"/>
          <w:color w:val="auto"/>
        </w:rPr>
      </w:pPr>
      <w:r>
        <w:rPr>
          <w:rFonts w:ascii="Arial" w:cs="Arial" w:eastAsia="Arial" w:hAnsi="Arial"/>
          <w:sz w:val="25"/>
          <w:szCs w:val="25"/>
          <w:b w:val="1"/>
          <w:bCs w:val="1"/>
          <w:color w:val="1414D2"/>
        </w:rPr>
        <w:t>Audit Committee Report</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auto"/>
        </w:rPr>
        <w:t>To  the  Board  of  United  Airlines  Holdings,  Inc.:</w:t>
      </w:r>
    </w:p>
    <w:p>
      <w:pPr>
        <w:spacing w:after="0" w:line="127"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As of February 12, 2026 (the date the Company fled its 2025 Annual Report on Form 10-K), the Audit Committee was comprised of the fve non-employee members of the Board named below. After reviewing the qualifcations of the current members of the Audit Committee, and any relationships they may have with the Company that might afect their independence from the Company, the Board has determined that: (1) all current Audit Committee members are “independent” as that concept is</w:t>
      </w:r>
    </w:p>
    <w:p>
      <w:pPr>
        <w:spacing w:after="0" w:line="3" w:lineRule="exact"/>
        <w:rPr>
          <w:sz w:val="20"/>
          <w:szCs w:val="20"/>
          <w:color w:val="auto"/>
        </w:rPr>
      </w:pPr>
    </w:p>
    <w:p>
      <w:pPr>
        <w:ind w:right="140"/>
        <w:spacing w:after="0" w:line="250" w:lineRule="auto"/>
        <w:rPr>
          <w:sz w:val="20"/>
          <w:szCs w:val="20"/>
          <w:color w:val="auto"/>
        </w:rPr>
      </w:pPr>
      <w:r>
        <w:rPr>
          <w:rFonts w:ascii="Arial" w:cs="Arial" w:eastAsia="Arial" w:hAnsi="Arial"/>
          <w:sz w:val="16"/>
          <w:szCs w:val="16"/>
          <w:color w:val="auto"/>
        </w:rPr>
        <w:t>defned in Section 10A of the Exchange Act; (2) all current Audit Committee members are “independent” as that concept is defned in the applicable Nasdaq Listing Rules and meet the standards for committee independence as set forth in the Company’s Corporate Governance Guidelines; (3) all current Audit Committee members are fnancially literate under the applicable Nasdaq Listing Rules; and (4) each of Mr. Friend, Ms. Hooper and Mr. Philip qualifes as an audit committee fnancial</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expert  under  the  applicable  rules  promulgated  pursuant  to  the  Exchange  Act.</w:t>
      </w:r>
    </w:p>
    <w:p>
      <w:pPr>
        <w:spacing w:after="0" w:line="113" w:lineRule="exact"/>
        <w:rPr>
          <w:sz w:val="20"/>
          <w:szCs w:val="20"/>
          <w:color w:val="auto"/>
        </w:rPr>
      </w:pPr>
    </w:p>
    <w:p>
      <w:pPr>
        <w:ind w:right="160"/>
        <w:spacing w:after="0" w:line="252" w:lineRule="auto"/>
        <w:rPr>
          <w:sz w:val="20"/>
          <w:szCs w:val="20"/>
          <w:color w:val="auto"/>
        </w:rPr>
      </w:pPr>
      <w:r>
        <w:rPr>
          <w:rFonts w:ascii="Arial" w:cs="Arial" w:eastAsia="Arial" w:hAnsi="Arial"/>
          <w:sz w:val="16"/>
          <w:szCs w:val="16"/>
          <w:color w:val="auto"/>
        </w:rPr>
        <w:t>The Board appointed the undersigned directors as members of the Audit Committee and adopted a written charter setting forth the procedures and responsibilities of the Audit Committee. Each year, the Audit Committee reviews the adequacy of the charter and recommends any changes to the Board for approval as appropriate to refect the evolving role of the Audit</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Committee.  A  copy  of  the  charter  is  available  on  the  Company’s  investor  relations  website  at  ir.united.com.</w:t>
      </w:r>
    </w:p>
    <w:p>
      <w:pPr>
        <w:spacing w:after="0" w:line="113" w:lineRule="exact"/>
        <w:rPr>
          <w:sz w:val="20"/>
          <w:szCs w:val="20"/>
          <w:color w:val="auto"/>
        </w:rPr>
      </w:pPr>
    </w:p>
    <w:p>
      <w:pPr>
        <w:ind w:right="140"/>
        <w:spacing w:after="0" w:line="313" w:lineRule="auto"/>
        <w:rPr>
          <w:sz w:val="20"/>
          <w:szCs w:val="20"/>
          <w:color w:val="auto"/>
        </w:rPr>
      </w:pPr>
      <w:r>
        <w:rPr>
          <w:rFonts w:ascii="Arial" w:cs="Arial" w:eastAsia="Arial" w:hAnsi="Arial"/>
          <w:sz w:val="16"/>
          <w:szCs w:val="16"/>
          <w:color w:val="auto"/>
        </w:rPr>
        <w:t>As part of the oversight of the Company’s fnancial statements, during the last year, and earlier this year in preparation for the fling with the SEC of the 2025 Annual Report on Form 10-K, the Audit Committee, among other matters:</w:t>
      </w:r>
    </w:p>
    <w:p>
      <w:pPr>
        <w:spacing w:after="0" w:line="20" w:lineRule="exact"/>
        <w:rPr>
          <w:sz w:val="20"/>
          <w:szCs w:val="20"/>
          <w:color w:val="auto"/>
        </w:rPr>
      </w:pPr>
    </w:p>
    <w:p>
      <w:pPr>
        <w:ind w:left="680" w:right="80" w:hanging="325"/>
        <w:spacing w:after="0" w:line="279" w:lineRule="auto"/>
        <w:tabs>
          <w:tab w:leader="none" w:pos="680" w:val="left"/>
        </w:tabs>
        <w:numPr>
          <w:ilvl w:val="0"/>
          <w:numId w:val="80"/>
        </w:numPr>
        <w:rPr>
          <w:rFonts w:ascii="Times New Roman" w:cs="Times New Roman" w:eastAsia="Times New Roman" w:hAnsi="Times New Roman"/>
          <w:sz w:val="16"/>
          <w:szCs w:val="16"/>
          <w:color w:val="auto"/>
        </w:rPr>
      </w:pPr>
      <w:r>
        <w:rPr>
          <w:rFonts w:ascii="Arial" w:cs="Arial" w:eastAsia="Arial" w:hAnsi="Arial"/>
          <w:sz w:val="16"/>
          <w:szCs w:val="16"/>
          <w:color w:val="auto"/>
        </w:rPr>
        <w:t>reviewed and discussed the audited fnancial statements and related footnotes included in the 2025 Annual Report on Form 10-K with management and the Company’s independent registered public accounting frm, referred to in this report as the “independent auditors,” as well as the report of the independent auditors on those fnancial statements;</w:t>
      </w:r>
    </w:p>
    <w:p>
      <w:pPr>
        <w:spacing w:after="0" w:line="46" w:lineRule="exact"/>
        <w:rPr>
          <w:rFonts w:ascii="Times New Roman" w:cs="Times New Roman" w:eastAsia="Times New Roman" w:hAnsi="Times New Roman"/>
          <w:sz w:val="16"/>
          <w:szCs w:val="16"/>
          <w:color w:val="auto"/>
        </w:rPr>
      </w:pPr>
    </w:p>
    <w:p>
      <w:pPr>
        <w:ind w:left="680" w:right="200" w:hanging="325"/>
        <w:spacing w:after="0" w:line="312" w:lineRule="auto"/>
        <w:tabs>
          <w:tab w:leader="none" w:pos="680" w:val="left"/>
        </w:tabs>
        <w:numPr>
          <w:ilvl w:val="0"/>
          <w:numId w:val="80"/>
        </w:numPr>
        <w:rPr>
          <w:rFonts w:ascii="Times New Roman" w:cs="Times New Roman" w:eastAsia="Times New Roman" w:hAnsi="Times New Roman"/>
          <w:sz w:val="16"/>
          <w:szCs w:val="16"/>
          <w:color w:val="auto"/>
        </w:rPr>
      </w:pPr>
      <w:r>
        <w:rPr>
          <w:rFonts w:ascii="Arial" w:cs="Arial" w:eastAsia="Arial" w:hAnsi="Arial"/>
          <w:sz w:val="16"/>
          <w:szCs w:val="16"/>
          <w:color w:val="auto"/>
        </w:rPr>
        <w:t>reviewed the overall scope and plan for the annual audit of the Company’s fnancial statements to be included in the 2025 Annual Report on Form 10-K and the results of the examinations by the Company’s independent auditors;</w:t>
      </w:r>
    </w:p>
    <w:p>
      <w:pPr>
        <w:spacing w:after="0" w:line="20" w:lineRule="exact"/>
        <w:rPr>
          <w:rFonts w:ascii="Times New Roman" w:cs="Times New Roman" w:eastAsia="Times New Roman" w:hAnsi="Times New Roman"/>
          <w:sz w:val="16"/>
          <w:szCs w:val="16"/>
          <w:color w:val="auto"/>
        </w:rPr>
      </w:pPr>
    </w:p>
    <w:p>
      <w:pPr>
        <w:ind w:left="680" w:right="240" w:hanging="325"/>
        <w:spacing w:after="0" w:line="279" w:lineRule="auto"/>
        <w:tabs>
          <w:tab w:leader="none" w:pos="680" w:val="left"/>
        </w:tabs>
        <w:numPr>
          <w:ilvl w:val="0"/>
          <w:numId w:val="80"/>
        </w:numPr>
        <w:rPr>
          <w:rFonts w:ascii="Times New Roman" w:cs="Times New Roman" w:eastAsia="Times New Roman" w:hAnsi="Times New Roman"/>
          <w:sz w:val="16"/>
          <w:szCs w:val="16"/>
          <w:color w:val="auto"/>
        </w:rPr>
      </w:pPr>
      <w:r>
        <w:rPr>
          <w:rFonts w:ascii="Arial" w:cs="Arial" w:eastAsia="Arial" w:hAnsi="Arial"/>
          <w:sz w:val="16"/>
          <w:szCs w:val="16"/>
          <w:color w:val="auto"/>
        </w:rPr>
        <w:t>met with management periodically during the year to consider the adequacy of the Company’s internal control over fnancial reporting and the quality of its fnancial reporting and discussed these matters with the Company’s independent auditors and with appropriate Company fnancial personnel and internal auditors;</w:t>
      </w:r>
    </w:p>
    <w:p>
      <w:pPr>
        <w:spacing w:after="0" w:line="46" w:lineRule="exact"/>
        <w:rPr>
          <w:rFonts w:ascii="Times New Roman" w:cs="Times New Roman" w:eastAsia="Times New Roman" w:hAnsi="Times New Roman"/>
          <w:sz w:val="16"/>
          <w:szCs w:val="16"/>
          <w:color w:val="auto"/>
        </w:rPr>
      </w:pPr>
    </w:p>
    <w:p>
      <w:pPr>
        <w:ind w:left="680" w:right="260" w:hanging="325"/>
        <w:spacing w:after="0" w:line="260" w:lineRule="auto"/>
        <w:tabs>
          <w:tab w:leader="none" w:pos="680" w:val="left"/>
        </w:tabs>
        <w:numPr>
          <w:ilvl w:val="0"/>
          <w:numId w:val="80"/>
        </w:numPr>
        <w:rPr>
          <w:rFonts w:ascii="Times New Roman" w:cs="Times New Roman" w:eastAsia="Times New Roman" w:hAnsi="Times New Roman"/>
          <w:sz w:val="16"/>
          <w:szCs w:val="16"/>
          <w:color w:val="auto"/>
        </w:rPr>
      </w:pPr>
      <w:r>
        <w:rPr>
          <w:rFonts w:ascii="Arial" w:cs="Arial" w:eastAsia="Arial" w:hAnsi="Arial"/>
          <w:sz w:val="16"/>
          <w:szCs w:val="16"/>
          <w:color w:val="auto"/>
        </w:rPr>
        <w:t>reviewed and discussed with the independent auditors: (1) their judgments as to the quality of the accounting principles applied in the Company’s fnancial reporting; (2) the critical audit matters (“CAMs”) addressed in the audit and the relevant fnancial statement accounts or disclosures that relate to each CAM; (3) the written disclosures and the letter received from the independent auditors required by applicable requirements of the Public Company Accounting Oversight Board (the “PCAOB”) regarding the independent auditors’ communications with the Audit Committee concerning independence, and the independence of the independent auditors; and (4) the matters required to be discussed with the Audit Committee under the applicable requirements of the PCAOB and the SEC;</w:t>
      </w:r>
    </w:p>
    <w:p>
      <w:pPr>
        <w:spacing w:after="0" w:line="62" w:lineRule="exact"/>
        <w:rPr>
          <w:rFonts w:ascii="Times New Roman" w:cs="Times New Roman" w:eastAsia="Times New Roman" w:hAnsi="Times New Roman"/>
          <w:sz w:val="16"/>
          <w:szCs w:val="16"/>
          <w:color w:val="auto"/>
        </w:rPr>
      </w:pPr>
    </w:p>
    <w:p>
      <w:pPr>
        <w:ind w:left="680" w:right="500" w:hanging="325"/>
        <w:spacing w:after="0" w:line="279" w:lineRule="auto"/>
        <w:tabs>
          <w:tab w:leader="none" w:pos="680" w:val="left"/>
        </w:tabs>
        <w:numPr>
          <w:ilvl w:val="0"/>
          <w:numId w:val="80"/>
        </w:numPr>
        <w:rPr>
          <w:rFonts w:ascii="Times New Roman" w:cs="Times New Roman" w:eastAsia="Times New Roman" w:hAnsi="Times New Roman"/>
          <w:sz w:val="16"/>
          <w:szCs w:val="16"/>
          <w:color w:val="auto"/>
        </w:rPr>
      </w:pPr>
      <w:r>
        <w:rPr>
          <w:rFonts w:ascii="Arial" w:cs="Arial" w:eastAsia="Arial" w:hAnsi="Arial"/>
          <w:sz w:val="16"/>
          <w:szCs w:val="16"/>
          <w:color w:val="auto"/>
        </w:rPr>
        <w:t>based on these reviews and discussions, as well as private discussions with the independent auditors and the Company’s internal auditors, recommended to the Board the inclusion of the audited fnancial statements of the Company and its subsidiaries in the 2025 Annual Report on Form 10-K; and</w:t>
      </w:r>
    </w:p>
    <w:p>
      <w:pPr>
        <w:spacing w:after="0" w:line="46" w:lineRule="exact"/>
        <w:rPr>
          <w:rFonts w:ascii="Times New Roman" w:cs="Times New Roman" w:eastAsia="Times New Roman" w:hAnsi="Times New Roman"/>
          <w:sz w:val="16"/>
          <w:szCs w:val="16"/>
          <w:color w:val="auto"/>
        </w:rPr>
      </w:pPr>
    </w:p>
    <w:p>
      <w:pPr>
        <w:ind w:left="680" w:right="140" w:hanging="325"/>
        <w:spacing w:after="0" w:line="312" w:lineRule="auto"/>
        <w:tabs>
          <w:tab w:leader="none" w:pos="680" w:val="left"/>
        </w:tabs>
        <w:numPr>
          <w:ilvl w:val="0"/>
          <w:numId w:val="80"/>
        </w:numPr>
        <w:rPr>
          <w:rFonts w:ascii="Times New Roman" w:cs="Times New Roman" w:eastAsia="Times New Roman" w:hAnsi="Times New Roman"/>
          <w:sz w:val="16"/>
          <w:szCs w:val="16"/>
          <w:color w:val="auto"/>
        </w:rPr>
      </w:pPr>
      <w:r>
        <w:rPr>
          <w:rFonts w:ascii="Arial" w:cs="Arial" w:eastAsia="Arial" w:hAnsi="Arial"/>
          <w:sz w:val="16"/>
          <w:szCs w:val="16"/>
          <w:color w:val="auto"/>
        </w:rPr>
        <w:t>determined that the non-audit services provided to the Company by the independent auditors (discussed under Item 2) are compatible with maintaining the independence of the independent auditors.</w:t>
      </w:r>
    </w:p>
    <w:p>
      <w:pPr>
        <w:spacing w:after="0" w:line="20"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In addition, as a result of the Audit Committee’s evaluation referred to above, the Audit Committee appointed, and the Board has ratifed the appointment of, Ernst &amp; Young to serve as the Company’s independent registered public accounting frm for the fscal year ending December 31, 2026, subject to ratifcation by the holders of Common Stock of the Company.</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The  Audit  Committee’s  pre-approval  policies  and  procedures  are  discussed  below.</w:t>
      </w:r>
    </w:p>
    <w:p>
      <w:pPr>
        <w:sectPr>
          <w:pgSz w:w="11900" w:h="16838" w:orient="portrait"/>
          <w:cols w:equalWidth="0" w:num="1">
            <w:col w:w="9700"/>
          </w:cols>
          <w:pgMar w:left="1080" w:top="695" w:right="11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ind w:right="7700"/>
        <w:spacing w:after="0"/>
        <w:rPr>
          <w:sz w:val="20"/>
          <w:szCs w:val="20"/>
          <w:color w:val="auto"/>
        </w:rPr>
      </w:pPr>
      <w:r>
        <w:rPr>
          <w:rFonts w:ascii="Arial" w:cs="Arial" w:eastAsia="Arial" w:hAnsi="Arial"/>
          <w:sz w:val="16"/>
          <w:szCs w:val="16"/>
          <w:color w:val="auto"/>
        </w:rPr>
        <w:t>​​2026​  Proxy</w:t>
      </w:r>
    </w:p>
    <w:p>
      <w:pPr>
        <w:spacing w:after="0" w:line="5" w:lineRule="exact"/>
        <w:rPr>
          <w:sz w:val="20"/>
          <w:szCs w:val="20"/>
          <w:color w:val="auto"/>
        </w:rPr>
      </w:pPr>
    </w:p>
    <w:p>
      <w:pPr>
        <w:ind w:left="660" w:hanging="656"/>
        <w:spacing w:after="0"/>
        <w:tabs>
          <w:tab w:leader="none" w:pos="660" w:val="left"/>
        </w:tabs>
        <w:numPr>
          <w:ilvl w:val="0"/>
          <w:numId w:val="81"/>
        </w:numPr>
        <w:rPr>
          <w:rFonts w:ascii="Arial" w:cs="Arial" w:eastAsia="Arial" w:hAnsi="Arial"/>
          <w:sz w:val="16"/>
          <w:szCs w:val="16"/>
          <w:b w:val="1"/>
          <w:bCs w:val="1"/>
          <w:color w:val="1414D2"/>
        </w:rPr>
      </w:pPr>
      <w:r>
        <w:rPr>
          <w:rFonts w:ascii="Arial" w:cs="Arial" w:eastAsia="Arial" w:hAnsi="Arial"/>
          <w:sz w:val="16"/>
          <w:szCs w:val="16"/>
          <w:color w:val="auto"/>
        </w:rPr>
        <w:t>Statement</w:t>
      </w:r>
    </w:p>
    <w:p>
      <w:pPr>
        <w:sectPr>
          <w:pgSz w:w="11900" w:h="16838" w:orient="portrait"/>
          <w:cols w:equalWidth="0" w:num="1">
            <w:col w:w="9700"/>
          </w:cols>
          <w:pgMar w:left="1080" w:top="695" w:right="1119" w:bottom="1440" w:gutter="0" w:footer="0" w:header="0"/>
          <w:type w:val="continuous"/>
        </w:sectPr>
      </w:pPr>
    </w:p>
    <w:bookmarkStart w:id="83" w:name="page84"/>
    <w:bookmarkEnd w:id="83"/>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27" w:lineRule="exact"/>
        <w:rPr>
          <w:sz w:val="20"/>
          <w:szCs w:val="20"/>
          <w:color w:val="auto"/>
        </w:rPr>
      </w:pPr>
    </w:p>
    <w:p>
      <w:pPr>
        <w:ind w:left="3940"/>
        <w:spacing w:after="0"/>
        <w:rPr>
          <w:sz w:val="20"/>
          <w:szCs w:val="20"/>
          <w:color w:val="auto"/>
        </w:rPr>
      </w:pPr>
      <w:r>
        <w:rPr>
          <w:rFonts w:ascii="Arial" w:cs="Arial" w:eastAsia="Arial" w:hAnsi="Arial"/>
          <w:sz w:val="14"/>
          <w:szCs w:val="14"/>
          <w:color w:val="6D6F71"/>
        </w:rPr>
        <w:t>Item  2-Ratifcation  of  Appointment  of  Independent  Registered  Public  Accounting  Firm</w:t>
      </w:r>
    </w:p>
    <w:p>
      <w:pPr>
        <w:spacing w:after="0" w:line="225" w:lineRule="exact"/>
        <w:rPr>
          <w:sz w:val="20"/>
          <w:szCs w:val="20"/>
          <w:color w:val="auto"/>
        </w:rPr>
      </w:pPr>
    </w:p>
    <w:p>
      <w:pPr>
        <w:ind w:right="520"/>
        <w:spacing w:after="0" w:line="255" w:lineRule="auto"/>
        <w:rPr>
          <w:sz w:val="20"/>
          <w:szCs w:val="20"/>
          <w:color w:val="auto"/>
        </w:rPr>
      </w:pPr>
      <w:r>
        <w:rPr>
          <w:rFonts w:ascii="Arial" w:cs="Arial" w:eastAsia="Arial" w:hAnsi="Arial"/>
          <w:sz w:val="16"/>
          <w:szCs w:val="16"/>
          <w:color w:val="auto"/>
        </w:rPr>
        <w:t>The role of the Audit Committee is to assist the Board in fulflling its responsibility to oversee and monitor the Company’s accounting and fnancial reporting process and internal control structure. Management has primary responsibility for the</w:t>
      </w:r>
    </w:p>
    <w:p>
      <w:pPr>
        <w:spacing w:after="0" w:line="1"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Company’s fnancial reporting process, principles and internal controls as well as preparation of its consolidated fnancial statements in accordance with accounting principles generally accepted in the United States. The independent auditors are responsible for performing an audit in accordance with the standards of the PCAOB to obtain reasonable assurance that the Company’s consolidated fnancial statements are free from material misstatement and expressing an opinion on the conformity</w:t>
      </w:r>
    </w:p>
    <w:p>
      <w:pPr>
        <w:spacing w:after="0" w:line="3" w:lineRule="exact"/>
        <w:rPr>
          <w:sz w:val="20"/>
          <w:szCs w:val="20"/>
          <w:color w:val="auto"/>
        </w:rPr>
      </w:pPr>
    </w:p>
    <w:p>
      <w:pPr>
        <w:ind w:right="180"/>
        <w:spacing w:after="0" w:line="313" w:lineRule="auto"/>
        <w:rPr>
          <w:sz w:val="20"/>
          <w:szCs w:val="20"/>
          <w:color w:val="auto"/>
        </w:rPr>
      </w:pPr>
      <w:r>
        <w:rPr>
          <w:rFonts w:ascii="Arial" w:cs="Arial" w:eastAsia="Arial" w:hAnsi="Arial"/>
          <w:sz w:val="16"/>
          <w:szCs w:val="16"/>
          <w:color w:val="auto"/>
        </w:rPr>
        <w:t>of such fnancial statements with accounting principles generally accepted in the United States. The independent auditors are also responsible for expressing an opinion on the efectiveness of the Company’s internal controls over fnancial reporting.</w:t>
      </w:r>
    </w:p>
    <w:p>
      <w:pPr>
        <w:spacing w:after="0" w:line="6"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Notwithstanding the foregoing actions and the responsibilities set forth in the Audit Committee charter, the charter clarifes that the Audit Committee is not responsible for certifying the Company’s fnancial statements or guaranteeing the independent</w:t>
      </w:r>
    </w:p>
    <w:p>
      <w:pPr>
        <w:spacing w:after="0" w:line="1" w:lineRule="exact"/>
        <w:rPr>
          <w:sz w:val="20"/>
          <w:szCs w:val="20"/>
          <w:color w:val="auto"/>
        </w:rPr>
      </w:pPr>
    </w:p>
    <w:p>
      <w:pPr>
        <w:ind w:right="160"/>
        <w:spacing w:after="0" w:line="252" w:lineRule="auto"/>
        <w:rPr>
          <w:sz w:val="20"/>
          <w:szCs w:val="20"/>
          <w:color w:val="auto"/>
        </w:rPr>
      </w:pPr>
      <w:r>
        <w:rPr>
          <w:rFonts w:ascii="Arial" w:cs="Arial" w:eastAsia="Arial" w:hAnsi="Arial"/>
          <w:sz w:val="16"/>
          <w:szCs w:val="16"/>
          <w:color w:val="auto"/>
        </w:rPr>
        <w:t>auditors’ report. The functions of the Audit Committee are not intended to duplicate or substitute for the activities of management and the independent auditors, and the Audit Committee members cannot provide any expert or special assurance as to the Company’s fnancial statements or internal controls or any professional certifcations as to the work of the</w:t>
      </w:r>
    </w:p>
    <w:p>
      <w:pPr>
        <w:spacing w:after="0" w:line="1" w:lineRule="exact"/>
        <w:rPr>
          <w:sz w:val="20"/>
          <w:szCs w:val="20"/>
          <w:color w:val="auto"/>
        </w:rPr>
      </w:pPr>
    </w:p>
    <w:p>
      <w:pPr>
        <w:ind w:right="240"/>
        <w:spacing w:after="0" w:line="250" w:lineRule="auto"/>
        <w:rPr>
          <w:sz w:val="20"/>
          <w:szCs w:val="20"/>
          <w:color w:val="auto"/>
        </w:rPr>
      </w:pPr>
      <w:r>
        <w:rPr>
          <w:rFonts w:ascii="Arial" w:cs="Arial" w:eastAsia="Arial" w:hAnsi="Arial"/>
          <w:sz w:val="16"/>
          <w:szCs w:val="16"/>
          <w:color w:val="auto"/>
        </w:rPr>
        <w:t>independent auditors. Audit Committee members are not employees of the Company and are not acting as professional accountants or auditors on behalf of the Company. Therefore, the Audit Committee has relied, without independent verifcation, on management’s representation that the fnancial statements have been prepared with integrity and objectivity and in conformity with accounting principles generally accepted in the United States and on the representations of the</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independent  auditors  included  in  their  report  on  the  Company’s  fnancial  statements.</w:t>
      </w:r>
    </w:p>
    <w:p>
      <w:pPr>
        <w:spacing w:after="0" w:line="113"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The Audit Committee meets periodically with management and the independent and internal auditors, including private discussions with the independent auditors and the Company’s internal auditors, and receives the communications described above. The Audit Committee has also established procedures for: (1) the receipt, retention and treatment of complaints received</w:t>
      </w:r>
    </w:p>
    <w:p>
      <w:pPr>
        <w:spacing w:after="0" w:line="1" w:lineRule="exact"/>
        <w:rPr>
          <w:sz w:val="20"/>
          <w:szCs w:val="20"/>
          <w:color w:val="auto"/>
        </w:rPr>
      </w:pPr>
    </w:p>
    <w:p>
      <w:pPr>
        <w:ind w:right="120"/>
        <w:spacing w:after="0" w:line="250" w:lineRule="auto"/>
        <w:rPr>
          <w:sz w:val="20"/>
          <w:szCs w:val="20"/>
          <w:color w:val="auto"/>
        </w:rPr>
      </w:pPr>
      <w:r>
        <w:rPr>
          <w:rFonts w:ascii="Arial" w:cs="Arial" w:eastAsia="Arial" w:hAnsi="Arial"/>
          <w:sz w:val="16"/>
          <w:szCs w:val="16"/>
          <w:color w:val="auto"/>
        </w:rPr>
        <w:t>by the Company regarding accounting, auditing or internal accounting control matters; and (2) the confdential, anonymous submission by the Company’s employees of concerns regarding questionable accounting or auditing matters. However, this oversight does not provide the Audit Committee with an independent basis to determine that management has maintained: (i) appropriate accounting and fnancial reporting principles or policies; or (ii) appropriate internal controls and procedures</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designed  to  assure  compliance  with  accounting  standards  and  applicable  laws  and  regulations.</w:t>
      </w:r>
    </w:p>
    <w:p>
      <w:pPr>
        <w:spacing w:after="0" w:line="113" w:lineRule="exact"/>
        <w:rPr>
          <w:sz w:val="20"/>
          <w:szCs w:val="20"/>
          <w:color w:val="auto"/>
        </w:rPr>
      </w:pPr>
    </w:p>
    <w:p>
      <w:pPr>
        <w:ind w:right="220"/>
        <w:spacing w:after="0" w:line="255" w:lineRule="auto"/>
        <w:rPr>
          <w:sz w:val="20"/>
          <w:szCs w:val="20"/>
          <w:color w:val="auto"/>
        </w:rPr>
      </w:pPr>
      <w:r>
        <w:rPr>
          <w:rFonts w:ascii="Arial" w:cs="Arial" w:eastAsia="Arial" w:hAnsi="Arial"/>
          <w:sz w:val="16"/>
          <w:szCs w:val="16"/>
          <w:color w:val="auto"/>
        </w:rPr>
        <w:t>Furthermore, the Audit Committee’s considerations and discussions with management and the independent auditors do not assure that the Company’s fnancial statements are presented in accordance with accounting principles generally accepted in</w:t>
      </w:r>
    </w:p>
    <w:p>
      <w:pPr>
        <w:spacing w:after="0" w:line="1" w:lineRule="exact"/>
        <w:rPr>
          <w:sz w:val="20"/>
          <w:szCs w:val="20"/>
          <w:color w:val="auto"/>
        </w:rPr>
      </w:pPr>
    </w:p>
    <w:p>
      <w:pPr>
        <w:ind w:right="440"/>
        <w:spacing w:after="0" w:line="313" w:lineRule="auto"/>
        <w:rPr>
          <w:sz w:val="20"/>
          <w:szCs w:val="20"/>
          <w:color w:val="auto"/>
        </w:rPr>
      </w:pPr>
      <w:r>
        <w:rPr>
          <w:rFonts w:ascii="Arial" w:cs="Arial" w:eastAsia="Arial" w:hAnsi="Arial"/>
          <w:sz w:val="16"/>
          <w:szCs w:val="16"/>
          <w:color w:val="auto"/>
        </w:rPr>
        <w:t>the United States or that the audit of the Company’s fnancial statements has been carried out in accordance with auditing standards generally accepted in the United States.</w:t>
      </w:r>
    </w:p>
    <w:p>
      <w:pPr>
        <w:spacing w:after="0" w:line="6" w:lineRule="exact"/>
        <w:rPr>
          <w:sz w:val="20"/>
          <w:szCs w:val="20"/>
          <w:color w:val="auto"/>
        </w:rPr>
      </w:pPr>
    </w:p>
    <w:p>
      <w:pPr>
        <w:ind w:right="260"/>
        <w:spacing w:after="0" w:line="255" w:lineRule="auto"/>
        <w:rPr>
          <w:sz w:val="20"/>
          <w:szCs w:val="20"/>
          <w:color w:val="auto"/>
        </w:rPr>
      </w:pPr>
      <w:r>
        <w:rPr>
          <w:rFonts w:ascii="Arial" w:cs="Arial" w:eastAsia="Arial" w:hAnsi="Arial"/>
          <w:sz w:val="16"/>
          <w:szCs w:val="16"/>
          <w:color w:val="auto"/>
        </w:rPr>
        <w:t>The information contained in this report shall not be deemed to be “soliciting material” or to be “fled” with the SEC, nor shall such information be incorporated by reference into any future flings with the SEC, or subject to the liabilities of Section 18 of</w:t>
      </w:r>
    </w:p>
    <w:p>
      <w:pPr>
        <w:spacing w:after="0" w:line="1" w:lineRule="exact"/>
        <w:rPr>
          <w:sz w:val="20"/>
          <w:szCs w:val="20"/>
          <w:color w:val="auto"/>
        </w:rPr>
      </w:pPr>
    </w:p>
    <w:p>
      <w:pPr>
        <w:ind w:right="240"/>
        <w:spacing w:after="0" w:line="313" w:lineRule="auto"/>
        <w:rPr>
          <w:sz w:val="20"/>
          <w:szCs w:val="20"/>
          <w:color w:val="auto"/>
        </w:rPr>
      </w:pPr>
      <w:r>
        <w:rPr>
          <w:rFonts w:ascii="Arial" w:cs="Arial" w:eastAsia="Arial" w:hAnsi="Arial"/>
          <w:sz w:val="16"/>
          <w:szCs w:val="16"/>
          <w:color w:val="auto"/>
        </w:rPr>
        <w:t>the Exchange Act, except to the extent that the Company specifcally incorporates it by reference into a document fled under the Securities Act of 1933, as amended, or the Exchange Act.</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Respectfully  submitted,</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Audit  Committee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Michele  J.  Hooper,  Chair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Matthew  Friend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Barney  Harford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Edward  M.  Philip</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Laysha  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2026  Proxy  Statement</w:t>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1414D2"/>
        </w:rPr>
        <w:t>73</w:t>
      </w:r>
    </w:p>
    <w:p>
      <w:pPr>
        <w:sectPr>
          <w:pgSz w:w="11900" w:h="16838" w:orient="portrait"/>
          <w:cols w:equalWidth="0" w:num="1">
            <w:col w:w="9720"/>
          </w:cols>
          <w:pgMar w:left="1080" w:top="695" w:right="1099" w:bottom="1440" w:gutter="0" w:footer="0" w:header="0"/>
        </w:sectPr>
      </w:pPr>
    </w:p>
    <w:bookmarkStart w:id="84" w:name="page85"/>
    <w:bookmarkEnd w:id="84"/>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6D6F71"/>
        </w:rPr>
        <w:t>Item  2-Ratifcation  of  Appointment  of  Independent  Registered  Public  Accounting  Firm</w:t>
      </w:r>
    </w:p>
    <w:p>
      <w:pPr>
        <w:spacing w:after="0" w:line="223" w:lineRule="exact"/>
        <w:rPr>
          <w:sz w:val="20"/>
          <w:szCs w:val="20"/>
          <w:color w:val="auto"/>
        </w:rPr>
      </w:pPr>
    </w:p>
    <w:p>
      <w:pPr>
        <w:spacing w:after="0"/>
        <w:rPr>
          <w:sz w:val="20"/>
          <w:szCs w:val="20"/>
          <w:color w:val="auto"/>
        </w:rPr>
      </w:pPr>
      <w:r>
        <w:rPr>
          <w:rFonts w:ascii="Arial" w:cs="Arial" w:eastAsia="Arial" w:hAnsi="Arial"/>
          <w:sz w:val="25"/>
          <w:szCs w:val="25"/>
          <w:b w:val="1"/>
          <w:bCs w:val="1"/>
          <w:color w:val="1414D2"/>
        </w:rPr>
        <w:t>Audit Committee Pre-Approval Policy and Procedures</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auto"/>
        </w:rPr>
        <w:t>The  Audit  Committee  has  adopted  a  policy  on  pre-approval  of  services  of  the  Company’s  independent  registered  public</w:t>
      </w:r>
    </w:p>
    <w:p>
      <w:pPr>
        <w:spacing w:after="0" w:line="19"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accounting frm. The policy provides that the Audit Committee shall pre-approve all audit and non-audit services to be provided to the Company and its subsidiaries and afliates by its independent auditors. The process by which this is carried out is as follows:</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For  recurring  services,  the  Audit  Committee  reviews  and  pre-approves  the  independent  registered  public  accounting  frm’s</w:t>
      </w:r>
    </w:p>
    <w:p>
      <w:pPr>
        <w:spacing w:after="0" w:line="19" w:lineRule="exact"/>
        <w:rPr>
          <w:sz w:val="20"/>
          <w:szCs w:val="20"/>
          <w:color w:val="auto"/>
        </w:rPr>
      </w:pPr>
    </w:p>
    <w:p>
      <w:pPr>
        <w:ind w:right="60"/>
        <w:spacing w:after="0" w:line="268" w:lineRule="auto"/>
        <w:rPr>
          <w:sz w:val="20"/>
          <w:szCs w:val="20"/>
          <w:color w:val="auto"/>
        </w:rPr>
      </w:pPr>
      <w:r>
        <w:rPr>
          <w:rFonts w:ascii="Arial" w:cs="Arial" w:eastAsia="Arial" w:hAnsi="Arial"/>
          <w:sz w:val="16"/>
          <w:szCs w:val="16"/>
          <w:color w:val="auto"/>
        </w:rPr>
        <w:t>annual audit services. The reviewed materials include a description of the services along with related fees. The Audit Committee also reviews and pre-approves other classes of recurring services along with fee thresholds for pre-approved services. In the event that the additional services are required prior to the next scheduled Audit Committee meeting, pre-approvals of additional services follow the process described below.</w:t>
      </w:r>
    </w:p>
    <w:p>
      <w:pPr>
        <w:spacing w:after="0" w:line="56" w:lineRule="exact"/>
        <w:rPr>
          <w:sz w:val="20"/>
          <w:szCs w:val="20"/>
          <w:color w:val="auto"/>
        </w:rPr>
      </w:pPr>
    </w:p>
    <w:p>
      <w:pPr>
        <w:ind w:right="160"/>
        <w:spacing w:after="0" w:line="250" w:lineRule="auto"/>
        <w:rPr>
          <w:sz w:val="20"/>
          <w:szCs w:val="20"/>
          <w:color w:val="auto"/>
        </w:rPr>
      </w:pPr>
      <w:r>
        <w:rPr>
          <w:rFonts w:ascii="Arial" w:cs="Arial" w:eastAsia="Arial" w:hAnsi="Arial"/>
          <w:sz w:val="16"/>
          <w:szCs w:val="16"/>
          <w:color w:val="auto"/>
        </w:rPr>
        <w:t>Any requests for audit, audit-related, tax and other services not contemplated with the recurring services approval described above must be submitted to the Audit Committee for specifc pre-approval and services cannot commence until such approval has been granted. Normally, pre-approval is provided at regularly scheduled meetings. However, the authority to grant specifc pre-approval between meetings, as necessary, has been delegated to the chair of the Audit Committee. The chair must update</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the  Audit  Committee  at  the  next  regularly  scheduled  meeting  of  any  services  that  were  granted  specifc  pre-approval.</w:t>
      </w:r>
    </w:p>
    <w:p>
      <w:pPr>
        <w:spacing w:after="0" w:line="113" w:lineRule="exact"/>
        <w:rPr>
          <w:sz w:val="20"/>
          <w:szCs w:val="20"/>
          <w:color w:val="auto"/>
        </w:rPr>
      </w:pPr>
    </w:p>
    <w:p>
      <w:pPr>
        <w:ind w:right="180"/>
        <w:spacing w:after="0" w:line="255" w:lineRule="auto"/>
        <w:rPr>
          <w:sz w:val="20"/>
          <w:szCs w:val="20"/>
          <w:color w:val="auto"/>
        </w:rPr>
      </w:pPr>
      <w:r>
        <w:rPr>
          <w:rFonts w:ascii="Arial" w:cs="Arial" w:eastAsia="Arial" w:hAnsi="Arial"/>
          <w:sz w:val="16"/>
          <w:szCs w:val="16"/>
          <w:color w:val="auto"/>
        </w:rPr>
        <w:t>On a periodic basis, the Audit Committee reviews the status of services and fees incurred year-to-date and a list of newly pre-approved services since its last regularly scheduled meeting. The Audit Committee has considered whether the 2025 and 2024</w:t>
      </w:r>
    </w:p>
    <w:p>
      <w:pPr>
        <w:spacing w:after="0" w:line="1" w:lineRule="exact"/>
        <w:rPr>
          <w:sz w:val="20"/>
          <w:szCs w:val="20"/>
          <w:color w:val="auto"/>
        </w:rPr>
      </w:pPr>
    </w:p>
    <w:p>
      <w:pPr>
        <w:ind w:right="160"/>
        <w:spacing w:after="0" w:line="313" w:lineRule="auto"/>
        <w:rPr>
          <w:sz w:val="20"/>
          <w:szCs w:val="20"/>
          <w:color w:val="auto"/>
        </w:rPr>
      </w:pPr>
      <w:r>
        <w:rPr>
          <w:rFonts w:ascii="Arial" w:cs="Arial" w:eastAsia="Arial" w:hAnsi="Arial"/>
          <w:sz w:val="16"/>
          <w:szCs w:val="16"/>
          <w:color w:val="auto"/>
        </w:rPr>
        <w:t>non-audit services provided by Ernst &amp; Young are compatible with maintaining auditor independence and concluded that such services were compatible with maintaining Ernst &amp; Young’s independence.</w:t>
      </w:r>
    </w:p>
    <w:p>
      <w:pPr>
        <w:spacing w:after="0" w:line="6" w:lineRule="exact"/>
        <w:rPr>
          <w:sz w:val="20"/>
          <w:szCs w:val="20"/>
          <w:color w:val="auto"/>
        </w:rPr>
      </w:pPr>
    </w:p>
    <w:p>
      <w:pPr>
        <w:ind w:right="780"/>
        <w:spacing w:after="0" w:line="313" w:lineRule="auto"/>
        <w:rPr>
          <w:sz w:val="20"/>
          <w:szCs w:val="20"/>
          <w:color w:val="auto"/>
        </w:rPr>
      </w:pPr>
      <w:r>
        <w:rPr>
          <w:rFonts w:ascii="Arial" w:cs="Arial" w:eastAsia="Arial" w:hAnsi="Arial"/>
          <w:sz w:val="16"/>
          <w:szCs w:val="16"/>
          <w:color w:val="auto"/>
        </w:rPr>
        <w:t>All of the services in 2025 and 2024 under the Audit Fees, Audit-Related Fees and Tax Fees categories below have been approved by the Audit Committee pursuant to paragraph (c)(7) of Rule 2-01 of Regulation S-X of the Exchange Act.</w:t>
      </w:r>
    </w:p>
    <w:p>
      <w:pPr>
        <w:spacing w:after="0" w:line="18" w:lineRule="exact"/>
        <w:rPr>
          <w:sz w:val="20"/>
          <w:szCs w:val="20"/>
          <w:color w:val="auto"/>
        </w:rPr>
      </w:pPr>
    </w:p>
    <w:p>
      <w:pPr>
        <w:spacing w:after="0"/>
        <w:rPr>
          <w:sz w:val="20"/>
          <w:szCs w:val="20"/>
          <w:color w:val="auto"/>
        </w:rPr>
      </w:pPr>
      <w:r>
        <w:rPr>
          <w:rFonts w:ascii="Arial" w:cs="Arial" w:eastAsia="Arial" w:hAnsi="Arial"/>
          <w:sz w:val="25"/>
          <w:szCs w:val="25"/>
          <w:b w:val="1"/>
          <w:bCs w:val="1"/>
          <w:color w:val="1414D2"/>
        </w:rPr>
        <w:t>Independent Registered Public Accounting Firm Fees</w:t>
      </w:r>
    </w:p>
    <w:p>
      <w:pPr>
        <w:spacing w:after="0" w:line="119" w:lineRule="exact"/>
        <w:rPr>
          <w:sz w:val="20"/>
          <w:szCs w:val="20"/>
          <w:color w:val="auto"/>
        </w:rPr>
      </w:pPr>
    </w:p>
    <w:p>
      <w:pPr>
        <w:ind w:right="280"/>
        <w:spacing w:after="0" w:line="313" w:lineRule="auto"/>
        <w:rPr>
          <w:sz w:val="20"/>
          <w:szCs w:val="20"/>
          <w:color w:val="auto"/>
        </w:rPr>
      </w:pPr>
      <w:r>
        <w:rPr>
          <w:rFonts w:ascii="Arial" w:cs="Arial" w:eastAsia="Arial" w:hAnsi="Arial"/>
          <w:sz w:val="16"/>
          <w:szCs w:val="16"/>
          <w:color w:val="auto"/>
        </w:rPr>
        <w:t>The aggregate fees billed for professional services rendered by the Company’s independent auditors in 2025 and 2024 are as follows (in thousands):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20" w:type="dxa"/>
            <w:vAlign w:val="bottom"/>
            <w:tcBorders>
              <w:top w:val="single" w:sz="8" w:color="1414D2"/>
              <w:bottom w:val="single" w:sz="8" w:color="F2F2F2"/>
            </w:tcBorders>
            <w:shd w:val="clear" w:color="auto" w:fill="F2F2F2"/>
          </w:tcPr>
          <w:p>
            <w:pPr>
              <w:ind w:left="120"/>
              <w:spacing w:after="0"/>
              <w:rPr>
                <w:sz w:val="20"/>
                <w:szCs w:val="20"/>
                <w:color w:val="auto"/>
              </w:rPr>
            </w:pPr>
            <w:r>
              <w:rPr>
                <w:rFonts w:ascii="Arial" w:cs="Arial" w:eastAsia="Arial" w:hAnsi="Arial"/>
                <w:sz w:val="14"/>
                <w:szCs w:val="14"/>
                <w:b w:val="1"/>
                <w:bCs w:val="1"/>
                <w:color w:val="auto"/>
              </w:rPr>
              <w:t>Service</w:t>
            </w:r>
          </w:p>
        </w:tc>
        <w:tc>
          <w:tcPr>
            <w:tcW w:w="420" w:type="dxa"/>
            <w:vAlign w:val="bottom"/>
            <w:tcBorders>
              <w:top w:val="single" w:sz="8" w:color="1414D2"/>
              <w:bottom w:val="single" w:sz="8" w:color="F2F2F2"/>
            </w:tcBorders>
            <w:shd w:val="clear" w:color="auto" w:fill="F2F2F2"/>
          </w:tcPr>
          <w:p>
            <w:pPr>
              <w:jc w:val="right"/>
              <w:ind w:right="116"/>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1414D2"/>
              <w:bottom w:val="single" w:sz="8" w:color="F2F2F2"/>
            </w:tcBorders>
            <w:shd w:val="clear" w:color="auto" w:fill="F2F2F2"/>
          </w:tcPr>
          <w:p>
            <w:pPr>
              <w:jc w:val="right"/>
              <w:ind w:right="281"/>
              <w:spacing w:after="0"/>
              <w:rPr>
                <w:sz w:val="20"/>
                <w:szCs w:val="20"/>
                <w:color w:val="auto"/>
              </w:rPr>
            </w:pPr>
            <w:r>
              <w:rPr>
                <w:rFonts w:ascii="Arial" w:cs="Arial" w:eastAsia="Arial" w:hAnsi="Arial"/>
                <w:sz w:val="14"/>
                <w:szCs w:val="14"/>
                <w:b w:val="1"/>
                <w:bCs w:val="1"/>
                <w:color w:val="auto"/>
              </w:rPr>
              <w:t>2025</w:t>
            </w:r>
          </w:p>
        </w:tc>
        <w:tc>
          <w:tcPr>
            <w:tcW w:w="400" w:type="dxa"/>
            <w:vAlign w:val="bottom"/>
            <w:tcBorders>
              <w:top w:val="single" w:sz="8" w:color="1414D2"/>
              <w:bottom w:val="single" w:sz="8" w:color="F2F2F2"/>
            </w:tcBorders>
            <w:shd w:val="clear" w:color="auto" w:fill="F2F2F2"/>
          </w:tcPr>
          <w:p>
            <w:pPr>
              <w:jc w:val="right"/>
              <w:ind w:right="122"/>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1414D2"/>
              <w:bottom w:val="single" w:sz="8" w:color="F2F2F2"/>
            </w:tcBorders>
            <w:shd w:val="clear" w:color="auto" w:fill="F2F2F2"/>
          </w:tcPr>
          <w:p>
            <w:pPr>
              <w:jc w:val="right"/>
              <w:ind w:right="321"/>
              <w:spacing w:after="0"/>
              <w:rPr>
                <w:sz w:val="20"/>
                <w:szCs w:val="20"/>
                <w:color w:val="auto"/>
              </w:rPr>
            </w:pPr>
            <w:r>
              <w:rPr>
                <w:rFonts w:ascii="Arial" w:cs="Arial" w:eastAsia="Arial" w:hAnsi="Arial"/>
                <w:sz w:val="14"/>
                <w:szCs w:val="14"/>
                <w:b w:val="1"/>
                <w:bCs w:val="1"/>
                <w:color w:val="auto"/>
              </w:rPr>
              <w:t>2024</w:t>
            </w:r>
          </w:p>
        </w:tc>
        <w:tc>
          <w:tcPr>
            <w:tcW w:w="40" w:type="dxa"/>
            <w:vAlign w:val="bottom"/>
          </w:tcPr>
          <w:p>
            <w:pPr>
              <w:ind w:left="20"/>
              <w:spacing w:after="0"/>
              <w:rPr>
                <w:sz w:val="20"/>
                <w:szCs w:val="20"/>
                <w:color w:val="auto"/>
              </w:rPr>
            </w:pPr>
            <w:r>
              <w:rPr>
                <w:rFonts w:ascii="Arial" w:cs="Arial" w:eastAsia="Arial" w:hAnsi="Arial"/>
                <w:sz w:val="1"/>
                <w:szCs w:val="1"/>
                <w:b w:val="1"/>
                <w:bCs w:val="1"/>
                <w:color w:val="auto"/>
                <w:w w:val="4294942296"/>
              </w:rPr>
              <w:t>​</w:t>
            </w:r>
          </w:p>
        </w:tc>
      </w:tr>
      <w:tr>
        <w:trPr>
          <w:trHeight w:val="243"/>
        </w:trPr>
        <w:tc>
          <w:tcPr>
            <w:tcW w:w="722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Audit  Fees</w:t>
            </w:r>
          </w:p>
        </w:tc>
        <w:tc>
          <w:tcPr>
            <w:tcW w:w="420" w:type="dxa"/>
            <w:vAlign w:val="bottom"/>
            <w:tcBorders>
              <w:bottom w:val="single" w:sz="8" w:color="auto"/>
            </w:tcBorders>
          </w:tcPr>
          <w:p>
            <w:pPr>
              <w:jc w:val="right"/>
              <w:ind w:right="36"/>
              <w:spacing w:after="0"/>
              <w:rPr>
                <w:sz w:val="20"/>
                <w:szCs w:val="20"/>
                <w:color w:val="auto"/>
              </w:rPr>
            </w:pPr>
            <w:r>
              <w:rPr>
                <w:rFonts w:ascii="Arial" w:cs="Arial" w:eastAsia="Arial" w:hAnsi="Arial"/>
                <w:sz w:val="20"/>
                <w:szCs w:val="20"/>
                <w:color w:val="auto"/>
              </w:rPr>
              <w:t>​​</w:t>
            </w:r>
            <w:r>
              <w:rPr>
                <w:rFonts w:ascii="Arial" w:cs="Arial" w:eastAsia="Arial" w:hAnsi="Arial"/>
                <w:sz w:val="16"/>
                <w:szCs w:val="16"/>
                <w:color w:val="auto"/>
              </w:rPr>
              <w:t>$</w:t>
            </w:r>
            <w:r>
              <w:rPr>
                <w:rFonts w:ascii="Arial" w:cs="Arial" w:eastAsia="Arial" w:hAnsi="Arial"/>
                <w:sz w:val="20"/>
                <w:szCs w:val="20"/>
                <w:color w:val="auto"/>
              </w:rPr>
              <w:t>​</w:t>
            </w: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5,478</w:t>
            </w:r>
          </w:p>
        </w:tc>
        <w:tc>
          <w:tcPr>
            <w:tcW w:w="4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4,768</w:t>
            </w:r>
          </w:p>
        </w:tc>
        <w:tc>
          <w:tcPr>
            <w:tcW w:w="40" w:type="dxa"/>
            <w:vAlign w:val="bottom"/>
          </w:tcPr>
          <w:p>
            <w:pPr>
              <w:spacing w:after="0"/>
              <w:rPr>
                <w:sz w:val="21"/>
                <w:szCs w:val="21"/>
                <w:color w:val="auto"/>
              </w:rPr>
            </w:pPr>
          </w:p>
        </w:tc>
      </w:tr>
      <w:tr>
        <w:trPr>
          <w:trHeight w:val="236"/>
        </w:trPr>
        <w:tc>
          <w:tcPr>
            <w:tcW w:w="7220" w:type="dxa"/>
            <w:vAlign w:val="bottom"/>
            <w:tcBorders>
              <w:bottom w:val="single" w:sz="8" w:color="808080"/>
            </w:tcBorders>
          </w:tcPr>
          <w:p>
            <w:pPr>
              <w:ind w:left="120"/>
              <w:spacing w:after="0"/>
              <w:rPr>
                <w:sz w:val="20"/>
                <w:szCs w:val="20"/>
                <w:color w:val="auto"/>
              </w:rPr>
            </w:pPr>
            <w:r>
              <w:rPr>
                <w:rFonts w:ascii="Arial" w:cs="Arial" w:eastAsia="Arial" w:hAnsi="Arial"/>
                <w:sz w:val="16"/>
                <w:szCs w:val="16"/>
                <w:color w:val="auto"/>
              </w:rPr>
              <w:t>Audit-Related  Fees</w:t>
            </w:r>
          </w:p>
        </w:tc>
        <w:tc>
          <w:tcPr>
            <w:tcW w:w="420" w:type="dxa"/>
            <w:vAlign w:val="bottom"/>
            <w:tcBorders>
              <w:bottom w:val="single" w:sz="8" w:color="808080"/>
            </w:tcBorders>
          </w:tcPr>
          <w:p>
            <w:pPr>
              <w:spacing w:after="0"/>
              <w:rPr>
                <w:sz w:val="20"/>
                <w:szCs w:val="20"/>
                <w:color w:val="auto"/>
              </w:rPr>
            </w:pPr>
          </w:p>
        </w:tc>
        <w:tc>
          <w:tcPr>
            <w:tcW w:w="820" w:type="dxa"/>
            <w:vAlign w:val="bottom"/>
            <w:tcBorders>
              <w:bottom w:val="single" w:sz="8" w:color="808080"/>
            </w:tcBorders>
          </w:tcPr>
          <w:p>
            <w:pPr>
              <w:jc w:val="right"/>
              <w:ind w:right="1"/>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808080"/>
            </w:tcBorders>
          </w:tcPr>
          <w:p>
            <w:pPr>
              <w:spacing w:after="0"/>
              <w:rPr>
                <w:sz w:val="20"/>
                <w:szCs w:val="20"/>
                <w:color w:val="auto"/>
              </w:rPr>
            </w:pPr>
          </w:p>
        </w:tc>
        <w:tc>
          <w:tcPr>
            <w:tcW w:w="860" w:type="dxa"/>
            <w:vAlign w:val="bottom"/>
            <w:tcBorders>
              <w:bottom w:val="single" w:sz="8" w:color="808080"/>
            </w:tcBorders>
          </w:tcPr>
          <w:p>
            <w:pPr>
              <w:jc w:val="right"/>
              <w:ind w:right="41"/>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r>
      <w:tr>
        <w:trPr>
          <w:trHeight w:val="237"/>
        </w:trPr>
        <w:tc>
          <w:tcPr>
            <w:tcW w:w="7220" w:type="dxa"/>
            <w:vAlign w:val="bottom"/>
            <w:tcBorders>
              <w:bottom w:val="single" w:sz="8" w:color="808080"/>
            </w:tcBorders>
          </w:tcPr>
          <w:p>
            <w:pPr>
              <w:ind w:left="120"/>
              <w:spacing w:after="0"/>
              <w:rPr>
                <w:sz w:val="20"/>
                <w:szCs w:val="20"/>
                <w:color w:val="auto"/>
              </w:rPr>
            </w:pPr>
            <w:r>
              <w:rPr>
                <w:rFonts w:ascii="Arial" w:cs="Arial" w:eastAsia="Arial" w:hAnsi="Arial"/>
                <w:sz w:val="16"/>
                <w:szCs w:val="16"/>
                <w:color w:val="auto"/>
              </w:rPr>
              <w:t>Tax  Fees</w:t>
            </w:r>
          </w:p>
        </w:tc>
        <w:tc>
          <w:tcPr>
            <w:tcW w:w="420" w:type="dxa"/>
            <w:vAlign w:val="bottom"/>
            <w:tcBorders>
              <w:bottom w:val="single" w:sz="8" w:color="808080"/>
            </w:tcBorders>
          </w:tcPr>
          <w:p>
            <w:pPr>
              <w:spacing w:after="0"/>
              <w:rPr>
                <w:sz w:val="20"/>
                <w:szCs w:val="20"/>
                <w:color w:val="auto"/>
              </w:rPr>
            </w:pPr>
          </w:p>
        </w:tc>
        <w:tc>
          <w:tcPr>
            <w:tcW w:w="820" w:type="dxa"/>
            <w:vAlign w:val="bottom"/>
            <w:tcBorders>
              <w:bottom w:val="single" w:sz="8" w:color="808080"/>
            </w:tcBorders>
          </w:tcPr>
          <w:p>
            <w:pPr>
              <w:jc w:val="right"/>
              <w:ind w:right="1"/>
              <w:spacing w:after="0"/>
              <w:rPr>
                <w:sz w:val="20"/>
                <w:szCs w:val="20"/>
                <w:color w:val="auto"/>
              </w:rPr>
            </w:pPr>
            <w:r>
              <w:rPr>
                <w:rFonts w:ascii="Arial" w:cs="Arial" w:eastAsia="Arial" w:hAnsi="Arial"/>
                <w:sz w:val="16"/>
                <w:szCs w:val="16"/>
                <w:color w:val="auto"/>
              </w:rPr>
              <w:t>10</w:t>
            </w:r>
          </w:p>
        </w:tc>
        <w:tc>
          <w:tcPr>
            <w:tcW w:w="400" w:type="dxa"/>
            <w:vAlign w:val="bottom"/>
            <w:tcBorders>
              <w:bottom w:val="single" w:sz="8" w:color="808080"/>
            </w:tcBorders>
          </w:tcPr>
          <w:p>
            <w:pPr>
              <w:spacing w:after="0"/>
              <w:rPr>
                <w:sz w:val="20"/>
                <w:szCs w:val="20"/>
                <w:color w:val="auto"/>
              </w:rPr>
            </w:pPr>
          </w:p>
        </w:tc>
        <w:tc>
          <w:tcPr>
            <w:tcW w:w="860" w:type="dxa"/>
            <w:vAlign w:val="bottom"/>
            <w:tcBorders>
              <w:bottom w:val="single" w:sz="8" w:color="808080"/>
            </w:tcBorders>
          </w:tcPr>
          <w:p>
            <w:pPr>
              <w:jc w:val="right"/>
              <w:ind w:right="41"/>
              <w:spacing w:after="0"/>
              <w:rPr>
                <w:sz w:val="20"/>
                <w:szCs w:val="20"/>
                <w:color w:val="auto"/>
              </w:rPr>
            </w:pPr>
            <w:r>
              <w:rPr>
                <w:rFonts w:ascii="Arial" w:cs="Arial" w:eastAsia="Arial" w:hAnsi="Arial"/>
                <w:sz w:val="16"/>
                <w:szCs w:val="16"/>
                <w:color w:val="auto"/>
              </w:rPr>
              <w:t>42</w:t>
            </w:r>
          </w:p>
        </w:tc>
        <w:tc>
          <w:tcPr>
            <w:tcW w:w="40" w:type="dxa"/>
            <w:vAlign w:val="bottom"/>
          </w:tcPr>
          <w:p>
            <w:pPr>
              <w:spacing w:after="0"/>
              <w:rPr>
                <w:sz w:val="20"/>
                <w:szCs w:val="20"/>
                <w:color w:val="auto"/>
              </w:rPr>
            </w:pPr>
          </w:p>
        </w:tc>
      </w:tr>
      <w:tr>
        <w:trPr>
          <w:trHeight w:val="236"/>
        </w:trPr>
        <w:tc>
          <w:tcPr>
            <w:tcW w:w="7220" w:type="dxa"/>
            <w:vAlign w:val="bottom"/>
            <w:tcBorders>
              <w:bottom w:val="single" w:sz="8" w:color="808080"/>
            </w:tcBorders>
          </w:tcPr>
          <w:p>
            <w:pPr>
              <w:ind w:left="120"/>
              <w:spacing w:after="0"/>
              <w:rPr>
                <w:sz w:val="20"/>
                <w:szCs w:val="20"/>
                <w:color w:val="auto"/>
              </w:rPr>
            </w:pPr>
            <w:r>
              <w:rPr>
                <w:rFonts w:ascii="Arial" w:cs="Arial" w:eastAsia="Arial" w:hAnsi="Arial"/>
                <w:sz w:val="16"/>
                <w:szCs w:val="16"/>
                <w:color w:val="auto"/>
              </w:rPr>
              <w:t>Total</w:t>
            </w:r>
          </w:p>
        </w:tc>
        <w:tc>
          <w:tcPr>
            <w:tcW w:w="420" w:type="dxa"/>
            <w:vAlign w:val="bottom"/>
            <w:tcBorders>
              <w:bottom w:val="single" w:sz="8" w:color="808080"/>
            </w:tcBorders>
          </w:tcPr>
          <w:p>
            <w:pPr>
              <w:jc w:val="right"/>
              <w:ind w:right="36"/>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808080"/>
            </w:tcBorders>
          </w:tcPr>
          <w:p>
            <w:pPr>
              <w:jc w:val="right"/>
              <w:ind w:right="1"/>
              <w:spacing w:after="0"/>
              <w:rPr>
                <w:sz w:val="20"/>
                <w:szCs w:val="20"/>
                <w:color w:val="auto"/>
              </w:rPr>
            </w:pPr>
            <w:r>
              <w:rPr>
                <w:rFonts w:ascii="Arial" w:cs="Arial" w:eastAsia="Arial" w:hAnsi="Arial"/>
                <w:sz w:val="16"/>
                <w:szCs w:val="16"/>
                <w:color w:val="auto"/>
              </w:rPr>
              <w:t>5,488</w:t>
            </w:r>
          </w:p>
        </w:tc>
        <w:tc>
          <w:tcPr>
            <w:tcW w:w="400" w:type="dxa"/>
            <w:vAlign w:val="bottom"/>
            <w:tcBorders>
              <w:bottom w:val="single" w:sz="8" w:color="808080"/>
            </w:tcBorders>
          </w:tcPr>
          <w:p>
            <w:pPr>
              <w:jc w:val="right"/>
              <w:ind w:right="42"/>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808080"/>
            </w:tcBorders>
          </w:tcPr>
          <w:p>
            <w:pPr>
              <w:jc w:val="right"/>
              <w:ind w:right="41"/>
              <w:spacing w:after="0"/>
              <w:rPr>
                <w:sz w:val="20"/>
                <w:szCs w:val="20"/>
                <w:color w:val="auto"/>
              </w:rPr>
            </w:pPr>
            <w:r>
              <w:rPr>
                <w:rFonts w:ascii="Arial" w:cs="Arial" w:eastAsia="Arial" w:hAnsi="Arial"/>
                <w:sz w:val="16"/>
                <w:szCs w:val="16"/>
                <w:color w:val="auto"/>
              </w:rPr>
              <w:t>4,810</w:t>
            </w:r>
          </w:p>
        </w:tc>
        <w:tc>
          <w:tcPr>
            <w:tcW w:w="40" w:type="dxa"/>
            <w:vAlign w:val="bottom"/>
          </w:tcPr>
          <w:p>
            <w:pPr>
              <w:spacing w:after="0"/>
              <w:rPr>
                <w:sz w:val="20"/>
                <w:szCs w:val="20"/>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AUDIT FEES</w:t>
      </w:r>
    </w:p>
    <w:p>
      <w:pPr>
        <w:spacing w:after="0" w:line="127"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For 2025 and 2024, audit fees consist primarily of the audit and quarterly reviews of the consolidated fnancial statements and the audit of the efectiveness of internal control over fnancial reporting of the Company and its wholly-owned subsidiaries. Audit fees also include the audit of the consolidated fnancial statements of United Airlines, Inc., attestation services required by statute or regulation, comfort letters, consents, assistance with and review of documents fled with the SEC, and accounting and</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fnancial  reporting  consultations  and  research  work  necessary  to  comply  with  generally  accepted  auditing  standards.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AUDIT-RELATED FEES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In  2025  and  2024,  there  were  no  audit-related  fees.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TAX FEES</w:t>
      </w:r>
    </w:p>
    <w:p>
      <w:pPr>
        <w:spacing w:after="0" w:line="127" w:lineRule="exact"/>
        <w:rPr>
          <w:sz w:val="20"/>
          <w:szCs w:val="20"/>
          <w:color w:val="auto"/>
        </w:rPr>
      </w:pPr>
    </w:p>
    <w:p>
      <w:pPr>
        <w:ind w:right="60"/>
        <w:spacing w:after="0" w:line="279" w:lineRule="auto"/>
        <w:rPr>
          <w:sz w:val="20"/>
          <w:szCs w:val="20"/>
          <w:color w:val="auto"/>
        </w:rPr>
      </w:pPr>
      <w:r>
        <w:rPr>
          <w:rFonts w:ascii="Arial" w:cs="Arial" w:eastAsia="Arial" w:hAnsi="Arial"/>
          <w:sz w:val="16"/>
          <w:szCs w:val="16"/>
          <w:color w:val="auto"/>
        </w:rPr>
        <w:t>Tax fees for 2025 and 2024 relate to professional services provided for research and consultations regarding tax accounting and tax compliance matters and review of U.S. and international tax impacts of certain transactions, exclusive of tax services rendered in connection with the audit.</w:t>
      </w:r>
    </w:p>
    <w:p>
      <w:pPr>
        <w:sectPr>
          <w:pgSz w:w="11900" w:h="16838" w:orient="portrait"/>
          <w:cols w:equalWidth="0" w:num="1">
            <w:col w:w="9760"/>
          </w:cols>
          <w:pgMar w:left="1080" w:top="695" w:right="10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right"/>
        <w:ind w:right="7760"/>
        <w:spacing w:after="0"/>
        <w:rPr>
          <w:sz w:val="20"/>
          <w:szCs w:val="20"/>
          <w:color w:val="auto"/>
        </w:rPr>
      </w:pPr>
      <w:r>
        <w:rPr>
          <w:rFonts w:ascii="Arial" w:cs="Arial" w:eastAsia="Arial" w:hAnsi="Arial"/>
          <w:sz w:val="16"/>
          <w:szCs w:val="16"/>
          <w:color w:val="auto"/>
        </w:rPr>
        <w:t>​​2026​  Proxy</w:t>
      </w:r>
    </w:p>
    <w:p>
      <w:pPr>
        <w:spacing w:after="0" w:line="5" w:lineRule="exact"/>
        <w:rPr>
          <w:sz w:val="20"/>
          <w:szCs w:val="20"/>
          <w:color w:val="auto"/>
        </w:rPr>
      </w:pPr>
    </w:p>
    <w:p>
      <w:pPr>
        <w:ind w:left="660" w:hanging="656"/>
        <w:spacing w:after="0"/>
        <w:tabs>
          <w:tab w:leader="none" w:pos="660" w:val="left"/>
        </w:tabs>
        <w:numPr>
          <w:ilvl w:val="0"/>
          <w:numId w:val="82"/>
        </w:numPr>
        <w:rPr>
          <w:rFonts w:ascii="Arial" w:cs="Arial" w:eastAsia="Arial" w:hAnsi="Arial"/>
          <w:sz w:val="16"/>
          <w:szCs w:val="16"/>
          <w:b w:val="1"/>
          <w:bCs w:val="1"/>
          <w:color w:val="1414D2"/>
        </w:rPr>
      </w:pPr>
      <w:r>
        <w:rPr>
          <w:rFonts w:ascii="Arial" w:cs="Arial" w:eastAsia="Arial" w:hAnsi="Arial"/>
          <w:sz w:val="16"/>
          <w:szCs w:val="16"/>
          <w:color w:val="auto"/>
        </w:rPr>
        <w:t>Statement</w:t>
      </w:r>
    </w:p>
    <w:p>
      <w:pPr>
        <w:sectPr>
          <w:pgSz w:w="11900" w:h="16838" w:orient="portrait"/>
          <w:cols w:equalWidth="0" w:num="1">
            <w:col w:w="9760"/>
          </w:cols>
          <w:pgMar w:left="1080" w:top="695" w:right="1059" w:bottom="1440" w:gutter="0" w:footer="0" w:header="0"/>
          <w:type w:val="continuous"/>
        </w:sectPr>
      </w:pPr>
    </w:p>
    <w:bookmarkStart w:id="85" w:name="page86"/>
    <w:bookmarkEnd w:id="85"/>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16" w:lineRule="exact"/>
        <w:rPr>
          <w:sz w:val="20"/>
          <w:szCs w:val="20"/>
          <w:color w:val="auto"/>
        </w:rPr>
      </w:pPr>
    </w:p>
    <w:p>
      <w:pPr>
        <w:ind w:right="560"/>
        <w:spacing w:after="0" w:line="334" w:lineRule="auto"/>
        <w:rPr>
          <w:sz w:val="20"/>
          <w:szCs w:val="20"/>
          <w:color w:val="auto"/>
        </w:rPr>
      </w:pPr>
      <w:r>
        <w:rPr>
          <w:rFonts w:ascii="Arial" w:cs="Arial" w:eastAsia="Arial" w:hAnsi="Arial"/>
          <w:sz w:val="43"/>
          <w:szCs w:val="43"/>
          <w:b w:val="1"/>
          <w:bCs w:val="1"/>
          <w:color w:val="auto"/>
        </w:rPr>
        <w:t>Item 3-Advisory Vote to Approve Executive Compensation</w:t>
      </w:r>
    </w:p>
    <w:p>
      <w:pPr>
        <w:spacing w:after="0" w:line="73" w:lineRule="exact"/>
        <w:rPr>
          <w:sz w:val="20"/>
          <w:szCs w:val="20"/>
          <w:color w:val="auto"/>
        </w:rPr>
      </w:pPr>
    </w:p>
    <w:p>
      <w:pPr>
        <w:spacing w:after="0"/>
        <w:rPr>
          <w:sz w:val="20"/>
          <w:szCs w:val="20"/>
          <w:color w:val="auto"/>
        </w:rPr>
      </w:pPr>
      <w:r>
        <w:rPr>
          <w:rFonts w:ascii="Arial" w:cs="Arial" w:eastAsia="Arial" w:hAnsi="Arial"/>
          <w:sz w:val="15"/>
          <w:szCs w:val="15"/>
          <w:color w:val="auto"/>
        </w:rPr>
        <w:t>In  accordance  with  the  requirements  of  Section  14A  of  the  Exchange  Act  and  the  related  rules  of  the  SEC,  the  Board  is  seeking  a</w:t>
      </w:r>
    </w:p>
    <w:p>
      <w:pPr>
        <w:spacing w:after="0" w:line="30" w:lineRule="exact"/>
        <w:rPr>
          <w:sz w:val="20"/>
          <w:szCs w:val="20"/>
          <w:color w:val="auto"/>
        </w:rPr>
      </w:pPr>
    </w:p>
    <w:p>
      <w:pPr>
        <w:ind w:right="260"/>
        <w:spacing w:after="0" w:line="313" w:lineRule="auto"/>
        <w:rPr>
          <w:sz w:val="20"/>
          <w:szCs w:val="20"/>
          <w:color w:val="auto"/>
        </w:rPr>
      </w:pPr>
      <w:r>
        <w:rPr>
          <w:rFonts w:ascii="Arial" w:cs="Arial" w:eastAsia="Arial" w:hAnsi="Arial"/>
          <w:sz w:val="16"/>
          <w:szCs w:val="16"/>
          <w:color w:val="auto"/>
        </w:rPr>
        <w:t>nonbinding advisory vote (frequently referred to as “Say-on-Pay”) from our stockholders to approve the compensation of our NEOs as disclosed in this Proxy Statement pursuant to the SEC’s compensation disclosure rules.</w:t>
      </w:r>
    </w:p>
    <w:p>
      <w:pPr>
        <w:spacing w:after="0" w:line="6" w:lineRule="exact"/>
        <w:rPr>
          <w:sz w:val="20"/>
          <w:szCs w:val="20"/>
          <w:color w:val="auto"/>
        </w:rPr>
      </w:pPr>
    </w:p>
    <w:p>
      <w:pPr>
        <w:ind w:right="340"/>
        <w:spacing w:after="0" w:line="313" w:lineRule="auto"/>
        <w:rPr>
          <w:sz w:val="20"/>
          <w:szCs w:val="20"/>
          <w:color w:val="auto"/>
        </w:rPr>
      </w:pPr>
      <w:r>
        <w:rPr>
          <w:rFonts w:ascii="Arial" w:cs="Arial" w:eastAsia="Arial" w:hAnsi="Arial"/>
          <w:sz w:val="16"/>
          <w:szCs w:val="16"/>
          <w:color w:val="auto"/>
        </w:rPr>
        <w:t>Accordingly, the Board is presenting the following resolution to our stockholders recommending approval, on a nonbinding advisory basis, of the compensation paid to our NEOs:</w:t>
      </w:r>
    </w:p>
    <w:p>
      <w:pPr>
        <w:spacing w:after="0" w:line="20" w:lineRule="exact"/>
        <w:rPr>
          <w:sz w:val="20"/>
          <w:szCs w:val="20"/>
          <w:color w:val="auto"/>
        </w:rPr>
      </w:pPr>
    </w:p>
    <w:p>
      <w:pPr>
        <w:ind w:left="660" w:right="100"/>
        <w:spacing w:after="0" w:line="250" w:lineRule="auto"/>
        <w:rPr>
          <w:sz w:val="20"/>
          <w:szCs w:val="20"/>
          <w:color w:val="auto"/>
        </w:rPr>
      </w:pPr>
      <w:r>
        <w:rPr>
          <w:rFonts w:ascii="Arial" w:cs="Arial" w:eastAsia="Arial" w:hAnsi="Arial"/>
          <w:sz w:val="16"/>
          <w:szCs w:val="16"/>
          <w:color w:val="auto"/>
        </w:rPr>
        <w:t>“RESOLVED, that the compensation of the Company’s named executive ofcers, as disclosed pursuant to the compensation disclosure rules of the Securities and Exchange Commission (which disclosure includes the Compensation Discussion and Analysis, the compensation tables and the accompanying narrative disclosures, each as set forth in the Company’s Proxy Statement for its 2026 Annual Meeting of Stockholders) is hereby APPROVED on an</w:t>
      </w:r>
    </w:p>
    <w:p>
      <w:pPr>
        <w:spacing w:after="0" w:line="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advisory  basis.”</w:t>
      </w:r>
    </w:p>
    <w:p>
      <w:pPr>
        <w:spacing w:after="0" w:line="113" w:lineRule="exact"/>
        <w:rPr>
          <w:sz w:val="20"/>
          <w:szCs w:val="20"/>
          <w:color w:val="auto"/>
        </w:rPr>
      </w:pPr>
    </w:p>
    <w:p>
      <w:pPr>
        <w:ind w:right="200"/>
        <w:spacing w:after="0" w:line="252" w:lineRule="auto"/>
        <w:rPr>
          <w:sz w:val="20"/>
          <w:szCs w:val="20"/>
          <w:color w:val="auto"/>
        </w:rPr>
      </w:pPr>
      <w:r>
        <w:rPr>
          <w:rFonts w:ascii="Arial" w:cs="Arial" w:eastAsia="Arial" w:hAnsi="Arial"/>
          <w:sz w:val="16"/>
          <w:szCs w:val="16"/>
          <w:color w:val="auto"/>
        </w:rPr>
        <w:t>The Say-on-Pay vote is not intended to address any specifc item of compensation, but rather the overall compensation of our NEOs and the philosophy, policies and practices described in the Proxy Statement. As an advisory vote, the approval or disapproval of the Say-on-Pay resolution by stockholders will not require management, the Compensation Committee or the</w:t>
      </w:r>
    </w:p>
    <w:p>
      <w:pPr>
        <w:spacing w:after="0" w:line="1"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Board to take any action regarding our executive compensation practices and will not be construed as overruling any decision by management, the Compensation Committee or the Board. However, consistent with our record of responsiveness to stockholders, the Compensation Committee and the Board will carefully consider the outcome of the advisory vote on executive</w:t>
      </w:r>
    </w:p>
    <w:p>
      <w:pPr>
        <w:spacing w:after="0" w:line="1" w:lineRule="exact"/>
        <w:rPr>
          <w:sz w:val="20"/>
          <w:szCs w:val="20"/>
          <w:color w:val="auto"/>
        </w:rPr>
      </w:pPr>
    </w:p>
    <w:p>
      <w:pPr>
        <w:ind w:right="760"/>
        <w:spacing w:after="0" w:line="313" w:lineRule="auto"/>
        <w:rPr>
          <w:sz w:val="20"/>
          <w:szCs w:val="20"/>
          <w:color w:val="auto"/>
        </w:rPr>
      </w:pPr>
      <w:r>
        <w:rPr>
          <w:rFonts w:ascii="Arial" w:cs="Arial" w:eastAsia="Arial" w:hAnsi="Arial"/>
          <w:sz w:val="16"/>
          <w:szCs w:val="16"/>
          <w:color w:val="auto"/>
        </w:rPr>
        <w:t>compensation and the feedback that we receive from stockholders during our stockholder engagement process when considering future decisions concerning our executive compensation program.</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We  currently  hold  our  advisory  vote  on  executive  compensation  annually.</w:t>
      </w:r>
    </w:p>
    <w:p>
      <w:pPr>
        <w:sectPr>
          <w:pgSz w:w="11900" w:h="16838" w:orient="portrait"/>
          <w:cols w:equalWidth="0" w:num="1">
            <w:col w:w="9720"/>
          </w:cols>
          <w:pgMar w:left="1080" w:top="695"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40"/>
        <w:spacing w:after="0" w:line="330" w:lineRule="auto"/>
        <w:rPr>
          <w:sz w:val="20"/>
          <w:szCs w:val="20"/>
          <w:color w:val="auto"/>
        </w:rPr>
      </w:pPr>
      <w:r>
        <w:rPr>
          <w:rFonts w:ascii="Arial" w:cs="Arial" w:eastAsia="Arial" w:hAnsi="Arial"/>
          <w:sz w:val="16"/>
          <w:szCs w:val="16"/>
          <w:b w:val="1"/>
          <w:bCs w:val="1"/>
          <w:color w:val="auto"/>
        </w:rPr>
        <w:t xml:space="preserve">The Board recommends you vote </w:t>
      </w:r>
      <w:r>
        <w:rPr>
          <w:rFonts w:ascii="Arial" w:cs="Arial" w:eastAsia="Arial" w:hAnsi="Arial"/>
          <w:sz w:val="16"/>
          <w:szCs w:val="16"/>
          <w:b w:val="1"/>
          <w:bCs w:val="1"/>
          <w:color w:val="1414D2"/>
        </w:rPr>
        <w:t>FOR</w:t>
      </w:r>
      <w:r>
        <w:rPr>
          <w:rFonts w:ascii="Arial" w:cs="Arial" w:eastAsia="Arial" w:hAnsi="Arial"/>
          <w:sz w:val="16"/>
          <w:szCs w:val="16"/>
          <w:b w:val="1"/>
          <w:bCs w:val="1"/>
          <w:color w:val="auto"/>
        </w:rPr>
        <w:t xml:space="preserve"> Item 3</w:t>
      </w:r>
    </w:p>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VOTE REQUIRED</w:t>
      </w:r>
    </w:p>
    <w:p>
      <w:pPr>
        <w:spacing w:after="0" w:line="127" w:lineRule="exact"/>
        <w:rPr>
          <w:sz w:val="20"/>
          <w:szCs w:val="20"/>
          <w:color w:val="auto"/>
        </w:rPr>
      </w:pPr>
    </w:p>
    <w:p>
      <w:pPr>
        <w:ind w:right="860"/>
        <w:spacing w:after="0" w:line="279" w:lineRule="auto"/>
        <w:rPr>
          <w:sz w:val="20"/>
          <w:szCs w:val="20"/>
          <w:color w:val="auto"/>
        </w:rPr>
      </w:pPr>
      <w:r>
        <w:rPr>
          <w:rFonts w:ascii="Arial" w:cs="Arial" w:eastAsia="Arial" w:hAnsi="Arial"/>
          <w:sz w:val="16"/>
          <w:szCs w:val="16"/>
          <w:color w:val="auto"/>
        </w:rPr>
        <w:t>Approval of Item 3-Advisory Vote to Approve Executive Compensation-requires the afrmative vote of a majority in voting power of the shares present in person or represented by proxy and entitled to vote on such matter.</w:t>
      </w:r>
    </w:p>
    <w:p>
      <w:pPr>
        <w:spacing w:after="0" w:line="33" w:lineRule="exact"/>
        <w:rPr>
          <w:sz w:val="20"/>
          <w:szCs w:val="20"/>
          <w:color w:val="auto"/>
        </w:rPr>
      </w:pPr>
    </w:p>
    <w:p>
      <w:pPr>
        <w:ind w:right="120"/>
        <w:spacing w:after="0" w:line="330" w:lineRule="auto"/>
        <w:rPr>
          <w:sz w:val="20"/>
          <w:szCs w:val="20"/>
          <w:color w:val="auto"/>
        </w:rPr>
      </w:pPr>
      <w:r>
        <w:rPr>
          <w:rFonts w:ascii="Arial" w:cs="Arial" w:eastAsia="Arial" w:hAnsi="Arial"/>
          <w:sz w:val="16"/>
          <w:szCs w:val="16"/>
          <w:color w:val="auto"/>
        </w:rPr>
        <w:t>If you elect to abstain, the abstention will have the same efect as an “AGAINST” vote. Broker non-votes will have no efect on the advisory vote to approve executive compensation.</w:t>
      </w:r>
    </w:p>
    <w:p>
      <w:pPr>
        <w:spacing w:after="0" w:line="200" w:lineRule="exact"/>
        <w:rPr>
          <w:sz w:val="20"/>
          <w:szCs w:val="20"/>
          <w:color w:val="auto"/>
        </w:rPr>
      </w:pPr>
    </w:p>
    <w:p>
      <w:pPr>
        <w:sectPr>
          <w:pgSz w:w="11900" w:h="16838" w:orient="portrait"/>
          <w:cols w:equalWidth="0" w:num="2">
            <w:col w:w="2140" w:space="480"/>
            <w:col w:w="7100"/>
          </w:cols>
          <w:pgMar w:left="1080" w:top="695" w:right="10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2026  Proxy  Statement</w:t>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1414D2"/>
        </w:rPr>
        <w:t>75</w:t>
      </w:r>
    </w:p>
    <w:p>
      <w:pPr>
        <w:sectPr>
          <w:pgSz w:w="11900" w:h="16838" w:orient="portrait"/>
          <w:cols w:equalWidth="0" w:num="1">
            <w:col w:w="9720"/>
          </w:cols>
          <w:pgMar w:left="1080" w:top="695" w:right="1099" w:bottom="1440" w:gutter="0" w:footer="0" w:header="0"/>
          <w:type w:val="continuous"/>
        </w:sectPr>
      </w:pPr>
    </w:p>
    <w:bookmarkStart w:id="86" w:name="page87"/>
    <w:bookmarkEnd w:id="86"/>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16"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Compensation Discussion and Analysis</w:t>
      </w:r>
    </w:p>
    <w:p>
      <w:pPr>
        <w:spacing w:after="0" w:line="400" w:lineRule="exact"/>
        <w:rPr>
          <w:sz w:val="20"/>
          <w:szCs w:val="20"/>
          <w:color w:val="auto"/>
        </w:rPr>
      </w:pPr>
    </w:p>
    <w:p>
      <w:pPr>
        <w:jc w:val="center"/>
        <w:ind w:right="-339"/>
        <w:spacing w:after="0"/>
        <w:rPr>
          <w:sz w:val="20"/>
          <w:szCs w:val="20"/>
          <w:color w:val="auto"/>
        </w:rPr>
      </w:pPr>
      <w:r>
        <w:rPr>
          <w:rFonts w:ascii="Arial" w:cs="Arial" w:eastAsia="Arial" w:hAnsi="Arial"/>
          <w:sz w:val="25"/>
          <w:szCs w:val="25"/>
          <w:b w:val="1"/>
          <w:bCs w:val="1"/>
          <w:color w:val="auto"/>
        </w:rPr>
        <w:t>Table of Contents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600" w:type="dxa"/>
            <w:vAlign w:val="bottom"/>
            <w:tcBorders>
              <w:bottom w:val="single" w:sz="8" w:color="1414D2"/>
            </w:tcBorders>
          </w:tcPr>
          <w:p>
            <w:pPr>
              <w:spacing w:after="0"/>
              <w:rPr>
                <w:sz w:val="20"/>
                <w:szCs w:val="20"/>
                <w:color w:val="auto"/>
              </w:rPr>
            </w:pPr>
            <w:r>
              <w:rPr>
                <w:rFonts w:ascii="Arial" w:cs="Arial" w:eastAsia="Arial" w:hAnsi="Arial"/>
                <w:sz w:val="16"/>
                <w:szCs w:val="16"/>
                <w:b w:val="1"/>
                <w:bCs w:val="1"/>
                <w:color w:val="1414D2"/>
              </w:rPr>
              <w:t>Executive Summary</w:t>
            </w:r>
          </w:p>
        </w:tc>
        <w:tc>
          <w:tcPr>
            <w:tcW w:w="6720" w:type="dxa"/>
            <w:vAlign w:val="bottom"/>
            <w:gridSpan w:val="8"/>
          </w:tcPr>
          <w:p>
            <w:pPr>
              <w:spacing w:after="0"/>
              <w:rPr>
                <w:sz w:val="16"/>
                <w:szCs w:val="16"/>
                <w:color w:val="auto"/>
              </w:rPr>
            </w:pPr>
          </w:p>
        </w:tc>
        <w:tc>
          <w:tcPr>
            <w:tcW w:w="1060" w:type="dxa"/>
            <w:vAlign w:val="bottom"/>
          </w:tcPr>
          <w:p>
            <w:pPr>
              <w:jc w:val="center"/>
              <w:ind w:left="719"/>
              <w:spacing w:after="0"/>
              <w:rPr>
                <w:sz w:val="20"/>
                <w:szCs w:val="20"/>
                <w:color w:val="auto"/>
              </w:rPr>
            </w:pPr>
            <w:r>
              <w:rPr>
                <w:rFonts w:ascii="Arial" w:cs="Arial" w:eastAsia="Arial" w:hAnsi="Arial"/>
                <w:sz w:val="16"/>
                <w:szCs w:val="16"/>
                <w:b w:val="1"/>
                <w:bCs w:val="1"/>
                <w:color w:val="1414D2"/>
              </w:rPr>
              <w:t>77</w:t>
            </w:r>
          </w:p>
        </w:tc>
      </w:tr>
      <w:tr>
        <w:trPr>
          <w:trHeight w:val="358"/>
        </w:trPr>
        <w:tc>
          <w:tcPr>
            <w:tcW w:w="2500" w:type="dxa"/>
            <w:vAlign w:val="bottom"/>
            <w:tcBorders>
              <w:bottom w:val="single" w:sz="8" w:color="1414D2"/>
            </w:tcBorders>
            <w:gridSpan w:val="2"/>
          </w:tcPr>
          <w:p>
            <w:pPr>
              <w:spacing w:after="0"/>
              <w:rPr>
                <w:sz w:val="20"/>
                <w:szCs w:val="20"/>
                <w:color w:val="auto"/>
              </w:rPr>
            </w:pPr>
            <w:r>
              <w:rPr>
                <w:rFonts w:ascii="Arial" w:cs="Arial" w:eastAsia="Arial" w:hAnsi="Arial"/>
                <w:sz w:val="16"/>
                <w:szCs w:val="16"/>
                <w:b w:val="1"/>
                <w:bCs w:val="1"/>
                <w:color w:val="1414D2"/>
              </w:rPr>
              <w:t>Company Performance Update</w:t>
            </w:r>
          </w:p>
        </w:tc>
        <w:tc>
          <w:tcPr>
            <w:tcW w:w="5820" w:type="dxa"/>
            <w:vAlign w:val="bottom"/>
            <w:gridSpan w:val="7"/>
          </w:tcPr>
          <w:p>
            <w:pPr>
              <w:spacing w:after="0"/>
              <w:rPr>
                <w:sz w:val="24"/>
                <w:szCs w:val="24"/>
                <w:color w:val="auto"/>
              </w:rPr>
            </w:pPr>
          </w:p>
        </w:tc>
        <w:tc>
          <w:tcPr>
            <w:tcW w:w="1060" w:type="dxa"/>
            <w:vAlign w:val="bottom"/>
          </w:tcPr>
          <w:p>
            <w:pPr>
              <w:jc w:val="center"/>
              <w:ind w:left="719"/>
              <w:spacing w:after="0"/>
              <w:rPr>
                <w:sz w:val="20"/>
                <w:szCs w:val="20"/>
                <w:color w:val="auto"/>
              </w:rPr>
            </w:pPr>
            <w:r>
              <w:rPr>
                <w:rFonts w:ascii="Arial" w:cs="Arial" w:eastAsia="Arial" w:hAnsi="Arial"/>
                <w:sz w:val="16"/>
                <w:szCs w:val="16"/>
                <w:b w:val="1"/>
                <w:bCs w:val="1"/>
                <w:color w:val="1414D2"/>
              </w:rPr>
              <w:t>81</w:t>
            </w:r>
          </w:p>
        </w:tc>
      </w:tr>
      <w:tr>
        <w:trPr>
          <w:trHeight w:val="358"/>
        </w:trPr>
        <w:tc>
          <w:tcPr>
            <w:tcW w:w="8320" w:type="dxa"/>
            <w:vAlign w:val="bottom"/>
            <w:gridSpan w:val="9"/>
          </w:tcPr>
          <w:p>
            <w:pPr>
              <w:spacing w:after="0"/>
              <w:rPr>
                <w:sz w:val="20"/>
                <w:szCs w:val="20"/>
                <w:color w:val="auto"/>
              </w:rPr>
            </w:pPr>
            <w:r>
              <w:rPr>
                <w:rFonts w:ascii="Arial" w:cs="Arial" w:eastAsia="Arial" w:hAnsi="Arial"/>
                <w:sz w:val="16"/>
                <w:szCs w:val="16"/>
                <w:b w:val="1"/>
                <w:bCs w:val="1"/>
                <w:color w:val="1414D2"/>
              </w:rPr>
              <w:t>Executive Compensation Program Overview</w:t>
            </w:r>
          </w:p>
        </w:tc>
        <w:tc>
          <w:tcPr>
            <w:tcW w:w="1060" w:type="dxa"/>
            <w:vAlign w:val="bottom"/>
          </w:tcPr>
          <w:p>
            <w:pPr>
              <w:jc w:val="center"/>
              <w:ind w:left="719"/>
              <w:spacing w:after="0"/>
              <w:rPr>
                <w:sz w:val="20"/>
                <w:szCs w:val="20"/>
                <w:color w:val="auto"/>
              </w:rPr>
            </w:pPr>
            <w:r>
              <w:rPr>
                <w:rFonts w:ascii="Arial" w:cs="Arial" w:eastAsia="Arial" w:hAnsi="Arial"/>
                <w:sz w:val="16"/>
                <w:szCs w:val="16"/>
                <w:b w:val="1"/>
                <w:bCs w:val="1"/>
                <w:color w:val="1414D2"/>
              </w:rPr>
              <w:t>83</w:t>
            </w:r>
          </w:p>
        </w:tc>
      </w:tr>
      <w:tr>
        <w:trPr>
          <w:trHeight w:val="20"/>
        </w:trPr>
        <w:tc>
          <w:tcPr>
            <w:tcW w:w="2720" w:type="dxa"/>
            <w:vAlign w:val="bottom"/>
            <w:gridSpan w:val="3"/>
            <w:shd w:val="clear" w:color="auto" w:fill="1414D2"/>
          </w:tcPr>
          <w:p>
            <w:pPr>
              <w:spacing w:after="0" w:line="20" w:lineRule="exact"/>
              <w:rPr>
                <w:sz w:val="1"/>
                <w:szCs w:val="1"/>
                <w:color w:val="auto"/>
              </w:rPr>
            </w:pPr>
          </w:p>
        </w:tc>
        <w:tc>
          <w:tcPr>
            <w:tcW w:w="200" w:type="dxa"/>
            <w:vAlign w:val="bottom"/>
            <w:shd w:val="clear" w:color="auto" w:fill="1414D2"/>
          </w:tcPr>
          <w:p>
            <w:pPr>
              <w:spacing w:after="0" w:line="20" w:lineRule="exact"/>
              <w:rPr>
                <w:sz w:val="1"/>
                <w:szCs w:val="1"/>
                <w:color w:val="auto"/>
              </w:rPr>
            </w:pPr>
          </w:p>
        </w:tc>
        <w:tc>
          <w:tcPr>
            <w:tcW w:w="620" w:type="dxa"/>
            <w:vAlign w:val="bottom"/>
            <w:shd w:val="clear" w:color="auto" w:fill="1414D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358"/>
        </w:trPr>
        <w:tc>
          <w:tcPr>
            <w:tcW w:w="8320" w:type="dxa"/>
            <w:vAlign w:val="bottom"/>
            <w:gridSpan w:val="9"/>
          </w:tcPr>
          <w:p>
            <w:pPr>
              <w:spacing w:after="0"/>
              <w:rPr>
                <w:sz w:val="20"/>
                <w:szCs w:val="20"/>
                <w:color w:val="auto"/>
              </w:rPr>
            </w:pPr>
            <w:r>
              <w:rPr>
                <w:rFonts w:ascii="Arial" w:cs="Arial" w:eastAsia="Arial" w:hAnsi="Arial"/>
                <w:sz w:val="16"/>
                <w:szCs w:val="16"/>
                <w:b w:val="1"/>
                <w:bCs w:val="1"/>
                <w:color w:val="1414D2"/>
              </w:rPr>
              <w:t>Executive Compensation Setting Governance and Process</w:t>
            </w:r>
          </w:p>
        </w:tc>
        <w:tc>
          <w:tcPr>
            <w:tcW w:w="1060" w:type="dxa"/>
            <w:vAlign w:val="bottom"/>
          </w:tcPr>
          <w:p>
            <w:pPr>
              <w:jc w:val="center"/>
              <w:ind w:left="719"/>
              <w:spacing w:after="0"/>
              <w:rPr>
                <w:sz w:val="20"/>
                <w:szCs w:val="20"/>
                <w:color w:val="auto"/>
              </w:rPr>
            </w:pPr>
            <w:r>
              <w:rPr>
                <w:rFonts w:ascii="Arial" w:cs="Arial" w:eastAsia="Arial" w:hAnsi="Arial"/>
                <w:sz w:val="16"/>
                <w:szCs w:val="16"/>
                <w:b w:val="1"/>
                <w:bCs w:val="1"/>
                <w:color w:val="1414D2"/>
              </w:rPr>
              <w:t>87</w:t>
            </w:r>
          </w:p>
        </w:tc>
      </w:tr>
      <w:tr>
        <w:trPr>
          <w:trHeight w:val="358"/>
        </w:trPr>
        <w:tc>
          <w:tcPr>
            <w:tcW w:w="4620" w:type="dxa"/>
            <w:vAlign w:val="bottom"/>
            <w:tcBorders>
              <w:top w:val="single" w:sz="8" w:color="1414D2"/>
            </w:tcBorders>
            <w:gridSpan w:val="7"/>
          </w:tcPr>
          <w:p>
            <w:pPr>
              <w:spacing w:after="0"/>
              <w:rPr>
                <w:sz w:val="20"/>
                <w:szCs w:val="20"/>
                <w:color w:val="auto"/>
              </w:rPr>
            </w:pPr>
            <w:r>
              <w:rPr>
                <w:rFonts w:ascii="Arial" w:cs="Arial" w:eastAsia="Arial" w:hAnsi="Arial"/>
                <w:sz w:val="16"/>
                <w:szCs w:val="16"/>
                <w:b w:val="1"/>
                <w:bCs w:val="1"/>
                <w:color w:val="1414D2"/>
              </w:rPr>
              <w:t>2025 Compensation Program Design</w:t>
            </w:r>
          </w:p>
        </w:tc>
        <w:tc>
          <w:tcPr>
            <w:tcW w:w="3700" w:type="dxa"/>
            <w:vAlign w:val="bottom"/>
            <w:gridSpan w:val="2"/>
          </w:tcPr>
          <w:p>
            <w:pPr>
              <w:spacing w:after="0"/>
              <w:rPr>
                <w:sz w:val="24"/>
                <w:szCs w:val="24"/>
                <w:color w:val="auto"/>
              </w:rPr>
            </w:pPr>
          </w:p>
        </w:tc>
        <w:tc>
          <w:tcPr>
            <w:tcW w:w="1060" w:type="dxa"/>
            <w:vAlign w:val="bottom"/>
          </w:tcPr>
          <w:p>
            <w:pPr>
              <w:jc w:val="center"/>
              <w:ind w:left="719"/>
              <w:spacing w:after="0"/>
              <w:rPr>
                <w:sz w:val="20"/>
                <w:szCs w:val="20"/>
                <w:color w:val="auto"/>
              </w:rPr>
            </w:pPr>
            <w:r>
              <w:rPr>
                <w:rFonts w:ascii="Arial" w:cs="Arial" w:eastAsia="Arial" w:hAnsi="Arial"/>
                <w:sz w:val="16"/>
                <w:szCs w:val="16"/>
                <w:b w:val="1"/>
                <w:bCs w:val="1"/>
                <w:color w:val="1414D2"/>
              </w:rPr>
              <w:t>93</w:t>
            </w:r>
          </w:p>
        </w:tc>
      </w:tr>
      <w:tr>
        <w:trPr>
          <w:trHeight w:val="20"/>
        </w:trPr>
        <w:tc>
          <w:tcPr>
            <w:tcW w:w="2720" w:type="dxa"/>
            <w:vAlign w:val="bottom"/>
            <w:gridSpan w:val="3"/>
            <w:shd w:val="clear" w:color="auto" w:fill="1414D2"/>
          </w:tcPr>
          <w:p>
            <w:pPr>
              <w:spacing w:after="0" w:line="20" w:lineRule="exact"/>
              <w:rPr>
                <w:sz w:val="1"/>
                <w:szCs w:val="1"/>
                <w:color w:val="auto"/>
              </w:rPr>
            </w:pPr>
          </w:p>
        </w:tc>
        <w:tc>
          <w:tcPr>
            <w:tcW w:w="200" w:type="dxa"/>
            <w:vAlign w:val="bottom"/>
            <w:shd w:val="clear" w:color="auto" w:fill="1414D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358"/>
        </w:trPr>
        <w:tc>
          <w:tcPr>
            <w:tcW w:w="8320" w:type="dxa"/>
            <w:vAlign w:val="bottom"/>
            <w:gridSpan w:val="9"/>
          </w:tcPr>
          <w:p>
            <w:pPr>
              <w:spacing w:after="0"/>
              <w:rPr>
                <w:sz w:val="20"/>
                <w:szCs w:val="20"/>
                <w:color w:val="auto"/>
              </w:rPr>
            </w:pPr>
            <w:r>
              <w:rPr>
                <w:rFonts w:ascii="Arial" w:cs="Arial" w:eastAsia="Arial" w:hAnsi="Arial"/>
                <w:sz w:val="16"/>
                <w:szCs w:val="16"/>
                <w:b w:val="1"/>
                <w:bCs w:val="1"/>
                <w:color w:val="1414D2"/>
              </w:rPr>
              <w:t>Other Elements of the Executive Compensation Program</w:t>
            </w:r>
          </w:p>
        </w:tc>
        <w:tc>
          <w:tcPr>
            <w:tcW w:w="1060" w:type="dxa"/>
            <w:vAlign w:val="bottom"/>
          </w:tcPr>
          <w:p>
            <w:pPr>
              <w:jc w:val="center"/>
              <w:ind w:left="699"/>
              <w:spacing w:after="0"/>
              <w:rPr>
                <w:sz w:val="20"/>
                <w:szCs w:val="20"/>
                <w:color w:val="auto"/>
              </w:rPr>
            </w:pPr>
            <w:r>
              <w:rPr>
                <w:rFonts w:ascii="Arial" w:cs="Arial" w:eastAsia="Arial" w:hAnsi="Arial"/>
                <w:sz w:val="16"/>
                <w:szCs w:val="16"/>
                <w:b w:val="1"/>
                <w:bCs w:val="1"/>
                <w:color w:val="1414D2"/>
              </w:rPr>
              <w:t>106</w:t>
            </w:r>
          </w:p>
        </w:tc>
      </w:tr>
      <w:tr>
        <w:trPr>
          <w:trHeight w:val="20"/>
        </w:trPr>
        <w:tc>
          <w:tcPr>
            <w:tcW w:w="2720" w:type="dxa"/>
            <w:vAlign w:val="bottom"/>
            <w:gridSpan w:val="3"/>
            <w:shd w:val="clear" w:color="auto" w:fill="1414D2"/>
          </w:tcPr>
          <w:p>
            <w:pPr>
              <w:spacing w:after="0" w:line="20" w:lineRule="exact"/>
              <w:rPr>
                <w:sz w:val="1"/>
                <w:szCs w:val="1"/>
                <w:color w:val="auto"/>
              </w:rPr>
            </w:pPr>
          </w:p>
        </w:tc>
        <w:tc>
          <w:tcPr>
            <w:tcW w:w="1840" w:type="dxa"/>
            <w:vAlign w:val="bottom"/>
            <w:gridSpan w:val="3"/>
            <w:shd w:val="clear" w:color="auto" w:fill="1414D2"/>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358"/>
        </w:trPr>
        <w:tc>
          <w:tcPr>
            <w:tcW w:w="8320" w:type="dxa"/>
            <w:vAlign w:val="bottom"/>
            <w:gridSpan w:val="9"/>
          </w:tcPr>
          <w:p>
            <w:pPr>
              <w:spacing w:after="0"/>
              <w:rPr>
                <w:sz w:val="20"/>
                <w:szCs w:val="20"/>
                <w:color w:val="auto"/>
              </w:rPr>
            </w:pPr>
            <w:r>
              <w:rPr>
                <w:rFonts w:ascii="Arial" w:cs="Arial" w:eastAsia="Arial" w:hAnsi="Arial"/>
                <w:sz w:val="16"/>
                <w:szCs w:val="16"/>
                <w:b w:val="1"/>
                <w:bCs w:val="1"/>
                <w:color w:val="1414D2"/>
              </w:rPr>
              <w:t>Signifcant Compensation Policies and Other Information Regarding Executive Compensation</w:t>
            </w:r>
          </w:p>
        </w:tc>
        <w:tc>
          <w:tcPr>
            <w:tcW w:w="1060" w:type="dxa"/>
            <w:vAlign w:val="bottom"/>
          </w:tcPr>
          <w:p>
            <w:pPr>
              <w:jc w:val="center"/>
              <w:ind w:left="699"/>
              <w:spacing w:after="0"/>
              <w:rPr>
                <w:sz w:val="20"/>
                <w:szCs w:val="20"/>
                <w:color w:val="auto"/>
              </w:rPr>
            </w:pPr>
            <w:r>
              <w:rPr>
                <w:rFonts w:ascii="Arial" w:cs="Arial" w:eastAsia="Arial" w:hAnsi="Arial"/>
                <w:sz w:val="16"/>
                <w:szCs w:val="16"/>
                <w:b w:val="1"/>
                <w:bCs w:val="1"/>
                <w:color w:val="1414D2"/>
              </w:rPr>
              <w:t>108</w:t>
            </w:r>
          </w:p>
        </w:tc>
      </w:tr>
      <w:tr>
        <w:trPr>
          <w:trHeight w:val="358"/>
        </w:trPr>
        <w:tc>
          <w:tcPr>
            <w:tcW w:w="2720" w:type="dxa"/>
            <w:vAlign w:val="bottom"/>
            <w:tcBorders>
              <w:top w:val="single" w:sz="8" w:color="1414D2"/>
              <w:bottom w:val="single" w:sz="8" w:color="1414D2"/>
            </w:tcBorders>
            <w:gridSpan w:val="3"/>
          </w:tcPr>
          <w:p>
            <w:pPr>
              <w:spacing w:after="0"/>
              <w:rPr>
                <w:sz w:val="20"/>
                <w:szCs w:val="20"/>
                <w:color w:val="auto"/>
              </w:rPr>
            </w:pPr>
            <w:r>
              <w:rPr>
                <w:rFonts w:ascii="Arial" w:cs="Arial" w:eastAsia="Arial" w:hAnsi="Arial"/>
                <w:sz w:val="16"/>
                <w:szCs w:val="16"/>
                <w:b w:val="1"/>
                <w:bCs w:val="1"/>
                <w:color w:val="1414D2"/>
              </w:rPr>
              <w:t>Compensation Committee Report</w:t>
            </w:r>
          </w:p>
        </w:tc>
        <w:tc>
          <w:tcPr>
            <w:tcW w:w="4820" w:type="dxa"/>
            <w:vAlign w:val="bottom"/>
            <w:tcBorders>
              <w:top w:val="single" w:sz="8" w:color="1414D2"/>
            </w:tcBorders>
            <w:gridSpan w:val="5"/>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jc w:val="center"/>
              <w:ind w:left="699"/>
              <w:spacing w:after="0"/>
              <w:rPr>
                <w:sz w:val="20"/>
                <w:szCs w:val="20"/>
                <w:color w:val="auto"/>
              </w:rPr>
            </w:pPr>
            <w:r>
              <w:rPr>
                <w:rFonts w:ascii="Arial" w:cs="Arial" w:eastAsia="Arial" w:hAnsi="Arial"/>
                <w:sz w:val="16"/>
                <w:szCs w:val="16"/>
                <w:b w:val="1"/>
                <w:bCs w:val="1"/>
                <w:color w:val="1414D2"/>
              </w:rPr>
              <w:t>110</w:t>
            </w:r>
          </w:p>
        </w:tc>
      </w:tr>
    </w:tbl>
    <w:p>
      <w:pPr>
        <w:spacing w:after="0" w:line="200" w:lineRule="exact"/>
        <w:rPr>
          <w:sz w:val="20"/>
          <w:szCs w:val="20"/>
          <w:color w:val="auto"/>
        </w:rPr>
      </w:pPr>
    </w:p>
    <w:p>
      <w:pPr>
        <w:sectPr>
          <w:pgSz w:w="11900" w:h="16838" w:orient="portrait"/>
          <w:cols w:equalWidth="0" w:num="1">
            <w:col w:w="9380"/>
          </w:cols>
          <w:pgMar w:left="1080" w:top="695"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right"/>
        <w:ind w:right="7380"/>
        <w:spacing w:after="0"/>
        <w:rPr>
          <w:sz w:val="20"/>
          <w:szCs w:val="20"/>
          <w:color w:val="auto"/>
        </w:rPr>
      </w:pPr>
      <w:r>
        <w:rPr>
          <w:rFonts w:ascii="Arial" w:cs="Arial" w:eastAsia="Arial" w:hAnsi="Arial"/>
          <w:sz w:val="16"/>
          <w:szCs w:val="16"/>
          <w:color w:val="auto"/>
        </w:rPr>
        <w:t>​​2026​  Proxy</w:t>
      </w:r>
    </w:p>
    <w:p>
      <w:pPr>
        <w:spacing w:after="0" w:line="5" w:lineRule="exact"/>
        <w:rPr>
          <w:sz w:val="20"/>
          <w:szCs w:val="20"/>
          <w:color w:val="auto"/>
        </w:rPr>
      </w:pPr>
    </w:p>
    <w:p>
      <w:pPr>
        <w:ind w:left="660" w:hanging="656"/>
        <w:spacing w:after="0"/>
        <w:tabs>
          <w:tab w:leader="none" w:pos="660" w:val="left"/>
        </w:tabs>
        <w:numPr>
          <w:ilvl w:val="0"/>
          <w:numId w:val="83"/>
        </w:numPr>
        <w:rPr>
          <w:rFonts w:ascii="Arial" w:cs="Arial" w:eastAsia="Arial" w:hAnsi="Arial"/>
          <w:sz w:val="16"/>
          <w:szCs w:val="16"/>
          <w:b w:val="1"/>
          <w:bCs w:val="1"/>
          <w:color w:val="1414D2"/>
        </w:rPr>
      </w:pPr>
      <w:r>
        <w:rPr>
          <w:rFonts w:ascii="Arial" w:cs="Arial" w:eastAsia="Arial" w:hAnsi="Arial"/>
          <w:sz w:val="16"/>
          <w:szCs w:val="16"/>
          <w:color w:val="auto"/>
        </w:rPr>
        <w:t>Statement</w:t>
      </w:r>
    </w:p>
    <w:p>
      <w:pPr>
        <w:sectPr>
          <w:pgSz w:w="11900" w:h="16838" w:orient="portrait"/>
          <w:cols w:equalWidth="0" w:num="1">
            <w:col w:w="9380"/>
          </w:cols>
          <w:pgMar w:left="1080" w:top="695" w:right="1439" w:bottom="1440" w:gutter="0" w:footer="0" w:header="0"/>
          <w:type w:val="continuous"/>
        </w:sectPr>
      </w:pPr>
    </w:p>
    <w:bookmarkStart w:id="87" w:name="page88"/>
    <w:bookmarkEnd w:id="87"/>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27" w:lineRule="exact"/>
        <w:rPr>
          <w:sz w:val="20"/>
          <w:szCs w:val="20"/>
          <w:color w:val="auto"/>
        </w:rPr>
      </w:pPr>
    </w:p>
    <w:p>
      <w:pPr>
        <w:jc w:val="right"/>
        <w:spacing w:after="0"/>
        <w:rPr>
          <w:sz w:val="20"/>
          <w:szCs w:val="20"/>
          <w:color w:val="auto"/>
        </w:rPr>
      </w:pPr>
      <w:r>
        <w:rPr>
          <w:rFonts w:ascii="Arial" w:cs="Arial" w:eastAsia="Arial" w:hAnsi="Arial"/>
          <w:sz w:val="14"/>
          <w:szCs w:val="14"/>
          <w:color w:val="6D6F71"/>
        </w:rPr>
        <w:t>Compensation  Discussion  and  Analysis</w:t>
      </w:r>
    </w:p>
    <w:p>
      <w:pPr>
        <w:spacing w:after="0" w:line="223" w:lineRule="exact"/>
        <w:rPr>
          <w:sz w:val="20"/>
          <w:szCs w:val="20"/>
          <w:color w:val="auto"/>
        </w:rPr>
      </w:pPr>
    </w:p>
    <w:p>
      <w:pPr>
        <w:spacing w:after="0"/>
        <w:rPr>
          <w:sz w:val="20"/>
          <w:szCs w:val="20"/>
          <w:color w:val="auto"/>
        </w:rPr>
      </w:pPr>
      <w:r>
        <w:rPr>
          <w:rFonts w:ascii="Arial" w:cs="Arial" w:eastAsia="Arial" w:hAnsi="Arial"/>
          <w:sz w:val="25"/>
          <w:szCs w:val="25"/>
          <w:b w:val="1"/>
          <w:bCs w:val="1"/>
          <w:color w:val="1414D2"/>
        </w:rPr>
        <w:t>Executive Summary</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INTRODUCTION</w:t>
      </w:r>
    </w:p>
    <w:p>
      <w:pPr>
        <w:spacing w:after="0" w:line="127" w:lineRule="exact"/>
        <w:rPr>
          <w:sz w:val="20"/>
          <w:szCs w:val="20"/>
          <w:color w:val="auto"/>
        </w:rPr>
      </w:pPr>
    </w:p>
    <w:p>
      <w:pPr>
        <w:ind w:right="120"/>
        <w:spacing w:after="0" w:line="250" w:lineRule="auto"/>
        <w:rPr>
          <w:sz w:val="20"/>
          <w:szCs w:val="20"/>
          <w:color w:val="auto"/>
        </w:rPr>
      </w:pPr>
      <w:r>
        <w:rPr>
          <w:rFonts w:ascii="Arial" w:cs="Arial" w:eastAsia="Arial" w:hAnsi="Arial"/>
          <w:sz w:val="16"/>
          <w:szCs w:val="16"/>
          <w:color w:val="auto"/>
        </w:rPr>
        <w:t>At United, our shared purpose of “Connecting People. Uniting the World” drives our decision making, supported by our Core4 standards (we are safe, then caring, dependable and efcient). The Compensation Committee of the Board (referred to as the “Committee” throughout the “Executive Compensation” section of the Proxy Statement) oversees the design of our executive compensation program to promote achievement of fnancial goals and other business objectives that further the realization of</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our  shared  purpose.</w:t>
      </w:r>
    </w:p>
    <w:p>
      <w:pPr>
        <w:spacing w:after="0" w:line="113" w:lineRule="exact"/>
        <w:rPr>
          <w:sz w:val="20"/>
          <w:szCs w:val="20"/>
          <w:color w:val="auto"/>
        </w:rPr>
      </w:pPr>
    </w:p>
    <w:p>
      <w:pPr>
        <w:ind w:right="280"/>
        <w:spacing w:after="0" w:line="279" w:lineRule="auto"/>
        <w:rPr>
          <w:sz w:val="20"/>
          <w:szCs w:val="20"/>
          <w:color w:val="auto"/>
        </w:rPr>
      </w:pPr>
      <w:r>
        <w:rPr>
          <w:rFonts w:ascii="Arial" w:cs="Arial" w:eastAsia="Arial" w:hAnsi="Arial"/>
          <w:sz w:val="16"/>
          <w:szCs w:val="16"/>
          <w:color w:val="auto"/>
        </w:rPr>
        <w:t>This Compensation Discussion and Analysis describes and analyzes the material elements of our executive compensation program, including our executive compensation policies and practices and the corresponding pay decisions, as they apply to our executive ofcers, including our NEOs as defned under SEC regulations, for fscal year 2025:</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480" w:type="dxa"/>
            <w:vAlign w:val="bottom"/>
            <w:tcBorders>
              <w:top w:val="single" w:sz="8" w:color="1414D2"/>
              <w:bottom w:val="single" w:sz="8" w:color="F2F2F2"/>
            </w:tcBorders>
            <w:shd w:val="clear" w:color="auto" w:fill="F2F2F2"/>
          </w:tcPr>
          <w:p>
            <w:pPr>
              <w:ind w:left="140"/>
              <w:spacing w:after="0"/>
              <w:rPr>
                <w:sz w:val="20"/>
                <w:szCs w:val="20"/>
                <w:color w:val="auto"/>
              </w:rPr>
            </w:pPr>
            <w:r>
              <w:rPr>
                <w:rFonts w:ascii="Arial" w:cs="Arial" w:eastAsia="Arial" w:hAnsi="Arial"/>
                <w:sz w:val="14"/>
                <w:szCs w:val="14"/>
                <w:b w:val="1"/>
                <w:bCs w:val="1"/>
                <w:color w:val="auto"/>
              </w:rPr>
              <w:t>Named Executive Ofcers</w:t>
            </w:r>
          </w:p>
        </w:tc>
        <w:tc>
          <w:tcPr>
            <w:tcW w:w="6240" w:type="dxa"/>
            <w:vAlign w:val="bottom"/>
            <w:tcBorders>
              <w:top w:val="single" w:sz="8" w:color="1414D2"/>
              <w:bottom w:val="single" w:sz="8" w:color="F2F2F2"/>
            </w:tcBorders>
            <w:shd w:val="clear" w:color="auto" w:fill="F2F2F2"/>
          </w:tcPr>
          <w:p>
            <w:pPr>
              <w:ind w:left="1520"/>
              <w:spacing w:after="0"/>
              <w:rPr>
                <w:sz w:val="20"/>
                <w:szCs w:val="20"/>
                <w:color w:val="auto"/>
              </w:rPr>
            </w:pPr>
            <w:r>
              <w:rPr>
                <w:rFonts w:ascii="Arial" w:cs="Arial" w:eastAsia="Arial" w:hAnsi="Arial"/>
                <w:sz w:val="14"/>
                <w:szCs w:val="14"/>
                <w:b w:val="1"/>
                <w:bCs w:val="1"/>
                <w:color w:val="auto"/>
              </w:rPr>
              <w:t>Position</w:t>
            </w:r>
          </w:p>
        </w:tc>
      </w:tr>
      <w:tr>
        <w:trPr>
          <w:trHeight w:val="238"/>
        </w:trPr>
        <w:tc>
          <w:tcPr>
            <w:tcW w:w="3480" w:type="dxa"/>
            <w:vAlign w:val="bottom"/>
          </w:tcPr>
          <w:p>
            <w:pPr>
              <w:ind w:left="100"/>
              <w:spacing w:after="0"/>
              <w:rPr>
                <w:sz w:val="20"/>
                <w:szCs w:val="20"/>
                <w:color w:val="auto"/>
              </w:rPr>
            </w:pPr>
            <w:r>
              <w:rPr>
                <w:rFonts w:ascii="Arial" w:cs="Arial" w:eastAsia="Arial" w:hAnsi="Arial"/>
                <w:sz w:val="16"/>
                <w:szCs w:val="16"/>
                <w:b w:val="1"/>
                <w:bCs w:val="1"/>
                <w:color w:val="1414D2"/>
              </w:rPr>
              <w:t>Scott Kirby</w:t>
            </w:r>
          </w:p>
        </w:tc>
        <w:tc>
          <w:tcPr>
            <w:tcW w:w="6240" w:type="dxa"/>
            <w:vAlign w:val="bottom"/>
          </w:tcPr>
          <w:p>
            <w:pPr>
              <w:ind w:left="1480"/>
              <w:spacing w:after="0"/>
              <w:rPr>
                <w:sz w:val="20"/>
                <w:szCs w:val="20"/>
                <w:color w:val="auto"/>
              </w:rPr>
            </w:pPr>
            <w:r>
              <w:rPr>
                <w:rFonts w:ascii="Arial" w:cs="Arial" w:eastAsia="Arial" w:hAnsi="Arial"/>
                <w:sz w:val="14"/>
                <w:szCs w:val="14"/>
                <w:color w:val="auto"/>
              </w:rPr>
              <w:t>Chief  Executive  Ofcer</w:t>
            </w:r>
          </w:p>
        </w:tc>
      </w:tr>
      <w:tr>
        <w:trPr>
          <w:trHeight w:val="33"/>
        </w:trPr>
        <w:tc>
          <w:tcPr>
            <w:tcW w:w="3480" w:type="dxa"/>
            <w:vAlign w:val="bottom"/>
            <w:tcBorders>
              <w:bottom w:val="single" w:sz="8" w:color="808080"/>
            </w:tcBorders>
          </w:tcPr>
          <w:p>
            <w:pPr>
              <w:spacing w:after="0"/>
              <w:rPr>
                <w:sz w:val="2"/>
                <w:szCs w:val="2"/>
                <w:color w:val="auto"/>
              </w:rPr>
            </w:pPr>
          </w:p>
        </w:tc>
        <w:tc>
          <w:tcPr>
            <w:tcW w:w="6240" w:type="dxa"/>
            <w:vAlign w:val="bottom"/>
            <w:tcBorders>
              <w:bottom w:val="single" w:sz="8" w:color="808080"/>
            </w:tcBorders>
          </w:tcPr>
          <w:p>
            <w:pPr>
              <w:spacing w:after="0"/>
              <w:rPr>
                <w:sz w:val="2"/>
                <w:szCs w:val="2"/>
                <w:color w:val="auto"/>
              </w:rPr>
            </w:pPr>
          </w:p>
        </w:tc>
      </w:tr>
      <w:tr>
        <w:trPr>
          <w:trHeight w:val="231"/>
        </w:trPr>
        <w:tc>
          <w:tcPr>
            <w:tcW w:w="3480" w:type="dxa"/>
            <w:vAlign w:val="bottom"/>
          </w:tcPr>
          <w:p>
            <w:pPr>
              <w:ind w:left="100"/>
              <w:spacing w:after="0"/>
              <w:rPr>
                <w:sz w:val="20"/>
                <w:szCs w:val="20"/>
                <w:color w:val="auto"/>
              </w:rPr>
            </w:pPr>
            <w:r>
              <w:rPr>
                <w:rFonts w:ascii="Arial" w:cs="Arial" w:eastAsia="Arial" w:hAnsi="Arial"/>
                <w:sz w:val="16"/>
                <w:szCs w:val="16"/>
                <w:b w:val="1"/>
                <w:bCs w:val="1"/>
                <w:color w:val="1414D2"/>
              </w:rPr>
              <w:t>Brett Hart</w:t>
            </w:r>
          </w:p>
        </w:tc>
        <w:tc>
          <w:tcPr>
            <w:tcW w:w="6240" w:type="dxa"/>
            <w:vAlign w:val="bottom"/>
          </w:tcPr>
          <w:p>
            <w:pPr>
              <w:ind w:left="1480"/>
              <w:spacing w:after="0"/>
              <w:rPr>
                <w:sz w:val="20"/>
                <w:szCs w:val="20"/>
                <w:color w:val="auto"/>
              </w:rPr>
            </w:pPr>
            <w:r>
              <w:rPr>
                <w:rFonts w:ascii="Arial" w:cs="Arial" w:eastAsia="Arial" w:hAnsi="Arial"/>
                <w:sz w:val="14"/>
                <w:szCs w:val="14"/>
                <w:color w:val="auto"/>
              </w:rPr>
              <w:t>President</w:t>
            </w:r>
          </w:p>
        </w:tc>
      </w:tr>
      <w:tr>
        <w:trPr>
          <w:trHeight w:val="33"/>
        </w:trPr>
        <w:tc>
          <w:tcPr>
            <w:tcW w:w="3480" w:type="dxa"/>
            <w:vAlign w:val="bottom"/>
            <w:tcBorders>
              <w:bottom w:val="single" w:sz="8" w:color="808080"/>
            </w:tcBorders>
          </w:tcPr>
          <w:p>
            <w:pPr>
              <w:spacing w:after="0"/>
              <w:rPr>
                <w:sz w:val="2"/>
                <w:szCs w:val="2"/>
                <w:color w:val="auto"/>
              </w:rPr>
            </w:pPr>
          </w:p>
        </w:tc>
        <w:tc>
          <w:tcPr>
            <w:tcW w:w="6240" w:type="dxa"/>
            <w:vAlign w:val="bottom"/>
            <w:tcBorders>
              <w:bottom w:val="single" w:sz="8" w:color="808080"/>
            </w:tcBorders>
          </w:tcPr>
          <w:p>
            <w:pPr>
              <w:spacing w:after="0"/>
              <w:rPr>
                <w:sz w:val="2"/>
                <w:szCs w:val="2"/>
                <w:color w:val="auto"/>
              </w:rPr>
            </w:pPr>
          </w:p>
        </w:tc>
      </w:tr>
      <w:tr>
        <w:trPr>
          <w:trHeight w:val="231"/>
        </w:trPr>
        <w:tc>
          <w:tcPr>
            <w:tcW w:w="3480" w:type="dxa"/>
            <w:vAlign w:val="bottom"/>
          </w:tcPr>
          <w:p>
            <w:pPr>
              <w:ind w:left="100"/>
              <w:spacing w:after="0"/>
              <w:rPr>
                <w:sz w:val="20"/>
                <w:szCs w:val="20"/>
                <w:color w:val="auto"/>
              </w:rPr>
            </w:pPr>
            <w:r>
              <w:rPr>
                <w:rFonts w:ascii="Arial" w:cs="Arial" w:eastAsia="Arial" w:hAnsi="Arial"/>
                <w:sz w:val="16"/>
                <w:szCs w:val="16"/>
                <w:b w:val="1"/>
                <w:bCs w:val="1"/>
                <w:color w:val="1414D2"/>
              </w:rPr>
              <w:t>Torbjorn Enqvist</w:t>
            </w:r>
          </w:p>
        </w:tc>
        <w:tc>
          <w:tcPr>
            <w:tcW w:w="6240" w:type="dxa"/>
            <w:vAlign w:val="bottom"/>
          </w:tcPr>
          <w:p>
            <w:pPr>
              <w:ind w:left="1480"/>
              <w:spacing w:after="0"/>
              <w:rPr>
                <w:sz w:val="20"/>
                <w:szCs w:val="20"/>
                <w:color w:val="auto"/>
              </w:rPr>
            </w:pPr>
            <w:r>
              <w:rPr>
                <w:rFonts w:ascii="Arial" w:cs="Arial" w:eastAsia="Arial" w:hAnsi="Arial"/>
                <w:sz w:val="14"/>
                <w:szCs w:val="14"/>
                <w:color w:val="auto"/>
              </w:rPr>
              <w:t>Executive  Vice  President  and  Chief  Operations  Ofcer</w:t>
            </w:r>
          </w:p>
        </w:tc>
      </w:tr>
      <w:tr>
        <w:trPr>
          <w:trHeight w:val="33"/>
        </w:trPr>
        <w:tc>
          <w:tcPr>
            <w:tcW w:w="3480" w:type="dxa"/>
            <w:vAlign w:val="bottom"/>
            <w:tcBorders>
              <w:bottom w:val="single" w:sz="8" w:color="808080"/>
            </w:tcBorders>
          </w:tcPr>
          <w:p>
            <w:pPr>
              <w:spacing w:after="0"/>
              <w:rPr>
                <w:sz w:val="2"/>
                <w:szCs w:val="2"/>
                <w:color w:val="auto"/>
              </w:rPr>
            </w:pPr>
          </w:p>
        </w:tc>
        <w:tc>
          <w:tcPr>
            <w:tcW w:w="6240" w:type="dxa"/>
            <w:vAlign w:val="bottom"/>
            <w:tcBorders>
              <w:bottom w:val="single" w:sz="8" w:color="808080"/>
            </w:tcBorders>
          </w:tcPr>
          <w:p>
            <w:pPr>
              <w:spacing w:after="0"/>
              <w:rPr>
                <w:sz w:val="2"/>
                <w:szCs w:val="2"/>
                <w:color w:val="auto"/>
              </w:rPr>
            </w:pPr>
          </w:p>
        </w:tc>
      </w:tr>
      <w:tr>
        <w:trPr>
          <w:trHeight w:val="231"/>
        </w:trPr>
        <w:tc>
          <w:tcPr>
            <w:tcW w:w="3480" w:type="dxa"/>
            <w:vAlign w:val="bottom"/>
          </w:tcPr>
          <w:p>
            <w:pPr>
              <w:ind w:left="100"/>
              <w:spacing w:after="0"/>
              <w:rPr>
                <w:sz w:val="20"/>
                <w:szCs w:val="20"/>
                <w:color w:val="auto"/>
              </w:rPr>
            </w:pPr>
            <w:r>
              <w:rPr>
                <w:rFonts w:ascii="Arial" w:cs="Arial" w:eastAsia="Arial" w:hAnsi="Arial"/>
                <w:sz w:val="16"/>
                <w:szCs w:val="16"/>
                <w:b w:val="1"/>
                <w:bCs w:val="1"/>
                <w:color w:val="1414D2"/>
              </w:rPr>
              <w:t>Andrew Nocella</w:t>
            </w:r>
          </w:p>
        </w:tc>
        <w:tc>
          <w:tcPr>
            <w:tcW w:w="6240" w:type="dxa"/>
            <w:vAlign w:val="bottom"/>
          </w:tcPr>
          <w:p>
            <w:pPr>
              <w:ind w:left="1480"/>
              <w:spacing w:after="0"/>
              <w:rPr>
                <w:sz w:val="20"/>
                <w:szCs w:val="20"/>
                <w:color w:val="auto"/>
              </w:rPr>
            </w:pPr>
            <w:r>
              <w:rPr>
                <w:rFonts w:ascii="Arial" w:cs="Arial" w:eastAsia="Arial" w:hAnsi="Arial"/>
                <w:sz w:val="14"/>
                <w:szCs w:val="14"/>
                <w:color w:val="auto"/>
              </w:rPr>
              <w:t>Executive  Vice  President  and  Chief  Commercial  Ofcer</w:t>
            </w:r>
          </w:p>
        </w:tc>
      </w:tr>
      <w:tr>
        <w:trPr>
          <w:trHeight w:val="33"/>
        </w:trPr>
        <w:tc>
          <w:tcPr>
            <w:tcW w:w="3480" w:type="dxa"/>
            <w:vAlign w:val="bottom"/>
            <w:tcBorders>
              <w:bottom w:val="single" w:sz="8" w:color="808080"/>
            </w:tcBorders>
          </w:tcPr>
          <w:p>
            <w:pPr>
              <w:spacing w:after="0"/>
              <w:rPr>
                <w:sz w:val="2"/>
                <w:szCs w:val="2"/>
                <w:color w:val="auto"/>
              </w:rPr>
            </w:pPr>
          </w:p>
        </w:tc>
        <w:tc>
          <w:tcPr>
            <w:tcW w:w="6240" w:type="dxa"/>
            <w:vAlign w:val="bottom"/>
            <w:tcBorders>
              <w:bottom w:val="single" w:sz="8" w:color="808080"/>
            </w:tcBorders>
          </w:tcPr>
          <w:p>
            <w:pPr>
              <w:spacing w:after="0"/>
              <w:rPr>
                <w:sz w:val="2"/>
                <w:szCs w:val="2"/>
                <w:color w:val="auto"/>
              </w:rPr>
            </w:pPr>
          </w:p>
        </w:tc>
      </w:tr>
      <w:tr>
        <w:trPr>
          <w:trHeight w:val="231"/>
        </w:trPr>
        <w:tc>
          <w:tcPr>
            <w:tcW w:w="3480" w:type="dxa"/>
            <w:vAlign w:val="bottom"/>
          </w:tcPr>
          <w:p>
            <w:pPr>
              <w:ind w:left="100"/>
              <w:spacing w:after="0"/>
              <w:rPr>
                <w:sz w:val="20"/>
                <w:szCs w:val="20"/>
                <w:color w:val="auto"/>
              </w:rPr>
            </w:pPr>
            <w:r>
              <w:rPr>
                <w:rFonts w:ascii="Arial" w:cs="Arial" w:eastAsia="Arial" w:hAnsi="Arial"/>
                <w:sz w:val="16"/>
                <w:szCs w:val="16"/>
                <w:b w:val="1"/>
                <w:bCs w:val="1"/>
                <w:color w:val="1414D2"/>
              </w:rPr>
              <w:t>Michael Leskinen</w:t>
            </w:r>
          </w:p>
        </w:tc>
        <w:tc>
          <w:tcPr>
            <w:tcW w:w="6240" w:type="dxa"/>
            <w:vAlign w:val="bottom"/>
          </w:tcPr>
          <w:p>
            <w:pPr>
              <w:ind w:left="1480"/>
              <w:spacing w:after="0"/>
              <w:rPr>
                <w:sz w:val="20"/>
                <w:szCs w:val="20"/>
                <w:color w:val="auto"/>
              </w:rPr>
            </w:pPr>
            <w:r>
              <w:rPr>
                <w:rFonts w:ascii="Arial" w:cs="Arial" w:eastAsia="Arial" w:hAnsi="Arial"/>
                <w:sz w:val="14"/>
                <w:szCs w:val="14"/>
                <w:color w:val="auto"/>
              </w:rPr>
              <w:t>Executive  Vice  President  and  Chief  Financial  Ofcer</w:t>
            </w:r>
          </w:p>
        </w:tc>
      </w:tr>
      <w:tr>
        <w:trPr>
          <w:trHeight w:val="33"/>
        </w:trPr>
        <w:tc>
          <w:tcPr>
            <w:tcW w:w="3480" w:type="dxa"/>
            <w:vAlign w:val="bottom"/>
            <w:tcBorders>
              <w:bottom w:val="single" w:sz="8" w:color="808080"/>
            </w:tcBorders>
          </w:tcPr>
          <w:p>
            <w:pPr>
              <w:spacing w:after="0"/>
              <w:rPr>
                <w:sz w:val="2"/>
                <w:szCs w:val="2"/>
                <w:color w:val="auto"/>
              </w:rPr>
            </w:pPr>
          </w:p>
        </w:tc>
        <w:tc>
          <w:tcPr>
            <w:tcW w:w="6240" w:type="dxa"/>
            <w:vAlign w:val="bottom"/>
            <w:tcBorders>
              <w:bottom w:val="single" w:sz="8" w:color="808080"/>
            </w:tcBorders>
          </w:tcPr>
          <w:p>
            <w:pPr>
              <w:spacing w:after="0"/>
              <w:rPr>
                <w:sz w:val="2"/>
                <w:szCs w:val="2"/>
                <w:color w:val="auto"/>
              </w:rPr>
            </w:pPr>
          </w:p>
        </w:tc>
      </w:tr>
    </w:tbl>
    <w:p>
      <w:pPr>
        <w:spacing w:after="0" w:line="97" w:lineRule="exact"/>
        <w:rPr>
          <w:sz w:val="20"/>
          <w:szCs w:val="20"/>
          <w:color w:val="auto"/>
        </w:rPr>
      </w:pPr>
    </w:p>
    <w:p>
      <w:pPr>
        <w:ind w:right="80"/>
        <w:spacing w:after="0" w:line="255" w:lineRule="auto"/>
        <w:rPr>
          <w:sz w:val="20"/>
          <w:szCs w:val="20"/>
          <w:color w:val="auto"/>
        </w:rPr>
      </w:pPr>
      <w:r>
        <w:rPr>
          <w:rFonts w:ascii="Arial" w:cs="Arial" w:eastAsia="Arial" w:hAnsi="Arial"/>
          <w:sz w:val="16"/>
          <w:szCs w:val="16"/>
          <w:color w:val="auto"/>
        </w:rPr>
        <w:t>United’s executive compensation program is thoughtfully designed by the Committee to align with United’s long-term strategy. Over the years, we have evolved our executive compensation program while maintaining an overarching executive</w:t>
      </w:r>
    </w:p>
    <w:p>
      <w:pPr>
        <w:spacing w:after="0" w:line="1" w:lineRule="exact"/>
        <w:rPr>
          <w:sz w:val="20"/>
          <w:szCs w:val="20"/>
          <w:color w:val="auto"/>
        </w:rPr>
      </w:pPr>
    </w:p>
    <w:p>
      <w:pPr>
        <w:ind w:right="60"/>
        <w:spacing w:after="0" w:line="313" w:lineRule="auto"/>
        <w:rPr>
          <w:sz w:val="20"/>
          <w:szCs w:val="20"/>
          <w:color w:val="auto"/>
        </w:rPr>
      </w:pPr>
      <w:r>
        <w:rPr>
          <w:rFonts w:ascii="Arial" w:cs="Arial" w:eastAsia="Arial" w:hAnsi="Arial"/>
          <w:sz w:val="16"/>
          <w:szCs w:val="16"/>
          <w:color w:val="auto"/>
        </w:rPr>
        <w:t>compensation philosophy aimed at achieving strong alignment between our executives’ and our stockholders’ interests, linking pay to performance and attracting, retaining and appropriately rewarding our executives in line with market practice.</w:t>
      </w:r>
    </w:p>
    <w:p>
      <w:pPr>
        <w:spacing w:after="0" w:line="6" w:lineRule="exact"/>
        <w:rPr>
          <w:sz w:val="20"/>
          <w:szCs w:val="20"/>
          <w:color w:val="auto"/>
        </w:rPr>
      </w:pPr>
    </w:p>
    <w:p>
      <w:pPr>
        <w:ind w:right="580"/>
        <w:spacing w:after="0" w:line="313" w:lineRule="auto"/>
        <w:rPr>
          <w:sz w:val="20"/>
          <w:szCs w:val="20"/>
          <w:color w:val="auto"/>
        </w:rPr>
      </w:pPr>
      <w:r>
        <w:rPr>
          <w:rFonts w:ascii="Arial" w:cs="Arial" w:eastAsia="Arial" w:hAnsi="Arial"/>
          <w:sz w:val="16"/>
          <w:szCs w:val="16"/>
          <w:color w:val="auto"/>
        </w:rPr>
        <w:t>Each year, the Committee reviews the executive compensation program, taking into consideration stockholder feedback, business performance and United’s business strategy and goals.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2026  Proxy  Statement</w:t>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1414D2"/>
        </w:rPr>
        <w:t>77</w:t>
      </w:r>
    </w:p>
    <w:p>
      <w:pPr>
        <w:sectPr>
          <w:pgSz w:w="11900" w:h="16838" w:orient="portrait"/>
          <w:cols w:equalWidth="0" w:num="1">
            <w:col w:w="9720"/>
          </w:cols>
          <w:pgMar w:left="1080" w:top="695" w:right="1099" w:bottom="1440" w:gutter="0" w:footer="0" w:header="0"/>
        </w:sectPr>
      </w:pPr>
    </w:p>
    <w:bookmarkStart w:id="88" w:name="page89"/>
    <w:bookmarkEnd w:id="88"/>
    <w:p>
      <w:pPr>
        <w:ind w:left="93"/>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27" w:lineRule="exact"/>
        <w:rPr>
          <w:sz w:val="20"/>
          <w:szCs w:val="20"/>
          <w:color w:val="auto"/>
        </w:rPr>
      </w:pPr>
    </w:p>
    <w:p>
      <w:pPr>
        <w:ind w:left="93"/>
        <w:spacing w:after="0"/>
        <w:rPr>
          <w:sz w:val="20"/>
          <w:szCs w:val="20"/>
          <w:color w:val="auto"/>
        </w:rPr>
      </w:pPr>
      <w:r>
        <w:rPr>
          <w:rFonts w:ascii="Arial" w:cs="Arial" w:eastAsia="Arial" w:hAnsi="Arial"/>
          <w:sz w:val="14"/>
          <w:szCs w:val="14"/>
          <w:color w:val="6D6F71"/>
        </w:rPr>
        <w:t>Compensation  Discussion  and  Analysis</w:t>
      </w:r>
    </w:p>
    <w:p>
      <w:pPr>
        <w:spacing w:after="0" w:line="225" w:lineRule="exact"/>
        <w:rPr>
          <w:sz w:val="20"/>
          <w:szCs w:val="20"/>
          <w:color w:val="auto"/>
        </w:rPr>
      </w:pPr>
    </w:p>
    <w:p>
      <w:pPr>
        <w:ind w:left="93"/>
        <w:spacing w:after="0"/>
        <w:rPr>
          <w:sz w:val="20"/>
          <w:szCs w:val="20"/>
          <w:color w:val="auto"/>
        </w:rPr>
      </w:pPr>
      <w:r>
        <w:rPr>
          <w:rFonts w:ascii="Arial" w:cs="Arial" w:eastAsia="Arial" w:hAnsi="Arial"/>
          <w:sz w:val="16"/>
          <w:szCs w:val="16"/>
          <w:b w:val="1"/>
          <w:bCs w:val="1"/>
          <w:color w:val="auto"/>
        </w:rPr>
        <w:t>INCENTIVE COMPENSATION ELEMENTS</w:t>
      </w:r>
    </w:p>
    <w:p>
      <w:pPr>
        <w:spacing w:after="0" w:line="113" w:lineRule="exact"/>
        <w:rPr>
          <w:sz w:val="20"/>
          <w:szCs w:val="20"/>
          <w:color w:val="auto"/>
        </w:rPr>
      </w:pPr>
    </w:p>
    <w:p>
      <w:pPr>
        <w:ind w:left="93"/>
        <w:spacing w:after="0"/>
        <w:rPr>
          <w:sz w:val="20"/>
          <w:szCs w:val="20"/>
          <w:color w:val="auto"/>
        </w:rPr>
      </w:pPr>
      <w:r>
        <w:rPr>
          <w:rFonts w:ascii="Arial" w:cs="Arial" w:eastAsia="Arial" w:hAnsi="Arial"/>
          <w:sz w:val="15"/>
          <w:szCs w:val="15"/>
          <w:color w:val="auto"/>
        </w:rPr>
        <w:t>The  elements  of  our  2025  Program  were  as  follows:</w:t>
      </w:r>
    </w:p>
    <w:p>
      <w:pPr>
        <w:sectPr>
          <w:pgSz w:w="11900" w:h="16838" w:orient="portrait"/>
          <w:cols w:equalWidth="0" w:num="1">
            <w:col w:w="9813"/>
          </w:cols>
          <w:pgMar w:left="987" w:top="695"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197" w:type="dxa"/>
        <w:tblCellMar>
          <w:top w:w="0" w:type="dxa"/>
          <w:left w:w="0" w:type="dxa"/>
          <w:bottom w:w="0" w:type="dxa"/>
          <w:right w:w="0" w:type="dxa"/>
        </w:tblCellMar>
      </w:tblPr>
      <w:tr>
        <w:trPr>
          <w:trHeight w:val="540"/>
        </w:trPr>
        <w:tc>
          <w:tcPr>
            <w:tcW w:w="184" w:type="dxa"/>
            <w:vAlign w:val="bottom"/>
            <w:textDirection w:val="btLr"/>
          </w:tcPr>
          <w:p>
            <w:pPr>
              <w:spacing w:after="0"/>
              <w:rPr>
                <w:sz w:val="20"/>
                <w:szCs w:val="20"/>
                <w:color w:val="auto"/>
              </w:rPr>
            </w:pPr>
            <w:r>
              <w:rPr>
                <w:rFonts w:ascii="Arial" w:cs="Arial" w:eastAsia="Arial" w:hAnsi="Arial"/>
                <w:sz w:val="16"/>
                <w:szCs w:val="16"/>
                <w:b w:val="1"/>
                <w:bCs w:val="1"/>
                <w:color w:val="FFFFFF"/>
              </w:rPr>
              <w:t>FIXED</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600"/>
        </w:trPr>
        <w:tc>
          <w:tcPr>
            <w:tcW w:w="184" w:type="dxa"/>
            <w:vAlign w:val="bottom"/>
            <w:textDirection w:val="btLr"/>
          </w:tcPr>
          <w:p>
            <w:pPr>
              <w:spacing w:after="0"/>
              <w:rPr>
                <w:sz w:val="20"/>
                <w:szCs w:val="20"/>
                <w:color w:val="auto"/>
              </w:rPr>
            </w:pPr>
            <w:r>
              <w:rPr>
                <w:rFonts w:ascii="Arial" w:cs="Arial" w:eastAsia="Arial" w:hAnsi="Arial"/>
                <w:sz w:val="16"/>
                <w:szCs w:val="16"/>
                <w:b w:val="1"/>
                <w:bCs w:val="1"/>
                <w:color w:val="FFFFFF"/>
              </w:rPr>
              <w:t>ATRISK/PERFORMANCE-BASED</w:t>
            </w:r>
          </w:p>
        </w:tc>
      </w:tr>
    </w:tbl>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Pay Element</w:t>
      </w:r>
    </w:p>
    <w:p>
      <w:pPr>
        <w:spacing w:after="0" w:line="196"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auto"/>
        </w:rPr>
        <w:t>SALARY</w:t>
      </w:r>
    </w:p>
    <w:p>
      <w:pPr>
        <w:spacing w:after="0" w:line="94" w:lineRule="exact"/>
        <w:rPr>
          <w:sz w:val="20"/>
          <w:szCs w:val="20"/>
          <w:color w:val="auto"/>
        </w:rPr>
      </w:pPr>
    </w:p>
    <w:p>
      <w:pPr>
        <w:ind w:left="100" w:right="300"/>
        <w:spacing w:after="0" w:line="335" w:lineRule="auto"/>
        <w:rPr>
          <w:sz w:val="20"/>
          <w:szCs w:val="20"/>
          <w:color w:val="auto"/>
        </w:rPr>
      </w:pPr>
      <w:r>
        <w:rPr>
          <w:rFonts w:ascii="Arial" w:cs="Arial" w:eastAsia="Arial" w:hAnsi="Arial"/>
          <w:sz w:val="13"/>
          <w:szCs w:val="13"/>
          <w:color w:val="auto"/>
        </w:rPr>
        <w:t>Fixed cash compensation reviewed annually and adjusted as appropriate based on individual performance, level of responsibility, specialized qualifcations, experience, internal pay parity and pay levels of comparable positions within peer group.</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560" w:type="dxa"/>
            <w:vAlign w:val="bottom"/>
          </w:tcPr>
          <w:p>
            <w:pPr>
              <w:ind w:left="100"/>
              <w:spacing w:after="0"/>
              <w:rPr>
                <w:sz w:val="20"/>
                <w:szCs w:val="20"/>
                <w:color w:val="auto"/>
              </w:rPr>
            </w:pPr>
            <w:r>
              <w:rPr>
                <w:rFonts w:ascii="Arial" w:cs="Arial" w:eastAsia="Arial" w:hAnsi="Arial"/>
                <w:sz w:val="13"/>
                <w:szCs w:val="13"/>
                <w:b w:val="1"/>
                <w:bCs w:val="1"/>
                <w:color w:val="auto"/>
              </w:rPr>
              <w:t>2025 SHORT-TERM INCENTIVES</w:t>
            </w:r>
          </w:p>
        </w:tc>
        <w:tc>
          <w:tcPr>
            <w:tcW w:w="6720" w:type="dxa"/>
            <w:vAlign w:val="bottom"/>
          </w:tcPr>
          <w:p>
            <w:pPr>
              <w:ind w:left="900"/>
              <w:spacing w:after="0"/>
              <w:rPr>
                <w:sz w:val="20"/>
                <w:szCs w:val="20"/>
                <w:color w:val="auto"/>
              </w:rPr>
            </w:pPr>
            <w:r>
              <w:rPr>
                <w:rFonts w:ascii="Arial" w:cs="Arial" w:eastAsia="Arial" w:hAnsi="Arial"/>
                <w:sz w:val="13"/>
                <w:szCs w:val="13"/>
                <w:b w:val="1"/>
                <w:bCs w:val="1"/>
                <w:color w:val="auto"/>
              </w:rPr>
              <w:t>Financial (33%)—</w:t>
            </w:r>
            <w:r>
              <w:rPr>
                <w:rFonts w:ascii="Arial" w:cs="Arial" w:eastAsia="Arial" w:hAnsi="Arial"/>
                <w:sz w:val="13"/>
                <w:szCs w:val="13"/>
                <w:color w:val="auto"/>
              </w:rPr>
              <w:t>this  metric  is  based  on  our  Adjusted  EBITDAR  Margin  relative  to  our</w:t>
            </w:r>
          </w:p>
        </w:tc>
        <w:tc>
          <w:tcPr>
            <w:tcW w:w="0" w:type="dxa"/>
            <w:vAlign w:val="bottom"/>
          </w:tcPr>
          <w:p>
            <w:pPr>
              <w:spacing w:after="0"/>
              <w:rPr>
                <w:sz w:val="1"/>
                <w:szCs w:val="1"/>
                <w:color w:val="auto"/>
              </w:rPr>
            </w:pPr>
          </w:p>
        </w:tc>
      </w:tr>
      <w:tr>
        <w:trPr>
          <w:trHeight w:val="148"/>
        </w:trPr>
        <w:tc>
          <w:tcPr>
            <w:tcW w:w="2560" w:type="dxa"/>
            <w:vAlign w:val="bottom"/>
          </w:tcPr>
          <w:p>
            <w:pPr>
              <w:ind w:left="100"/>
              <w:spacing w:after="0"/>
              <w:rPr>
                <w:sz w:val="20"/>
                <w:szCs w:val="20"/>
                <w:color w:val="auto"/>
              </w:rPr>
            </w:pPr>
            <w:r>
              <w:rPr>
                <w:rFonts w:ascii="Arial" w:cs="Arial" w:eastAsia="Arial" w:hAnsi="Arial"/>
                <w:sz w:val="13"/>
                <w:szCs w:val="13"/>
                <w:b w:val="1"/>
                <w:bCs w:val="1"/>
                <w:color w:val="auto"/>
              </w:rPr>
              <w:t>(“STI”)</w:t>
            </w:r>
          </w:p>
        </w:tc>
        <w:tc>
          <w:tcPr>
            <w:tcW w:w="6720" w:type="dxa"/>
            <w:vAlign w:val="bottom"/>
          </w:tcPr>
          <w:p>
            <w:pPr>
              <w:ind w:left="900"/>
              <w:spacing w:after="0"/>
              <w:rPr>
                <w:sz w:val="20"/>
                <w:szCs w:val="20"/>
                <w:color w:val="auto"/>
              </w:rPr>
            </w:pPr>
            <w:r>
              <w:rPr>
                <w:rFonts w:ascii="Arial" w:cs="Arial" w:eastAsia="Arial" w:hAnsi="Arial"/>
                <w:sz w:val="13"/>
                <w:szCs w:val="13"/>
                <w:color w:val="auto"/>
              </w:rPr>
              <w:t>industry  peers  and  is  designed  to  focus  management  on  our  commitments  to  our</w:t>
            </w:r>
          </w:p>
        </w:tc>
        <w:tc>
          <w:tcPr>
            <w:tcW w:w="0" w:type="dxa"/>
            <w:vAlign w:val="bottom"/>
          </w:tcPr>
          <w:p>
            <w:pPr>
              <w:spacing w:after="0"/>
              <w:rPr>
                <w:sz w:val="1"/>
                <w:szCs w:val="1"/>
                <w:color w:val="auto"/>
              </w:rPr>
            </w:pPr>
          </w:p>
        </w:tc>
      </w:tr>
      <w:tr>
        <w:trPr>
          <w:trHeight w:val="196"/>
        </w:trPr>
        <w:tc>
          <w:tcPr>
            <w:tcW w:w="2560" w:type="dxa"/>
            <w:vAlign w:val="bottom"/>
            <w:vMerge w:val="restart"/>
          </w:tcPr>
          <w:p>
            <w:pPr>
              <w:ind w:left="100"/>
              <w:spacing w:after="0"/>
              <w:rPr>
                <w:sz w:val="20"/>
                <w:szCs w:val="20"/>
                <w:color w:val="auto"/>
              </w:rPr>
            </w:pPr>
            <w:r>
              <w:rPr>
                <w:rFonts w:ascii="Arial" w:cs="Arial" w:eastAsia="Arial" w:hAnsi="Arial"/>
                <w:sz w:val="13"/>
                <w:szCs w:val="13"/>
                <w:color w:val="auto"/>
              </w:rPr>
              <w:t>Cash  STI  award  earned  based  on</w:t>
            </w:r>
          </w:p>
        </w:tc>
        <w:tc>
          <w:tcPr>
            <w:tcW w:w="6720" w:type="dxa"/>
            <w:vAlign w:val="bottom"/>
          </w:tcPr>
          <w:p>
            <w:pPr>
              <w:ind w:left="900"/>
              <w:spacing w:after="0"/>
              <w:rPr>
                <w:sz w:val="20"/>
                <w:szCs w:val="20"/>
                <w:color w:val="auto"/>
              </w:rPr>
            </w:pPr>
            <w:r>
              <w:rPr>
                <w:rFonts w:ascii="Arial" w:cs="Arial" w:eastAsia="Arial" w:hAnsi="Arial"/>
                <w:sz w:val="13"/>
                <w:szCs w:val="13"/>
                <w:color w:val="auto"/>
              </w:rPr>
              <w:t>stockholders  to  achieve  earnings  growth.</w:t>
            </w:r>
          </w:p>
        </w:tc>
        <w:tc>
          <w:tcPr>
            <w:tcW w:w="0" w:type="dxa"/>
            <w:vAlign w:val="bottom"/>
          </w:tcPr>
          <w:p>
            <w:pPr>
              <w:spacing w:after="0"/>
              <w:rPr>
                <w:sz w:val="1"/>
                <w:szCs w:val="1"/>
                <w:color w:val="auto"/>
              </w:rPr>
            </w:pPr>
          </w:p>
        </w:tc>
      </w:tr>
      <w:tr>
        <w:trPr>
          <w:trHeight w:val="94"/>
        </w:trPr>
        <w:tc>
          <w:tcPr>
            <w:tcW w:w="2560" w:type="dxa"/>
            <w:vAlign w:val="bottom"/>
            <w:vMerge w:val="continue"/>
          </w:tcPr>
          <w:p>
            <w:pPr>
              <w:spacing w:after="0"/>
              <w:rPr>
                <w:sz w:val="8"/>
                <w:szCs w:val="8"/>
                <w:color w:val="auto"/>
              </w:rPr>
            </w:pPr>
          </w:p>
        </w:tc>
        <w:tc>
          <w:tcPr>
            <w:tcW w:w="67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2560" w:type="dxa"/>
            <w:vAlign w:val="bottom"/>
          </w:tcPr>
          <w:p>
            <w:pPr>
              <w:ind w:left="100"/>
              <w:spacing w:after="0" w:line="139" w:lineRule="exact"/>
              <w:rPr>
                <w:sz w:val="20"/>
                <w:szCs w:val="20"/>
                <w:color w:val="auto"/>
              </w:rPr>
            </w:pPr>
            <w:r>
              <w:rPr>
                <w:rFonts w:ascii="Arial" w:cs="Arial" w:eastAsia="Arial" w:hAnsi="Arial"/>
                <w:sz w:val="13"/>
                <w:szCs w:val="13"/>
                <w:color w:val="auto"/>
              </w:rPr>
              <w:t>achievement  of  performance</w:t>
            </w:r>
          </w:p>
        </w:tc>
        <w:tc>
          <w:tcPr>
            <w:tcW w:w="6720" w:type="dxa"/>
            <w:vAlign w:val="bottom"/>
            <w:vMerge w:val="restart"/>
          </w:tcPr>
          <w:p>
            <w:pPr>
              <w:ind w:left="900"/>
              <w:spacing w:after="0"/>
              <w:rPr>
                <w:sz w:val="20"/>
                <w:szCs w:val="20"/>
                <w:color w:val="auto"/>
              </w:rPr>
            </w:pPr>
            <w:r>
              <w:rPr>
                <w:rFonts w:ascii="Arial" w:cs="Arial" w:eastAsia="Arial" w:hAnsi="Arial"/>
                <w:sz w:val="13"/>
                <w:szCs w:val="13"/>
                <w:b w:val="1"/>
                <w:bCs w:val="1"/>
                <w:color w:val="auto"/>
              </w:rPr>
              <w:t>Net Promoter Score (“NPS”) (33%)—</w:t>
            </w:r>
            <w:r>
              <w:rPr>
                <w:rFonts w:ascii="Arial" w:cs="Arial" w:eastAsia="Arial" w:hAnsi="Arial"/>
                <w:sz w:val="13"/>
                <w:szCs w:val="13"/>
                <w:color w:val="auto"/>
              </w:rPr>
              <w:t>this  customer-based  metric  provides  continued</w:t>
            </w:r>
          </w:p>
        </w:tc>
        <w:tc>
          <w:tcPr>
            <w:tcW w:w="0" w:type="dxa"/>
            <w:vAlign w:val="bottom"/>
          </w:tcPr>
          <w:p>
            <w:pPr>
              <w:spacing w:after="0"/>
              <w:rPr>
                <w:sz w:val="1"/>
                <w:szCs w:val="1"/>
                <w:color w:val="auto"/>
              </w:rPr>
            </w:pPr>
          </w:p>
        </w:tc>
      </w:tr>
      <w:tr>
        <w:trPr>
          <w:trHeight w:val="68"/>
        </w:trPr>
        <w:tc>
          <w:tcPr>
            <w:tcW w:w="2560" w:type="dxa"/>
            <w:vAlign w:val="bottom"/>
            <w:vMerge w:val="restart"/>
          </w:tcPr>
          <w:p>
            <w:pPr>
              <w:ind w:left="100"/>
              <w:spacing w:after="0"/>
              <w:rPr>
                <w:sz w:val="20"/>
                <w:szCs w:val="20"/>
                <w:color w:val="auto"/>
              </w:rPr>
            </w:pPr>
            <w:r>
              <w:rPr>
                <w:rFonts w:ascii="Arial" w:cs="Arial" w:eastAsia="Arial" w:hAnsi="Arial"/>
                <w:sz w:val="13"/>
                <w:szCs w:val="13"/>
                <w:color w:val="auto"/>
              </w:rPr>
              <w:t>measures  designed  to  align  with  our</w:t>
            </w:r>
          </w:p>
        </w:tc>
        <w:tc>
          <w:tcPr>
            <w:tcW w:w="6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560" w:type="dxa"/>
            <w:vAlign w:val="bottom"/>
            <w:vMerge w:val="continue"/>
          </w:tcPr>
          <w:p>
            <w:pPr>
              <w:spacing w:after="0"/>
              <w:rPr>
                <w:sz w:val="8"/>
                <w:szCs w:val="8"/>
                <w:color w:val="auto"/>
              </w:rPr>
            </w:pPr>
          </w:p>
        </w:tc>
        <w:tc>
          <w:tcPr>
            <w:tcW w:w="6720" w:type="dxa"/>
            <w:vAlign w:val="bottom"/>
            <w:vMerge w:val="restart"/>
          </w:tcPr>
          <w:p>
            <w:pPr>
              <w:ind w:left="900"/>
              <w:spacing w:after="0"/>
              <w:rPr>
                <w:sz w:val="20"/>
                <w:szCs w:val="20"/>
                <w:color w:val="auto"/>
              </w:rPr>
            </w:pPr>
            <w:r>
              <w:rPr>
                <w:rFonts w:ascii="Arial" w:cs="Arial" w:eastAsia="Arial" w:hAnsi="Arial"/>
                <w:sz w:val="13"/>
                <w:szCs w:val="13"/>
                <w:color w:val="auto"/>
              </w:rPr>
              <w:t>focus  on  winning  more  brand-loyal  customers  by  measuring  how  we  take  care  of  our</w:t>
            </w:r>
          </w:p>
        </w:tc>
        <w:tc>
          <w:tcPr>
            <w:tcW w:w="0" w:type="dxa"/>
            <w:vAlign w:val="bottom"/>
          </w:tcPr>
          <w:p>
            <w:pPr>
              <w:spacing w:after="0"/>
              <w:rPr>
                <w:sz w:val="1"/>
                <w:szCs w:val="1"/>
                <w:color w:val="auto"/>
              </w:rPr>
            </w:pPr>
          </w:p>
        </w:tc>
      </w:tr>
      <w:tr>
        <w:trPr>
          <w:trHeight w:val="68"/>
        </w:trPr>
        <w:tc>
          <w:tcPr>
            <w:tcW w:w="2560" w:type="dxa"/>
            <w:vAlign w:val="bottom"/>
            <w:vMerge w:val="restart"/>
          </w:tcPr>
          <w:p>
            <w:pPr>
              <w:ind w:left="100"/>
              <w:spacing w:after="0"/>
              <w:rPr>
                <w:sz w:val="20"/>
                <w:szCs w:val="20"/>
                <w:color w:val="auto"/>
              </w:rPr>
            </w:pPr>
            <w:r>
              <w:rPr>
                <w:rFonts w:ascii="Arial" w:cs="Arial" w:eastAsia="Arial" w:hAnsi="Arial"/>
                <w:sz w:val="13"/>
                <w:szCs w:val="13"/>
                <w:color w:val="auto"/>
              </w:rPr>
              <w:t>fnancial  and  operational  priorities</w:t>
            </w:r>
          </w:p>
        </w:tc>
        <w:tc>
          <w:tcPr>
            <w:tcW w:w="6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560" w:type="dxa"/>
            <w:vAlign w:val="bottom"/>
            <w:vMerge w:val="continue"/>
          </w:tcPr>
          <w:p>
            <w:pPr>
              <w:spacing w:after="0"/>
              <w:rPr>
                <w:sz w:val="8"/>
                <w:szCs w:val="8"/>
                <w:color w:val="auto"/>
              </w:rPr>
            </w:pPr>
          </w:p>
        </w:tc>
        <w:tc>
          <w:tcPr>
            <w:tcW w:w="6720" w:type="dxa"/>
            <w:vAlign w:val="bottom"/>
            <w:vMerge w:val="restart"/>
          </w:tcPr>
          <w:p>
            <w:pPr>
              <w:ind w:left="900"/>
              <w:spacing w:after="0"/>
              <w:rPr>
                <w:sz w:val="20"/>
                <w:szCs w:val="20"/>
                <w:color w:val="auto"/>
              </w:rPr>
            </w:pPr>
            <w:r>
              <w:rPr>
                <w:rFonts w:ascii="Arial" w:cs="Arial" w:eastAsia="Arial" w:hAnsi="Arial"/>
                <w:sz w:val="13"/>
                <w:szCs w:val="13"/>
                <w:color w:val="auto"/>
              </w:rPr>
              <w:t>customers.  This  indicates  our  success  toward  positioning  the  United  brand  as  the</w:t>
            </w:r>
          </w:p>
        </w:tc>
        <w:tc>
          <w:tcPr>
            <w:tcW w:w="0" w:type="dxa"/>
            <w:vAlign w:val="bottom"/>
          </w:tcPr>
          <w:p>
            <w:pPr>
              <w:spacing w:after="0"/>
              <w:rPr>
                <w:sz w:val="1"/>
                <w:szCs w:val="1"/>
                <w:color w:val="auto"/>
              </w:rPr>
            </w:pPr>
          </w:p>
        </w:tc>
      </w:tr>
      <w:tr>
        <w:trPr>
          <w:trHeight w:val="68"/>
        </w:trPr>
        <w:tc>
          <w:tcPr>
            <w:tcW w:w="2560" w:type="dxa"/>
            <w:vAlign w:val="bottom"/>
            <w:vMerge w:val="restart"/>
          </w:tcPr>
          <w:p>
            <w:pPr>
              <w:ind w:left="100"/>
              <w:spacing w:after="0"/>
              <w:rPr>
                <w:sz w:val="20"/>
                <w:szCs w:val="20"/>
                <w:color w:val="auto"/>
              </w:rPr>
            </w:pPr>
            <w:r>
              <w:rPr>
                <w:rFonts w:ascii="Arial" w:cs="Arial" w:eastAsia="Arial" w:hAnsi="Arial"/>
                <w:sz w:val="13"/>
                <w:szCs w:val="13"/>
                <w:color w:val="auto"/>
              </w:rPr>
              <w:t>for  the  fscal  year.</w:t>
            </w:r>
          </w:p>
        </w:tc>
        <w:tc>
          <w:tcPr>
            <w:tcW w:w="6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2560" w:type="dxa"/>
            <w:vAlign w:val="bottom"/>
            <w:vMerge w:val="continue"/>
          </w:tcPr>
          <w:p>
            <w:pPr>
              <w:spacing w:after="0"/>
              <w:rPr>
                <w:sz w:val="11"/>
                <w:szCs w:val="11"/>
                <w:color w:val="auto"/>
              </w:rPr>
            </w:pPr>
          </w:p>
        </w:tc>
        <w:tc>
          <w:tcPr>
            <w:tcW w:w="6720" w:type="dxa"/>
            <w:vAlign w:val="bottom"/>
            <w:vMerge w:val="restart"/>
          </w:tcPr>
          <w:p>
            <w:pPr>
              <w:ind w:left="900"/>
              <w:spacing w:after="0"/>
              <w:rPr>
                <w:sz w:val="20"/>
                <w:szCs w:val="20"/>
                <w:color w:val="auto"/>
              </w:rPr>
            </w:pPr>
            <w:r>
              <w:rPr>
                <w:rFonts w:ascii="Arial" w:cs="Arial" w:eastAsia="Arial" w:hAnsi="Arial"/>
                <w:sz w:val="13"/>
                <w:szCs w:val="13"/>
                <w:color w:val="auto"/>
              </w:rPr>
              <w:t>preferred  choice  for  airline  travel.</w:t>
            </w:r>
          </w:p>
        </w:tc>
        <w:tc>
          <w:tcPr>
            <w:tcW w:w="0" w:type="dxa"/>
            <w:vAlign w:val="bottom"/>
          </w:tcPr>
          <w:p>
            <w:pPr>
              <w:spacing w:after="0"/>
              <w:rPr>
                <w:sz w:val="1"/>
                <w:szCs w:val="1"/>
                <w:color w:val="auto"/>
              </w:rPr>
            </w:pPr>
          </w:p>
        </w:tc>
      </w:tr>
      <w:tr>
        <w:trPr>
          <w:trHeight w:val="68"/>
        </w:trPr>
        <w:tc>
          <w:tcPr>
            <w:tcW w:w="2560" w:type="dxa"/>
            <w:vAlign w:val="bottom"/>
          </w:tcPr>
          <w:p>
            <w:pPr>
              <w:spacing w:after="0"/>
              <w:rPr>
                <w:sz w:val="5"/>
                <w:szCs w:val="5"/>
                <w:color w:val="auto"/>
              </w:rPr>
            </w:pPr>
          </w:p>
        </w:tc>
        <w:tc>
          <w:tcPr>
            <w:tcW w:w="6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6"/>
        </w:trPr>
        <w:tc>
          <w:tcPr>
            <w:tcW w:w="2560" w:type="dxa"/>
            <w:vAlign w:val="bottom"/>
          </w:tcPr>
          <w:p>
            <w:pPr>
              <w:spacing w:after="0"/>
              <w:rPr>
                <w:sz w:val="4"/>
                <w:szCs w:val="4"/>
                <w:color w:val="auto"/>
              </w:rPr>
            </w:pPr>
          </w:p>
        </w:tc>
        <w:tc>
          <w:tcPr>
            <w:tcW w:w="67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2560" w:type="dxa"/>
            <w:vAlign w:val="bottom"/>
          </w:tcPr>
          <w:p>
            <w:pPr>
              <w:spacing w:after="0"/>
              <w:rPr>
                <w:sz w:val="17"/>
                <w:szCs w:val="17"/>
                <w:color w:val="auto"/>
              </w:rPr>
            </w:pPr>
          </w:p>
        </w:tc>
        <w:tc>
          <w:tcPr>
            <w:tcW w:w="6720" w:type="dxa"/>
            <w:vAlign w:val="bottom"/>
          </w:tcPr>
          <w:p>
            <w:pPr>
              <w:ind w:left="900"/>
              <w:spacing w:after="0"/>
              <w:rPr>
                <w:sz w:val="20"/>
                <w:szCs w:val="20"/>
                <w:color w:val="auto"/>
              </w:rPr>
            </w:pPr>
            <w:r>
              <w:rPr>
                <w:rFonts w:ascii="Arial" w:cs="Arial" w:eastAsia="Arial" w:hAnsi="Arial"/>
                <w:sz w:val="13"/>
                <w:szCs w:val="13"/>
                <w:b w:val="1"/>
                <w:bCs w:val="1"/>
                <w:color w:val="auto"/>
              </w:rPr>
              <w:t>Operational Excellence (33%)—</w:t>
            </w:r>
            <w:r>
              <w:rPr>
                <w:rFonts w:ascii="Arial" w:cs="Arial" w:eastAsia="Arial" w:hAnsi="Arial"/>
                <w:sz w:val="13"/>
                <w:szCs w:val="13"/>
                <w:color w:val="auto"/>
              </w:rPr>
              <w:t>this  element  of  the  2025  STI  program  features  three  key</w:t>
            </w:r>
          </w:p>
        </w:tc>
        <w:tc>
          <w:tcPr>
            <w:tcW w:w="0" w:type="dxa"/>
            <w:vAlign w:val="bottom"/>
          </w:tcPr>
          <w:p>
            <w:pPr>
              <w:spacing w:after="0"/>
              <w:rPr>
                <w:sz w:val="1"/>
                <w:szCs w:val="1"/>
                <w:color w:val="auto"/>
              </w:rPr>
            </w:pPr>
          </w:p>
        </w:tc>
      </w:tr>
      <w:tr>
        <w:trPr>
          <w:trHeight w:val="162"/>
        </w:trPr>
        <w:tc>
          <w:tcPr>
            <w:tcW w:w="2560" w:type="dxa"/>
            <w:vAlign w:val="bottom"/>
          </w:tcPr>
          <w:p>
            <w:pPr>
              <w:spacing w:after="0"/>
              <w:rPr>
                <w:sz w:val="14"/>
                <w:szCs w:val="14"/>
                <w:color w:val="auto"/>
              </w:rPr>
            </w:pPr>
          </w:p>
        </w:tc>
        <w:tc>
          <w:tcPr>
            <w:tcW w:w="6720" w:type="dxa"/>
            <w:vAlign w:val="bottom"/>
          </w:tcPr>
          <w:p>
            <w:pPr>
              <w:ind w:left="900"/>
              <w:spacing w:after="0"/>
              <w:rPr>
                <w:sz w:val="20"/>
                <w:szCs w:val="20"/>
                <w:color w:val="auto"/>
              </w:rPr>
            </w:pPr>
            <w:r>
              <w:rPr>
                <w:rFonts w:ascii="Arial" w:cs="Arial" w:eastAsia="Arial" w:hAnsi="Arial"/>
                <w:sz w:val="13"/>
                <w:szCs w:val="13"/>
                <w:color w:val="auto"/>
              </w:rPr>
              <w:t>airline  operational  metrics—on-time  departures  (referred  to  as  Customer  D:00),</w:t>
            </w:r>
          </w:p>
        </w:tc>
        <w:tc>
          <w:tcPr>
            <w:tcW w:w="0" w:type="dxa"/>
            <w:vAlign w:val="bottom"/>
          </w:tcPr>
          <w:p>
            <w:pPr>
              <w:spacing w:after="0"/>
              <w:rPr>
                <w:sz w:val="1"/>
                <w:szCs w:val="1"/>
                <w:color w:val="auto"/>
              </w:rPr>
            </w:pPr>
          </w:p>
        </w:tc>
      </w:tr>
      <w:tr>
        <w:trPr>
          <w:trHeight w:val="162"/>
        </w:trPr>
        <w:tc>
          <w:tcPr>
            <w:tcW w:w="2560" w:type="dxa"/>
            <w:vAlign w:val="bottom"/>
          </w:tcPr>
          <w:p>
            <w:pPr>
              <w:spacing w:after="0"/>
              <w:rPr>
                <w:sz w:val="14"/>
                <w:szCs w:val="14"/>
                <w:color w:val="auto"/>
              </w:rPr>
            </w:pPr>
          </w:p>
        </w:tc>
        <w:tc>
          <w:tcPr>
            <w:tcW w:w="6720" w:type="dxa"/>
            <w:vAlign w:val="bottom"/>
          </w:tcPr>
          <w:p>
            <w:pPr>
              <w:ind w:left="900"/>
              <w:spacing w:after="0"/>
              <w:rPr>
                <w:sz w:val="20"/>
                <w:szCs w:val="20"/>
                <w:color w:val="auto"/>
              </w:rPr>
            </w:pPr>
            <w:r>
              <w:rPr>
                <w:rFonts w:ascii="Arial" w:cs="Arial" w:eastAsia="Arial" w:hAnsi="Arial"/>
                <w:sz w:val="13"/>
                <w:szCs w:val="13"/>
                <w:color w:val="auto"/>
              </w:rPr>
              <w:t>mishandled  baggage  rate  and  seat  cancellations—which  were  included  to  focus</w:t>
            </w:r>
          </w:p>
        </w:tc>
        <w:tc>
          <w:tcPr>
            <w:tcW w:w="0" w:type="dxa"/>
            <w:vAlign w:val="bottom"/>
          </w:tcPr>
          <w:p>
            <w:pPr>
              <w:spacing w:after="0"/>
              <w:rPr>
                <w:sz w:val="1"/>
                <w:szCs w:val="1"/>
                <w:color w:val="auto"/>
              </w:rPr>
            </w:pPr>
          </w:p>
        </w:tc>
      </w:tr>
      <w:tr>
        <w:trPr>
          <w:trHeight w:val="148"/>
        </w:trPr>
        <w:tc>
          <w:tcPr>
            <w:tcW w:w="2560" w:type="dxa"/>
            <w:vAlign w:val="bottom"/>
          </w:tcPr>
          <w:p>
            <w:pPr>
              <w:spacing w:after="0"/>
              <w:rPr>
                <w:sz w:val="12"/>
                <w:szCs w:val="12"/>
                <w:color w:val="auto"/>
              </w:rPr>
            </w:pPr>
          </w:p>
        </w:tc>
        <w:tc>
          <w:tcPr>
            <w:tcW w:w="6720" w:type="dxa"/>
            <w:vAlign w:val="bottom"/>
          </w:tcPr>
          <w:p>
            <w:pPr>
              <w:ind w:left="900"/>
              <w:spacing w:after="0"/>
              <w:rPr>
                <w:sz w:val="20"/>
                <w:szCs w:val="20"/>
                <w:color w:val="auto"/>
              </w:rPr>
            </w:pPr>
            <w:r>
              <w:rPr>
                <w:rFonts w:ascii="Arial" w:cs="Arial" w:eastAsia="Arial" w:hAnsi="Arial"/>
                <w:sz w:val="13"/>
                <w:szCs w:val="13"/>
                <w:color w:val="auto"/>
              </w:rPr>
              <w:t>management  on  operational  reliability  as  United  continues  to  expand  operations  as  a</w:t>
            </w:r>
          </w:p>
        </w:tc>
        <w:tc>
          <w:tcPr>
            <w:tcW w:w="0" w:type="dxa"/>
            <w:vAlign w:val="bottom"/>
          </w:tcPr>
          <w:p>
            <w:pPr>
              <w:spacing w:after="0"/>
              <w:rPr>
                <w:sz w:val="1"/>
                <w:szCs w:val="1"/>
                <w:color w:val="auto"/>
              </w:rPr>
            </w:pPr>
          </w:p>
        </w:tc>
      </w:tr>
      <w:tr>
        <w:trPr>
          <w:trHeight w:val="196"/>
        </w:trPr>
        <w:tc>
          <w:tcPr>
            <w:tcW w:w="2560" w:type="dxa"/>
            <w:vAlign w:val="bottom"/>
          </w:tcPr>
          <w:p>
            <w:pPr>
              <w:spacing w:after="0"/>
              <w:rPr>
                <w:sz w:val="17"/>
                <w:szCs w:val="17"/>
                <w:color w:val="auto"/>
              </w:rPr>
            </w:pPr>
          </w:p>
        </w:tc>
        <w:tc>
          <w:tcPr>
            <w:tcW w:w="6720" w:type="dxa"/>
            <w:vAlign w:val="bottom"/>
          </w:tcPr>
          <w:p>
            <w:pPr>
              <w:ind w:left="900"/>
              <w:spacing w:after="0"/>
              <w:rPr>
                <w:sz w:val="20"/>
                <w:szCs w:val="20"/>
                <w:color w:val="auto"/>
              </w:rPr>
            </w:pPr>
            <w:r>
              <w:rPr>
                <w:rFonts w:ascii="Arial" w:cs="Arial" w:eastAsia="Arial" w:hAnsi="Arial"/>
                <w:sz w:val="13"/>
                <w:szCs w:val="13"/>
                <w:color w:val="auto"/>
              </w:rPr>
              <w:t>result  of  fying  the  largest  mainline  schedule  in  United’s  history  during  2025.</w:t>
            </w:r>
          </w:p>
        </w:tc>
        <w:tc>
          <w:tcPr>
            <w:tcW w:w="0" w:type="dxa"/>
            <w:vAlign w:val="bottom"/>
          </w:tcPr>
          <w:p>
            <w:pPr>
              <w:spacing w:after="0"/>
              <w:rPr>
                <w:sz w:val="1"/>
                <w:szCs w:val="1"/>
                <w:color w:val="auto"/>
              </w:rPr>
            </w:pPr>
          </w:p>
        </w:tc>
      </w:tr>
      <w:tr>
        <w:trPr>
          <w:trHeight w:val="70"/>
        </w:trPr>
        <w:tc>
          <w:tcPr>
            <w:tcW w:w="2560" w:type="dxa"/>
            <w:vAlign w:val="bottom"/>
            <w:tcBorders>
              <w:bottom w:val="single" w:sz="8" w:color="808080"/>
            </w:tcBorders>
          </w:tcPr>
          <w:p>
            <w:pPr>
              <w:spacing w:after="0"/>
              <w:rPr>
                <w:sz w:val="6"/>
                <w:szCs w:val="6"/>
                <w:color w:val="auto"/>
              </w:rPr>
            </w:pPr>
          </w:p>
        </w:tc>
        <w:tc>
          <w:tcPr>
            <w:tcW w:w="67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2560" w:type="dxa"/>
            <w:vAlign w:val="bottom"/>
          </w:tcPr>
          <w:p>
            <w:pPr>
              <w:ind w:left="100"/>
              <w:spacing w:after="0"/>
              <w:rPr>
                <w:sz w:val="20"/>
                <w:szCs w:val="20"/>
                <w:color w:val="auto"/>
              </w:rPr>
            </w:pPr>
            <w:r>
              <w:rPr>
                <w:rFonts w:ascii="Arial" w:cs="Arial" w:eastAsia="Arial" w:hAnsi="Arial"/>
                <w:sz w:val="13"/>
                <w:szCs w:val="13"/>
                <w:b w:val="1"/>
                <w:bCs w:val="1"/>
                <w:color w:val="auto"/>
              </w:rPr>
              <w:t>LONG-TERM INCENTIVES (“LTI”)</w:t>
            </w:r>
          </w:p>
        </w:tc>
        <w:tc>
          <w:tcPr>
            <w:tcW w:w="6720" w:type="dxa"/>
            <w:vAlign w:val="bottom"/>
          </w:tcPr>
          <w:p>
            <w:pPr>
              <w:ind w:left="980"/>
              <w:spacing w:after="0"/>
              <w:rPr>
                <w:sz w:val="20"/>
                <w:szCs w:val="20"/>
                <w:color w:val="auto"/>
              </w:rPr>
            </w:pPr>
            <w:r>
              <w:rPr>
                <w:rFonts w:ascii="Arial" w:cs="Arial" w:eastAsia="Arial" w:hAnsi="Arial"/>
                <w:sz w:val="13"/>
                <w:szCs w:val="13"/>
                <w:b w:val="1"/>
                <w:bCs w:val="1"/>
                <w:color w:val="auto"/>
              </w:rPr>
              <w:t>Performance-Based RSUs (50% of LTI opportunity at target)—</w:t>
            </w:r>
            <w:r>
              <w:rPr>
                <w:rFonts w:ascii="Arial" w:cs="Arial" w:eastAsia="Arial" w:hAnsi="Arial"/>
                <w:sz w:val="13"/>
                <w:szCs w:val="13"/>
                <w:color w:val="auto"/>
              </w:rPr>
              <w:t>one  half  of  the  2025  LTI</w:t>
            </w:r>
          </w:p>
        </w:tc>
        <w:tc>
          <w:tcPr>
            <w:tcW w:w="0" w:type="dxa"/>
            <w:vAlign w:val="bottom"/>
          </w:tcPr>
          <w:p>
            <w:pPr>
              <w:spacing w:after="0"/>
              <w:rPr>
                <w:sz w:val="1"/>
                <w:szCs w:val="1"/>
                <w:color w:val="auto"/>
              </w:rPr>
            </w:pPr>
          </w:p>
        </w:tc>
      </w:tr>
      <w:tr>
        <w:trPr>
          <w:trHeight w:val="139"/>
        </w:trPr>
        <w:tc>
          <w:tcPr>
            <w:tcW w:w="2560" w:type="dxa"/>
            <w:vAlign w:val="bottom"/>
            <w:vMerge w:val="restart"/>
          </w:tcPr>
          <w:p>
            <w:pPr>
              <w:ind w:left="100"/>
              <w:spacing w:after="0"/>
              <w:rPr>
                <w:sz w:val="20"/>
                <w:szCs w:val="20"/>
                <w:color w:val="auto"/>
              </w:rPr>
            </w:pPr>
            <w:r>
              <w:rPr>
                <w:rFonts w:ascii="Arial" w:cs="Arial" w:eastAsia="Arial" w:hAnsi="Arial"/>
                <w:sz w:val="13"/>
                <w:szCs w:val="13"/>
                <w:color w:val="auto"/>
              </w:rPr>
              <w:t>Our  2025  LTI  opportunity  is  equally</w:t>
            </w:r>
          </w:p>
        </w:tc>
        <w:tc>
          <w:tcPr>
            <w:tcW w:w="6720" w:type="dxa"/>
            <w:vAlign w:val="bottom"/>
          </w:tcPr>
          <w:p>
            <w:pPr>
              <w:ind w:left="980"/>
              <w:spacing w:after="0" w:line="139" w:lineRule="exact"/>
              <w:rPr>
                <w:sz w:val="20"/>
                <w:szCs w:val="20"/>
                <w:color w:val="auto"/>
              </w:rPr>
            </w:pPr>
            <w:r>
              <w:rPr>
                <w:rFonts w:ascii="Arial" w:cs="Arial" w:eastAsia="Arial" w:hAnsi="Arial"/>
                <w:sz w:val="13"/>
                <w:szCs w:val="13"/>
                <w:color w:val="auto"/>
              </w:rPr>
              <w:t>opportunity  was  awarded  in  the  form  of  Performance-Based  RSU  awards  with</w:t>
            </w:r>
          </w:p>
        </w:tc>
        <w:tc>
          <w:tcPr>
            <w:tcW w:w="0" w:type="dxa"/>
            <w:vAlign w:val="bottom"/>
          </w:tcPr>
          <w:p>
            <w:pPr>
              <w:spacing w:after="0"/>
              <w:rPr>
                <w:sz w:val="1"/>
                <w:szCs w:val="1"/>
                <w:color w:val="auto"/>
              </w:rPr>
            </w:pPr>
          </w:p>
        </w:tc>
      </w:tr>
      <w:tr>
        <w:trPr>
          <w:trHeight w:val="144"/>
        </w:trPr>
        <w:tc>
          <w:tcPr>
            <w:tcW w:w="2560" w:type="dxa"/>
            <w:vAlign w:val="bottom"/>
            <w:vMerge w:val="continue"/>
          </w:tcPr>
          <w:p>
            <w:pPr>
              <w:spacing w:after="0"/>
              <w:rPr>
                <w:sz w:val="12"/>
                <w:szCs w:val="12"/>
                <w:color w:val="auto"/>
              </w:rPr>
            </w:pPr>
          </w:p>
        </w:tc>
        <w:tc>
          <w:tcPr>
            <w:tcW w:w="6720" w:type="dxa"/>
            <w:vAlign w:val="bottom"/>
          </w:tcPr>
          <w:p>
            <w:pPr>
              <w:ind w:left="980"/>
              <w:spacing w:after="0" w:line="144" w:lineRule="exact"/>
              <w:rPr>
                <w:sz w:val="20"/>
                <w:szCs w:val="20"/>
                <w:color w:val="auto"/>
              </w:rPr>
            </w:pPr>
            <w:r>
              <w:rPr>
                <w:rFonts w:ascii="Arial" w:cs="Arial" w:eastAsia="Arial" w:hAnsi="Arial"/>
                <w:sz w:val="13"/>
                <w:szCs w:val="13"/>
                <w:color w:val="auto"/>
              </w:rPr>
              <w:t>performance  measures  established  and  measured  on  an  annual  basis  during  the  three-</w:t>
            </w:r>
          </w:p>
        </w:tc>
        <w:tc>
          <w:tcPr>
            <w:tcW w:w="0" w:type="dxa"/>
            <w:vAlign w:val="bottom"/>
          </w:tcPr>
          <w:p>
            <w:pPr>
              <w:spacing w:after="0"/>
              <w:rPr>
                <w:sz w:val="1"/>
                <w:szCs w:val="1"/>
                <w:color w:val="auto"/>
              </w:rPr>
            </w:pPr>
          </w:p>
        </w:tc>
      </w:tr>
      <w:tr>
        <w:trPr>
          <w:trHeight w:val="162"/>
        </w:trPr>
        <w:tc>
          <w:tcPr>
            <w:tcW w:w="2560" w:type="dxa"/>
            <w:vAlign w:val="bottom"/>
          </w:tcPr>
          <w:p>
            <w:pPr>
              <w:ind w:left="100"/>
              <w:spacing w:after="0"/>
              <w:rPr>
                <w:sz w:val="20"/>
                <w:szCs w:val="20"/>
                <w:color w:val="auto"/>
              </w:rPr>
            </w:pPr>
            <w:r>
              <w:rPr>
                <w:rFonts w:ascii="Arial" w:cs="Arial" w:eastAsia="Arial" w:hAnsi="Arial"/>
                <w:sz w:val="13"/>
                <w:szCs w:val="13"/>
                <w:color w:val="auto"/>
              </w:rPr>
              <w:t>divided  between  Performance-Based</w:t>
            </w:r>
          </w:p>
        </w:tc>
        <w:tc>
          <w:tcPr>
            <w:tcW w:w="6720" w:type="dxa"/>
            <w:vAlign w:val="bottom"/>
          </w:tcPr>
          <w:p>
            <w:pPr>
              <w:ind w:left="980"/>
              <w:spacing w:after="0"/>
              <w:rPr>
                <w:sz w:val="20"/>
                <w:szCs w:val="20"/>
                <w:color w:val="auto"/>
              </w:rPr>
            </w:pPr>
            <w:r>
              <w:rPr>
                <w:rFonts w:ascii="Arial" w:cs="Arial" w:eastAsia="Arial" w:hAnsi="Arial"/>
                <w:sz w:val="13"/>
                <w:szCs w:val="13"/>
                <w:color w:val="auto"/>
              </w:rPr>
              <w:t>year  performance  period,  with  clif  vesting  of  earned  PBRSUs  at  the  end  of  the  three-year</w:t>
            </w:r>
          </w:p>
        </w:tc>
        <w:tc>
          <w:tcPr>
            <w:tcW w:w="0" w:type="dxa"/>
            <w:vAlign w:val="bottom"/>
          </w:tcPr>
          <w:p>
            <w:pPr>
              <w:spacing w:after="0"/>
              <w:rPr>
                <w:sz w:val="1"/>
                <w:szCs w:val="1"/>
                <w:color w:val="auto"/>
              </w:rPr>
            </w:pPr>
          </w:p>
        </w:tc>
      </w:tr>
      <w:tr>
        <w:trPr>
          <w:trHeight w:val="153"/>
        </w:trPr>
        <w:tc>
          <w:tcPr>
            <w:tcW w:w="2560" w:type="dxa"/>
            <w:vAlign w:val="bottom"/>
          </w:tcPr>
          <w:p>
            <w:pPr>
              <w:ind w:left="100"/>
              <w:spacing w:after="0"/>
              <w:rPr>
                <w:sz w:val="20"/>
                <w:szCs w:val="20"/>
                <w:color w:val="auto"/>
              </w:rPr>
            </w:pPr>
            <w:r>
              <w:rPr>
                <w:rFonts w:ascii="Arial" w:cs="Arial" w:eastAsia="Arial" w:hAnsi="Arial"/>
                <w:sz w:val="13"/>
                <w:szCs w:val="13"/>
                <w:color w:val="auto"/>
              </w:rPr>
              <w:t>RSU  awards  and  time-based  RSU</w:t>
            </w:r>
          </w:p>
        </w:tc>
        <w:tc>
          <w:tcPr>
            <w:tcW w:w="6720" w:type="dxa"/>
            <w:vAlign w:val="bottom"/>
          </w:tcPr>
          <w:p>
            <w:pPr>
              <w:ind w:left="980"/>
              <w:spacing w:after="0"/>
              <w:rPr>
                <w:sz w:val="20"/>
                <w:szCs w:val="20"/>
                <w:color w:val="auto"/>
              </w:rPr>
            </w:pPr>
            <w:r>
              <w:rPr>
                <w:rFonts w:ascii="Arial" w:cs="Arial" w:eastAsia="Arial" w:hAnsi="Arial"/>
                <w:sz w:val="13"/>
                <w:szCs w:val="13"/>
                <w:color w:val="auto"/>
              </w:rPr>
              <w:t>performance  period,  contingent  on  continued  employment  through  the  full  three-year</w:t>
            </w:r>
          </w:p>
        </w:tc>
        <w:tc>
          <w:tcPr>
            <w:tcW w:w="0" w:type="dxa"/>
            <w:vAlign w:val="bottom"/>
          </w:tcPr>
          <w:p>
            <w:pPr>
              <w:spacing w:after="0"/>
              <w:rPr>
                <w:sz w:val="1"/>
                <w:szCs w:val="1"/>
                <w:color w:val="auto"/>
              </w:rPr>
            </w:pPr>
          </w:p>
        </w:tc>
      </w:tr>
      <w:tr>
        <w:trPr>
          <w:trHeight w:val="162"/>
        </w:trPr>
        <w:tc>
          <w:tcPr>
            <w:tcW w:w="2560" w:type="dxa"/>
            <w:vAlign w:val="bottom"/>
          </w:tcPr>
          <w:p>
            <w:pPr>
              <w:ind w:left="100"/>
              <w:spacing w:after="0"/>
              <w:rPr>
                <w:sz w:val="20"/>
                <w:szCs w:val="20"/>
                <w:color w:val="auto"/>
              </w:rPr>
            </w:pPr>
            <w:r>
              <w:rPr>
                <w:rFonts w:ascii="Arial" w:cs="Arial" w:eastAsia="Arial" w:hAnsi="Arial"/>
                <w:sz w:val="13"/>
                <w:szCs w:val="13"/>
                <w:color w:val="auto"/>
              </w:rPr>
              <w:t>awards  with  a  three-year  vesting</w:t>
            </w:r>
          </w:p>
        </w:tc>
        <w:tc>
          <w:tcPr>
            <w:tcW w:w="6720" w:type="dxa"/>
            <w:vAlign w:val="bottom"/>
          </w:tcPr>
          <w:p>
            <w:pPr>
              <w:ind w:left="980"/>
              <w:spacing w:after="0"/>
              <w:rPr>
                <w:sz w:val="20"/>
                <w:szCs w:val="20"/>
                <w:color w:val="auto"/>
              </w:rPr>
            </w:pPr>
            <w:r>
              <w:rPr>
                <w:rFonts w:ascii="Arial" w:cs="Arial" w:eastAsia="Arial" w:hAnsi="Arial"/>
                <w:sz w:val="13"/>
                <w:szCs w:val="13"/>
                <w:color w:val="auto"/>
              </w:rPr>
              <w:t>performance  period.</w:t>
            </w:r>
          </w:p>
        </w:tc>
        <w:tc>
          <w:tcPr>
            <w:tcW w:w="0" w:type="dxa"/>
            <w:vAlign w:val="bottom"/>
          </w:tcPr>
          <w:p>
            <w:pPr>
              <w:spacing w:after="0"/>
              <w:rPr>
                <w:sz w:val="1"/>
                <w:szCs w:val="1"/>
                <w:color w:val="auto"/>
              </w:rPr>
            </w:pPr>
          </w:p>
        </w:tc>
      </w:tr>
      <w:tr>
        <w:trPr>
          <w:trHeight w:val="162"/>
        </w:trPr>
        <w:tc>
          <w:tcPr>
            <w:tcW w:w="2560" w:type="dxa"/>
            <w:vAlign w:val="bottom"/>
          </w:tcPr>
          <w:p>
            <w:pPr>
              <w:ind w:left="100"/>
              <w:spacing w:after="0"/>
              <w:rPr>
                <w:sz w:val="20"/>
                <w:szCs w:val="20"/>
                <w:color w:val="auto"/>
              </w:rPr>
            </w:pPr>
            <w:r>
              <w:rPr>
                <w:rFonts w:ascii="Arial" w:cs="Arial" w:eastAsia="Arial" w:hAnsi="Arial"/>
                <w:sz w:val="13"/>
                <w:szCs w:val="13"/>
                <w:color w:val="auto"/>
              </w:rPr>
              <w:t>cycle.  The  performance  measures</w:t>
            </w:r>
          </w:p>
        </w:tc>
        <w:tc>
          <w:tcPr>
            <w:tcW w:w="6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60" w:type="dxa"/>
            <w:vAlign w:val="bottom"/>
          </w:tcPr>
          <w:p>
            <w:pPr>
              <w:ind w:left="100"/>
              <w:spacing w:after="0"/>
              <w:rPr>
                <w:sz w:val="20"/>
                <w:szCs w:val="20"/>
                <w:color w:val="auto"/>
              </w:rPr>
            </w:pPr>
            <w:r>
              <w:rPr>
                <w:rFonts w:ascii="Arial" w:cs="Arial" w:eastAsia="Arial" w:hAnsi="Arial"/>
                <w:sz w:val="13"/>
                <w:szCs w:val="13"/>
                <w:color w:val="auto"/>
              </w:rPr>
              <w:t>described  in  the  next  column  apply</w:t>
            </w:r>
          </w:p>
        </w:tc>
        <w:tc>
          <w:tcPr>
            <w:tcW w:w="6720" w:type="dxa"/>
            <w:vAlign w:val="bottom"/>
          </w:tcPr>
          <w:p>
            <w:pPr>
              <w:ind w:left="1240"/>
              <w:spacing w:after="0"/>
              <w:rPr>
                <w:sz w:val="20"/>
                <w:szCs w:val="20"/>
                <w:color w:val="auto"/>
              </w:rPr>
            </w:pPr>
            <w:r>
              <w:rPr>
                <w:rFonts w:ascii="Arial" w:cs="Arial" w:eastAsia="Arial" w:hAnsi="Arial"/>
                <w:sz w:val="13"/>
                <w:szCs w:val="13"/>
                <w:b w:val="1"/>
                <w:bCs w:val="1"/>
                <w:color w:val="auto"/>
              </w:rPr>
              <w:t>-Absolute Adjusted Earnings Per Share (“EPS”) (40%)—</w:t>
            </w:r>
            <w:r>
              <w:rPr>
                <w:rFonts w:ascii="Arial" w:cs="Arial" w:eastAsia="Arial" w:hAnsi="Arial"/>
                <w:sz w:val="13"/>
                <w:szCs w:val="13"/>
                <w:color w:val="auto"/>
              </w:rPr>
              <w:t>this  PBRSU  metric  was</w:t>
            </w:r>
          </w:p>
        </w:tc>
        <w:tc>
          <w:tcPr>
            <w:tcW w:w="0" w:type="dxa"/>
            <w:vAlign w:val="bottom"/>
          </w:tcPr>
          <w:p>
            <w:pPr>
              <w:spacing w:after="0"/>
              <w:rPr>
                <w:sz w:val="1"/>
                <w:szCs w:val="1"/>
                <w:color w:val="auto"/>
              </w:rPr>
            </w:pPr>
          </w:p>
        </w:tc>
      </w:tr>
      <w:tr>
        <w:trPr>
          <w:trHeight w:val="162"/>
        </w:trPr>
        <w:tc>
          <w:tcPr>
            <w:tcW w:w="2560" w:type="dxa"/>
            <w:vAlign w:val="bottom"/>
          </w:tcPr>
          <w:p>
            <w:pPr>
              <w:ind w:left="100"/>
              <w:spacing w:after="0"/>
              <w:rPr>
                <w:sz w:val="20"/>
                <w:szCs w:val="20"/>
                <w:color w:val="auto"/>
              </w:rPr>
            </w:pPr>
            <w:r>
              <w:rPr>
                <w:rFonts w:ascii="Arial" w:cs="Arial" w:eastAsia="Arial" w:hAnsi="Arial"/>
                <w:sz w:val="13"/>
                <w:szCs w:val="13"/>
                <w:color w:val="auto"/>
              </w:rPr>
              <w:t>to  the  frst  tranche  of  the  2025</w:t>
            </w:r>
          </w:p>
        </w:tc>
        <w:tc>
          <w:tcPr>
            <w:tcW w:w="6720" w:type="dxa"/>
            <w:vAlign w:val="bottom"/>
          </w:tcPr>
          <w:p>
            <w:pPr>
              <w:ind w:left="1240"/>
              <w:spacing w:after="0"/>
              <w:rPr>
                <w:sz w:val="20"/>
                <w:szCs w:val="20"/>
                <w:color w:val="auto"/>
              </w:rPr>
            </w:pPr>
            <w:r>
              <w:rPr>
                <w:rFonts w:ascii="Arial" w:cs="Arial" w:eastAsia="Arial" w:hAnsi="Arial"/>
                <w:sz w:val="13"/>
                <w:szCs w:val="13"/>
                <w:color w:val="auto"/>
              </w:rPr>
              <w:t>included  to  provide  further  emphasis  on  a  key  fnancial  performance  metric  that</w:t>
            </w:r>
          </w:p>
        </w:tc>
        <w:tc>
          <w:tcPr>
            <w:tcW w:w="0" w:type="dxa"/>
            <w:vAlign w:val="bottom"/>
          </w:tcPr>
          <w:p>
            <w:pPr>
              <w:spacing w:after="0"/>
              <w:rPr>
                <w:sz w:val="1"/>
                <w:szCs w:val="1"/>
                <w:color w:val="auto"/>
              </w:rPr>
            </w:pPr>
          </w:p>
        </w:tc>
      </w:tr>
      <w:tr>
        <w:trPr>
          <w:trHeight w:val="162"/>
        </w:trPr>
        <w:tc>
          <w:tcPr>
            <w:tcW w:w="2560" w:type="dxa"/>
            <w:vAlign w:val="bottom"/>
          </w:tcPr>
          <w:p>
            <w:pPr>
              <w:ind w:left="100"/>
              <w:spacing w:after="0"/>
              <w:rPr>
                <w:sz w:val="20"/>
                <w:szCs w:val="20"/>
                <w:color w:val="auto"/>
              </w:rPr>
            </w:pPr>
            <w:r>
              <w:rPr>
                <w:rFonts w:ascii="Arial" w:cs="Arial" w:eastAsia="Arial" w:hAnsi="Arial"/>
                <w:sz w:val="13"/>
                <w:szCs w:val="13"/>
                <w:color w:val="auto"/>
              </w:rPr>
              <w:t>Performance-Based  RSU  awards,  the</w:t>
            </w:r>
          </w:p>
        </w:tc>
        <w:tc>
          <w:tcPr>
            <w:tcW w:w="6720" w:type="dxa"/>
            <w:vAlign w:val="bottom"/>
          </w:tcPr>
          <w:p>
            <w:pPr>
              <w:ind w:left="1240"/>
              <w:spacing w:after="0"/>
              <w:rPr>
                <w:sz w:val="20"/>
                <w:szCs w:val="20"/>
                <w:color w:val="auto"/>
              </w:rPr>
            </w:pPr>
            <w:r>
              <w:rPr>
                <w:rFonts w:ascii="Arial" w:cs="Arial" w:eastAsia="Arial" w:hAnsi="Arial"/>
                <w:sz w:val="13"/>
                <w:szCs w:val="13"/>
                <w:color w:val="auto"/>
              </w:rPr>
              <w:t>management  and  the  Committee  believe  demonstrates  our  commitment  to  earnings</w:t>
            </w:r>
          </w:p>
        </w:tc>
        <w:tc>
          <w:tcPr>
            <w:tcW w:w="0" w:type="dxa"/>
            <w:vAlign w:val="bottom"/>
          </w:tcPr>
          <w:p>
            <w:pPr>
              <w:spacing w:after="0"/>
              <w:rPr>
                <w:sz w:val="1"/>
                <w:szCs w:val="1"/>
                <w:color w:val="auto"/>
              </w:rPr>
            </w:pPr>
          </w:p>
        </w:tc>
      </w:tr>
      <w:tr>
        <w:trPr>
          <w:trHeight w:val="162"/>
        </w:trPr>
        <w:tc>
          <w:tcPr>
            <w:tcW w:w="2560" w:type="dxa"/>
            <w:vAlign w:val="bottom"/>
          </w:tcPr>
          <w:p>
            <w:pPr>
              <w:ind w:left="100"/>
              <w:spacing w:after="0"/>
              <w:rPr>
                <w:sz w:val="20"/>
                <w:szCs w:val="20"/>
                <w:color w:val="auto"/>
              </w:rPr>
            </w:pPr>
            <w:r>
              <w:rPr>
                <w:rFonts w:ascii="Arial" w:cs="Arial" w:eastAsia="Arial" w:hAnsi="Arial"/>
                <w:sz w:val="13"/>
                <w:szCs w:val="13"/>
                <w:color w:val="auto"/>
              </w:rPr>
              <w:t>second  tranche  of  the  2024</w:t>
            </w:r>
          </w:p>
        </w:tc>
        <w:tc>
          <w:tcPr>
            <w:tcW w:w="6720" w:type="dxa"/>
            <w:vAlign w:val="bottom"/>
          </w:tcPr>
          <w:p>
            <w:pPr>
              <w:ind w:left="1240"/>
              <w:spacing w:after="0"/>
              <w:rPr>
                <w:sz w:val="20"/>
                <w:szCs w:val="20"/>
                <w:color w:val="auto"/>
              </w:rPr>
            </w:pPr>
            <w:r>
              <w:rPr>
                <w:rFonts w:ascii="Arial" w:cs="Arial" w:eastAsia="Arial" w:hAnsi="Arial"/>
                <w:sz w:val="13"/>
                <w:szCs w:val="13"/>
                <w:color w:val="auto"/>
              </w:rPr>
              <w:t>growth  for  our  stockholders  in  2025  and  beyond.</w:t>
            </w:r>
          </w:p>
        </w:tc>
        <w:tc>
          <w:tcPr>
            <w:tcW w:w="0" w:type="dxa"/>
            <w:vAlign w:val="bottom"/>
          </w:tcPr>
          <w:p>
            <w:pPr>
              <w:spacing w:after="0"/>
              <w:rPr>
                <w:sz w:val="1"/>
                <w:szCs w:val="1"/>
                <w:color w:val="auto"/>
              </w:rPr>
            </w:pPr>
          </w:p>
        </w:tc>
      </w:tr>
      <w:tr>
        <w:trPr>
          <w:trHeight w:val="149"/>
        </w:trPr>
        <w:tc>
          <w:tcPr>
            <w:tcW w:w="2560" w:type="dxa"/>
            <w:vAlign w:val="bottom"/>
          </w:tcPr>
          <w:p>
            <w:pPr>
              <w:ind w:left="100"/>
              <w:spacing w:after="0"/>
              <w:rPr>
                <w:sz w:val="20"/>
                <w:szCs w:val="20"/>
                <w:color w:val="auto"/>
              </w:rPr>
            </w:pPr>
            <w:r>
              <w:rPr>
                <w:rFonts w:ascii="Arial" w:cs="Arial" w:eastAsia="Arial" w:hAnsi="Arial"/>
                <w:sz w:val="13"/>
                <w:szCs w:val="13"/>
                <w:color w:val="auto"/>
              </w:rPr>
              <w:t>Performance-Based  RSU  awards  and</w:t>
            </w:r>
          </w:p>
        </w:tc>
        <w:tc>
          <w:tcPr>
            <w:tcW w:w="6720" w:type="dxa"/>
            <w:vAlign w:val="bottom"/>
            <w:vMerge w:val="restart"/>
          </w:tcPr>
          <w:p>
            <w:pPr>
              <w:ind w:left="1240"/>
              <w:spacing w:after="0"/>
              <w:rPr>
                <w:sz w:val="20"/>
                <w:szCs w:val="20"/>
                <w:color w:val="auto"/>
              </w:rPr>
            </w:pPr>
            <w:r>
              <w:rPr>
                <w:rFonts w:ascii="Arial" w:cs="Arial" w:eastAsia="Arial" w:hAnsi="Arial"/>
                <w:sz w:val="13"/>
                <w:szCs w:val="13"/>
                <w:b w:val="1"/>
                <w:bCs w:val="1"/>
                <w:color w:val="auto"/>
              </w:rPr>
              <w:t>-Relative Adjusted Pre-Tax Margin (40%)—</w:t>
            </w:r>
            <w:r>
              <w:rPr>
                <w:rFonts w:ascii="Arial" w:cs="Arial" w:eastAsia="Arial" w:hAnsi="Arial"/>
                <w:sz w:val="13"/>
                <w:szCs w:val="13"/>
                <w:color w:val="auto"/>
              </w:rPr>
              <w:t>this  PBRSU  metric  is  based  on  Adjusted</w:t>
            </w:r>
          </w:p>
        </w:tc>
        <w:tc>
          <w:tcPr>
            <w:tcW w:w="0" w:type="dxa"/>
            <w:vAlign w:val="bottom"/>
          </w:tcPr>
          <w:p>
            <w:pPr>
              <w:spacing w:after="0"/>
              <w:rPr>
                <w:sz w:val="1"/>
                <w:szCs w:val="1"/>
                <w:color w:val="auto"/>
              </w:rPr>
            </w:pPr>
          </w:p>
        </w:tc>
      </w:tr>
      <w:tr>
        <w:trPr>
          <w:trHeight w:val="148"/>
        </w:trPr>
        <w:tc>
          <w:tcPr>
            <w:tcW w:w="2560" w:type="dxa"/>
            <w:vAlign w:val="bottom"/>
          </w:tcPr>
          <w:p>
            <w:pPr>
              <w:ind w:left="100"/>
              <w:spacing w:after="0"/>
              <w:rPr>
                <w:sz w:val="20"/>
                <w:szCs w:val="20"/>
                <w:color w:val="auto"/>
              </w:rPr>
            </w:pPr>
            <w:r>
              <w:rPr>
                <w:rFonts w:ascii="Arial" w:cs="Arial" w:eastAsia="Arial" w:hAnsi="Arial"/>
                <w:sz w:val="13"/>
                <w:szCs w:val="13"/>
                <w:color w:val="auto"/>
              </w:rPr>
              <w:t>the  third  tranche  of  the  2023</w:t>
            </w:r>
          </w:p>
        </w:tc>
        <w:tc>
          <w:tcPr>
            <w:tcW w:w="6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560" w:type="dxa"/>
            <w:vAlign w:val="bottom"/>
          </w:tcPr>
          <w:p>
            <w:pPr>
              <w:ind w:left="100"/>
              <w:spacing w:after="0"/>
              <w:rPr>
                <w:sz w:val="20"/>
                <w:szCs w:val="20"/>
                <w:color w:val="auto"/>
              </w:rPr>
            </w:pPr>
            <w:r>
              <w:rPr>
                <w:rFonts w:ascii="Arial" w:cs="Arial" w:eastAsia="Arial" w:hAnsi="Arial"/>
                <w:sz w:val="13"/>
                <w:szCs w:val="13"/>
                <w:color w:val="auto"/>
              </w:rPr>
              <w:t>Performance-Based  RSU  awards.</w:t>
            </w:r>
          </w:p>
        </w:tc>
        <w:tc>
          <w:tcPr>
            <w:tcW w:w="6720" w:type="dxa"/>
            <w:vAlign w:val="bottom"/>
          </w:tcPr>
          <w:p>
            <w:pPr>
              <w:ind w:left="1240"/>
              <w:spacing w:after="0"/>
              <w:rPr>
                <w:sz w:val="20"/>
                <w:szCs w:val="20"/>
                <w:color w:val="auto"/>
              </w:rPr>
            </w:pPr>
            <w:r>
              <w:rPr>
                <w:rFonts w:ascii="Arial" w:cs="Arial" w:eastAsia="Arial" w:hAnsi="Arial"/>
                <w:sz w:val="13"/>
                <w:szCs w:val="13"/>
                <w:color w:val="auto"/>
              </w:rPr>
              <w:t>Pre-Tax  Margin  relative  to  an  industry  peer  group  and  is  designed  to  focus</w:t>
            </w:r>
          </w:p>
        </w:tc>
        <w:tc>
          <w:tcPr>
            <w:tcW w:w="0" w:type="dxa"/>
            <w:vAlign w:val="bottom"/>
          </w:tcPr>
          <w:p>
            <w:pPr>
              <w:spacing w:after="0"/>
              <w:rPr>
                <w:sz w:val="1"/>
                <w:szCs w:val="1"/>
                <w:color w:val="auto"/>
              </w:rPr>
            </w:pPr>
          </w:p>
        </w:tc>
      </w:tr>
      <w:tr>
        <w:trPr>
          <w:trHeight w:val="162"/>
        </w:trPr>
        <w:tc>
          <w:tcPr>
            <w:tcW w:w="2560" w:type="dxa"/>
            <w:vAlign w:val="bottom"/>
          </w:tcPr>
          <w:p>
            <w:pPr>
              <w:spacing w:after="0"/>
              <w:rPr>
                <w:sz w:val="14"/>
                <w:szCs w:val="14"/>
                <w:color w:val="auto"/>
              </w:rPr>
            </w:pPr>
          </w:p>
        </w:tc>
        <w:tc>
          <w:tcPr>
            <w:tcW w:w="6720" w:type="dxa"/>
            <w:vAlign w:val="bottom"/>
          </w:tcPr>
          <w:p>
            <w:pPr>
              <w:ind w:left="1240"/>
              <w:spacing w:after="0"/>
              <w:rPr>
                <w:sz w:val="20"/>
                <w:szCs w:val="20"/>
                <w:color w:val="auto"/>
              </w:rPr>
            </w:pPr>
            <w:r>
              <w:rPr>
                <w:rFonts w:ascii="Arial" w:cs="Arial" w:eastAsia="Arial" w:hAnsi="Arial"/>
                <w:sz w:val="13"/>
                <w:szCs w:val="13"/>
                <w:color w:val="auto"/>
              </w:rPr>
              <w:t>management  on  our  commitments  to  our  stockholders  to  enhance  the  quality  of  our</w:t>
            </w:r>
          </w:p>
        </w:tc>
        <w:tc>
          <w:tcPr>
            <w:tcW w:w="0" w:type="dxa"/>
            <w:vAlign w:val="bottom"/>
          </w:tcPr>
          <w:p>
            <w:pPr>
              <w:spacing w:after="0"/>
              <w:rPr>
                <w:sz w:val="1"/>
                <w:szCs w:val="1"/>
                <w:color w:val="auto"/>
              </w:rPr>
            </w:pPr>
          </w:p>
        </w:tc>
      </w:tr>
      <w:tr>
        <w:trPr>
          <w:trHeight w:val="196"/>
        </w:trPr>
        <w:tc>
          <w:tcPr>
            <w:tcW w:w="2560" w:type="dxa"/>
            <w:vAlign w:val="bottom"/>
          </w:tcPr>
          <w:p>
            <w:pPr>
              <w:spacing w:after="0"/>
              <w:rPr>
                <w:sz w:val="17"/>
                <w:szCs w:val="17"/>
                <w:color w:val="auto"/>
              </w:rPr>
            </w:pPr>
          </w:p>
        </w:tc>
        <w:tc>
          <w:tcPr>
            <w:tcW w:w="6720" w:type="dxa"/>
            <w:vAlign w:val="bottom"/>
          </w:tcPr>
          <w:p>
            <w:pPr>
              <w:ind w:left="1240"/>
              <w:spacing w:after="0"/>
              <w:rPr>
                <w:sz w:val="20"/>
                <w:szCs w:val="20"/>
                <w:color w:val="auto"/>
              </w:rPr>
            </w:pPr>
            <w:r>
              <w:rPr>
                <w:rFonts w:ascii="Arial" w:cs="Arial" w:eastAsia="Arial" w:hAnsi="Arial"/>
                <w:sz w:val="13"/>
                <w:szCs w:val="13"/>
                <w:color w:val="auto"/>
              </w:rPr>
              <w:t>operating  earnings  by  focusing  on  pre-tax  margin.</w:t>
            </w:r>
          </w:p>
        </w:tc>
        <w:tc>
          <w:tcPr>
            <w:tcW w:w="0" w:type="dxa"/>
            <w:vAlign w:val="bottom"/>
          </w:tcPr>
          <w:p>
            <w:pPr>
              <w:spacing w:after="0"/>
              <w:rPr>
                <w:sz w:val="1"/>
                <w:szCs w:val="1"/>
                <w:color w:val="auto"/>
              </w:rPr>
            </w:pPr>
          </w:p>
        </w:tc>
      </w:tr>
      <w:tr>
        <w:trPr>
          <w:trHeight w:val="263"/>
        </w:trPr>
        <w:tc>
          <w:tcPr>
            <w:tcW w:w="2560" w:type="dxa"/>
            <w:vAlign w:val="bottom"/>
          </w:tcPr>
          <w:p>
            <w:pPr>
              <w:spacing w:after="0"/>
              <w:rPr>
                <w:sz w:val="22"/>
                <w:szCs w:val="22"/>
                <w:color w:val="auto"/>
              </w:rPr>
            </w:pPr>
          </w:p>
        </w:tc>
        <w:tc>
          <w:tcPr>
            <w:tcW w:w="6720" w:type="dxa"/>
            <w:vAlign w:val="bottom"/>
          </w:tcPr>
          <w:p>
            <w:pPr>
              <w:ind w:left="1240"/>
              <w:spacing w:after="0"/>
              <w:rPr>
                <w:sz w:val="20"/>
                <w:szCs w:val="20"/>
                <w:color w:val="auto"/>
              </w:rPr>
            </w:pPr>
            <w:r>
              <w:rPr>
                <w:rFonts w:ascii="Arial" w:cs="Arial" w:eastAsia="Arial" w:hAnsi="Arial"/>
                <w:sz w:val="13"/>
                <w:szCs w:val="13"/>
                <w:b w:val="1"/>
                <w:bCs w:val="1"/>
                <w:color w:val="auto"/>
              </w:rPr>
              <w:t>-Strategic Initiatives (20%)—</w:t>
            </w:r>
            <w:r>
              <w:rPr>
                <w:rFonts w:ascii="Arial" w:cs="Arial" w:eastAsia="Arial" w:hAnsi="Arial"/>
                <w:sz w:val="13"/>
                <w:szCs w:val="13"/>
                <w:color w:val="auto"/>
              </w:rPr>
              <w:t>this  PBRSU  metric  was  included  to  incentivize</w:t>
            </w:r>
          </w:p>
        </w:tc>
        <w:tc>
          <w:tcPr>
            <w:tcW w:w="0" w:type="dxa"/>
            <w:vAlign w:val="bottom"/>
          </w:tcPr>
          <w:p>
            <w:pPr>
              <w:spacing w:after="0"/>
              <w:rPr>
                <w:sz w:val="1"/>
                <w:szCs w:val="1"/>
                <w:color w:val="auto"/>
              </w:rPr>
            </w:pPr>
          </w:p>
        </w:tc>
      </w:tr>
      <w:tr>
        <w:trPr>
          <w:trHeight w:val="162"/>
        </w:trPr>
        <w:tc>
          <w:tcPr>
            <w:tcW w:w="2560" w:type="dxa"/>
            <w:vAlign w:val="bottom"/>
          </w:tcPr>
          <w:p>
            <w:pPr>
              <w:spacing w:after="0"/>
              <w:rPr>
                <w:sz w:val="14"/>
                <w:szCs w:val="14"/>
                <w:color w:val="auto"/>
              </w:rPr>
            </w:pPr>
          </w:p>
        </w:tc>
        <w:tc>
          <w:tcPr>
            <w:tcW w:w="6720" w:type="dxa"/>
            <w:vAlign w:val="bottom"/>
          </w:tcPr>
          <w:p>
            <w:pPr>
              <w:ind w:left="1240"/>
              <w:spacing w:after="0"/>
              <w:rPr>
                <w:sz w:val="20"/>
                <w:szCs w:val="20"/>
                <w:color w:val="auto"/>
              </w:rPr>
            </w:pPr>
            <w:r>
              <w:rPr>
                <w:rFonts w:ascii="Arial" w:cs="Arial" w:eastAsia="Arial" w:hAnsi="Arial"/>
                <w:sz w:val="13"/>
                <w:szCs w:val="13"/>
                <w:color w:val="auto"/>
              </w:rPr>
              <w:t>management  to  reach  various  performance  indicators  relating  to  transforming  our</w:t>
            </w:r>
          </w:p>
        </w:tc>
        <w:tc>
          <w:tcPr>
            <w:tcW w:w="0" w:type="dxa"/>
            <w:vAlign w:val="bottom"/>
          </w:tcPr>
          <w:p>
            <w:pPr>
              <w:spacing w:after="0"/>
              <w:rPr>
                <w:sz w:val="1"/>
                <w:szCs w:val="1"/>
                <w:color w:val="auto"/>
              </w:rPr>
            </w:pPr>
          </w:p>
        </w:tc>
      </w:tr>
      <w:tr>
        <w:trPr>
          <w:trHeight w:val="162"/>
        </w:trPr>
        <w:tc>
          <w:tcPr>
            <w:tcW w:w="2560" w:type="dxa"/>
            <w:vAlign w:val="bottom"/>
          </w:tcPr>
          <w:p>
            <w:pPr>
              <w:spacing w:after="0"/>
              <w:rPr>
                <w:sz w:val="14"/>
                <w:szCs w:val="14"/>
                <w:color w:val="auto"/>
              </w:rPr>
            </w:pPr>
          </w:p>
        </w:tc>
        <w:tc>
          <w:tcPr>
            <w:tcW w:w="6720" w:type="dxa"/>
            <w:vAlign w:val="bottom"/>
          </w:tcPr>
          <w:p>
            <w:pPr>
              <w:ind w:left="1240"/>
              <w:spacing w:after="0"/>
              <w:rPr>
                <w:sz w:val="20"/>
                <w:szCs w:val="20"/>
                <w:color w:val="auto"/>
              </w:rPr>
            </w:pPr>
            <w:r>
              <w:rPr>
                <w:rFonts w:ascii="Arial" w:cs="Arial" w:eastAsia="Arial" w:hAnsi="Arial"/>
                <w:sz w:val="13"/>
                <w:szCs w:val="13"/>
                <w:color w:val="auto"/>
              </w:rPr>
              <w:t>technology  and  enhancing  and  modernizing  experiences  for  our  customers  and  our</w:t>
            </w:r>
          </w:p>
        </w:tc>
        <w:tc>
          <w:tcPr>
            <w:tcW w:w="0" w:type="dxa"/>
            <w:vAlign w:val="bottom"/>
          </w:tcPr>
          <w:p>
            <w:pPr>
              <w:spacing w:after="0"/>
              <w:rPr>
                <w:sz w:val="1"/>
                <w:szCs w:val="1"/>
                <w:color w:val="auto"/>
              </w:rPr>
            </w:pPr>
          </w:p>
        </w:tc>
      </w:tr>
      <w:tr>
        <w:trPr>
          <w:trHeight w:val="196"/>
        </w:trPr>
        <w:tc>
          <w:tcPr>
            <w:tcW w:w="2560" w:type="dxa"/>
            <w:vAlign w:val="bottom"/>
          </w:tcPr>
          <w:p>
            <w:pPr>
              <w:spacing w:after="0"/>
              <w:rPr>
                <w:sz w:val="17"/>
                <w:szCs w:val="17"/>
                <w:color w:val="auto"/>
              </w:rPr>
            </w:pPr>
          </w:p>
        </w:tc>
        <w:tc>
          <w:tcPr>
            <w:tcW w:w="6720" w:type="dxa"/>
            <w:vAlign w:val="bottom"/>
          </w:tcPr>
          <w:p>
            <w:pPr>
              <w:ind w:left="1240"/>
              <w:spacing w:after="0"/>
              <w:rPr>
                <w:sz w:val="20"/>
                <w:szCs w:val="20"/>
                <w:color w:val="auto"/>
              </w:rPr>
            </w:pPr>
            <w:r>
              <w:rPr>
                <w:rFonts w:ascii="Arial" w:cs="Arial" w:eastAsia="Arial" w:hAnsi="Arial"/>
                <w:sz w:val="13"/>
                <w:szCs w:val="13"/>
                <w:color w:val="auto"/>
              </w:rPr>
              <w:t>employees.</w:t>
            </w:r>
          </w:p>
        </w:tc>
        <w:tc>
          <w:tcPr>
            <w:tcW w:w="0" w:type="dxa"/>
            <w:vAlign w:val="bottom"/>
          </w:tcPr>
          <w:p>
            <w:pPr>
              <w:spacing w:after="0"/>
              <w:rPr>
                <w:sz w:val="1"/>
                <w:szCs w:val="1"/>
                <w:color w:val="auto"/>
              </w:rPr>
            </w:pPr>
          </w:p>
        </w:tc>
      </w:tr>
      <w:tr>
        <w:trPr>
          <w:trHeight w:val="195"/>
        </w:trPr>
        <w:tc>
          <w:tcPr>
            <w:tcW w:w="2560" w:type="dxa"/>
            <w:vAlign w:val="bottom"/>
          </w:tcPr>
          <w:p>
            <w:pPr>
              <w:spacing w:after="0"/>
              <w:rPr>
                <w:sz w:val="16"/>
                <w:szCs w:val="16"/>
                <w:color w:val="auto"/>
              </w:rPr>
            </w:pPr>
          </w:p>
        </w:tc>
        <w:tc>
          <w:tcPr>
            <w:tcW w:w="6720" w:type="dxa"/>
            <w:vAlign w:val="bottom"/>
          </w:tcPr>
          <w:p>
            <w:pPr>
              <w:ind w:left="1240"/>
              <w:spacing w:after="0"/>
              <w:rPr>
                <w:sz w:val="20"/>
                <w:szCs w:val="20"/>
                <w:color w:val="auto"/>
              </w:rPr>
            </w:pPr>
            <w:r>
              <w:rPr>
                <w:rFonts w:ascii="Arial" w:cs="Arial" w:eastAsia="Arial" w:hAnsi="Arial"/>
                <w:sz w:val="13"/>
                <w:szCs w:val="13"/>
                <w:b w:val="1"/>
                <w:bCs w:val="1"/>
                <w:color w:val="auto"/>
              </w:rPr>
              <w:t>-Liquidity (100%)—</w:t>
            </w:r>
            <w:r>
              <w:rPr>
                <w:rFonts w:ascii="Arial" w:cs="Arial" w:eastAsia="Arial" w:hAnsi="Arial"/>
                <w:sz w:val="13"/>
                <w:szCs w:val="13"/>
                <w:color w:val="auto"/>
              </w:rPr>
              <w:t>vesting  of  PBRSUs  is  also  subject  to  an  $8  billion  cash  liquidity</w:t>
            </w:r>
          </w:p>
        </w:tc>
        <w:tc>
          <w:tcPr>
            <w:tcW w:w="0" w:type="dxa"/>
            <w:vAlign w:val="bottom"/>
          </w:tcPr>
          <w:p>
            <w:pPr>
              <w:spacing w:after="0"/>
              <w:rPr>
                <w:sz w:val="1"/>
                <w:szCs w:val="1"/>
                <w:color w:val="auto"/>
              </w:rPr>
            </w:pPr>
          </w:p>
        </w:tc>
      </w:tr>
      <w:tr>
        <w:trPr>
          <w:trHeight w:val="196"/>
        </w:trPr>
        <w:tc>
          <w:tcPr>
            <w:tcW w:w="2560" w:type="dxa"/>
            <w:vAlign w:val="bottom"/>
          </w:tcPr>
          <w:p>
            <w:pPr>
              <w:spacing w:after="0"/>
              <w:rPr>
                <w:sz w:val="17"/>
                <w:szCs w:val="17"/>
                <w:color w:val="auto"/>
              </w:rPr>
            </w:pPr>
          </w:p>
        </w:tc>
        <w:tc>
          <w:tcPr>
            <w:tcW w:w="6720" w:type="dxa"/>
            <w:vAlign w:val="bottom"/>
          </w:tcPr>
          <w:p>
            <w:pPr>
              <w:ind w:left="1240"/>
              <w:spacing w:after="0"/>
              <w:rPr>
                <w:sz w:val="20"/>
                <w:szCs w:val="20"/>
                <w:color w:val="auto"/>
              </w:rPr>
            </w:pPr>
            <w:r>
              <w:rPr>
                <w:rFonts w:ascii="Arial" w:cs="Arial" w:eastAsia="Arial" w:hAnsi="Arial"/>
                <w:sz w:val="13"/>
                <w:szCs w:val="13"/>
                <w:color w:val="auto"/>
              </w:rPr>
              <w:t>hurdle  at  the  end  of  the  three-year  performance  period.</w:t>
            </w:r>
          </w:p>
        </w:tc>
        <w:tc>
          <w:tcPr>
            <w:tcW w:w="0" w:type="dxa"/>
            <w:vAlign w:val="bottom"/>
          </w:tcPr>
          <w:p>
            <w:pPr>
              <w:spacing w:after="0"/>
              <w:rPr>
                <w:sz w:val="1"/>
                <w:szCs w:val="1"/>
                <w:color w:val="auto"/>
              </w:rPr>
            </w:pPr>
          </w:p>
        </w:tc>
      </w:tr>
      <w:tr>
        <w:trPr>
          <w:trHeight w:val="56"/>
        </w:trPr>
        <w:tc>
          <w:tcPr>
            <w:tcW w:w="2560" w:type="dxa"/>
            <w:vAlign w:val="bottom"/>
          </w:tcPr>
          <w:p>
            <w:pPr>
              <w:spacing w:after="0"/>
              <w:rPr>
                <w:sz w:val="4"/>
                <w:szCs w:val="4"/>
                <w:color w:val="auto"/>
              </w:rPr>
            </w:pPr>
          </w:p>
        </w:tc>
        <w:tc>
          <w:tcPr>
            <w:tcW w:w="67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2560" w:type="dxa"/>
            <w:vAlign w:val="bottom"/>
          </w:tcPr>
          <w:p>
            <w:pPr>
              <w:spacing w:after="0"/>
              <w:rPr>
                <w:sz w:val="17"/>
                <w:szCs w:val="17"/>
                <w:color w:val="auto"/>
              </w:rPr>
            </w:pPr>
          </w:p>
        </w:tc>
        <w:tc>
          <w:tcPr>
            <w:tcW w:w="6720" w:type="dxa"/>
            <w:vAlign w:val="bottom"/>
          </w:tcPr>
          <w:p>
            <w:pPr>
              <w:ind w:left="980"/>
              <w:spacing w:after="0"/>
              <w:rPr>
                <w:sz w:val="20"/>
                <w:szCs w:val="20"/>
                <w:color w:val="auto"/>
              </w:rPr>
            </w:pPr>
            <w:r>
              <w:rPr>
                <w:rFonts w:ascii="Arial" w:cs="Arial" w:eastAsia="Arial" w:hAnsi="Arial"/>
                <w:sz w:val="13"/>
                <w:szCs w:val="13"/>
                <w:b w:val="1"/>
                <w:bCs w:val="1"/>
                <w:color w:val="auto"/>
              </w:rPr>
              <w:t>Time-Based RSUs (50% of LTI opportunity)—</w:t>
            </w:r>
            <w:r>
              <w:rPr>
                <w:rFonts w:ascii="Arial" w:cs="Arial" w:eastAsia="Arial" w:hAnsi="Arial"/>
                <w:sz w:val="13"/>
                <w:szCs w:val="13"/>
                <w:color w:val="auto"/>
              </w:rPr>
              <w:t>the  remaining  half  of  the  2025  LTI</w:t>
            </w:r>
          </w:p>
        </w:tc>
        <w:tc>
          <w:tcPr>
            <w:tcW w:w="0" w:type="dxa"/>
            <w:vAlign w:val="bottom"/>
          </w:tcPr>
          <w:p>
            <w:pPr>
              <w:spacing w:after="0"/>
              <w:rPr>
                <w:sz w:val="1"/>
                <w:szCs w:val="1"/>
                <w:color w:val="auto"/>
              </w:rPr>
            </w:pPr>
          </w:p>
        </w:tc>
      </w:tr>
      <w:tr>
        <w:trPr>
          <w:trHeight w:val="162"/>
        </w:trPr>
        <w:tc>
          <w:tcPr>
            <w:tcW w:w="2560" w:type="dxa"/>
            <w:vAlign w:val="bottom"/>
          </w:tcPr>
          <w:p>
            <w:pPr>
              <w:spacing w:after="0"/>
              <w:rPr>
                <w:sz w:val="14"/>
                <w:szCs w:val="14"/>
                <w:color w:val="auto"/>
              </w:rPr>
            </w:pPr>
          </w:p>
        </w:tc>
        <w:tc>
          <w:tcPr>
            <w:tcW w:w="6720" w:type="dxa"/>
            <w:vAlign w:val="bottom"/>
          </w:tcPr>
          <w:p>
            <w:pPr>
              <w:ind w:left="980"/>
              <w:spacing w:after="0"/>
              <w:rPr>
                <w:sz w:val="20"/>
                <w:szCs w:val="20"/>
                <w:color w:val="auto"/>
              </w:rPr>
            </w:pPr>
            <w:r>
              <w:rPr>
                <w:rFonts w:ascii="Arial" w:cs="Arial" w:eastAsia="Arial" w:hAnsi="Arial"/>
                <w:sz w:val="13"/>
                <w:szCs w:val="13"/>
                <w:color w:val="auto"/>
              </w:rPr>
              <w:t>opportunity  was  delivered  in  the  form  of  time-based  RSU  awards  that  vest  in  one-third</w:t>
            </w:r>
          </w:p>
        </w:tc>
        <w:tc>
          <w:tcPr>
            <w:tcW w:w="0" w:type="dxa"/>
            <w:vAlign w:val="bottom"/>
          </w:tcPr>
          <w:p>
            <w:pPr>
              <w:spacing w:after="0"/>
              <w:rPr>
                <w:sz w:val="1"/>
                <w:szCs w:val="1"/>
                <w:color w:val="auto"/>
              </w:rPr>
            </w:pPr>
          </w:p>
        </w:tc>
      </w:tr>
      <w:tr>
        <w:trPr>
          <w:trHeight w:val="162"/>
        </w:trPr>
        <w:tc>
          <w:tcPr>
            <w:tcW w:w="2560" w:type="dxa"/>
            <w:vAlign w:val="bottom"/>
          </w:tcPr>
          <w:p>
            <w:pPr>
              <w:spacing w:after="0"/>
              <w:rPr>
                <w:sz w:val="14"/>
                <w:szCs w:val="14"/>
                <w:color w:val="auto"/>
              </w:rPr>
            </w:pPr>
          </w:p>
        </w:tc>
        <w:tc>
          <w:tcPr>
            <w:tcW w:w="6720" w:type="dxa"/>
            <w:vAlign w:val="bottom"/>
          </w:tcPr>
          <w:p>
            <w:pPr>
              <w:ind w:left="980"/>
              <w:spacing w:after="0"/>
              <w:rPr>
                <w:sz w:val="20"/>
                <w:szCs w:val="20"/>
                <w:color w:val="auto"/>
              </w:rPr>
            </w:pPr>
            <w:r>
              <w:rPr>
                <w:rFonts w:ascii="Arial" w:cs="Arial" w:eastAsia="Arial" w:hAnsi="Arial"/>
                <w:sz w:val="13"/>
                <w:szCs w:val="13"/>
                <w:color w:val="auto"/>
              </w:rPr>
              <w:t>increments  over  three  years,  subject  to  continued  service  requirements.  Time-based</w:t>
            </w:r>
          </w:p>
        </w:tc>
        <w:tc>
          <w:tcPr>
            <w:tcW w:w="0" w:type="dxa"/>
            <w:vAlign w:val="bottom"/>
          </w:tcPr>
          <w:p>
            <w:pPr>
              <w:spacing w:after="0"/>
              <w:rPr>
                <w:sz w:val="1"/>
                <w:szCs w:val="1"/>
                <w:color w:val="auto"/>
              </w:rPr>
            </w:pPr>
          </w:p>
        </w:tc>
      </w:tr>
      <w:tr>
        <w:trPr>
          <w:trHeight w:val="148"/>
        </w:trPr>
        <w:tc>
          <w:tcPr>
            <w:tcW w:w="2560" w:type="dxa"/>
            <w:vAlign w:val="bottom"/>
          </w:tcPr>
          <w:p>
            <w:pPr>
              <w:spacing w:after="0"/>
              <w:rPr>
                <w:sz w:val="12"/>
                <w:szCs w:val="12"/>
                <w:color w:val="auto"/>
              </w:rPr>
            </w:pPr>
          </w:p>
        </w:tc>
        <w:tc>
          <w:tcPr>
            <w:tcW w:w="6720" w:type="dxa"/>
            <w:vAlign w:val="bottom"/>
          </w:tcPr>
          <w:p>
            <w:pPr>
              <w:ind w:left="980"/>
              <w:spacing w:after="0"/>
              <w:rPr>
                <w:sz w:val="20"/>
                <w:szCs w:val="20"/>
                <w:color w:val="auto"/>
              </w:rPr>
            </w:pPr>
            <w:r>
              <w:rPr>
                <w:rFonts w:ascii="Arial" w:cs="Arial" w:eastAsia="Arial" w:hAnsi="Arial"/>
                <w:sz w:val="13"/>
                <w:szCs w:val="13"/>
                <w:color w:val="auto"/>
              </w:rPr>
              <w:t>RSUs  incentivize  long-term  retention  of  our  NEOs  while  still  providing  alignment  of</w:t>
            </w:r>
          </w:p>
        </w:tc>
        <w:tc>
          <w:tcPr>
            <w:tcW w:w="0" w:type="dxa"/>
            <w:vAlign w:val="bottom"/>
          </w:tcPr>
          <w:p>
            <w:pPr>
              <w:spacing w:after="0"/>
              <w:rPr>
                <w:sz w:val="1"/>
                <w:szCs w:val="1"/>
                <w:color w:val="auto"/>
              </w:rPr>
            </w:pPr>
          </w:p>
        </w:tc>
      </w:tr>
      <w:tr>
        <w:trPr>
          <w:trHeight w:val="196"/>
        </w:trPr>
        <w:tc>
          <w:tcPr>
            <w:tcW w:w="2560" w:type="dxa"/>
            <w:vAlign w:val="bottom"/>
          </w:tcPr>
          <w:p>
            <w:pPr>
              <w:spacing w:after="0"/>
              <w:rPr>
                <w:sz w:val="17"/>
                <w:szCs w:val="17"/>
                <w:color w:val="auto"/>
              </w:rPr>
            </w:pPr>
          </w:p>
        </w:tc>
        <w:tc>
          <w:tcPr>
            <w:tcW w:w="6720" w:type="dxa"/>
            <w:vAlign w:val="bottom"/>
          </w:tcPr>
          <w:p>
            <w:pPr>
              <w:ind w:left="980"/>
              <w:spacing w:after="0"/>
              <w:rPr>
                <w:sz w:val="20"/>
                <w:szCs w:val="20"/>
                <w:color w:val="auto"/>
              </w:rPr>
            </w:pPr>
            <w:r>
              <w:rPr>
                <w:rFonts w:ascii="Arial" w:cs="Arial" w:eastAsia="Arial" w:hAnsi="Arial"/>
                <w:sz w:val="13"/>
                <w:szCs w:val="13"/>
                <w:color w:val="auto"/>
              </w:rPr>
              <w:t>compensation  with  stockholder  interests.</w:t>
            </w:r>
          </w:p>
        </w:tc>
        <w:tc>
          <w:tcPr>
            <w:tcW w:w="0" w:type="dxa"/>
            <w:vAlign w:val="bottom"/>
          </w:tcPr>
          <w:p>
            <w:pPr>
              <w:spacing w:after="0"/>
              <w:rPr>
                <w:sz w:val="1"/>
                <w:szCs w:val="1"/>
                <w:color w:val="auto"/>
              </w:rPr>
            </w:pPr>
          </w:p>
        </w:tc>
      </w:tr>
      <w:tr>
        <w:trPr>
          <w:trHeight w:val="69"/>
        </w:trPr>
        <w:tc>
          <w:tcPr>
            <w:tcW w:w="2560" w:type="dxa"/>
            <w:vAlign w:val="bottom"/>
            <w:tcBorders>
              <w:bottom w:val="single" w:sz="8" w:color="808080"/>
            </w:tcBorders>
          </w:tcPr>
          <w:p>
            <w:pPr>
              <w:spacing w:after="0"/>
              <w:rPr>
                <w:sz w:val="6"/>
                <w:szCs w:val="6"/>
                <w:color w:val="auto"/>
              </w:rPr>
            </w:pPr>
          </w:p>
        </w:tc>
        <w:tc>
          <w:tcPr>
            <w:tcW w:w="67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81" w:space="152"/>
            <w:col w:w="9280"/>
          </w:cols>
          <w:pgMar w:left="987" w:top="695" w:right="10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ind w:right="7720"/>
        <w:spacing w:after="0"/>
        <w:rPr>
          <w:sz w:val="20"/>
          <w:szCs w:val="20"/>
          <w:color w:val="auto"/>
        </w:rPr>
      </w:pPr>
      <w:r>
        <w:rPr>
          <w:rFonts w:ascii="Arial" w:cs="Arial" w:eastAsia="Arial" w:hAnsi="Arial"/>
          <w:sz w:val="16"/>
          <w:szCs w:val="16"/>
          <w:color w:val="auto"/>
        </w:rPr>
        <w:t>​​2026​  Proxy</w:t>
      </w:r>
    </w:p>
    <w:p>
      <w:pPr>
        <w:spacing w:after="0" w:line="5" w:lineRule="exact"/>
        <w:rPr>
          <w:sz w:val="20"/>
          <w:szCs w:val="20"/>
          <w:color w:val="auto"/>
        </w:rPr>
      </w:pPr>
    </w:p>
    <w:p>
      <w:pPr>
        <w:ind w:left="753" w:hanging="656"/>
        <w:spacing w:after="0"/>
        <w:tabs>
          <w:tab w:leader="none" w:pos="753" w:val="left"/>
        </w:tabs>
        <w:numPr>
          <w:ilvl w:val="0"/>
          <w:numId w:val="84"/>
        </w:numPr>
        <w:rPr>
          <w:rFonts w:ascii="Arial" w:cs="Arial" w:eastAsia="Arial" w:hAnsi="Arial"/>
          <w:sz w:val="16"/>
          <w:szCs w:val="16"/>
          <w:b w:val="1"/>
          <w:bCs w:val="1"/>
          <w:color w:val="1414D2"/>
        </w:rPr>
      </w:pPr>
      <w:r>
        <w:rPr>
          <w:rFonts w:ascii="Arial" w:cs="Arial" w:eastAsia="Arial" w:hAnsi="Arial"/>
          <w:sz w:val="16"/>
          <w:szCs w:val="16"/>
          <w:color w:val="auto"/>
        </w:rPr>
        <w:t>Statement</w:t>
      </w:r>
    </w:p>
    <w:p>
      <w:pPr>
        <w:sectPr>
          <w:pgSz w:w="11900" w:h="16838" w:orient="portrait"/>
          <w:cols w:equalWidth="0" w:num="1">
            <w:col w:w="9813"/>
          </w:cols>
          <w:pgMar w:left="987" w:top="695" w:right="1099" w:bottom="1440" w:gutter="0" w:footer="0" w:header="0"/>
          <w:type w:val="continuous"/>
        </w:sectPr>
      </w:pPr>
    </w:p>
    <w:bookmarkStart w:id="89" w:name="page90"/>
    <w:bookmarkEnd w:id="89"/>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27" w:lineRule="exact"/>
        <w:rPr>
          <w:sz w:val="20"/>
          <w:szCs w:val="20"/>
          <w:color w:val="auto"/>
        </w:rPr>
      </w:pPr>
    </w:p>
    <w:p>
      <w:pPr>
        <w:jc w:val="right"/>
        <w:spacing w:after="0"/>
        <w:rPr>
          <w:sz w:val="20"/>
          <w:szCs w:val="20"/>
          <w:color w:val="auto"/>
        </w:rPr>
      </w:pPr>
      <w:r>
        <w:rPr>
          <w:rFonts w:ascii="Arial" w:cs="Arial" w:eastAsia="Arial" w:hAnsi="Arial"/>
          <w:sz w:val="14"/>
          <w:szCs w:val="14"/>
          <w:color w:val="6D6F71"/>
        </w:rPr>
        <w:t>Compensation  Discussion  and  Analysis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2025 PAY SUMMARY</w:t>
      </w:r>
    </w:p>
    <w:p>
      <w:pPr>
        <w:spacing w:after="0" w:line="113"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summarizes  annual  target  compensation  efective  as  of  December  31,  2025  based  on  decisions  made  by  the</w:t>
      </w:r>
    </w:p>
    <w:p>
      <w:pPr>
        <w:spacing w:after="0" w:line="30"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Committee with respect to each of the NEOs during fscal year 2025. Note that the target grant values associated with 2025 awards of PBRSUs in the table below refect the full target value of all three annual tranches of the awards, despite the fact that the portions attributable to performance measures in 2026 and 2027 will not be treated as formally “granted” for purposes of the proxy tables following this CD&amp;A, such as the 2025 Summary Compensation Table and the Grants of Plan-Based Awards for</w:t>
      </w:r>
    </w:p>
    <w:p>
      <w:pPr>
        <w:spacing w:after="0" w:line="3" w:lineRule="exact"/>
        <w:rPr>
          <w:sz w:val="20"/>
          <w:szCs w:val="20"/>
          <w:color w:val="auto"/>
        </w:rPr>
      </w:pPr>
    </w:p>
    <w:p>
      <w:pPr>
        <w:ind w:right="200"/>
        <w:spacing w:after="0" w:line="279" w:lineRule="auto"/>
        <w:rPr>
          <w:sz w:val="20"/>
          <w:szCs w:val="20"/>
          <w:color w:val="auto"/>
        </w:rPr>
      </w:pPr>
      <w:r>
        <w:rPr>
          <w:rFonts w:ascii="Arial" w:cs="Arial" w:eastAsia="Arial" w:hAnsi="Arial"/>
          <w:sz w:val="16"/>
          <w:szCs w:val="16"/>
          <w:color w:val="auto"/>
        </w:rPr>
        <w:t>2025 table, until the performance measures for those future tranches are established. Accordingly, the target values for the PBRSU awards refected in the table below difer from those of the subsequent proxy tables, which, consistent with disclosure rules, are included as grants only when the performance measures for each year are established.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220" w:type="dxa"/>
            <w:vAlign w:val="bottom"/>
            <w:tcBorders>
              <w:top w:val="single" w:sz="8" w:color="1414D2"/>
            </w:tcBorders>
            <w:shd w:val="clear" w:color="auto" w:fill="F2F2F2"/>
          </w:tcPr>
          <w:p>
            <w:pPr>
              <w:spacing w:after="0"/>
              <w:rPr>
                <w:sz w:val="18"/>
                <w:szCs w:val="18"/>
                <w:color w:val="auto"/>
              </w:rPr>
            </w:pPr>
          </w:p>
        </w:tc>
        <w:tc>
          <w:tcPr>
            <w:tcW w:w="380" w:type="dxa"/>
            <w:vAlign w:val="bottom"/>
            <w:tcBorders>
              <w:top w:val="single" w:sz="8" w:color="1414D2"/>
            </w:tcBorders>
            <w:gridSpan w:val="2"/>
            <w:shd w:val="clear" w:color="auto" w:fill="F2F2F2"/>
          </w:tcPr>
          <w:p>
            <w:pPr>
              <w:jc w:val="right"/>
              <w:ind w:right="160"/>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1414D2"/>
            </w:tcBorders>
            <w:shd w:val="clear" w:color="auto" w:fill="F2F2F2"/>
          </w:tcPr>
          <w:p>
            <w:pPr>
              <w:spacing w:after="0"/>
              <w:rPr>
                <w:sz w:val="18"/>
                <w:szCs w:val="18"/>
                <w:color w:val="auto"/>
              </w:rPr>
            </w:pPr>
          </w:p>
        </w:tc>
        <w:tc>
          <w:tcPr>
            <w:tcW w:w="220" w:type="dxa"/>
            <w:vAlign w:val="bottom"/>
            <w:tcBorders>
              <w:top w:val="single" w:sz="8" w:color="1414D2"/>
            </w:tcBorders>
            <w:shd w:val="clear" w:color="auto" w:fill="F2F2F2"/>
          </w:tcPr>
          <w:p>
            <w:pPr>
              <w:spacing w:after="0"/>
              <w:rPr>
                <w:sz w:val="18"/>
                <w:szCs w:val="18"/>
                <w:color w:val="auto"/>
              </w:rPr>
            </w:pPr>
          </w:p>
        </w:tc>
        <w:tc>
          <w:tcPr>
            <w:tcW w:w="160" w:type="dxa"/>
            <w:vAlign w:val="bottom"/>
            <w:tcBorders>
              <w:top w:val="single" w:sz="8" w:color="1414D2"/>
            </w:tcBorders>
            <w:shd w:val="clear" w:color="auto" w:fill="F2F2F2"/>
          </w:tcPr>
          <w:p>
            <w:pPr>
              <w:spacing w:after="0"/>
              <w:rPr>
                <w:sz w:val="18"/>
                <w:szCs w:val="18"/>
                <w:color w:val="auto"/>
              </w:rPr>
            </w:pPr>
          </w:p>
        </w:tc>
        <w:tc>
          <w:tcPr>
            <w:tcW w:w="3480" w:type="dxa"/>
            <w:vAlign w:val="bottom"/>
            <w:tcBorders>
              <w:top w:val="single" w:sz="8" w:color="1414D2"/>
            </w:tcBorders>
            <w:gridSpan w:val="5"/>
            <w:shd w:val="clear" w:color="auto" w:fill="F2F2F2"/>
          </w:tcPr>
          <w:p>
            <w:pPr>
              <w:jc w:val="center"/>
              <w:ind w:right="124"/>
              <w:spacing w:after="0"/>
              <w:rPr>
                <w:sz w:val="20"/>
                <w:szCs w:val="20"/>
                <w:color w:val="auto"/>
              </w:rPr>
            </w:pPr>
            <w:r>
              <w:rPr>
                <w:rFonts w:ascii="Arial" w:cs="Arial" w:eastAsia="Arial" w:hAnsi="Arial"/>
                <w:sz w:val="14"/>
                <w:szCs w:val="14"/>
                <w:b w:val="1"/>
                <w:bCs w:val="1"/>
                <w:color w:val="auto"/>
              </w:rPr>
              <w:t>Target NEO Compensation as of 12/31/2025</w:t>
            </w:r>
          </w:p>
        </w:tc>
        <w:tc>
          <w:tcPr>
            <w:tcW w:w="320" w:type="dxa"/>
            <w:vAlign w:val="bottom"/>
            <w:tcBorders>
              <w:top w:val="single" w:sz="8" w:color="1414D2"/>
            </w:tcBorders>
            <w:shd w:val="clear" w:color="auto" w:fill="F2F2F2"/>
          </w:tcPr>
          <w:p>
            <w:pPr>
              <w:spacing w:after="0"/>
              <w:rPr>
                <w:sz w:val="18"/>
                <w:szCs w:val="18"/>
                <w:color w:val="auto"/>
              </w:rPr>
            </w:pPr>
          </w:p>
        </w:tc>
        <w:tc>
          <w:tcPr>
            <w:tcW w:w="1020" w:type="dxa"/>
            <w:vAlign w:val="bottom"/>
            <w:tcBorders>
              <w:top w:val="single" w:sz="8" w:color="1414D2"/>
            </w:tcBorders>
            <w:shd w:val="clear" w:color="auto" w:fill="F2F2F2"/>
          </w:tcPr>
          <w:p>
            <w:pPr>
              <w:spacing w:after="0"/>
              <w:rPr>
                <w:sz w:val="18"/>
                <w:szCs w:val="18"/>
                <w:color w:val="auto"/>
              </w:rPr>
            </w:pPr>
          </w:p>
        </w:tc>
      </w:tr>
      <w:tr>
        <w:trPr>
          <w:trHeight w:val="157"/>
        </w:trPr>
        <w:tc>
          <w:tcPr>
            <w:tcW w:w="3220" w:type="dxa"/>
            <w:vAlign w:val="bottom"/>
            <w:tcBorders>
              <w:top w:val="single" w:sz="8" w:color="F2F2F2"/>
            </w:tcBorders>
            <w:shd w:val="clear" w:color="auto" w:fill="F2F2F2"/>
          </w:tcPr>
          <w:p>
            <w:pPr>
              <w:spacing w:after="0"/>
              <w:rPr>
                <w:sz w:val="13"/>
                <w:szCs w:val="13"/>
                <w:color w:val="auto"/>
              </w:rPr>
            </w:pPr>
          </w:p>
        </w:tc>
        <w:tc>
          <w:tcPr>
            <w:tcW w:w="220" w:type="dxa"/>
            <w:vAlign w:val="bottom"/>
            <w:tcBorders>
              <w:top w:val="single" w:sz="8" w:color="F2F2F2"/>
            </w:tcBorders>
            <w:shd w:val="clear" w:color="auto" w:fill="F2F2F2"/>
          </w:tcPr>
          <w:p>
            <w:pPr>
              <w:spacing w:after="0"/>
              <w:rPr>
                <w:sz w:val="13"/>
                <w:szCs w:val="13"/>
                <w:color w:val="auto"/>
              </w:rPr>
            </w:pPr>
          </w:p>
        </w:tc>
        <w:tc>
          <w:tcPr>
            <w:tcW w:w="160" w:type="dxa"/>
            <w:vAlign w:val="bottom"/>
            <w:tcBorders>
              <w:top w:val="single" w:sz="8" w:color="1414D2"/>
            </w:tcBorders>
            <w:shd w:val="clear" w:color="auto" w:fill="F2F2F2"/>
          </w:tcPr>
          <w:p>
            <w:pPr>
              <w:spacing w:after="0"/>
              <w:rPr>
                <w:sz w:val="13"/>
                <w:szCs w:val="13"/>
                <w:color w:val="auto"/>
              </w:rPr>
            </w:pPr>
          </w:p>
        </w:tc>
        <w:tc>
          <w:tcPr>
            <w:tcW w:w="920" w:type="dxa"/>
            <w:vAlign w:val="bottom"/>
            <w:tcBorders>
              <w:top w:val="single" w:sz="8" w:color="1414D2"/>
            </w:tcBorders>
            <w:shd w:val="clear" w:color="auto" w:fill="F2F2F2"/>
          </w:tcPr>
          <w:p>
            <w:pPr>
              <w:spacing w:after="0"/>
              <w:rPr>
                <w:sz w:val="13"/>
                <w:szCs w:val="13"/>
                <w:color w:val="auto"/>
              </w:rPr>
            </w:pPr>
          </w:p>
        </w:tc>
        <w:tc>
          <w:tcPr>
            <w:tcW w:w="220" w:type="dxa"/>
            <w:vAlign w:val="bottom"/>
            <w:tcBorders>
              <w:top w:val="single" w:sz="8" w:color="1414D2"/>
            </w:tcBorders>
            <w:shd w:val="clear" w:color="auto" w:fill="F2F2F2"/>
          </w:tcPr>
          <w:p>
            <w:pPr>
              <w:ind w:left="100"/>
              <w:spacing w:after="0" w:line="157"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1414D2"/>
            </w:tcBorders>
            <w:shd w:val="clear" w:color="auto" w:fill="F2F2F2"/>
          </w:tcPr>
          <w:p>
            <w:pPr>
              <w:spacing w:after="0"/>
              <w:rPr>
                <w:sz w:val="13"/>
                <w:szCs w:val="13"/>
                <w:color w:val="auto"/>
              </w:rPr>
            </w:pPr>
          </w:p>
        </w:tc>
        <w:tc>
          <w:tcPr>
            <w:tcW w:w="940" w:type="dxa"/>
            <w:vAlign w:val="bottom"/>
            <w:tcBorders>
              <w:top w:val="single" w:sz="8" w:color="1414D2"/>
            </w:tcBorders>
            <w:shd w:val="clear" w:color="auto" w:fill="F2F2F2"/>
          </w:tcPr>
          <w:p>
            <w:pPr>
              <w:spacing w:after="0"/>
              <w:rPr>
                <w:sz w:val="13"/>
                <w:szCs w:val="13"/>
                <w:color w:val="auto"/>
              </w:rPr>
            </w:pPr>
          </w:p>
        </w:tc>
        <w:tc>
          <w:tcPr>
            <w:tcW w:w="1260" w:type="dxa"/>
            <w:vAlign w:val="bottom"/>
            <w:tcBorders>
              <w:top w:val="single" w:sz="8" w:color="1414D2"/>
            </w:tcBorders>
            <w:gridSpan w:val="2"/>
            <w:shd w:val="clear" w:color="auto" w:fill="F2F2F2"/>
          </w:tcPr>
          <w:p>
            <w:pPr>
              <w:ind w:left="80"/>
              <w:spacing w:after="0" w:line="157" w:lineRule="exact"/>
              <w:rPr>
                <w:sz w:val="20"/>
                <w:szCs w:val="20"/>
                <w:color w:val="auto"/>
              </w:rPr>
            </w:pPr>
            <w:r>
              <w:rPr>
                <w:rFonts w:ascii="Arial" w:cs="Arial" w:eastAsia="Arial" w:hAnsi="Arial"/>
                <w:sz w:val="14"/>
                <w:szCs w:val="14"/>
                <w:b w:val="1"/>
                <w:bCs w:val="1"/>
                <w:color w:val="auto"/>
              </w:rPr>
              <w:t>​​​ Target Grant</w:t>
            </w:r>
          </w:p>
        </w:tc>
        <w:tc>
          <w:tcPr>
            <w:tcW w:w="320" w:type="dxa"/>
            <w:vAlign w:val="bottom"/>
            <w:tcBorders>
              <w:top w:val="single" w:sz="8" w:color="1414D2"/>
            </w:tcBorders>
            <w:shd w:val="clear" w:color="auto" w:fill="F2F2F2"/>
          </w:tcPr>
          <w:p>
            <w:pPr>
              <w:jc w:val="right"/>
              <w:ind w:right="41"/>
              <w:spacing w:after="0" w:line="157" w:lineRule="exact"/>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1414D2"/>
            </w:tcBorders>
            <w:shd w:val="clear" w:color="auto" w:fill="F2F2F2"/>
          </w:tcPr>
          <w:p>
            <w:pPr>
              <w:jc w:val="center"/>
              <w:ind w:right="84"/>
              <w:spacing w:after="0" w:line="157" w:lineRule="exact"/>
              <w:rPr>
                <w:sz w:val="20"/>
                <w:szCs w:val="20"/>
                <w:color w:val="auto"/>
              </w:rPr>
            </w:pPr>
            <w:r>
              <w:rPr>
                <w:rFonts w:ascii="Arial" w:cs="Arial" w:eastAsia="Arial" w:hAnsi="Arial"/>
                <w:sz w:val="14"/>
                <w:szCs w:val="14"/>
                <w:b w:val="1"/>
                <w:bCs w:val="1"/>
                <w:color w:val="auto"/>
              </w:rPr>
              <w:t>Grant</w:t>
            </w:r>
          </w:p>
        </w:tc>
        <w:tc>
          <w:tcPr>
            <w:tcW w:w="320" w:type="dxa"/>
            <w:vAlign w:val="bottom"/>
            <w:tcBorders>
              <w:top w:val="single" w:sz="8" w:color="1414D2"/>
            </w:tcBorders>
            <w:shd w:val="clear" w:color="auto" w:fill="F2F2F2"/>
          </w:tcPr>
          <w:p>
            <w:pPr>
              <w:jc w:val="right"/>
              <w:ind w:right="61"/>
              <w:spacing w:after="0" w:line="157" w:lineRule="exact"/>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1414D2"/>
            </w:tcBorders>
            <w:shd w:val="clear" w:color="auto" w:fill="F2F2F2"/>
          </w:tcPr>
          <w:p>
            <w:pPr>
              <w:spacing w:after="0"/>
              <w:rPr>
                <w:sz w:val="13"/>
                <w:szCs w:val="13"/>
                <w:color w:val="auto"/>
              </w:rPr>
            </w:pPr>
          </w:p>
        </w:tc>
      </w:tr>
      <w:tr>
        <w:trPr>
          <w:trHeight w:val="176"/>
        </w:trPr>
        <w:tc>
          <w:tcPr>
            <w:tcW w:w="3220" w:type="dxa"/>
            <w:vAlign w:val="bottom"/>
            <w:shd w:val="clear" w:color="auto" w:fill="F2F2F2"/>
          </w:tcPr>
          <w:p>
            <w:pPr>
              <w:spacing w:after="0"/>
              <w:rPr>
                <w:sz w:val="15"/>
                <w:szCs w:val="15"/>
                <w:color w:val="auto"/>
              </w:rPr>
            </w:pPr>
          </w:p>
        </w:tc>
        <w:tc>
          <w:tcPr>
            <w:tcW w:w="220" w:type="dxa"/>
            <w:vAlign w:val="bottom"/>
            <w:shd w:val="clear" w:color="auto" w:fill="F2F2F2"/>
          </w:tcPr>
          <w:p>
            <w:pPr>
              <w:spacing w:after="0"/>
              <w:rPr>
                <w:sz w:val="15"/>
                <w:szCs w:val="15"/>
                <w:color w:val="auto"/>
              </w:rPr>
            </w:pPr>
          </w:p>
        </w:tc>
        <w:tc>
          <w:tcPr>
            <w:tcW w:w="160" w:type="dxa"/>
            <w:vAlign w:val="bottom"/>
            <w:shd w:val="clear" w:color="auto" w:fill="F2F2F2"/>
          </w:tcPr>
          <w:p>
            <w:pPr>
              <w:spacing w:after="0"/>
              <w:rPr>
                <w:sz w:val="15"/>
                <w:szCs w:val="15"/>
                <w:color w:val="auto"/>
              </w:rPr>
            </w:pPr>
          </w:p>
        </w:tc>
        <w:tc>
          <w:tcPr>
            <w:tcW w:w="920" w:type="dxa"/>
            <w:vAlign w:val="bottom"/>
            <w:shd w:val="clear" w:color="auto" w:fill="F2F2F2"/>
          </w:tcPr>
          <w:p>
            <w:pPr>
              <w:spacing w:after="0"/>
              <w:rPr>
                <w:sz w:val="15"/>
                <w:szCs w:val="15"/>
                <w:color w:val="auto"/>
              </w:rPr>
            </w:pPr>
          </w:p>
        </w:tc>
        <w:tc>
          <w:tcPr>
            <w:tcW w:w="220" w:type="dxa"/>
            <w:vAlign w:val="bottom"/>
            <w:shd w:val="clear" w:color="auto" w:fill="F2F2F2"/>
          </w:tcPr>
          <w:p>
            <w:pPr>
              <w:spacing w:after="0"/>
              <w:rPr>
                <w:sz w:val="15"/>
                <w:szCs w:val="15"/>
                <w:color w:val="auto"/>
              </w:rPr>
            </w:pPr>
          </w:p>
        </w:tc>
        <w:tc>
          <w:tcPr>
            <w:tcW w:w="160" w:type="dxa"/>
            <w:vAlign w:val="bottom"/>
            <w:shd w:val="clear" w:color="auto" w:fill="F2F2F2"/>
          </w:tcPr>
          <w:p>
            <w:pPr>
              <w:spacing w:after="0"/>
              <w:rPr>
                <w:sz w:val="15"/>
                <w:szCs w:val="15"/>
                <w:color w:val="auto"/>
              </w:rPr>
            </w:pPr>
          </w:p>
        </w:tc>
        <w:tc>
          <w:tcPr>
            <w:tcW w:w="940" w:type="dxa"/>
            <w:vAlign w:val="bottom"/>
            <w:shd w:val="clear" w:color="auto" w:fill="F2F2F2"/>
          </w:tcPr>
          <w:p>
            <w:pPr>
              <w:spacing w:after="0"/>
              <w:rPr>
                <w:sz w:val="15"/>
                <w:szCs w:val="15"/>
                <w:color w:val="auto"/>
              </w:rPr>
            </w:pPr>
          </w:p>
        </w:tc>
        <w:tc>
          <w:tcPr>
            <w:tcW w:w="300" w:type="dxa"/>
            <w:vAlign w:val="bottom"/>
            <w:shd w:val="clear" w:color="auto" w:fill="F2F2F2"/>
          </w:tcPr>
          <w:p>
            <w:pPr>
              <w:spacing w:after="0"/>
              <w:rPr>
                <w:sz w:val="15"/>
                <w:szCs w:val="15"/>
                <w:color w:val="auto"/>
              </w:rPr>
            </w:pPr>
          </w:p>
        </w:tc>
        <w:tc>
          <w:tcPr>
            <w:tcW w:w="960" w:type="dxa"/>
            <w:vAlign w:val="bottom"/>
            <w:shd w:val="clear" w:color="auto" w:fill="F2F2F2"/>
          </w:tcPr>
          <w:p>
            <w:pPr>
              <w:jc w:val="center"/>
              <w:ind w:right="63"/>
              <w:spacing w:after="0"/>
              <w:rPr>
                <w:sz w:val="20"/>
                <w:szCs w:val="20"/>
                <w:color w:val="auto"/>
              </w:rPr>
            </w:pPr>
            <w:r>
              <w:rPr>
                <w:rFonts w:ascii="Arial" w:cs="Arial" w:eastAsia="Arial" w:hAnsi="Arial"/>
                <w:sz w:val="14"/>
                <w:szCs w:val="14"/>
                <w:b w:val="1"/>
                <w:bCs w:val="1"/>
                <w:color w:val="auto"/>
              </w:rPr>
              <w:t>Value of</w:t>
            </w:r>
          </w:p>
        </w:tc>
        <w:tc>
          <w:tcPr>
            <w:tcW w:w="320" w:type="dxa"/>
            <w:vAlign w:val="bottom"/>
            <w:shd w:val="clear" w:color="auto" w:fill="F2F2F2"/>
          </w:tcPr>
          <w:p>
            <w:pPr>
              <w:spacing w:after="0"/>
              <w:rPr>
                <w:sz w:val="15"/>
                <w:szCs w:val="15"/>
                <w:color w:val="auto"/>
              </w:rPr>
            </w:pPr>
          </w:p>
        </w:tc>
        <w:tc>
          <w:tcPr>
            <w:tcW w:w="960" w:type="dxa"/>
            <w:vAlign w:val="bottom"/>
            <w:shd w:val="clear" w:color="auto" w:fill="F2F2F2"/>
          </w:tcPr>
          <w:p>
            <w:pPr>
              <w:jc w:val="center"/>
              <w:ind w:right="84"/>
              <w:spacing w:after="0"/>
              <w:rPr>
                <w:sz w:val="20"/>
                <w:szCs w:val="20"/>
                <w:color w:val="auto"/>
              </w:rPr>
            </w:pPr>
            <w:r>
              <w:rPr>
                <w:rFonts w:ascii="Arial" w:cs="Arial" w:eastAsia="Arial" w:hAnsi="Arial"/>
                <w:sz w:val="14"/>
                <w:szCs w:val="14"/>
                <w:b w:val="1"/>
                <w:bCs w:val="1"/>
                <w:color w:val="auto"/>
              </w:rPr>
              <w:t>Value of</w:t>
            </w:r>
          </w:p>
        </w:tc>
        <w:tc>
          <w:tcPr>
            <w:tcW w:w="320" w:type="dxa"/>
            <w:vAlign w:val="bottom"/>
            <w:shd w:val="clear" w:color="auto" w:fill="F2F2F2"/>
          </w:tcPr>
          <w:p>
            <w:pPr>
              <w:spacing w:after="0"/>
              <w:rPr>
                <w:sz w:val="15"/>
                <w:szCs w:val="15"/>
                <w:color w:val="auto"/>
              </w:rPr>
            </w:pPr>
          </w:p>
        </w:tc>
        <w:tc>
          <w:tcPr>
            <w:tcW w:w="1020" w:type="dxa"/>
            <w:vAlign w:val="bottom"/>
            <w:shd w:val="clear" w:color="auto" w:fill="F2F2F2"/>
          </w:tcPr>
          <w:p>
            <w:pPr>
              <w:spacing w:after="0"/>
              <w:rPr>
                <w:sz w:val="15"/>
                <w:szCs w:val="15"/>
                <w:color w:val="auto"/>
              </w:rPr>
            </w:pPr>
          </w:p>
        </w:tc>
      </w:tr>
      <w:tr>
        <w:trPr>
          <w:trHeight w:val="175"/>
        </w:trPr>
        <w:tc>
          <w:tcPr>
            <w:tcW w:w="3220" w:type="dxa"/>
            <w:vAlign w:val="bottom"/>
            <w:shd w:val="clear" w:color="auto" w:fill="F2F2F2"/>
          </w:tcPr>
          <w:p>
            <w:pPr>
              <w:spacing w:after="0"/>
              <w:rPr>
                <w:sz w:val="15"/>
                <w:szCs w:val="15"/>
                <w:color w:val="auto"/>
              </w:rPr>
            </w:pPr>
          </w:p>
        </w:tc>
        <w:tc>
          <w:tcPr>
            <w:tcW w:w="220" w:type="dxa"/>
            <w:vAlign w:val="bottom"/>
            <w:shd w:val="clear" w:color="auto" w:fill="F2F2F2"/>
          </w:tcPr>
          <w:p>
            <w:pPr>
              <w:spacing w:after="0"/>
              <w:rPr>
                <w:sz w:val="15"/>
                <w:szCs w:val="15"/>
                <w:color w:val="auto"/>
              </w:rPr>
            </w:pPr>
          </w:p>
        </w:tc>
        <w:tc>
          <w:tcPr>
            <w:tcW w:w="160" w:type="dxa"/>
            <w:vAlign w:val="bottom"/>
            <w:shd w:val="clear" w:color="auto" w:fill="F2F2F2"/>
          </w:tcPr>
          <w:p>
            <w:pPr>
              <w:spacing w:after="0"/>
              <w:rPr>
                <w:sz w:val="15"/>
                <w:szCs w:val="15"/>
                <w:color w:val="auto"/>
              </w:rPr>
            </w:pPr>
          </w:p>
        </w:tc>
        <w:tc>
          <w:tcPr>
            <w:tcW w:w="920" w:type="dxa"/>
            <w:vAlign w:val="bottom"/>
            <w:shd w:val="clear" w:color="auto" w:fill="F2F2F2"/>
          </w:tcPr>
          <w:p>
            <w:pPr>
              <w:spacing w:after="0"/>
              <w:rPr>
                <w:sz w:val="15"/>
                <w:szCs w:val="15"/>
                <w:color w:val="auto"/>
              </w:rPr>
            </w:pPr>
          </w:p>
        </w:tc>
        <w:tc>
          <w:tcPr>
            <w:tcW w:w="220" w:type="dxa"/>
            <w:vAlign w:val="bottom"/>
            <w:shd w:val="clear" w:color="auto" w:fill="F2F2F2"/>
          </w:tcPr>
          <w:p>
            <w:pPr>
              <w:spacing w:after="0"/>
              <w:rPr>
                <w:sz w:val="15"/>
                <w:szCs w:val="15"/>
                <w:color w:val="auto"/>
              </w:rPr>
            </w:pPr>
          </w:p>
        </w:tc>
        <w:tc>
          <w:tcPr>
            <w:tcW w:w="160" w:type="dxa"/>
            <w:vAlign w:val="bottom"/>
            <w:shd w:val="clear" w:color="auto" w:fill="F2F2F2"/>
          </w:tcPr>
          <w:p>
            <w:pPr>
              <w:spacing w:after="0"/>
              <w:rPr>
                <w:sz w:val="15"/>
                <w:szCs w:val="15"/>
                <w:color w:val="auto"/>
              </w:rPr>
            </w:pPr>
          </w:p>
        </w:tc>
        <w:tc>
          <w:tcPr>
            <w:tcW w:w="940" w:type="dxa"/>
            <w:vAlign w:val="bottom"/>
            <w:shd w:val="clear" w:color="auto" w:fill="F2F2F2"/>
          </w:tcPr>
          <w:p>
            <w:pPr>
              <w:spacing w:after="0"/>
              <w:rPr>
                <w:sz w:val="15"/>
                <w:szCs w:val="15"/>
                <w:color w:val="auto"/>
              </w:rPr>
            </w:pPr>
          </w:p>
        </w:tc>
        <w:tc>
          <w:tcPr>
            <w:tcW w:w="300" w:type="dxa"/>
            <w:vAlign w:val="bottom"/>
            <w:shd w:val="clear" w:color="auto" w:fill="F2F2F2"/>
          </w:tcPr>
          <w:p>
            <w:pPr>
              <w:spacing w:after="0"/>
              <w:rPr>
                <w:sz w:val="15"/>
                <w:szCs w:val="15"/>
                <w:color w:val="auto"/>
              </w:rPr>
            </w:pPr>
          </w:p>
        </w:tc>
        <w:tc>
          <w:tcPr>
            <w:tcW w:w="960" w:type="dxa"/>
            <w:vAlign w:val="bottom"/>
            <w:shd w:val="clear" w:color="auto" w:fill="F2F2F2"/>
          </w:tcPr>
          <w:p>
            <w:pPr>
              <w:ind w:left="140"/>
              <w:spacing w:after="0"/>
              <w:rPr>
                <w:sz w:val="20"/>
                <w:szCs w:val="20"/>
                <w:color w:val="auto"/>
              </w:rPr>
            </w:pPr>
            <w:r>
              <w:rPr>
                <w:rFonts w:ascii="Arial" w:cs="Arial" w:eastAsia="Arial" w:hAnsi="Arial"/>
                <w:sz w:val="14"/>
                <w:szCs w:val="14"/>
                <w:b w:val="1"/>
                <w:bCs w:val="1"/>
                <w:color w:val="auto"/>
              </w:rPr>
              <w:t>PBRSUs</w:t>
            </w:r>
          </w:p>
        </w:tc>
        <w:tc>
          <w:tcPr>
            <w:tcW w:w="320" w:type="dxa"/>
            <w:vAlign w:val="bottom"/>
            <w:shd w:val="clear" w:color="auto" w:fill="F2F2F2"/>
          </w:tcPr>
          <w:p>
            <w:pPr>
              <w:spacing w:after="0"/>
              <w:rPr>
                <w:sz w:val="15"/>
                <w:szCs w:val="15"/>
                <w:color w:val="auto"/>
              </w:rPr>
            </w:pPr>
          </w:p>
        </w:tc>
        <w:tc>
          <w:tcPr>
            <w:tcW w:w="960" w:type="dxa"/>
            <w:vAlign w:val="bottom"/>
            <w:shd w:val="clear" w:color="auto" w:fill="F2F2F2"/>
          </w:tcPr>
          <w:p>
            <w:pPr>
              <w:jc w:val="center"/>
              <w:ind w:right="84"/>
              <w:spacing w:after="0"/>
              <w:rPr>
                <w:sz w:val="20"/>
                <w:szCs w:val="20"/>
                <w:color w:val="auto"/>
              </w:rPr>
            </w:pPr>
            <w:r>
              <w:rPr>
                <w:rFonts w:ascii="Arial" w:cs="Arial" w:eastAsia="Arial" w:hAnsi="Arial"/>
                <w:sz w:val="14"/>
                <w:szCs w:val="14"/>
                <w:b w:val="1"/>
                <w:bCs w:val="1"/>
                <w:color w:val="auto"/>
                <w:w w:val="96"/>
              </w:rPr>
              <w:t>RSUs</w:t>
            </w:r>
          </w:p>
        </w:tc>
        <w:tc>
          <w:tcPr>
            <w:tcW w:w="320" w:type="dxa"/>
            <w:vAlign w:val="bottom"/>
            <w:shd w:val="clear" w:color="auto" w:fill="F2F2F2"/>
          </w:tcPr>
          <w:p>
            <w:pPr>
              <w:spacing w:after="0"/>
              <w:rPr>
                <w:sz w:val="15"/>
                <w:szCs w:val="15"/>
                <w:color w:val="auto"/>
              </w:rPr>
            </w:pPr>
          </w:p>
        </w:tc>
        <w:tc>
          <w:tcPr>
            <w:tcW w:w="1020" w:type="dxa"/>
            <w:vAlign w:val="bottom"/>
            <w:shd w:val="clear" w:color="auto" w:fill="F2F2F2"/>
          </w:tcPr>
          <w:p>
            <w:pPr>
              <w:spacing w:after="0"/>
              <w:rPr>
                <w:sz w:val="15"/>
                <w:szCs w:val="15"/>
                <w:color w:val="auto"/>
              </w:rPr>
            </w:pPr>
          </w:p>
        </w:tc>
      </w:tr>
      <w:tr>
        <w:trPr>
          <w:trHeight w:val="173"/>
        </w:trPr>
        <w:tc>
          <w:tcPr>
            <w:tcW w:w="3220" w:type="dxa"/>
            <w:vAlign w:val="bottom"/>
            <w:shd w:val="clear" w:color="auto" w:fill="F2F2F2"/>
          </w:tcPr>
          <w:p>
            <w:pPr>
              <w:spacing w:after="0"/>
              <w:rPr>
                <w:sz w:val="15"/>
                <w:szCs w:val="15"/>
                <w:color w:val="auto"/>
              </w:rPr>
            </w:pPr>
          </w:p>
        </w:tc>
        <w:tc>
          <w:tcPr>
            <w:tcW w:w="220" w:type="dxa"/>
            <w:vAlign w:val="bottom"/>
            <w:shd w:val="clear" w:color="auto" w:fill="F2F2F2"/>
          </w:tcPr>
          <w:p>
            <w:pPr>
              <w:spacing w:after="0"/>
              <w:rPr>
                <w:sz w:val="15"/>
                <w:szCs w:val="15"/>
                <w:color w:val="auto"/>
              </w:rPr>
            </w:pPr>
          </w:p>
        </w:tc>
        <w:tc>
          <w:tcPr>
            <w:tcW w:w="160" w:type="dxa"/>
            <w:vAlign w:val="bottom"/>
            <w:shd w:val="clear" w:color="auto" w:fill="F2F2F2"/>
          </w:tcPr>
          <w:p>
            <w:pPr>
              <w:spacing w:after="0"/>
              <w:rPr>
                <w:sz w:val="15"/>
                <w:szCs w:val="15"/>
                <w:color w:val="auto"/>
              </w:rPr>
            </w:pPr>
          </w:p>
        </w:tc>
        <w:tc>
          <w:tcPr>
            <w:tcW w:w="920" w:type="dxa"/>
            <w:vAlign w:val="bottom"/>
            <w:shd w:val="clear" w:color="auto" w:fill="F2F2F2"/>
          </w:tcPr>
          <w:p>
            <w:pPr>
              <w:spacing w:after="0"/>
              <w:rPr>
                <w:sz w:val="15"/>
                <w:szCs w:val="15"/>
                <w:color w:val="auto"/>
              </w:rPr>
            </w:pPr>
          </w:p>
        </w:tc>
        <w:tc>
          <w:tcPr>
            <w:tcW w:w="220" w:type="dxa"/>
            <w:vAlign w:val="bottom"/>
            <w:shd w:val="clear" w:color="auto" w:fill="F2F2F2"/>
          </w:tcPr>
          <w:p>
            <w:pPr>
              <w:spacing w:after="0"/>
              <w:rPr>
                <w:sz w:val="15"/>
                <w:szCs w:val="15"/>
                <w:color w:val="auto"/>
              </w:rPr>
            </w:pPr>
          </w:p>
        </w:tc>
        <w:tc>
          <w:tcPr>
            <w:tcW w:w="160" w:type="dxa"/>
            <w:vAlign w:val="bottom"/>
            <w:shd w:val="clear" w:color="auto" w:fill="F2F2F2"/>
          </w:tcPr>
          <w:p>
            <w:pPr>
              <w:spacing w:after="0"/>
              <w:rPr>
                <w:sz w:val="15"/>
                <w:szCs w:val="15"/>
                <w:color w:val="auto"/>
              </w:rPr>
            </w:pPr>
          </w:p>
        </w:tc>
        <w:tc>
          <w:tcPr>
            <w:tcW w:w="940" w:type="dxa"/>
            <w:vAlign w:val="bottom"/>
            <w:shd w:val="clear" w:color="auto" w:fill="F2F2F2"/>
          </w:tcPr>
          <w:p>
            <w:pPr>
              <w:jc w:val="right"/>
              <w:ind w:right="202"/>
              <w:spacing w:after="0"/>
              <w:rPr>
                <w:sz w:val="20"/>
                <w:szCs w:val="20"/>
                <w:color w:val="auto"/>
              </w:rPr>
            </w:pPr>
            <w:r>
              <w:rPr>
                <w:rFonts w:ascii="Arial" w:cs="Arial" w:eastAsia="Arial" w:hAnsi="Arial"/>
                <w:sz w:val="14"/>
                <w:szCs w:val="14"/>
                <w:b w:val="1"/>
                <w:bCs w:val="1"/>
                <w:color w:val="auto"/>
              </w:rPr>
              <w:t>2025 STI</w:t>
            </w:r>
          </w:p>
        </w:tc>
        <w:tc>
          <w:tcPr>
            <w:tcW w:w="300" w:type="dxa"/>
            <w:vAlign w:val="bottom"/>
            <w:shd w:val="clear" w:color="auto" w:fill="F2F2F2"/>
          </w:tcPr>
          <w:p>
            <w:pPr>
              <w:spacing w:after="0"/>
              <w:rPr>
                <w:sz w:val="15"/>
                <w:szCs w:val="15"/>
                <w:color w:val="auto"/>
              </w:rPr>
            </w:pPr>
          </w:p>
        </w:tc>
        <w:tc>
          <w:tcPr>
            <w:tcW w:w="960" w:type="dxa"/>
            <w:vAlign w:val="bottom"/>
            <w:shd w:val="clear" w:color="auto" w:fill="F2F2F2"/>
          </w:tcPr>
          <w:p>
            <w:pPr>
              <w:jc w:val="center"/>
              <w:ind w:right="63"/>
              <w:spacing w:after="0"/>
              <w:rPr>
                <w:sz w:val="20"/>
                <w:szCs w:val="20"/>
                <w:color w:val="auto"/>
              </w:rPr>
            </w:pPr>
            <w:r>
              <w:rPr>
                <w:rFonts w:ascii="Arial" w:cs="Arial" w:eastAsia="Arial" w:hAnsi="Arial"/>
                <w:sz w:val="14"/>
                <w:szCs w:val="14"/>
                <w:b w:val="1"/>
                <w:bCs w:val="1"/>
                <w:color w:val="auto"/>
              </w:rPr>
              <w:t>Awarded in</w:t>
            </w:r>
          </w:p>
        </w:tc>
        <w:tc>
          <w:tcPr>
            <w:tcW w:w="320" w:type="dxa"/>
            <w:vAlign w:val="bottom"/>
            <w:shd w:val="clear" w:color="auto" w:fill="F2F2F2"/>
          </w:tcPr>
          <w:p>
            <w:pPr>
              <w:spacing w:after="0"/>
              <w:rPr>
                <w:sz w:val="15"/>
                <w:szCs w:val="15"/>
                <w:color w:val="auto"/>
              </w:rPr>
            </w:pPr>
          </w:p>
        </w:tc>
        <w:tc>
          <w:tcPr>
            <w:tcW w:w="960" w:type="dxa"/>
            <w:vAlign w:val="bottom"/>
            <w:shd w:val="clear" w:color="auto" w:fill="F2F2F2"/>
          </w:tcPr>
          <w:p>
            <w:pPr>
              <w:jc w:val="center"/>
              <w:ind w:right="84"/>
              <w:spacing w:after="0"/>
              <w:rPr>
                <w:sz w:val="20"/>
                <w:szCs w:val="20"/>
                <w:color w:val="auto"/>
              </w:rPr>
            </w:pPr>
            <w:r>
              <w:rPr>
                <w:rFonts w:ascii="Arial" w:cs="Arial" w:eastAsia="Arial" w:hAnsi="Arial"/>
                <w:sz w:val="14"/>
                <w:szCs w:val="14"/>
                <w:b w:val="1"/>
                <w:bCs w:val="1"/>
                <w:color w:val="auto"/>
              </w:rPr>
              <w:t>Granted in</w:t>
            </w:r>
          </w:p>
        </w:tc>
        <w:tc>
          <w:tcPr>
            <w:tcW w:w="320" w:type="dxa"/>
            <w:vAlign w:val="bottom"/>
            <w:shd w:val="clear" w:color="auto" w:fill="F2F2F2"/>
          </w:tcPr>
          <w:p>
            <w:pPr>
              <w:spacing w:after="0"/>
              <w:rPr>
                <w:sz w:val="15"/>
                <w:szCs w:val="15"/>
                <w:color w:val="auto"/>
              </w:rPr>
            </w:pPr>
          </w:p>
        </w:tc>
        <w:tc>
          <w:tcPr>
            <w:tcW w:w="1020" w:type="dxa"/>
            <w:vAlign w:val="bottom"/>
            <w:shd w:val="clear" w:color="auto" w:fill="F2F2F2"/>
          </w:tcPr>
          <w:p>
            <w:pPr>
              <w:spacing w:after="0"/>
              <w:rPr>
                <w:sz w:val="15"/>
                <w:szCs w:val="15"/>
                <w:color w:val="auto"/>
              </w:rPr>
            </w:pPr>
          </w:p>
        </w:tc>
      </w:tr>
      <w:tr>
        <w:trPr>
          <w:trHeight w:val="237"/>
        </w:trPr>
        <w:tc>
          <w:tcPr>
            <w:tcW w:w="3220" w:type="dxa"/>
            <w:vAlign w:val="bottom"/>
            <w:shd w:val="clear" w:color="auto" w:fill="F2F2F2"/>
          </w:tcPr>
          <w:p>
            <w:pPr>
              <w:ind w:left="120"/>
              <w:spacing w:after="0"/>
              <w:rPr>
                <w:sz w:val="20"/>
                <w:szCs w:val="20"/>
                <w:color w:val="auto"/>
              </w:rPr>
            </w:pPr>
            <w:r>
              <w:rPr>
                <w:rFonts w:ascii="Arial" w:cs="Arial" w:eastAsia="Arial" w:hAnsi="Arial"/>
                <w:sz w:val="14"/>
                <w:szCs w:val="14"/>
                <w:b w:val="1"/>
                <w:bCs w:val="1"/>
                <w:color w:val="auto"/>
              </w:rPr>
              <w:t>NEO</w:t>
            </w:r>
          </w:p>
        </w:tc>
        <w:tc>
          <w:tcPr>
            <w:tcW w:w="220" w:type="dxa"/>
            <w:vAlign w:val="bottom"/>
            <w:shd w:val="clear" w:color="auto" w:fill="F2F2F2"/>
          </w:tcPr>
          <w:p>
            <w:pPr>
              <w:spacing w:after="0"/>
              <w:rPr>
                <w:sz w:val="20"/>
                <w:szCs w:val="20"/>
                <w:color w:val="auto"/>
              </w:rPr>
            </w:pPr>
          </w:p>
        </w:tc>
        <w:tc>
          <w:tcPr>
            <w:tcW w:w="160" w:type="dxa"/>
            <w:vAlign w:val="bottom"/>
            <w:shd w:val="clear" w:color="auto" w:fill="F2F2F2"/>
          </w:tcPr>
          <w:p>
            <w:pPr>
              <w:spacing w:after="0"/>
              <w:rPr>
                <w:sz w:val="20"/>
                <w:szCs w:val="20"/>
                <w:color w:val="auto"/>
              </w:rPr>
            </w:pPr>
          </w:p>
        </w:tc>
        <w:tc>
          <w:tcPr>
            <w:tcW w:w="920" w:type="dxa"/>
            <w:vAlign w:val="bottom"/>
            <w:shd w:val="clear" w:color="auto" w:fill="F2F2F2"/>
          </w:tcPr>
          <w:p>
            <w:pPr>
              <w:jc w:val="right"/>
              <w:ind w:right="161"/>
              <w:spacing w:after="0" w:line="237" w:lineRule="exact"/>
              <w:rPr>
                <w:sz w:val="20"/>
                <w:szCs w:val="20"/>
                <w:color w:val="auto"/>
              </w:rPr>
            </w:pPr>
            <w:r>
              <w:rPr>
                <w:rFonts w:ascii="Arial" w:cs="Arial" w:eastAsia="Arial" w:hAnsi="Arial"/>
                <w:sz w:val="14"/>
                <w:szCs w:val="14"/>
                <w:b w:val="1"/>
                <w:bCs w:val="1"/>
                <w:color w:val="auto"/>
              </w:rPr>
              <w:t xml:space="preserve">Salary </w:t>
            </w:r>
            <w:r>
              <w:rPr>
                <w:rFonts w:ascii="Arial" w:cs="Arial" w:eastAsia="Arial" w:hAnsi="Arial"/>
                <w:sz w:val="21"/>
                <w:szCs w:val="21"/>
                <w:b w:val="1"/>
                <w:bCs w:val="1"/>
                <w:color w:val="auto"/>
                <w:vertAlign w:val="superscript"/>
              </w:rPr>
              <w:t>(1)</w:t>
            </w:r>
          </w:p>
        </w:tc>
        <w:tc>
          <w:tcPr>
            <w:tcW w:w="220" w:type="dxa"/>
            <w:vAlign w:val="bottom"/>
            <w:shd w:val="clear" w:color="auto" w:fill="F2F2F2"/>
          </w:tcPr>
          <w:p>
            <w:pPr>
              <w:spacing w:after="0"/>
              <w:rPr>
                <w:sz w:val="20"/>
                <w:szCs w:val="20"/>
                <w:color w:val="auto"/>
              </w:rPr>
            </w:pPr>
          </w:p>
        </w:tc>
        <w:tc>
          <w:tcPr>
            <w:tcW w:w="160" w:type="dxa"/>
            <w:vAlign w:val="bottom"/>
            <w:shd w:val="clear" w:color="auto" w:fill="F2F2F2"/>
          </w:tcPr>
          <w:p>
            <w:pPr>
              <w:spacing w:after="0"/>
              <w:rPr>
                <w:sz w:val="20"/>
                <w:szCs w:val="20"/>
                <w:color w:val="auto"/>
              </w:rPr>
            </w:pPr>
          </w:p>
        </w:tc>
        <w:tc>
          <w:tcPr>
            <w:tcW w:w="940" w:type="dxa"/>
            <w:vAlign w:val="bottom"/>
            <w:shd w:val="clear" w:color="auto" w:fill="F2F2F2"/>
          </w:tcPr>
          <w:p>
            <w:pPr>
              <w:jc w:val="right"/>
              <w:ind w:right="162"/>
              <w:spacing w:after="0" w:line="237" w:lineRule="exact"/>
              <w:rPr>
                <w:sz w:val="20"/>
                <w:szCs w:val="20"/>
                <w:color w:val="auto"/>
              </w:rPr>
            </w:pPr>
            <w:r>
              <w:rPr>
                <w:rFonts w:ascii="Arial" w:cs="Arial" w:eastAsia="Arial" w:hAnsi="Arial"/>
                <w:sz w:val="14"/>
                <w:szCs w:val="14"/>
                <w:b w:val="1"/>
                <w:bCs w:val="1"/>
                <w:color w:val="auto"/>
              </w:rPr>
              <w:t xml:space="preserve">Target </w:t>
            </w:r>
            <w:r>
              <w:rPr>
                <w:rFonts w:ascii="Arial" w:cs="Arial" w:eastAsia="Arial" w:hAnsi="Arial"/>
                <w:sz w:val="21"/>
                <w:szCs w:val="21"/>
                <w:b w:val="1"/>
                <w:bCs w:val="1"/>
                <w:color w:val="auto"/>
                <w:vertAlign w:val="superscript"/>
              </w:rPr>
              <w:t>(2)</w:t>
            </w:r>
          </w:p>
        </w:tc>
        <w:tc>
          <w:tcPr>
            <w:tcW w:w="300" w:type="dxa"/>
            <w:vAlign w:val="bottom"/>
            <w:shd w:val="clear" w:color="auto" w:fill="F2F2F2"/>
          </w:tcPr>
          <w:p>
            <w:pPr>
              <w:spacing w:after="0"/>
              <w:rPr>
                <w:sz w:val="20"/>
                <w:szCs w:val="20"/>
                <w:color w:val="auto"/>
              </w:rPr>
            </w:pPr>
          </w:p>
        </w:tc>
        <w:tc>
          <w:tcPr>
            <w:tcW w:w="960" w:type="dxa"/>
            <w:vAlign w:val="bottom"/>
            <w:shd w:val="clear" w:color="auto" w:fill="F2F2F2"/>
          </w:tcPr>
          <w:p>
            <w:pPr>
              <w:jc w:val="center"/>
              <w:ind w:right="63"/>
              <w:spacing w:after="0"/>
              <w:rPr>
                <w:sz w:val="20"/>
                <w:szCs w:val="20"/>
                <w:color w:val="auto"/>
              </w:rPr>
            </w:pPr>
            <w:r>
              <w:rPr>
                <w:rFonts w:ascii="Arial" w:cs="Arial" w:eastAsia="Arial" w:hAnsi="Arial"/>
                <w:sz w:val="14"/>
                <w:szCs w:val="14"/>
                <w:b w:val="1"/>
                <w:bCs w:val="1"/>
                <w:color w:val="auto"/>
              </w:rPr>
              <w:t>2025</w:t>
            </w:r>
          </w:p>
        </w:tc>
        <w:tc>
          <w:tcPr>
            <w:tcW w:w="320" w:type="dxa"/>
            <w:vAlign w:val="bottom"/>
            <w:shd w:val="clear" w:color="auto" w:fill="F2F2F2"/>
          </w:tcPr>
          <w:p>
            <w:pPr>
              <w:spacing w:after="0"/>
              <w:rPr>
                <w:sz w:val="20"/>
                <w:szCs w:val="20"/>
                <w:color w:val="auto"/>
              </w:rPr>
            </w:pPr>
          </w:p>
        </w:tc>
        <w:tc>
          <w:tcPr>
            <w:tcW w:w="960" w:type="dxa"/>
            <w:vAlign w:val="bottom"/>
            <w:shd w:val="clear" w:color="auto" w:fill="F2F2F2"/>
          </w:tcPr>
          <w:p>
            <w:pPr>
              <w:jc w:val="center"/>
              <w:ind w:right="84"/>
              <w:spacing w:after="0"/>
              <w:rPr>
                <w:sz w:val="20"/>
                <w:szCs w:val="20"/>
                <w:color w:val="auto"/>
              </w:rPr>
            </w:pPr>
            <w:r>
              <w:rPr>
                <w:rFonts w:ascii="Arial" w:cs="Arial" w:eastAsia="Arial" w:hAnsi="Arial"/>
                <w:sz w:val="14"/>
                <w:szCs w:val="14"/>
                <w:b w:val="1"/>
                <w:bCs w:val="1"/>
                <w:color w:val="auto"/>
              </w:rPr>
              <w:t>2025</w:t>
            </w:r>
          </w:p>
        </w:tc>
        <w:tc>
          <w:tcPr>
            <w:tcW w:w="320" w:type="dxa"/>
            <w:vAlign w:val="bottom"/>
            <w:shd w:val="clear" w:color="auto" w:fill="F2F2F2"/>
          </w:tcPr>
          <w:p>
            <w:pPr>
              <w:spacing w:after="0"/>
              <w:rPr>
                <w:sz w:val="20"/>
                <w:szCs w:val="20"/>
                <w:color w:val="auto"/>
              </w:rPr>
            </w:pPr>
          </w:p>
        </w:tc>
        <w:tc>
          <w:tcPr>
            <w:tcW w:w="1020" w:type="dxa"/>
            <w:vAlign w:val="bottom"/>
            <w:shd w:val="clear" w:color="auto" w:fill="F2F2F2"/>
          </w:tcPr>
          <w:p>
            <w:pPr>
              <w:jc w:val="right"/>
              <w:ind w:right="381"/>
              <w:spacing w:after="0"/>
              <w:rPr>
                <w:sz w:val="20"/>
                <w:szCs w:val="20"/>
                <w:color w:val="auto"/>
              </w:rPr>
            </w:pPr>
            <w:r>
              <w:rPr>
                <w:rFonts w:ascii="Arial" w:cs="Arial" w:eastAsia="Arial" w:hAnsi="Arial"/>
                <w:sz w:val="14"/>
                <w:szCs w:val="14"/>
                <w:b w:val="1"/>
                <w:bCs w:val="1"/>
                <w:color w:val="auto"/>
              </w:rPr>
              <w:t>Total</w:t>
            </w:r>
          </w:p>
        </w:tc>
      </w:tr>
      <w:tr>
        <w:trPr>
          <w:trHeight w:val="391"/>
        </w:trPr>
        <w:tc>
          <w:tcPr>
            <w:tcW w:w="3220" w:type="dxa"/>
            <w:vAlign w:val="bottom"/>
            <w:tcBorders>
              <w:bottom w:val="single" w:sz="8" w:color="808080"/>
            </w:tcBorders>
          </w:tcPr>
          <w:p>
            <w:pPr>
              <w:ind w:left="120"/>
              <w:spacing w:after="0"/>
              <w:rPr>
                <w:sz w:val="20"/>
                <w:szCs w:val="20"/>
                <w:color w:val="auto"/>
              </w:rPr>
            </w:pPr>
            <w:r>
              <w:rPr>
                <w:rFonts w:ascii="Arial" w:cs="Arial" w:eastAsia="Arial" w:hAnsi="Arial"/>
                <w:sz w:val="16"/>
                <w:szCs w:val="16"/>
                <w:b w:val="1"/>
                <w:bCs w:val="1"/>
                <w:color w:val="1414D2"/>
              </w:rPr>
              <w:t>Scott Kirby</w:t>
            </w:r>
          </w:p>
        </w:tc>
        <w:tc>
          <w:tcPr>
            <w:tcW w:w="380" w:type="dxa"/>
            <w:vAlign w:val="bottom"/>
            <w:tcBorders>
              <w:bottom w:val="single" w:sz="8" w:color="808080"/>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808080"/>
            </w:tcBorders>
          </w:tcPr>
          <w:p>
            <w:pPr>
              <w:jc w:val="right"/>
              <w:spacing w:after="0"/>
              <w:rPr>
                <w:sz w:val="20"/>
                <w:szCs w:val="20"/>
                <w:color w:val="auto"/>
              </w:rPr>
            </w:pPr>
            <w:r>
              <w:rPr>
                <w:rFonts w:ascii="Arial" w:cs="Arial" w:eastAsia="Arial" w:hAnsi="Arial"/>
                <w:sz w:val="16"/>
                <w:szCs w:val="16"/>
                <w:color w:val="auto"/>
              </w:rPr>
              <w:t>1,200,000</w:t>
            </w:r>
          </w:p>
        </w:tc>
        <w:tc>
          <w:tcPr>
            <w:tcW w:w="2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808080"/>
            </w:tcBorders>
          </w:tcPr>
          <w:p>
            <w:pPr>
              <w:jc w:val="right"/>
              <w:ind w:right="2"/>
              <w:spacing w:after="0"/>
              <w:rPr>
                <w:sz w:val="20"/>
                <w:szCs w:val="20"/>
                <w:color w:val="auto"/>
              </w:rPr>
            </w:pPr>
            <w:r>
              <w:rPr>
                <w:rFonts w:ascii="Arial" w:cs="Arial" w:eastAsia="Arial" w:hAnsi="Arial"/>
                <w:sz w:val="16"/>
                <w:szCs w:val="16"/>
                <w:color w:val="auto"/>
              </w:rPr>
              <w:t>3,000,000</w:t>
            </w:r>
          </w:p>
        </w:tc>
        <w:tc>
          <w:tcPr>
            <w:tcW w:w="300" w:type="dxa"/>
            <w:vAlign w:val="bottom"/>
            <w:tcBorders>
              <w:bottom w:val="single" w:sz="8" w:color="808080"/>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808080"/>
            </w:tcBorders>
          </w:tcPr>
          <w:p>
            <w:pPr>
              <w:ind w:left="140"/>
              <w:spacing w:after="0"/>
              <w:rPr>
                <w:sz w:val="20"/>
                <w:szCs w:val="20"/>
                <w:color w:val="auto"/>
              </w:rPr>
            </w:pPr>
            <w:r>
              <w:rPr>
                <w:rFonts w:ascii="Arial" w:cs="Arial" w:eastAsia="Arial" w:hAnsi="Arial"/>
                <w:sz w:val="16"/>
                <w:szCs w:val="16"/>
                <w:color w:val="auto"/>
              </w:rPr>
              <w:t>8,250,000</w:t>
            </w:r>
          </w:p>
        </w:tc>
        <w:tc>
          <w:tcPr>
            <w:tcW w:w="320" w:type="dxa"/>
            <w:vAlign w:val="bottom"/>
            <w:tcBorders>
              <w:bottom w:val="single" w:sz="8" w:color="808080"/>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808080"/>
            </w:tcBorders>
          </w:tcPr>
          <w:p>
            <w:pPr>
              <w:jc w:val="right"/>
              <w:ind w:right="4"/>
              <w:spacing w:after="0"/>
              <w:rPr>
                <w:sz w:val="20"/>
                <w:szCs w:val="20"/>
                <w:color w:val="auto"/>
              </w:rPr>
            </w:pPr>
            <w:r>
              <w:rPr>
                <w:rFonts w:ascii="Arial" w:cs="Arial" w:eastAsia="Arial" w:hAnsi="Arial"/>
                <w:sz w:val="16"/>
                <w:szCs w:val="16"/>
                <w:color w:val="auto"/>
              </w:rPr>
              <w:t>8,250,000</w:t>
            </w:r>
          </w:p>
        </w:tc>
        <w:tc>
          <w:tcPr>
            <w:tcW w:w="320" w:type="dxa"/>
            <w:vAlign w:val="bottom"/>
            <w:tcBorders>
              <w:bottom w:val="single" w:sz="8" w:color="808080"/>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808080"/>
            </w:tcBorders>
          </w:tcPr>
          <w:p>
            <w:pPr>
              <w:jc w:val="right"/>
              <w:ind w:right="81"/>
              <w:spacing w:after="0"/>
              <w:rPr>
                <w:sz w:val="20"/>
                <w:szCs w:val="20"/>
                <w:color w:val="auto"/>
              </w:rPr>
            </w:pPr>
            <w:r>
              <w:rPr>
                <w:rFonts w:ascii="Arial" w:cs="Arial" w:eastAsia="Arial" w:hAnsi="Arial"/>
                <w:sz w:val="16"/>
                <w:szCs w:val="16"/>
                <w:color w:val="auto"/>
              </w:rPr>
              <w:t>20,700,000</w:t>
            </w:r>
          </w:p>
        </w:tc>
      </w:tr>
      <w:tr>
        <w:trPr>
          <w:trHeight w:val="385"/>
        </w:trPr>
        <w:tc>
          <w:tcPr>
            <w:tcW w:w="3220" w:type="dxa"/>
            <w:vAlign w:val="bottom"/>
            <w:tcBorders>
              <w:bottom w:val="single" w:sz="8" w:color="808080"/>
            </w:tcBorders>
          </w:tcPr>
          <w:p>
            <w:pPr>
              <w:ind w:left="120"/>
              <w:spacing w:after="0"/>
              <w:rPr>
                <w:sz w:val="20"/>
                <w:szCs w:val="20"/>
                <w:color w:val="auto"/>
              </w:rPr>
            </w:pPr>
            <w:r>
              <w:rPr>
                <w:rFonts w:ascii="Arial" w:cs="Arial" w:eastAsia="Arial" w:hAnsi="Arial"/>
                <w:sz w:val="16"/>
                <w:szCs w:val="16"/>
                <w:b w:val="1"/>
                <w:bCs w:val="1"/>
                <w:color w:val="1414D2"/>
              </w:rPr>
              <w:t>Brett Hart</w:t>
            </w:r>
          </w:p>
        </w:tc>
        <w:tc>
          <w:tcPr>
            <w:tcW w:w="380" w:type="dxa"/>
            <w:vAlign w:val="bottom"/>
            <w:tcBorders>
              <w:bottom w:val="single" w:sz="8" w:color="808080"/>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808080"/>
            </w:tcBorders>
          </w:tcPr>
          <w:p>
            <w:pPr>
              <w:jc w:val="right"/>
              <w:spacing w:after="0"/>
              <w:rPr>
                <w:sz w:val="20"/>
                <w:szCs w:val="20"/>
                <w:color w:val="auto"/>
              </w:rPr>
            </w:pPr>
            <w:r>
              <w:rPr>
                <w:rFonts w:ascii="Arial" w:cs="Arial" w:eastAsia="Arial" w:hAnsi="Arial"/>
                <w:sz w:val="16"/>
                <w:szCs w:val="16"/>
                <w:color w:val="auto"/>
              </w:rPr>
              <w:t>1,000,000</w:t>
            </w:r>
          </w:p>
        </w:tc>
        <w:tc>
          <w:tcPr>
            <w:tcW w:w="2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808080"/>
            </w:tcBorders>
          </w:tcPr>
          <w:p>
            <w:pPr>
              <w:jc w:val="right"/>
              <w:ind w:right="2"/>
              <w:spacing w:after="0"/>
              <w:rPr>
                <w:sz w:val="20"/>
                <w:szCs w:val="20"/>
                <w:color w:val="auto"/>
              </w:rPr>
            </w:pPr>
            <w:r>
              <w:rPr>
                <w:rFonts w:ascii="Arial" w:cs="Arial" w:eastAsia="Arial" w:hAnsi="Arial"/>
                <w:sz w:val="16"/>
                <w:szCs w:val="16"/>
                <w:color w:val="auto"/>
              </w:rPr>
              <w:t>1,750,000</w:t>
            </w:r>
          </w:p>
        </w:tc>
        <w:tc>
          <w:tcPr>
            <w:tcW w:w="300" w:type="dxa"/>
            <w:vAlign w:val="bottom"/>
            <w:tcBorders>
              <w:bottom w:val="single" w:sz="8" w:color="808080"/>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808080"/>
            </w:tcBorders>
          </w:tcPr>
          <w:p>
            <w:pPr>
              <w:ind w:left="140"/>
              <w:spacing w:after="0"/>
              <w:rPr>
                <w:sz w:val="20"/>
                <w:szCs w:val="20"/>
                <w:color w:val="auto"/>
              </w:rPr>
            </w:pPr>
            <w:r>
              <w:rPr>
                <w:rFonts w:ascii="Arial" w:cs="Arial" w:eastAsia="Arial" w:hAnsi="Arial"/>
                <w:sz w:val="16"/>
                <w:szCs w:val="16"/>
                <w:color w:val="auto"/>
              </w:rPr>
              <w:t>5,125,000</w:t>
            </w:r>
          </w:p>
        </w:tc>
        <w:tc>
          <w:tcPr>
            <w:tcW w:w="320" w:type="dxa"/>
            <w:vAlign w:val="bottom"/>
            <w:tcBorders>
              <w:bottom w:val="single" w:sz="8" w:color="808080"/>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808080"/>
            </w:tcBorders>
          </w:tcPr>
          <w:p>
            <w:pPr>
              <w:jc w:val="right"/>
              <w:ind w:right="4"/>
              <w:spacing w:after="0"/>
              <w:rPr>
                <w:sz w:val="20"/>
                <w:szCs w:val="20"/>
                <w:color w:val="auto"/>
              </w:rPr>
            </w:pPr>
            <w:r>
              <w:rPr>
                <w:rFonts w:ascii="Arial" w:cs="Arial" w:eastAsia="Arial" w:hAnsi="Arial"/>
                <w:sz w:val="16"/>
                <w:szCs w:val="16"/>
                <w:color w:val="auto"/>
              </w:rPr>
              <w:t>5,125,000</w:t>
            </w:r>
          </w:p>
        </w:tc>
        <w:tc>
          <w:tcPr>
            <w:tcW w:w="320" w:type="dxa"/>
            <w:vAlign w:val="bottom"/>
            <w:tcBorders>
              <w:bottom w:val="single" w:sz="8" w:color="808080"/>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808080"/>
            </w:tcBorders>
          </w:tcPr>
          <w:p>
            <w:pPr>
              <w:jc w:val="right"/>
              <w:ind w:right="81"/>
              <w:spacing w:after="0"/>
              <w:rPr>
                <w:sz w:val="20"/>
                <w:szCs w:val="20"/>
                <w:color w:val="auto"/>
              </w:rPr>
            </w:pPr>
            <w:r>
              <w:rPr>
                <w:rFonts w:ascii="Arial" w:cs="Arial" w:eastAsia="Arial" w:hAnsi="Arial"/>
                <w:sz w:val="16"/>
                <w:szCs w:val="16"/>
                <w:color w:val="auto"/>
              </w:rPr>
              <w:t>13,000,000</w:t>
            </w:r>
          </w:p>
        </w:tc>
      </w:tr>
      <w:tr>
        <w:trPr>
          <w:trHeight w:val="183"/>
        </w:trPr>
        <w:tc>
          <w:tcPr>
            <w:tcW w:w="3220" w:type="dxa"/>
            <w:vAlign w:val="bottom"/>
            <w:tcBorders>
              <w:bottom w:val="single" w:sz="8" w:color="808080"/>
            </w:tcBorders>
          </w:tcPr>
          <w:p>
            <w:pPr>
              <w:ind w:left="120"/>
              <w:spacing w:after="0" w:line="183" w:lineRule="exact"/>
              <w:rPr>
                <w:sz w:val="20"/>
                <w:szCs w:val="20"/>
                <w:color w:val="auto"/>
              </w:rPr>
            </w:pPr>
            <w:r>
              <w:rPr>
                <w:rFonts w:ascii="Arial" w:cs="Arial" w:eastAsia="Arial" w:hAnsi="Arial"/>
                <w:sz w:val="16"/>
                <w:szCs w:val="16"/>
                <w:b w:val="1"/>
                <w:bCs w:val="1"/>
                <w:color w:val="1414D2"/>
              </w:rPr>
              <w:t>Torbjorn Enqvist</w:t>
            </w:r>
          </w:p>
        </w:tc>
        <w:tc>
          <w:tcPr>
            <w:tcW w:w="380" w:type="dxa"/>
            <w:vAlign w:val="bottom"/>
            <w:tcBorders>
              <w:bottom w:val="single" w:sz="8" w:color="808080"/>
            </w:tcBorders>
            <w:gridSpan w:val="2"/>
          </w:tcPr>
          <w:p>
            <w:pPr>
              <w:jc w:val="right"/>
              <w:ind w:right="60"/>
              <w:spacing w:after="0" w:line="183"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808080"/>
            </w:tcBorders>
          </w:tcPr>
          <w:p>
            <w:pPr>
              <w:jc w:val="right"/>
              <w:spacing w:after="0" w:line="183" w:lineRule="exact"/>
              <w:rPr>
                <w:sz w:val="20"/>
                <w:szCs w:val="20"/>
                <w:color w:val="auto"/>
              </w:rPr>
            </w:pPr>
            <w:r>
              <w:rPr>
                <w:rFonts w:ascii="Arial" w:cs="Arial" w:eastAsia="Arial" w:hAnsi="Arial"/>
                <w:sz w:val="16"/>
                <w:szCs w:val="16"/>
                <w:color w:val="auto"/>
              </w:rPr>
              <w:t>880,000</w:t>
            </w:r>
          </w:p>
        </w:tc>
        <w:tc>
          <w:tcPr>
            <w:tcW w:w="220" w:type="dxa"/>
            <w:vAlign w:val="bottom"/>
            <w:tcBorders>
              <w:bottom w:val="single" w:sz="8" w:color="808080"/>
            </w:tcBorders>
          </w:tcPr>
          <w:p>
            <w:pPr>
              <w:spacing w:after="0"/>
              <w:rPr>
                <w:sz w:val="15"/>
                <w:szCs w:val="15"/>
                <w:color w:val="auto"/>
              </w:rPr>
            </w:pPr>
          </w:p>
        </w:tc>
        <w:tc>
          <w:tcPr>
            <w:tcW w:w="160" w:type="dxa"/>
            <w:vAlign w:val="bottom"/>
            <w:tcBorders>
              <w:bottom w:val="single" w:sz="8" w:color="808080"/>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808080"/>
            </w:tcBorders>
          </w:tcPr>
          <w:p>
            <w:pPr>
              <w:jc w:val="right"/>
              <w:ind w:right="2"/>
              <w:spacing w:after="0" w:line="183" w:lineRule="exact"/>
              <w:rPr>
                <w:sz w:val="20"/>
                <w:szCs w:val="20"/>
                <w:color w:val="auto"/>
              </w:rPr>
            </w:pPr>
            <w:r>
              <w:rPr>
                <w:rFonts w:ascii="Arial" w:cs="Arial" w:eastAsia="Arial" w:hAnsi="Arial"/>
                <w:sz w:val="16"/>
                <w:szCs w:val="16"/>
                <w:color w:val="auto"/>
              </w:rPr>
              <w:t>1,232,000</w:t>
            </w:r>
          </w:p>
        </w:tc>
        <w:tc>
          <w:tcPr>
            <w:tcW w:w="300" w:type="dxa"/>
            <w:vAlign w:val="bottom"/>
            <w:tcBorders>
              <w:bottom w:val="single" w:sz="8" w:color="808080"/>
            </w:tcBorders>
          </w:tcPr>
          <w:p>
            <w:pPr>
              <w:jc w:val="right"/>
              <w:spacing w:after="0" w:line="183" w:lineRule="exact"/>
              <w:rPr>
                <w:sz w:val="20"/>
                <w:szCs w:val="20"/>
                <w:color w:val="auto"/>
              </w:rPr>
            </w:pPr>
            <w:r>
              <w:rPr>
                <w:rFonts w:ascii="Arial" w:cs="Arial" w:eastAsia="Arial" w:hAnsi="Arial"/>
                <w:sz w:val="16"/>
                <w:szCs w:val="16"/>
                <w:color w:val="auto"/>
              </w:rPr>
              <w:t>$</w:t>
            </w:r>
          </w:p>
        </w:tc>
        <w:tc>
          <w:tcPr>
            <w:tcW w:w="960" w:type="dxa"/>
            <w:vAlign w:val="bottom"/>
            <w:tcBorders>
              <w:bottom w:val="single" w:sz="8" w:color="808080"/>
            </w:tcBorders>
          </w:tcPr>
          <w:p>
            <w:pPr>
              <w:ind w:left="140"/>
              <w:spacing w:after="0" w:line="183" w:lineRule="exact"/>
              <w:rPr>
                <w:sz w:val="20"/>
                <w:szCs w:val="20"/>
                <w:color w:val="auto"/>
              </w:rPr>
            </w:pPr>
            <w:r>
              <w:rPr>
                <w:rFonts w:ascii="Arial" w:cs="Arial" w:eastAsia="Arial" w:hAnsi="Arial"/>
                <w:sz w:val="16"/>
                <w:szCs w:val="16"/>
                <w:color w:val="auto"/>
              </w:rPr>
              <w:t>2,332,000</w:t>
            </w:r>
          </w:p>
        </w:tc>
        <w:tc>
          <w:tcPr>
            <w:tcW w:w="320" w:type="dxa"/>
            <w:vAlign w:val="bottom"/>
            <w:tcBorders>
              <w:bottom w:val="single" w:sz="8" w:color="808080"/>
            </w:tcBorders>
          </w:tcPr>
          <w:p>
            <w:pPr>
              <w:jc w:val="right"/>
              <w:spacing w:after="0" w:line="183" w:lineRule="exact"/>
              <w:rPr>
                <w:sz w:val="20"/>
                <w:szCs w:val="20"/>
                <w:color w:val="auto"/>
              </w:rPr>
            </w:pPr>
            <w:r>
              <w:rPr>
                <w:rFonts w:ascii="Arial" w:cs="Arial" w:eastAsia="Arial" w:hAnsi="Arial"/>
                <w:sz w:val="16"/>
                <w:szCs w:val="16"/>
                <w:color w:val="auto"/>
              </w:rPr>
              <w:t>$</w:t>
            </w:r>
          </w:p>
        </w:tc>
        <w:tc>
          <w:tcPr>
            <w:tcW w:w="960" w:type="dxa"/>
            <w:vAlign w:val="bottom"/>
            <w:tcBorders>
              <w:bottom w:val="single" w:sz="8" w:color="808080"/>
            </w:tcBorders>
          </w:tcPr>
          <w:p>
            <w:pPr>
              <w:jc w:val="right"/>
              <w:ind w:right="4"/>
              <w:spacing w:after="0" w:line="183" w:lineRule="exact"/>
              <w:rPr>
                <w:sz w:val="20"/>
                <w:szCs w:val="20"/>
                <w:color w:val="auto"/>
              </w:rPr>
            </w:pPr>
            <w:r>
              <w:rPr>
                <w:rFonts w:ascii="Arial" w:cs="Arial" w:eastAsia="Arial" w:hAnsi="Arial"/>
                <w:sz w:val="16"/>
                <w:szCs w:val="16"/>
                <w:color w:val="auto"/>
              </w:rPr>
              <w:t>2,332,000</w:t>
            </w:r>
          </w:p>
        </w:tc>
        <w:tc>
          <w:tcPr>
            <w:tcW w:w="320" w:type="dxa"/>
            <w:vAlign w:val="bottom"/>
            <w:tcBorders>
              <w:bottom w:val="single" w:sz="8" w:color="808080"/>
            </w:tcBorders>
          </w:tcPr>
          <w:p>
            <w:pPr>
              <w:jc w:val="right"/>
              <w:spacing w:after="0" w:line="183" w:lineRule="exact"/>
              <w:rPr>
                <w:sz w:val="20"/>
                <w:szCs w:val="20"/>
                <w:color w:val="auto"/>
              </w:rPr>
            </w:pPr>
            <w:r>
              <w:rPr>
                <w:rFonts w:ascii="Arial" w:cs="Arial" w:eastAsia="Arial" w:hAnsi="Arial"/>
                <w:sz w:val="16"/>
                <w:szCs w:val="16"/>
                <w:color w:val="auto"/>
              </w:rPr>
              <w:t>$</w:t>
            </w:r>
          </w:p>
        </w:tc>
        <w:tc>
          <w:tcPr>
            <w:tcW w:w="1020" w:type="dxa"/>
            <w:vAlign w:val="bottom"/>
            <w:tcBorders>
              <w:bottom w:val="single" w:sz="8" w:color="808080"/>
            </w:tcBorders>
          </w:tcPr>
          <w:p>
            <w:pPr>
              <w:jc w:val="right"/>
              <w:ind w:right="81"/>
              <w:spacing w:after="0" w:line="183" w:lineRule="exact"/>
              <w:rPr>
                <w:sz w:val="20"/>
                <w:szCs w:val="20"/>
                <w:color w:val="auto"/>
              </w:rPr>
            </w:pPr>
            <w:r>
              <w:rPr>
                <w:rFonts w:ascii="Arial" w:cs="Arial" w:eastAsia="Arial" w:hAnsi="Arial"/>
                <w:sz w:val="16"/>
                <w:szCs w:val="16"/>
                <w:color w:val="auto"/>
              </w:rPr>
              <w:t>6,776,000</w:t>
            </w:r>
          </w:p>
        </w:tc>
      </w:tr>
      <w:tr>
        <w:trPr>
          <w:trHeight w:val="183"/>
        </w:trPr>
        <w:tc>
          <w:tcPr>
            <w:tcW w:w="3220" w:type="dxa"/>
            <w:vAlign w:val="bottom"/>
            <w:tcBorders>
              <w:bottom w:val="single" w:sz="8" w:color="808080"/>
            </w:tcBorders>
          </w:tcPr>
          <w:p>
            <w:pPr>
              <w:ind w:left="120"/>
              <w:spacing w:after="0" w:line="183" w:lineRule="exact"/>
              <w:rPr>
                <w:sz w:val="20"/>
                <w:szCs w:val="20"/>
                <w:color w:val="auto"/>
              </w:rPr>
            </w:pPr>
            <w:r>
              <w:rPr>
                <w:rFonts w:ascii="Arial" w:cs="Arial" w:eastAsia="Arial" w:hAnsi="Arial"/>
                <w:sz w:val="16"/>
                <w:szCs w:val="16"/>
                <w:b w:val="1"/>
                <w:bCs w:val="1"/>
                <w:color w:val="1414D2"/>
              </w:rPr>
              <w:t>Andrew Nocella</w:t>
            </w:r>
          </w:p>
        </w:tc>
        <w:tc>
          <w:tcPr>
            <w:tcW w:w="380" w:type="dxa"/>
            <w:vAlign w:val="bottom"/>
            <w:tcBorders>
              <w:bottom w:val="single" w:sz="8" w:color="808080"/>
            </w:tcBorders>
            <w:gridSpan w:val="2"/>
          </w:tcPr>
          <w:p>
            <w:pPr>
              <w:jc w:val="right"/>
              <w:ind w:right="60"/>
              <w:spacing w:after="0" w:line="183"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808080"/>
            </w:tcBorders>
          </w:tcPr>
          <w:p>
            <w:pPr>
              <w:jc w:val="right"/>
              <w:spacing w:after="0" w:line="183" w:lineRule="exact"/>
              <w:rPr>
                <w:sz w:val="20"/>
                <w:szCs w:val="20"/>
                <w:color w:val="auto"/>
              </w:rPr>
            </w:pPr>
            <w:r>
              <w:rPr>
                <w:rFonts w:ascii="Arial" w:cs="Arial" w:eastAsia="Arial" w:hAnsi="Arial"/>
                <w:sz w:val="16"/>
                <w:szCs w:val="16"/>
                <w:color w:val="auto"/>
              </w:rPr>
              <w:t>808,500</w:t>
            </w:r>
          </w:p>
        </w:tc>
        <w:tc>
          <w:tcPr>
            <w:tcW w:w="220" w:type="dxa"/>
            <w:vAlign w:val="bottom"/>
            <w:tcBorders>
              <w:bottom w:val="single" w:sz="8" w:color="808080"/>
            </w:tcBorders>
          </w:tcPr>
          <w:p>
            <w:pPr>
              <w:spacing w:after="0"/>
              <w:rPr>
                <w:sz w:val="15"/>
                <w:szCs w:val="15"/>
                <w:color w:val="auto"/>
              </w:rPr>
            </w:pPr>
          </w:p>
        </w:tc>
        <w:tc>
          <w:tcPr>
            <w:tcW w:w="160" w:type="dxa"/>
            <w:vAlign w:val="bottom"/>
            <w:tcBorders>
              <w:bottom w:val="single" w:sz="8" w:color="808080"/>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808080"/>
            </w:tcBorders>
          </w:tcPr>
          <w:p>
            <w:pPr>
              <w:jc w:val="right"/>
              <w:ind w:right="2"/>
              <w:spacing w:after="0" w:line="183" w:lineRule="exact"/>
              <w:rPr>
                <w:sz w:val="20"/>
                <w:szCs w:val="20"/>
                <w:color w:val="auto"/>
              </w:rPr>
            </w:pPr>
            <w:r>
              <w:rPr>
                <w:rFonts w:ascii="Arial" w:cs="Arial" w:eastAsia="Arial" w:hAnsi="Arial"/>
                <w:sz w:val="16"/>
                <w:szCs w:val="16"/>
                <w:color w:val="auto"/>
              </w:rPr>
              <w:t>1,010,625</w:t>
            </w:r>
          </w:p>
        </w:tc>
        <w:tc>
          <w:tcPr>
            <w:tcW w:w="300" w:type="dxa"/>
            <w:vAlign w:val="bottom"/>
            <w:tcBorders>
              <w:bottom w:val="single" w:sz="8" w:color="808080"/>
            </w:tcBorders>
          </w:tcPr>
          <w:p>
            <w:pPr>
              <w:jc w:val="right"/>
              <w:spacing w:after="0" w:line="183" w:lineRule="exact"/>
              <w:rPr>
                <w:sz w:val="20"/>
                <w:szCs w:val="20"/>
                <w:color w:val="auto"/>
              </w:rPr>
            </w:pPr>
            <w:r>
              <w:rPr>
                <w:rFonts w:ascii="Arial" w:cs="Arial" w:eastAsia="Arial" w:hAnsi="Arial"/>
                <w:sz w:val="16"/>
                <w:szCs w:val="16"/>
                <w:color w:val="auto"/>
              </w:rPr>
              <w:t>$</w:t>
            </w:r>
          </w:p>
        </w:tc>
        <w:tc>
          <w:tcPr>
            <w:tcW w:w="960" w:type="dxa"/>
            <w:vAlign w:val="bottom"/>
            <w:tcBorders>
              <w:bottom w:val="single" w:sz="8" w:color="808080"/>
            </w:tcBorders>
          </w:tcPr>
          <w:p>
            <w:pPr>
              <w:ind w:left="140"/>
              <w:spacing w:after="0" w:line="183" w:lineRule="exact"/>
              <w:rPr>
                <w:sz w:val="20"/>
                <w:szCs w:val="20"/>
                <w:color w:val="auto"/>
              </w:rPr>
            </w:pPr>
            <w:r>
              <w:rPr>
                <w:rFonts w:ascii="Arial" w:cs="Arial" w:eastAsia="Arial" w:hAnsi="Arial"/>
                <w:sz w:val="16"/>
                <w:szCs w:val="16"/>
                <w:color w:val="auto"/>
              </w:rPr>
              <w:t>2,021,250</w:t>
            </w:r>
          </w:p>
        </w:tc>
        <w:tc>
          <w:tcPr>
            <w:tcW w:w="320" w:type="dxa"/>
            <w:vAlign w:val="bottom"/>
            <w:tcBorders>
              <w:bottom w:val="single" w:sz="8" w:color="808080"/>
            </w:tcBorders>
          </w:tcPr>
          <w:p>
            <w:pPr>
              <w:jc w:val="right"/>
              <w:spacing w:after="0" w:line="183" w:lineRule="exact"/>
              <w:rPr>
                <w:sz w:val="20"/>
                <w:szCs w:val="20"/>
                <w:color w:val="auto"/>
              </w:rPr>
            </w:pPr>
            <w:r>
              <w:rPr>
                <w:rFonts w:ascii="Arial" w:cs="Arial" w:eastAsia="Arial" w:hAnsi="Arial"/>
                <w:sz w:val="16"/>
                <w:szCs w:val="16"/>
                <w:color w:val="auto"/>
              </w:rPr>
              <w:t>$</w:t>
            </w:r>
          </w:p>
        </w:tc>
        <w:tc>
          <w:tcPr>
            <w:tcW w:w="960" w:type="dxa"/>
            <w:vAlign w:val="bottom"/>
            <w:tcBorders>
              <w:bottom w:val="single" w:sz="8" w:color="808080"/>
            </w:tcBorders>
          </w:tcPr>
          <w:p>
            <w:pPr>
              <w:jc w:val="right"/>
              <w:ind w:right="4"/>
              <w:spacing w:after="0" w:line="183" w:lineRule="exact"/>
              <w:rPr>
                <w:sz w:val="20"/>
                <w:szCs w:val="20"/>
                <w:color w:val="auto"/>
              </w:rPr>
            </w:pPr>
            <w:r>
              <w:rPr>
                <w:rFonts w:ascii="Arial" w:cs="Arial" w:eastAsia="Arial" w:hAnsi="Arial"/>
                <w:sz w:val="16"/>
                <w:szCs w:val="16"/>
                <w:color w:val="auto"/>
              </w:rPr>
              <w:t>2,021,250</w:t>
            </w:r>
          </w:p>
        </w:tc>
        <w:tc>
          <w:tcPr>
            <w:tcW w:w="320" w:type="dxa"/>
            <w:vAlign w:val="bottom"/>
            <w:tcBorders>
              <w:bottom w:val="single" w:sz="8" w:color="808080"/>
            </w:tcBorders>
          </w:tcPr>
          <w:p>
            <w:pPr>
              <w:jc w:val="right"/>
              <w:spacing w:after="0" w:line="183" w:lineRule="exact"/>
              <w:rPr>
                <w:sz w:val="20"/>
                <w:szCs w:val="20"/>
                <w:color w:val="auto"/>
              </w:rPr>
            </w:pPr>
            <w:r>
              <w:rPr>
                <w:rFonts w:ascii="Arial" w:cs="Arial" w:eastAsia="Arial" w:hAnsi="Arial"/>
                <w:sz w:val="16"/>
                <w:szCs w:val="16"/>
                <w:color w:val="auto"/>
              </w:rPr>
              <w:t>$</w:t>
            </w:r>
          </w:p>
        </w:tc>
        <w:tc>
          <w:tcPr>
            <w:tcW w:w="1020" w:type="dxa"/>
            <w:vAlign w:val="bottom"/>
            <w:tcBorders>
              <w:bottom w:val="single" w:sz="8" w:color="808080"/>
            </w:tcBorders>
          </w:tcPr>
          <w:p>
            <w:pPr>
              <w:jc w:val="right"/>
              <w:ind w:right="81"/>
              <w:spacing w:after="0" w:line="183" w:lineRule="exact"/>
              <w:rPr>
                <w:sz w:val="20"/>
                <w:szCs w:val="20"/>
                <w:color w:val="auto"/>
              </w:rPr>
            </w:pPr>
            <w:r>
              <w:rPr>
                <w:rFonts w:ascii="Arial" w:cs="Arial" w:eastAsia="Arial" w:hAnsi="Arial"/>
                <w:sz w:val="16"/>
                <w:szCs w:val="16"/>
                <w:color w:val="auto"/>
              </w:rPr>
              <w:t>5,861,625</w:t>
            </w:r>
          </w:p>
        </w:tc>
      </w:tr>
      <w:tr>
        <w:trPr>
          <w:trHeight w:val="183"/>
        </w:trPr>
        <w:tc>
          <w:tcPr>
            <w:tcW w:w="3220" w:type="dxa"/>
            <w:vAlign w:val="bottom"/>
            <w:tcBorders>
              <w:bottom w:val="single" w:sz="8" w:color="808080"/>
            </w:tcBorders>
          </w:tcPr>
          <w:p>
            <w:pPr>
              <w:ind w:left="120"/>
              <w:spacing w:after="0" w:line="183" w:lineRule="exact"/>
              <w:rPr>
                <w:sz w:val="20"/>
                <w:szCs w:val="20"/>
                <w:color w:val="auto"/>
              </w:rPr>
            </w:pPr>
            <w:r>
              <w:rPr>
                <w:rFonts w:ascii="Arial" w:cs="Arial" w:eastAsia="Arial" w:hAnsi="Arial"/>
                <w:sz w:val="16"/>
                <w:szCs w:val="16"/>
                <w:b w:val="1"/>
                <w:bCs w:val="1"/>
                <w:color w:val="1414D2"/>
              </w:rPr>
              <w:t>Michael Leskinen</w:t>
            </w:r>
          </w:p>
        </w:tc>
        <w:tc>
          <w:tcPr>
            <w:tcW w:w="380" w:type="dxa"/>
            <w:vAlign w:val="bottom"/>
            <w:tcBorders>
              <w:bottom w:val="single" w:sz="8" w:color="808080"/>
            </w:tcBorders>
            <w:gridSpan w:val="2"/>
          </w:tcPr>
          <w:p>
            <w:pPr>
              <w:jc w:val="right"/>
              <w:ind w:right="60"/>
              <w:spacing w:after="0" w:line="183"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808080"/>
            </w:tcBorders>
          </w:tcPr>
          <w:p>
            <w:pPr>
              <w:jc w:val="right"/>
              <w:spacing w:after="0" w:line="183" w:lineRule="exact"/>
              <w:rPr>
                <w:sz w:val="20"/>
                <w:szCs w:val="20"/>
                <w:color w:val="auto"/>
              </w:rPr>
            </w:pPr>
            <w:r>
              <w:rPr>
                <w:rFonts w:ascii="Arial" w:cs="Arial" w:eastAsia="Arial" w:hAnsi="Arial"/>
                <w:sz w:val="16"/>
                <w:szCs w:val="16"/>
                <w:color w:val="auto"/>
              </w:rPr>
              <w:t>800,000</w:t>
            </w:r>
          </w:p>
        </w:tc>
        <w:tc>
          <w:tcPr>
            <w:tcW w:w="220" w:type="dxa"/>
            <w:vAlign w:val="bottom"/>
            <w:tcBorders>
              <w:bottom w:val="single" w:sz="8" w:color="808080"/>
            </w:tcBorders>
          </w:tcPr>
          <w:p>
            <w:pPr>
              <w:spacing w:after="0"/>
              <w:rPr>
                <w:sz w:val="15"/>
                <w:szCs w:val="15"/>
                <w:color w:val="auto"/>
              </w:rPr>
            </w:pPr>
          </w:p>
        </w:tc>
        <w:tc>
          <w:tcPr>
            <w:tcW w:w="160" w:type="dxa"/>
            <w:vAlign w:val="bottom"/>
            <w:tcBorders>
              <w:bottom w:val="single" w:sz="8" w:color="808080"/>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808080"/>
            </w:tcBorders>
          </w:tcPr>
          <w:p>
            <w:pPr>
              <w:jc w:val="right"/>
              <w:ind w:right="2"/>
              <w:spacing w:after="0" w:line="183" w:lineRule="exact"/>
              <w:rPr>
                <w:sz w:val="20"/>
                <w:szCs w:val="20"/>
                <w:color w:val="auto"/>
              </w:rPr>
            </w:pPr>
            <w:r>
              <w:rPr>
                <w:rFonts w:ascii="Arial" w:cs="Arial" w:eastAsia="Arial" w:hAnsi="Arial"/>
                <w:sz w:val="16"/>
                <w:szCs w:val="16"/>
                <w:color w:val="auto"/>
              </w:rPr>
              <w:t>1,000,000</w:t>
            </w:r>
          </w:p>
        </w:tc>
        <w:tc>
          <w:tcPr>
            <w:tcW w:w="300" w:type="dxa"/>
            <w:vAlign w:val="bottom"/>
            <w:tcBorders>
              <w:bottom w:val="single" w:sz="8" w:color="808080"/>
            </w:tcBorders>
          </w:tcPr>
          <w:p>
            <w:pPr>
              <w:jc w:val="right"/>
              <w:spacing w:after="0" w:line="183" w:lineRule="exact"/>
              <w:rPr>
                <w:sz w:val="20"/>
                <w:szCs w:val="20"/>
                <w:color w:val="auto"/>
              </w:rPr>
            </w:pPr>
            <w:r>
              <w:rPr>
                <w:rFonts w:ascii="Arial" w:cs="Arial" w:eastAsia="Arial" w:hAnsi="Arial"/>
                <w:sz w:val="16"/>
                <w:szCs w:val="16"/>
                <w:color w:val="auto"/>
              </w:rPr>
              <w:t>$</w:t>
            </w:r>
          </w:p>
        </w:tc>
        <w:tc>
          <w:tcPr>
            <w:tcW w:w="960" w:type="dxa"/>
            <w:vAlign w:val="bottom"/>
            <w:tcBorders>
              <w:bottom w:val="single" w:sz="8" w:color="808080"/>
            </w:tcBorders>
          </w:tcPr>
          <w:p>
            <w:pPr>
              <w:ind w:left="140"/>
              <w:spacing w:after="0" w:line="183" w:lineRule="exact"/>
              <w:rPr>
                <w:sz w:val="20"/>
                <w:szCs w:val="20"/>
                <w:color w:val="auto"/>
              </w:rPr>
            </w:pPr>
            <w:r>
              <w:rPr>
                <w:rFonts w:ascii="Arial" w:cs="Arial" w:eastAsia="Arial" w:hAnsi="Arial"/>
                <w:sz w:val="16"/>
                <w:szCs w:val="16"/>
                <w:color w:val="auto"/>
              </w:rPr>
              <w:t>1,800,000</w:t>
            </w:r>
          </w:p>
        </w:tc>
        <w:tc>
          <w:tcPr>
            <w:tcW w:w="320" w:type="dxa"/>
            <w:vAlign w:val="bottom"/>
            <w:tcBorders>
              <w:bottom w:val="single" w:sz="8" w:color="808080"/>
            </w:tcBorders>
          </w:tcPr>
          <w:p>
            <w:pPr>
              <w:jc w:val="right"/>
              <w:spacing w:after="0" w:line="183" w:lineRule="exact"/>
              <w:rPr>
                <w:sz w:val="20"/>
                <w:szCs w:val="20"/>
                <w:color w:val="auto"/>
              </w:rPr>
            </w:pPr>
            <w:r>
              <w:rPr>
                <w:rFonts w:ascii="Arial" w:cs="Arial" w:eastAsia="Arial" w:hAnsi="Arial"/>
                <w:sz w:val="16"/>
                <w:szCs w:val="16"/>
                <w:color w:val="auto"/>
              </w:rPr>
              <w:t>$</w:t>
            </w:r>
          </w:p>
        </w:tc>
        <w:tc>
          <w:tcPr>
            <w:tcW w:w="960" w:type="dxa"/>
            <w:vAlign w:val="bottom"/>
            <w:tcBorders>
              <w:bottom w:val="single" w:sz="8" w:color="808080"/>
            </w:tcBorders>
          </w:tcPr>
          <w:p>
            <w:pPr>
              <w:jc w:val="right"/>
              <w:ind w:right="4"/>
              <w:spacing w:after="0" w:line="183" w:lineRule="exact"/>
              <w:rPr>
                <w:sz w:val="20"/>
                <w:szCs w:val="20"/>
                <w:color w:val="auto"/>
              </w:rPr>
            </w:pPr>
            <w:r>
              <w:rPr>
                <w:rFonts w:ascii="Arial" w:cs="Arial" w:eastAsia="Arial" w:hAnsi="Arial"/>
                <w:sz w:val="16"/>
                <w:szCs w:val="16"/>
                <w:color w:val="auto"/>
              </w:rPr>
              <w:t>1,800,000</w:t>
            </w:r>
          </w:p>
        </w:tc>
        <w:tc>
          <w:tcPr>
            <w:tcW w:w="320" w:type="dxa"/>
            <w:vAlign w:val="bottom"/>
            <w:tcBorders>
              <w:bottom w:val="single" w:sz="8" w:color="808080"/>
            </w:tcBorders>
          </w:tcPr>
          <w:p>
            <w:pPr>
              <w:jc w:val="right"/>
              <w:spacing w:after="0" w:line="183" w:lineRule="exact"/>
              <w:rPr>
                <w:sz w:val="20"/>
                <w:szCs w:val="20"/>
                <w:color w:val="auto"/>
              </w:rPr>
            </w:pPr>
            <w:r>
              <w:rPr>
                <w:rFonts w:ascii="Arial" w:cs="Arial" w:eastAsia="Arial" w:hAnsi="Arial"/>
                <w:sz w:val="16"/>
                <w:szCs w:val="16"/>
                <w:color w:val="auto"/>
              </w:rPr>
              <w:t>$</w:t>
            </w:r>
          </w:p>
        </w:tc>
        <w:tc>
          <w:tcPr>
            <w:tcW w:w="1020" w:type="dxa"/>
            <w:vAlign w:val="bottom"/>
            <w:tcBorders>
              <w:bottom w:val="single" w:sz="8" w:color="808080"/>
            </w:tcBorders>
          </w:tcPr>
          <w:p>
            <w:pPr>
              <w:jc w:val="right"/>
              <w:ind w:right="81"/>
              <w:spacing w:after="0" w:line="183" w:lineRule="exact"/>
              <w:rPr>
                <w:sz w:val="20"/>
                <w:szCs w:val="20"/>
                <w:color w:val="auto"/>
              </w:rPr>
            </w:pPr>
            <w:r>
              <w:rPr>
                <w:rFonts w:ascii="Arial" w:cs="Arial" w:eastAsia="Arial" w:hAnsi="Arial"/>
                <w:sz w:val="16"/>
                <w:szCs w:val="16"/>
                <w:color w:val="auto"/>
              </w:rPr>
              <w:t>5,400,000</w:t>
            </w:r>
          </w:p>
        </w:tc>
      </w:tr>
    </w:tbl>
    <w:p>
      <w:pPr>
        <w:spacing w:after="0" w:line="44" w:lineRule="exact"/>
        <w:rPr>
          <w:sz w:val="20"/>
          <w:szCs w:val="20"/>
          <w:color w:val="auto"/>
        </w:rPr>
      </w:pPr>
    </w:p>
    <w:p>
      <w:pPr>
        <w:ind w:left="320" w:hanging="316"/>
        <w:spacing w:after="0"/>
        <w:tabs>
          <w:tab w:leader="none" w:pos="320" w:val="left"/>
        </w:tabs>
        <w:numPr>
          <w:ilvl w:val="0"/>
          <w:numId w:val="85"/>
        </w:numPr>
        <w:rPr>
          <w:rFonts w:ascii="Arial" w:cs="Arial" w:eastAsia="Arial" w:hAnsi="Arial"/>
          <w:sz w:val="22"/>
          <w:szCs w:val="22"/>
          <w:color w:val="auto"/>
          <w:vertAlign w:val="superscript"/>
        </w:rPr>
      </w:pPr>
      <w:r>
        <w:rPr>
          <w:rFonts w:ascii="Arial" w:cs="Arial" w:eastAsia="Arial" w:hAnsi="Arial"/>
          <w:sz w:val="14"/>
          <w:szCs w:val="14"/>
          <w:color w:val="auto"/>
        </w:rPr>
        <w:t>Represents  annual  base  salary  rates  that  were  approved  by  the  Committee  in  February  2025  and  took  efect  on  April  1,  2025.</w:t>
      </w:r>
    </w:p>
    <w:p>
      <w:pPr>
        <w:spacing w:after="0" w:line="75" w:lineRule="exact"/>
        <w:rPr>
          <w:rFonts w:ascii="Arial" w:cs="Arial" w:eastAsia="Arial" w:hAnsi="Arial"/>
          <w:sz w:val="22"/>
          <w:szCs w:val="22"/>
          <w:color w:val="auto"/>
          <w:vertAlign w:val="superscript"/>
        </w:rPr>
      </w:pPr>
    </w:p>
    <w:p>
      <w:pPr>
        <w:ind w:left="320" w:right="440" w:hanging="316"/>
        <w:spacing w:after="0" w:line="227" w:lineRule="auto"/>
        <w:tabs>
          <w:tab w:leader="none" w:pos="320" w:val="left"/>
        </w:tabs>
        <w:numPr>
          <w:ilvl w:val="0"/>
          <w:numId w:val="85"/>
        </w:numPr>
        <w:rPr>
          <w:rFonts w:ascii="Arial" w:cs="Arial" w:eastAsia="Arial" w:hAnsi="Arial"/>
          <w:sz w:val="22"/>
          <w:szCs w:val="22"/>
          <w:color w:val="auto"/>
          <w:vertAlign w:val="superscript"/>
        </w:rPr>
      </w:pPr>
      <w:r>
        <w:rPr>
          <w:rFonts w:ascii="Arial" w:cs="Arial" w:eastAsia="Arial" w:hAnsi="Arial"/>
          <w:sz w:val="14"/>
          <w:szCs w:val="14"/>
          <w:color w:val="auto"/>
        </w:rPr>
        <w:t>Represents the target amounts pursuant to the 2025 STI program, which had a performance period from January 1, 2025 through December 31, 2025, not taking into account blended salary or target STI opportunity rates. The actual value of the earned 2025 STI is included in the “Non-Equity Incentive Plan Compensation” column of the 2025 Summary Compensation Table.</w:t>
      </w:r>
    </w:p>
    <w:p>
      <w:pPr>
        <w:spacing w:after="0" w:line="71" w:lineRule="exact"/>
        <w:rPr>
          <w:sz w:val="20"/>
          <w:szCs w:val="20"/>
          <w:color w:val="auto"/>
        </w:rPr>
      </w:pPr>
    </w:p>
    <w:p>
      <w:pPr>
        <w:ind w:right="100"/>
        <w:spacing w:after="0" w:line="255" w:lineRule="auto"/>
        <w:rPr>
          <w:sz w:val="20"/>
          <w:szCs w:val="20"/>
          <w:color w:val="auto"/>
        </w:rPr>
      </w:pPr>
      <w:r>
        <w:rPr>
          <w:rFonts w:ascii="Arial" w:cs="Arial" w:eastAsia="Arial" w:hAnsi="Arial"/>
          <w:sz w:val="16"/>
          <w:szCs w:val="16"/>
          <w:color w:val="auto"/>
        </w:rPr>
        <w:t>The table above is not a substitute for, and should be read together with, the 2025 Summary Compensation Table in this Proxy Statement. The table above includes only the primary elements of 2025 target compensation (salary, 2025 STI and 2025 annual</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time-based  RSU  and  PBRSU  grants).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2026  Proxy  Statement</w:t>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1414D2"/>
        </w:rPr>
        <w:t>79</w:t>
      </w:r>
    </w:p>
    <w:p>
      <w:pPr>
        <w:sectPr>
          <w:pgSz w:w="11900" w:h="16838" w:orient="portrait"/>
          <w:cols w:equalWidth="0" w:num="1">
            <w:col w:w="9720"/>
          </w:cols>
          <w:pgMar w:left="1080" w:top="695" w:right="1099" w:bottom="1440" w:gutter="0" w:footer="0" w:header="0"/>
        </w:sectPr>
      </w:pPr>
    </w:p>
    <w:bookmarkStart w:id="90" w:name="page91"/>
    <w:bookmarkEnd w:id="90"/>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6D6F71"/>
        </w:rPr>
        <w:t>Compensation  Discussion  and  Analysis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EXECUTIVE COMPENSATION PROGRAM CHANGES IN 2025</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Key  changes  to  our  executive  compensation  program  that  took  efect  in  2025  include:</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220" w:type="dxa"/>
            <w:vAlign w:val="bottom"/>
            <w:tcBorders>
              <w:top w:val="single" w:sz="8" w:color="1414D2"/>
            </w:tcBorders>
            <w:shd w:val="clear" w:color="auto" w:fill="1414D2"/>
          </w:tcPr>
          <w:p>
            <w:pPr>
              <w:spacing w:after="0"/>
              <w:rPr>
                <w:sz w:val="22"/>
                <w:szCs w:val="22"/>
                <w:color w:val="auto"/>
              </w:rPr>
            </w:pPr>
          </w:p>
        </w:tc>
        <w:tc>
          <w:tcPr>
            <w:tcW w:w="2200" w:type="dxa"/>
            <w:vAlign w:val="bottom"/>
            <w:tcBorders>
              <w:top w:val="single" w:sz="8" w:color="1414D2"/>
            </w:tcBorders>
          </w:tcPr>
          <w:p>
            <w:pPr>
              <w:ind w:left="120"/>
              <w:spacing w:after="0"/>
              <w:rPr>
                <w:sz w:val="20"/>
                <w:szCs w:val="20"/>
                <w:color w:val="auto"/>
              </w:rPr>
            </w:pPr>
            <w:r>
              <w:rPr>
                <w:rFonts w:ascii="Arial" w:cs="Arial" w:eastAsia="Arial" w:hAnsi="Arial"/>
                <w:sz w:val="16"/>
                <w:szCs w:val="16"/>
                <w:b w:val="1"/>
                <w:bCs w:val="1"/>
                <w:color w:val="1414D2"/>
              </w:rPr>
              <w:t>STI PROGRAM CHANGES</w:t>
            </w:r>
          </w:p>
        </w:tc>
        <w:tc>
          <w:tcPr>
            <w:tcW w:w="7300" w:type="dxa"/>
            <w:vAlign w:val="bottom"/>
            <w:tcBorders>
              <w:top w:val="single" w:sz="8" w:color="1414D2"/>
            </w:tcBorders>
          </w:tcPr>
          <w:p>
            <w:pPr>
              <w:ind w:left="160"/>
              <w:spacing w:after="0"/>
              <w:rPr>
                <w:sz w:val="20"/>
                <w:szCs w:val="20"/>
                <w:color w:val="auto"/>
              </w:rPr>
            </w:pPr>
            <w:r>
              <w:rPr>
                <w:rFonts w:ascii="Arial" w:cs="Arial" w:eastAsia="Arial" w:hAnsi="Arial"/>
                <w:sz w:val="16"/>
                <w:szCs w:val="16"/>
                <w:color w:val="auto"/>
              </w:rPr>
              <w:t>The  2025  STI  program  remained  relatively  consistent  with  the  2024  STI  program:</w:t>
            </w:r>
          </w:p>
        </w:tc>
      </w:tr>
      <w:tr>
        <w:trPr>
          <w:trHeight w:val="189"/>
        </w:trPr>
        <w:tc>
          <w:tcPr>
            <w:tcW w:w="220" w:type="dxa"/>
            <w:vAlign w:val="bottom"/>
            <w:shd w:val="clear" w:color="auto" w:fill="1414D2"/>
          </w:tcPr>
          <w:p>
            <w:pPr>
              <w:spacing w:after="0"/>
              <w:rPr>
                <w:sz w:val="16"/>
                <w:szCs w:val="16"/>
                <w:color w:val="auto"/>
              </w:rPr>
            </w:pPr>
          </w:p>
        </w:tc>
        <w:tc>
          <w:tcPr>
            <w:tcW w:w="2200" w:type="dxa"/>
            <w:vAlign w:val="bottom"/>
          </w:tcPr>
          <w:p>
            <w:pPr>
              <w:spacing w:after="0"/>
              <w:rPr>
                <w:sz w:val="16"/>
                <w:szCs w:val="16"/>
                <w:color w:val="auto"/>
              </w:rPr>
            </w:pPr>
          </w:p>
        </w:tc>
        <w:tc>
          <w:tcPr>
            <w:tcW w:w="7300" w:type="dxa"/>
            <w:vAlign w:val="bottom"/>
          </w:tcPr>
          <w:p>
            <w:pPr>
              <w:ind w:left="360"/>
              <w:spacing w:after="0"/>
              <w:rPr>
                <w:sz w:val="20"/>
                <w:szCs w:val="20"/>
                <w:color w:val="auto"/>
              </w:rPr>
            </w:pPr>
            <w:r>
              <w:rPr>
                <w:rFonts w:ascii="Times New Roman" w:cs="Times New Roman" w:eastAsia="Times New Roman" w:hAnsi="Times New Roman"/>
                <w:sz w:val="16"/>
                <w:szCs w:val="16"/>
                <w:color w:val="auto"/>
                <w:w w:val="98"/>
              </w:rPr>
              <w:t>●</w:t>
            </w:r>
            <w:r>
              <w:rPr>
                <w:rFonts w:ascii="Arial" w:cs="Arial" w:eastAsia="Arial" w:hAnsi="Arial"/>
                <w:sz w:val="16"/>
                <w:szCs w:val="16"/>
                <w:color w:val="auto"/>
                <w:w w:val="98"/>
              </w:rPr>
              <w:t>Financial  metric  weighting  remained  at  33%  under  the  2025  STI  program,  though  in</w:t>
            </w:r>
          </w:p>
        </w:tc>
      </w:tr>
      <w:tr>
        <w:trPr>
          <w:trHeight w:val="189"/>
        </w:trPr>
        <w:tc>
          <w:tcPr>
            <w:tcW w:w="220" w:type="dxa"/>
            <w:vAlign w:val="bottom"/>
            <w:shd w:val="clear" w:color="auto" w:fill="1414D2"/>
          </w:tcPr>
          <w:p>
            <w:pPr>
              <w:spacing w:after="0"/>
              <w:rPr>
                <w:sz w:val="16"/>
                <w:szCs w:val="16"/>
                <w:color w:val="auto"/>
              </w:rPr>
            </w:pPr>
          </w:p>
        </w:tc>
        <w:tc>
          <w:tcPr>
            <w:tcW w:w="2200" w:type="dxa"/>
            <w:vAlign w:val="bottom"/>
          </w:tcPr>
          <w:p>
            <w:pPr>
              <w:spacing w:after="0"/>
              <w:rPr>
                <w:sz w:val="16"/>
                <w:szCs w:val="16"/>
                <w:color w:val="auto"/>
              </w:rPr>
            </w:pPr>
          </w:p>
        </w:tc>
        <w:tc>
          <w:tcPr>
            <w:tcW w:w="7300" w:type="dxa"/>
            <w:vAlign w:val="bottom"/>
          </w:tcPr>
          <w:p>
            <w:pPr>
              <w:ind w:left="680"/>
              <w:spacing w:after="0"/>
              <w:rPr>
                <w:sz w:val="20"/>
                <w:szCs w:val="20"/>
                <w:color w:val="auto"/>
              </w:rPr>
            </w:pPr>
            <w:r>
              <w:rPr>
                <w:rFonts w:ascii="Arial" w:cs="Arial" w:eastAsia="Arial" w:hAnsi="Arial"/>
                <w:sz w:val="16"/>
                <w:szCs w:val="16"/>
                <w:color w:val="auto"/>
              </w:rPr>
              <w:t>2025,  the  fnancial  metric  measured  our  Adjusted  EBITDAR  Margin  (rather  than  our</w:t>
            </w:r>
          </w:p>
        </w:tc>
      </w:tr>
      <w:tr>
        <w:trPr>
          <w:trHeight w:val="203"/>
        </w:trPr>
        <w:tc>
          <w:tcPr>
            <w:tcW w:w="220" w:type="dxa"/>
            <w:vAlign w:val="bottom"/>
            <w:shd w:val="clear" w:color="auto" w:fill="1414D2"/>
          </w:tcPr>
          <w:p>
            <w:pPr>
              <w:spacing w:after="0"/>
              <w:rPr>
                <w:sz w:val="17"/>
                <w:szCs w:val="17"/>
                <w:color w:val="auto"/>
              </w:rPr>
            </w:pPr>
          </w:p>
        </w:tc>
        <w:tc>
          <w:tcPr>
            <w:tcW w:w="2200" w:type="dxa"/>
            <w:vAlign w:val="bottom"/>
          </w:tcPr>
          <w:p>
            <w:pPr>
              <w:spacing w:after="0"/>
              <w:rPr>
                <w:sz w:val="17"/>
                <w:szCs w:val="17"/>
                <w:color w:val="auto"/>
              </w:rPr>
            </w:pPr>
          </w:p>
        </w:tc>
        <w:tc>
          <w:tcPr>
            <w:tcW w:w="7300" w:type="dxa"/>
            <w:vAlign w:val="bottom"/>
          </w:tcPr>
          <w:p>
            <w:pPr>
              <w:ind w:left="680"/>
              <w:spacing w:after="0"/>
              <w:rPr>
                <w:sz w:val="20"/>
                <w:szCs w:val="20"/>
                <w:color w:val="auto"/>
              </w:rPr>
            </w:pPr>
            <w:r>
              <w:rPr>
                <w:rFonts w:ascii="Arial" w:cs="Arial" w:eastAsia="Arial" w:hAnsi="Arial"/>
                <w:sz w:val="16"/>
                <w:szCs w:val="16"/>
                <w:color w:val="auto"/>
                <w:w w:val="98"/>
              </w:rPr>
              <w:t>Adjusted  EBITDA  Margin)  during  2025  relative  to  our  peers.  Adjusted  EBITDAR  adjusts</w:t>
            </w:r>
          </w:p>
        </w:tc>
      </w:tr>
      <w:tr>
        <w:trPr>
          <w:trHeight w:val="189"/>
        </w:trPr>
        <w:tc>
          <w:tcPr>
            <w:tcW w:w="220" w:type="dxa"/>
            <w:vAlign w:val="bottom"/>
            <w:shd w:val="clear" w:color="auto" w:fill="1414D2"/>
          </w:tcPr>
          <w:p>
            <w:pPr>
              <w:spacing w:after="0"/>
              <w:rPr>
                <w:sz w:val="16"/>
                <w:szCs w:val="16"/>
                <w:color w:val="auto"/>
              </w:rPr>
            </w:pPr>
          </w:p>
        </w:tc>
        <w:tc>
          <w:tcPr>
            <w:tcW w:w="2200" w:type="dxa"/>
            <w:vAlign w:val="bottom"/>
          </w:tcPr>
          <w:p>
            <w:pPr>
              <w:spacing w:after="0"/>
              <w:rPr>
                <w:sz w:val="16"/>
                <w:szCs w:val="16"/>
                <w:color w:val="auto"/>
              </w:rPr>
            </w:pPr>
          </w:p>
        </w:tc>
        <w:tc>
          <w:tcPr>
            <w:tcW w:w="7300" w:type="dxa"/>
            <w:vAlign w:val="bottom"/>
          </w:tcPr>
          <w:p>
            <w:pPr>
              <w:ind w:left="680"/>
              <w:spacing w:after="0"/>
              <w:rPr>
                <w:sz w:val="20"/>
                <w:szCs w:val="20"/>
                <w:color w:val="auto"/>
              </w:rPr>
            </w:pPr>
            <w:r>
              <w:rPr>
                <w:rFonts w:ascii="Arial" w:cs="Arial" w:eastAsia="Arial" w:hAnsi="Arial"/>
                <w:sz w:val="16"/>
                <w:szCs w:val="16"/>
                <w:color w:val="auto"/>
              </w:rPr>
              <w:t>Adjusted  EBITDA  by  aircraft  rent  expense  and  is  a  fnancial  metric  commonly</w:t>
            </w:r>
          </w:p>
        </w:tc>
      </w:tr>
      <w:tr>
        <w:trPr>
          <w:trHeight w:val="189"/>
        </w:trPr>
        <w:tc>
          <w:tcPr>
            <w:tcW w:w="220" w:type="dxa"/>
            <w:vAlign w:val="bottom"/>
            <w:shd w:val="clear" w:color="auto" w:fill="1414D2"/>
          </w:tcPr>
          <w:p>
            <w:pPr>
              <w:spacing w:after="0"/>
              <w:rPr>
                <w:sz w:val="16"/>
                <w:szCs w:val="16"/>
                <w:color w:val="auto"/>
              </w:rPr>
            </w:pPr>
          </w:p>
        </w:tc>
        <w:tc>
          <w:tcPr>
            <w:tcW w:w="2200" w:type="dxa"/>
            <w:vAlign w:val="bottom"/>
          </w:tcPr>
          <w:p>
            <w:pPr>
              <w:spacing w:after="0"/>
              <w:rPr>
                <w:sz w:val="16"/>
                <w:szCs w:val="16"/>
                <w:color w:val="auto"/>
              </w:rPr>
            </w:pPr>
          </w:p>
        </w:tc>
        <w:tc>
          <w:tcPr>
            <w:tcW w:w="7300" w:type="dxa"/>
            <w:vAlign w:val="bottom"/>
          </w:tcPr>
          <w:p>
            <w:pPr>
              <w:ind w:left="680"/>
              <w:spacing w:after="0"/>
              <w:rPr>
                <w:sz w:val="20"/>
                <w:szCs w:val="20"/>
                <w:color w:val="auto"/>
              </w:rPr>
            </w:pPr>
            <w:r>
              <w:rPr>
                <w:rFonts w:ascii="Arial" w:cs="Arial" w:eastAsia="Arial" w:hAnsi="Arial"/>
                <w:sz w:val="16"/>
                <w:szCs w:val="16"/>
                <w:color w:val="auto"/>
              </w:rPr>
              <w:t>referenced  in  the  industry  in  order  to  normalize  for  diferent  aircraft  fnancing</w:t>
            </w:r>
          </w:p>
        </w:tc>
      </w:tr>
      <w:tr>
        <w:trPr>
          <w:trHeight w:val="189"/>
        </w:trPr>
        <w:tc>
          <w:tcPr>
            <w:tcW w:w="220" w:type="dxa"/>
            <w:vAlign w:val="bottom"/>
            <w:shd w:val="clear" w:color="auto" w:fill="1414D2"/>
          </w:tcPr>
          <w:p>
            <w:pPr>
              <w:spacing w:after="0"/>
              <w:rPr>
                <w:sz w:val="16"/>
                <w:szCs w:val="16"/>
                <w:color w:val="auto"/>
              </w:rPr>
            </w:pPr>
          </w:p>
        </w:tc>
        <w:tc>
          <w:tcPr>
            <w:tcW w:w="2200" w:type="dxa"/>
            <w:vAlign w:val="bottom"/>
          </w:tcPr>
          <w:p>
            <w:pPr>
              <w:spacing w:after="0"/>
              <w:rPr>
                <w:sz w:val="16"/>
                <w:szCs w:val="16"/>
                <w:color w:val="auto"/>
              </w:rPr>
            </w:pPr>
          </w:p>
        </w:tc>
        <w:tc>
          <w:tcPr>
            <w:tcW w:w="7300" w:type="dxa"/>
            <w:vAlign w:val="bottom"/>
          </w:tcPr>
          <w:p>
            <w:pPr>
              <w:ind w:left="680"/>
              <w:spacing w:after="0"/>
              <w:rPr>
                <w:sz w:val="20"/>
                <w:szCs w:val="20"/>
                <w:color w:val="auto"/>
              </w:rPr>
            </w:pPr>
            <w:r>
              <w:rPr>
                <w:rFonts w:ascii="Arial" w:cs="Arial" w:eastAsia="Arial" w:hAnsi="Arial"/>
                <w:sz w:val="16"/>
                <w:szCs w:val="16"/>
                <w:color w:val="auto"/>
              </w:rPr>
              <w:t>decisions  made  by  airlines.   We  believe  incorporating  Adjusted  EBITDAR  Margin  into</w:t>
            </w:r>
          </w:p>
        </w:tc>
      </w:tr>
      <w:tr>
        <w:trPr>
          <w:trHeight w:val="203"/>
        </w:trPr>
        <w:tc>
          <w:tcPr>
            <w:tcW w:w="220" w:type="dxa"/>
            <w:vAlign w:val="bottom"/>
            <w:shd w:val="clear" w:color="auto" w:fill="1414D2"/>
          </w:tcPr>
          <w:p>
            <w:pPr>
              <w:spacing w:after="0"/>
              <w:rPr>
                <w:sz w:val="17"/>
                <w:szCs w:val="17"/>
                <w:color w:val="auto"/>
              </w:rPr>
            </w:pPr>
          </w:p>
        </w:tc>
        <w:tc>
          <w:tcPr>
            <w:tcW w:w="2200" w:type="dxa"/>
            <w:vAlign w:val="bottom"/>
          </w:tcPr>
          <w:p>
            <w:pPr>
              <w:spacing w:after="0"/>
              <w:rPr>
                <w:sz w:val="17"/>
                <w:szCs w:val="17"/>
                <w:color w:val="auto"/>
              </w:rPr>
            </w:pPr>
          </w:p>
        </w:tc>
        <w:tc>
          <w:tcPr>
            <w:tcW w:w="7300" w:type="dxa"/>
            <w:vAlign w:val="bottom"/>
          </w:tcPr>
          <w:p>
            <w:pPr>
              <w:ind w:left="680"/>
              <w:spacing w:after="0"/>
              <w:rPr>
                <w:sz w:val="20"/>
                <w:szCs w:val="20"/>
                <w:color w:val="auto"/>
              </w:rPr>
            </w:pPr>
            <w:r>
              <w:rPr>
                <w:rFonts w:ascii="Arial" w:cs="Arial" w:eastAsia="Arial" w:hAnsi="Arial"/>
                <w:sz w:val="16"/>
                <w:szCs w:val="16"/>
                <w:color w:val="auto"/>
              </w:rPr>
              <w:t>the  2025  STI  program  relative  performance  metric  appropriately  improves  the</w:t>
            </w:r>
          </w:p>
        </w:tc>
      </w:tr>
      <w:tr>
        <w:trPr>
          <w:trHeight w:val="189"/>
        </w:trPr>
        <w:tc>
          <w:tcPr>
            <w:tcW w:w="220" w:type="dxa"/>
            <w:vAlign w:val="bottom"/>
            <w:shd w:val="clear" w:color="auto" w:fill="1414D2"/>
          </w:tcPr>
          <w:p>
            <w:pPr>
              <w:spacing w:after="0"/>
              <w:rPr>
                <w:sz w:val="16"/>
                <w:szCs w:val="16"/>
                <w:color w:val="auto"/>
              </w:rPr>
            </w:pPr>
          </w:p>
        </w:tc>
        <w:tc>
          <w:tcPr>
            <w:tcW w:w="2200" w:type="dxa"/>
            <w:vAlign w:val="bottom"/>
          </w:tcPr>
          <w:p>
            <w:pPr>
              <w:spacing w:after="0"/>
              <w:rPr>
                <w:sz w:val="16"/>
                <w:szCs w:val="16"/>
                <w:color w:val="auto"/>
              </w:rPr>
            </w:pPr>
          </w:p>
        </w:tc>
        <w:tc>
          <w:tcPr>
            <w:tcW w:w="7300" w:type="dxa"/>
            <w:vAlign w:val="bottom"/>
          </w:tcPr>
          <w:p>
            <w:pPr>
              <w:ind w:left="680"/>
              <w:spacing w:after="0"/>
              <w:rPr>
                <w:sz w:val="20"/>
                <w:szCs w:val="20"/>
                <w:color w:val="auto"/>
              </w:rPr>
            </w:pPr>
            <w:r>
              <w:rPr>
                <w:rFonts w:ascii="Arial" w:cs="Arial" w:eastAsia="Arial" w:hAnsi="Arial"/>
                <w:sz w:val="16"/>
                <w:szCs w:val="16"/>
                <w:color w:val="auto"/>
              </w:rPr>
              <w:t>Company’s  comparability  to  airline  peers  that  may  fnance  aircraft  diferently  than  the</w:t>
            </w:r>
          </w:p>
        </w:tc>
      </w:tr>
      <w:tr>
        <w:trPr>
          <w:trHeight w:val="216"/>
        </w:trPr>
        <w:tc>
          <w:tcPr>
            <w:tcW w:w="220" w:type="dxa"/>
            <w:vAlign w:val="bottom"/>
            <w:shd w:val="clear" w:color="auto" w:fill="1414D2"/>
          </w:tcPr>
          <w:p>
            <w:pPr>
              <w:spacing w:after="0"/>
              <w:rPr>
                <w:sz w:val="18"/>
                <w:szCs w:val="18"/>
                <w:color w:val="auto"/>
              </w:rPr>
            </w:pPr>
          </w:p>
        </w:tc>
        <w:tc>
          <w:tcPr>
            <w:tcW w:w="2200" w:type="dxa"/>
            <w:vAlign w:val="bottom"/>
          </w:tcPr>
          <w:p>
            <w:pPr>
              <w:spacing w:after="0"/>
              <w:rPr>
                <w:sz w:val="18"/>
                <w:szCs w:val="18"/>
                <w:color w:val="auto"/>
              </w:rPr>
            </w:pPr>
          </w:p>
        </w:tc>
        <w:tc>
          <w:tcPr>
            <w:tcW w:w="7300" w:type="dxa"/>
            <w:vAlign w:val="bottom"/>
          </w:tcPr>
          <w:p>
            <w:pPr>
              <w:ind w:left="680"/>
              <w:spacing w:after="0"/>
              <w:rPr>
                <w:sz w:val="20"/>
                <w:szCs w:val="20"/>
                <w:color w:val="auto"/>
              </w:rPr>
            </w:pPr>
            <w:r>
              <w:rPr>
                <w:rFonts w:ascii="Arial" w:cs="Arial" w:eastAsia="Arial" w:hAnsi="Arial"/>
                <w:sz w:val="16"/>
                <w:szCs w:val="16"/>
                <w:color w:val="auto"/>
              </w:rPr>
              <w:t>Company.</w:t>
            </w:r>
          </w:p>
        </w:tc>
      </w:tr>
      <w:tr>
        <w:trPr>
          <w:trHeight w:val="230"/>
        </w:trPr>
        <w:tc>
          <w:tcPr>
            <w:tcW w:w="220" w:type="dxa"/>
            <w:vAlign w:val="bottom"/>
            <w:shd w:val="clear" w:color="auto" w:fill="1414D2"/>
          </w:tcPr>
          <w:p>
            <w:pPr>
              <w:spacing w:after="0"/>
              <w:rPr>
                <w:sz w:val="19"/>
                <w:szCs w:val="19"/>
                <w:color w:val="auto"/>
              </w:rPr>
            </w:pPr>
          </w:p>
        </w:tc>
        <w:tc>
          <w:tcPr>
            <w:tcW w:w="2200" w:type="dxa"/>
            <w:vAlign w:val="bottom"/>
          </w:tcPr>
          <w:p>
            <w:pPr>
              <w:spacing w:after="0"/>
              <w:rPr>
                <w:sz w:val="19"/>
                <w:szCs w:val="19"/>
                <w:color w:val="auto"/>
              </w:rPr>
            </w:pPr>
          </w:p>
        </w:tc>
        <w:tc>
          <w:tcPr>
            <w:tcW w:w="7300" w:type="dxa"/>
            <w:vAlign w:val="bottom"/>
          </w:tcPr>
          <w:p>
            <w:pPr>
              <w:ind w:left="360"/>
              <w:spacing w:after="0"/>
              <w:rPr>
                <w:sz w:val="20"/>
                <w:szCs w:val="20"/>
                <w:color w:val="auto"/>
              </w:rPr>
            </w:pPr>
            <w:r>
              <w:rPr>
                <w:rFonts w:ascii="Times New Roman" w:cs="Times New Roman" w:eastAsia="Times New Roman" w:hAnsi="Times New Roman"/>
                <w:sz w:val="16"/>
                <w:szCs w:val="16"/>
                <w:color w:val="auto"/>
                <w:w w:val="97"/>
              </w:rPr>
              <w:t>●</w:t>
            </w:r>
            <w:r>
              <w:rPr>
                <w:rFonts w:ascii="Arial" w:cs="Arial" w:eastAsia="Arial" w:hAnsi="Arial"/>
                <w:sz w:val="16"/>
                <w:szCs w:val="16"/>
                <w:color w:val="auto"/>
                <w:w w:val="97"/>
              </w:rPr>
              <w:t>Customer  metric  (“NPS”)  weighting  remained  at  33%  under  the  2025  STI  program;  and</w:t>
            </w:r>
          </w:p>
        </w:tc>
      </w:tr>
      <w:tr>
        <w:trPr>
          <w:trHeight w:val="189"/>
        </w:trPr>
        <w:tc>
          <w:tcPr>
            <w:tcW w:w="220" w:type="dxa"/>
            <w:vAlign w:val="bottom"/>
            <w:shd w:val="clear" w:color="auto" w:fill="1414D2"/>
          </w:tcPr>
          <w:p>
            <w:pPr>
              <w:spacing w:after="0"/>
              <w:rPr>
                <w:sz w:val="16"/>
                <w:szCs w:val="16"/>
                <w:color w:val="auto"/>
              </w:rPr>
            </w:pPr>
          </w:p>
        </w:tc>
        <w:tc>
          <w:tcPr>
            <w:tcW w:w="2200" w:type="dxa"/>
            <w:vAlign w:val="bottom"/>
          </w:tcPr>
          <w:p>
            <w:pPr>
              <w:spacing w:after="0"/>
              <w:rPr>
                <w:sz w:val="16"/>
                <w:szCs w:val="16"/>
                <w:color w:val="auto"/>
              </w:rPr>
            </w:pPr>
          </w:p>
        </w:tc>
        <w:tc>
          <w:tcPr>
            <w:tcW w:w="7300" w:type="dxa"/>
            <w:vAlign w:val="bottom"/>
          </w:tcPr>
          <w:p>
            <w:pPr>
              <w:ind w:left="360"/>
              <w:spacing w:after="0"/>
              <w:rPr>
                <w:sz w:val="20"/>
                <w:szCs w:val="20"/>
                <w:color w:val="auto"/>
              </w:rPr>
            </w:pPr>
            <w:r>
              <w:rPr>
                <w:rFonts w:ascii="Times New Roman" w:cs="Times New Roman" w:eastAsia="Times New Roman" w:hAnsi="Times New Roman"/>
                <w:sz w:val="16"/>
                <w:szCs w:val="16"/>
                <w:color w:val="auto"/>
                <w:w w:val="99"/>
              </w:rPr>
              <w:t>●</w:t>
            </w:r>
            <w:r>
              <w:rPr>
                <w:rFonts w:ascii="Arial" w:cs="Arial" w:eastAsia="Arial" w:hAnsi="Arial"/>
                <w:sz w:val="16"/>
                <w:szCs w:val="16"/>
                <w:color w:val="auto"/>
                <w:w w:val="99"/>
              </w:rPr>
              <w:t>Operating  excellence  metrics  (customer  D:00,  mishandled  baggage  rate  and  seat</w:t>
            </w:r>
          </w:p>
        </w:tc>
      </w:tr>
      <w:tr>
        <w:trPr>
          <w:trHeight w:val="235"/>
        </w:trPr>
        <w:tc>
          <w:tcPr>
            <w:tcW w:w="220" w:type="dxa"/>
            <w:vAlign w:val="bottom"/>
            <w:shd w:val="clear" w:color="auto" w:fill="1414D2"/>
          </w:tcPr>
          <w:p>
            <w:pPr>
              <w:spacing w:after="0"/>
              <w:rPr>
                <w:sz w:val="20"/>
                <w:szCs w:val="20"/>
                <w:color w:val="auto"/>
              </w:rPr>
            </w:pPr>
          </w:p>
        </w:tc>
        <w:tc>
          <w:tcPr>
            <w:tcW w:w="2200" w:type="dxa"/>
            <w:vAlign w:val="bottom"/>
          </w:tcPr>
          <w:p>
            <w:pPr>
              <w:spacing w:after="0"/>
              <w:rPr>
                <w:sz w:val="20"/>
                <w:szCs w:val="20"/>
                <w:color w:val="auto"/>
              </w:rPr>
            </w:pPr>
          </w:p>
        </w:tc>
        <w:tc>
          <w:tcPr>
            <w:tcW w:w="7300" w:type="dxa"/>
            <w:vAlign w:val="bottom"/>
          </w:tcPr>
          <w:p>
            <w:pPr>
              <w:ind w:left="680"/>
              <w:spacing w:after="0"/>
              <w:rPr>
                <w:sz w:val="20"/>
                <w:szCs w:val="20"/>
                <w:color w:val="auto"/>
              </w:rPr>
            </w:pPr>
            <w:r>
              <w:rPr>
                <w:rFonts w:ascii="Arial" w:cs="Arial" w:eastAsia="Arial" w:hAnsi="Arial"/>
                <w:sz w:val="16"/>
                <w:szCs w:val="16"/>
                <w:color w:val="auto"/>
              </w:rPr>
              <w:t>cancel  rate)  remained  at  33%  under  the  2025  STI  program.</w:t>
            </w:r>
          </w:p>
        </w:tc>
      </w:tr>
      <w:tr>
        <w:trPr>
          <w:trHeight w:val="33"/>
        </w:trPr>
        <w:tc>
          <w:tcPr>
            <w:tcW w:w="220" w:type="dxa"/>
            <w:vAlign w:val="bottom"/>
            <w:tcBorders>
              <w:bottom w:val="single" w:sz="8" w:color="1414D2"/>
            </w:tcBorders>
            <w:shd w:val="clear" w:color="auto" w:fill="1414D2"/>
          </w:tcPr>
          <w:p>
            <w:pPr>
              <w:spacing w:after="0"/>
              <w:rPr>
                <w:sz w:val="2"/>
                <w:szCs w:val="2"/>
                <w:color w:val="auto"/>
              </w:rPr>
            </w:pPr>
          </w:p>
        </w:tc>
        <w:tc>
          <w:tcPr>
            <w:tcW w:w="2200" w:type="dxa"/>
            <w:vAlign w:val="bottom"/>
            <w:tcBorders>
              <w:bottom w:val="single" w:sz="8" w:color="1414D2"/>
            </w:tcBorders>
          </w:tcPr>
          <w:p>
            <w:pPr>
              <w:spacing w:after="0"/>
              <w:rPr>
                <w:sz w:val="2"/>
                <w:szCs w:val="2"/>
                <w:color w:val="auto"/>
              </w:rPr>
            </w:pPr>
          </w:p>
        </w:tc>
        <w:tc>
          <w:tcPr>
            <w:tcW w:w="7300" w:type="dxa"/>
            <w:vAlign w:val="bottom"/>
            <w:tcBorders>
              <w:bottom w:val="single" w:sz="8" w:color="1414D2"/>
            </w:tcBorders>
          </w:tcPr>
          <w:p>
            <w:pPr>
              <w:spacing w:after="0"/>
              <w:rPr>
                <w:sz w:val="2"/>
                <w:szCs w:val="2"/>
                <w:color w:val="auto"/>
              </w:rPr>
            </w:pPr>
          </w:p>
        </w:tc>
      </w:tr>
      <w:tr>
        <w:trPr>
          <w:trHeight w:val="102"/>
        </w:trPr>
        <w:tc>
          <w:tcPr>
            <w:tcW w:w="220" w:type="dxa"/>
            <w:vAlign w:val="bottom"/>
            <w:tcBorders>
              <w:bottom w:val="single" w:sz="8" w:color="1414D2"/>
            </w:tcBorders>
          </w:tcPr>
          <w:p>
            <w:pPr>
              <w:spacing w:after="0"/>
              <w:rPr>
                <w:sz w:val="8"/>
                <w:szCs w:val="8"/>
                <w:color w:val="auto"/>
              </w:rPr>
            </w:pPr>
          </w:p>
        </w:tc>
        <w:tc>
          <w:tcPr>
            <w:tcW w:w="2200" w:type="dxa"/>
            <w:vAlign w:val="bottom"/>
            <w:tcBorders>
              <w:bottom w:val="single" w:sz="8" w:color="1414D2"/>
            </w:tcBorders>
          </w:tcPr>
          <w:p>
            <w:pPr>
              <w:spacing w:after="0"/>
              <w:rPr>
                <w:sz w:val="8"/>
                <w:szCs w:val="8"/>
                <w:color w:val="auto"/>
              </w:rPr>
            </w:pPr>
          </w:p>
        </w:tc>
        <w:tc>
          <w:tcPr>
            <w:tcW w:w="7300" w:type="dxa"/>
            <w:vAlign w:val="bottom"/>
            <w:tcBorders>
              <w:bottom w:val="single" w:sz="8" w:color="1414D2"/>
            </w:tcBorders>
          </w:tcPr>
          <w:p>
            <w:pPr>
              <w:spacing w:after="0"/>
              <w:rPr>
                <w:sz w:val="8"/>
                <w:szCs w:val="8"/>
                <w:color w:val="auto"/>
              </w:rPr>
            </w:pPr>
          </w:p>
        </w:tc>
      </w:tr>
      <w:tr>
        <w:trPr>
          <w:trHeight w:val="209"/>
        </w:trPr>
        <w:tc>
          <w:tcPr>
            <w:tcW w:w="220" w:type="dxa"/>
            <w:vAlign w:val="bottom"/>
            <w:shd w:val="clear" w:color="auto" w:fill="1414D2"/>
          </w:tcPr>
          <w:p>
            <w:pPr>
              <w:spacing w:after="0"/>
              <w:rPr>
                <w:sz w:val="18"/>
                <w:szCs w:val="18"/>
                <w:color w:val="auto"/>
              </w:rPr>
            </w:pPr>
          </w:p>
        </w:tc>
        <w:tc>
          <w:tcPr>
            <w:tcW w:w="2200" w:type="dxa"/>
            <w:vAlign w:val="bottom"/>
          </w:tcPr>
          <w:p>
            <w:pPr>
              <w:ind w:left="120"/>
              <w:spacing w:after="0"/>
              <w:rPr>
                <w:sz w:val="20"/>
                <w:szCs w:val="20"/>
                <w:color w:val="auto"/>
              </w:rPr>
            </w:pPr>
            <w:r>
              <w:rPr>
                <w:rFonts w:ascii="Arial" w:cs="Arial" w:eastAsia="Arial" w:hAnsi="Arial"/>
                <w:sz w:val="16"/>
                <w:szCs w:val="16"/>
                <w:b w:val="1"/>
                <w:bCs w:val="1"/>
                <w:color w:val="1414D2"/>
              </w:rPr>
              <w:t>LTI PROGRAM CHANGES</w:t>
            </w:r>
          </w:p>
        </w:tc>
        <w:tc>
          <w:tcPr>
            <w:tcW w:w="7300" w:type="dxa"/>
            <w:vAlign w:val="bottom"/>
          </w:tcPr>
          <w:p>
            <w:pPr>
              <w:ind w:left="160"/>
              <w:spacing w:after="0"/>
              <w:rPr>
                <w:sz w:val="20"/>
                <w:szCs w:val="20"/>
                <w:color w:val="auto"/>
              </w:rPr>
            </w:pPr>
            <w:r>
              <w:rPr>
                <w:rFonts w:ascii="Arial" w:cs="Arial" w:eastAsia="Arial" w:hAnsi="Arial"/>
                <w:sz w:val="16"/>
                <w:szCs w:val="16"/>
                <w:color w:val="auto"/>
              </w:rPr>
              <w:t>The  performance  measures  set  for  annual  PBRSUs  granted  in  2025  (including  tranche  3  of</w:t>
            </w:r>
          </w:p>
        </w:tc>
      </w:tr>
      <w:tr>
        <w:trPr>
          <w:trHeight w:val="178"/>
        </w:trPr>
        <w:tc>
          <w:tcPr>
            <w:tcW w:w="220" w:type="dxa"/>
            <w:vAlign w:val="bottom"/>
            <w:shd w:val="clear" w:color="auto" w:fill="1414D2"/>
          </w:tcPr>
          <w:p>
            <w:pPr>
              <w:spacing w:after="0"/>
              <w:rPr>
                <w:sz w:val="15"/>
                <w:szCs w:val="15"/>
                <w:color w:val="auto"/>
              </w:rPr>
            </w:pPr>
          </w:p>
        </w:tc>
        <w:tc>
          <w:tcPr>
            <w:tcW w:w="2200" w:type="dxa"/>
            <w:vAlign w:val="bottom"/>
          </w:tcPr>
          <w:p>
            <w:pPr>
              <w:spacing w:after="0"/>
              <w:rPr>
                <w:sz w:val="15"/>
                <w:szCs w:val="15"/>
                <w:color w:val="auto"/>
              </w:rPr>
            </w:pPr>
          </w:p>
        </w:tc>
        <w:tc>
          <w:tcPr>
            <w:tcW w:w="7300" w:type="dxa"/>
            <w:vAlign w:val="bottom"/>
          </w:tcPr>
          <w:p>
            <w:pPr>
              <w:ind w:left="160"/>
              <w:spacing w:after="0" w:line="178" w:lineRule="exact"/>
              <w:rPr>
                <w:sz w:val="20"/>
                <w:szCs w:val="20"/>
                <w:color w:val="auto"/>
              </w:rPr>
            </w:pPr>
            <w:r>
              <w:rPr>
                <w:rFonts w:ascii="Arial" w:cs="Arial" w:eastAsia="Arial" w:hAnsi="Arial"/>
                <w:sz w:val="16"/>
                <w:szCs w:val="16"/>
                <w:color w:val="auto"/>
              </w:rPr>
              <w:t>the  2023  PBRSUs,  tranche  2  of  the  2024  PBRSUs  and  tranche  1  of  the  2025  PBRSUs)</w:t>
            </w:r>
          </w:p>
        </w:tc>
      </w:tr>
      <w:tr>
        <w:trPr>
          <w:trHeight w:val="203"/>
        </w:trPr>
        <w:tc>
          <w:tcPr>
            <w:tcW w:w="220" w:type="dxa"/>
            <w:vAlign w:val="bottom"/>
            <w:shd w:val="clear" w:color="auto" w:fill="1414D2"/>
          </w:tcPr>
          <w:p>
            <w:pPr>
              <w:spacing w:after="0"/>
              <w:rPr>
                <w:sz w:val="17"/>
                <w:szCs w:val="17"/>
                <w:color w:val="auto"/>
              </w:rPr>
            </w:pPr>
          </w:p>
        </w:tc>
        <w:tc>
          <w:tcPr>
            <w:tcW w:w="2200" w:type="dxa"/>
            <w:vAlign w:val="bottom"/>
          </w:tcPr>
          <w:p>
            <w:pPr>
              <w:spacing w:after="0"/>
              <w:rPr>
                <w:sz w:val="17"/>
                <w:szCs w:val="17"/>
                <w:color w:val="auto"/>
              </w:rPr>
            </w:pPr>
          </w:p>
        </w:tc>
        <w:tc>
          <w:tcPr>
            <w:tcW w:w="7300" w:type="dxa"/>
            <w:vAlign w:val="bottom"/>
          </w:tcPr>
          <w:p>
            <w:pPr>
              <w:ind w:left="160"/>
              <w:spacing w:after="0"/>
              <w:rPr>
                <w:sz w:val="20"/>
                <w:szCs w:val="20"/>
                <w:color w:val="auto"/>
              </w:rPr>
            </w:pPr>
            <w:r>
              <w:rPr>
                <w:rFonts w:ascii="Arial" w:cs="Arial" w:eastAsia="Arial" w:hAnsi="Arial"/>
                <w:sz w:val="16"/>
                <w:szCs w:val="16"/>
                <w:color w:val="auto"/>
              </w:rPr>
              <w:t>remained  relatively  consistent  with  the  performance  measures  and  terms  set  for  tranche  1</w:t>
            </w:r>
          </w:p>
        </w:tc>
      </w:tr>
      <w:tr>
        <w:trPr>
          <w:trHeight w:val="189"/>
        </w:trPr>
        <w:tc>
          <w:tcPr>
            <w:tcW w:w="220" w:type="dxa"/>
            <w:vAlign w:val="bottom"/>
            <w:shd w:val="clear" w:color="auto" w:fill="1414D2"/>
          </w:tcPr>
          <w:p>
            <w:pPr>
              <w:spacing w:after="0"/>
              <w:rPr>
                <w:sz w:val="16"/>
                <w:szCs w:val="16"/>
                <w:color w:val="auto"/>
              </w:rPr>
            </w:pPr>
          </w:p>
        </w:tc>
        <w:tc>
          <w:tcPr>
            <w:tcW w:w="2200" w:type="dxa"/>
            <w:vAlign w:val="bottom"/>
          </w:tcPr>
          <w:p>
            <w:pPr>
              <w:spacing w:after="0"/>
              <w:rPr>
                <w:sz w:val="16"/>
                <w:szCs w:val="16"/>
                <w:color w:val="auto"/>
              </w:rPr>
            </w:pPr>
          </w:p>
        </w:tc>
        <w:tc>
          <w:tcPr>
            <w:tcW w:w="7300" w:type="dxa"/>
            <w:vAlign w:val="bottom"/>
          </w:tcPr>
          <w:p>
            <w:pPr>
              <w:ind w:left="160"/>
              <w:spacing w:after="0"/>
              <w:rPr>
                <w:sz w:val="20"/>
                <w:szCs w:val="20"/>
                <w:color w:val="auto"/>
              </w:rPr>
            </w:pPr>
            <w:r>
              <w:rPr>
                <w:rFonts w:ascii="Arial" w:cs="Arial" w:eastAsia="Arial" w:hAnsi="Arial"/>
                <w:sz w:val="16"/>
                <w:szCs w:val="16"/>
                <w:color w:val="auto"/>
                <w:w w:val="98"/>
              </w:rPr>
              <w:t>of  the  2024  PBRSUs  and  tranche  2  of  the  2023  PBRSUs,  with  the  exception  of  the  following</w:t>
            </w:r>
          </w:p>
        </w:tc>
      </w:tr>
      <w:tr>
        <w:trPr>
          <w:trHeight w:val="229"/>
        </w:trPr>
        <w:tc>
          <w:tcPr>
            <w:tcW w:w="220" w:type="dxa"/>
            <w:vAlign w:val="bottom"/>
            <w:shd w:val="clear" w:color="auto" w:fill="1414D2"/>
          </w:tcPr>
          <w:p>
            <w:pPr>
              <w:spacing w:after="0"/>
              <w:rPr>
                <w:sz w:val="19"/>
                <w:szCs w:val="19"/>
                <w:color w:val="auto"/>
              </w:rPr>
            </w:pPr>
          </w:p>
        </w:tc>
        <w:tc>
          <w:tcPr>
            <w:tcW w:w="2200" w:type="dxa"/>
            <w:vAlign w:val="bottom"/>
          </w:tcPr>
          <w:p>
            <w:pPr>
              <w:spacing w:after="0"/>
              <w:rPr>
                <w:sz w:val="19"/>
                <w:szCs w:val="19"/>
                <w:color w:val="auto"/>
              </w:rPr>
            </w:pPr>
          </w:p>
        </w:tc>
        <w:tc>
          <w:tcPr>
            <w:tcW w:w="7300" w:type="dxa"/>
            <w:vAlign w:val="bottom"/>
          </w:tcPr>
          <w:p>
            <w:pPr>
              <w:ind w:left="160"/>
              <w:spacing w:after="0"/>
              <w:rPr>
                <w:sz w:val="20"/>
                <w:szCs w:val="20"/>
                <w:color w:val="auto"/>
              </w:rPr>
            </w:pPr>
            <w:r>
              <w:rPr>
                <w:rFonts w:ascii="Arial" w:cs="Arial" w:eastAsia="Arial" w:hAnsi="Arial"/>
                <w:sz w:val="16"/>
                <w:szCs w:val="16"/>
                <w:color w:val="auto"/>
              </w:rPr>
              <w:t>refnements:</w:t>
            </w:r>
          </w:p>
        </w:tc>
      </w:tr>
      <w:tr>
        <w:trPr>
          <w:trHeight w:val="189"/>
        </w:trPr>
        <w:tc>
          <w:tcPr>
            <w:tcW w:w="220" w:type="dxa"/>
            <w:vAlign w:val="bottom"/>
            <w:shd w:val="clear" w:color="auto" w:fill="1414D2"/>
          </w:tcPr>
          <w:p>
            <w:pPr>
              <w:spacing w:after="0"/>
              <w:rPr>
                <w:sz w:val="16"/>
                <w:szCs w:val="16"/>
                <w:color w:val="auto"/>
              </w:rPr>
            </w:pPr>
          </w:p>
        </w:tc>
        <w:tc>
          <w:tcPr>
            <w:tcW w:w="2200" w:type="dxa"/>
            <w:vAlign w:val="bottom"/>
          </w:tcPr>
          <w:p>
            <w:pPr>
              <w:spacing w:after="0"/>
              <w:rPr>
                <w:sz w:val="16"/>
                <w:szCs w:val="16"/>
                <w:color w:val="auto"/>
              </w:rPr>
            </w:pPr>
          </w:p>
        </w:tc>
        <w:tc>
          <w:tcPr>
            <w:tcW w:w="7300" w:type="dxa"/>
            <w:vAlign w:val="bottom"/>
          </w:tcPr>
          <w:p>
            <w:pPr>
              <w:ind w:left="360"/>
              <w:spacing w:after="0"/>
              <w:rPr>
                <w:sz w:val="20"/>
                <w:szCs w:val="20"/>
                <w:color w:val="auto"/>
              </w:rPr>
            </w:pPr>
            <w:r>
              <w:rPr>
                <w:rFonts w:ascii="Times New Roman" w:cs="Times New Roman" w:eastAsia="Times New Roman" w:hAnsi="Times New Roman"/>
                <w:sz w:val="16"/>
                <w:szCs w:val="16"/>
                <w:color w:val="auto"/>
                <w:w w:val="96"/>
              </w:rPr>
              <w:t>●</w:t>
            </w:r>
            <w:r>
              <w:rPr>
                <w:rFonts w:ascii="Arial" w:cs="Arial" w:eastAsia="Arial" w:hAnsi="Arial"/>
                <w:sz w:val="16"/>
                <w:szCs w:val="16"/>
                <w:color w:val="auto"/>
                <w:w w:val="96"/>
              </w:rPr>
              <w:t>The  2025  LTI  strategic  initiatives  (weighted  at  20%  of  the  PBRSUs,  consistent  with  2024)</w:t>
            </w:r>
          </w:p>
        </w:tc>
      </w:tr>
      <w:tr>
        <w:trPr>
          <w:trHeight w:val="189"/>
        </w:trPr>
        <w:tc>
          <w:tcPr>
            <w:tcW w:w="220" w:type="dxa"/>
            <w:vAlign w:val="bottom"/>
            <w:shd w:val="clear" w:color="auto" w:fill="1414D2"/>
          </w:tcPr>
          <w:p>
            <w:pPr>
              <w:spacing w:after="0"/>
              <w:rPr>
                <w:sz w:val="16"/>
                <w:szCs w:val="16"/>
                <w:color w:val="auto"/>
              </w:rPr>
            </w:pPr>
          </w:p>
        </w:tc>
        <w:tc>
          <w:tcPr>
            <w:tcW w:w="2200" w:type="dxa"/>
            <w:vAlign w:val="bottom"/>
          </w:tcPr>
          <w:p>
            <w:pPr>
              <w:spacing w:after="0"/>
              <w:rPr>
                <w:sz w:val="16"/>
                <w:szCs w:val="16"/>
                <w:color w:val="auto"/>
              </w:rPr>
            </w:pPr>
          </w:p>
        </w:tc>
        <w:tc>
          <w:tcPr>
            <w:tcW w:w="7300" w:type="dxa"/>
            <w:vAlign w:val="bottom"/>
          </w:tcPr>
          <w:p>
            <w:pPr>
              <w:ind w:left="680"/>
              <w:spacing w:after="0"/>
              <w:rPr>
                <w:sz w:val="20"/>
                <w:szCs w:val="20"/>
                <w:color w:val="auto"/>
              </w:rPr>
            </w:pPr>
            <w:r>
              <w:rPr>
                <w:rFonts w:ascii="Arial" w:cs="Arial" w:eastAsia="Arial" w:hAnsi="Arial"/>
                <w:sz w:val="16"/>
                <w:szCs w:val="16"/>
                <w:color w:val="auto"/>
              </w:rPr>
              <w:t>focused  on  technological  advancements  imperative  to  modernizing  experiences  for</w:t>
            </w:r>
          </w:p>
        </w:tc>
      </w:tr>
      <w:tr>
        <w:trPr>
          <w:trHeight w:val="203"/>
        </w:trPr>
        <w:tc>
          <w:tcPr>
            <w:tcW w:w="220" w:type="dxa"/>
            <w:vAlign w:val="bottom"/>
            <w:shd w:val="clear" w:color="auto" w:fill="1414D2"/>
          </w:tcPr>
          <w:p>
            <w:pPr>
              <w:spacing w:after="0"/>
              <w:rPr>
                <w:sz w:val="17"/>
                <w:szCs w:val="17"/>
                <w:color w:val="auto"/>
              </w:rPr>
            </w:pPr>
          </w:p>
        </w:tc>
        <w:tc>
          <w:tcPr>
            <w:tcW w:w="2200" w:type="dxa"/>
            <w:vAlign w:val="bottom"/>
          </w:tcPr>
          <w:p>
            <w:pPr>
              <w:spacing w:after="0"/>
              <w:rPr>
                <w:sz w:val="17"/>
                <w:szCs w:val="17"/>
                <w:color w:val="auto"/>
              </w:rPr>
            </w:pPr>
          </w:p>
        </w:tc>
        <w:tc>
          <w:tcPr>
            <w:tcW w:w="7300" w:type="dxa"/>
            <w:vAlign w:val="bottom"/>
          </w:tcPr>
          <w:p>
            <w:pPr>
              <w:ind w:left="680"/>
              <w:spacing w:after="0"/>
              <w:rPr>
                <w:sz w:val="20"/>
                <w:szCs w:val="20"/>
                <w:color w:val="auto"/>
              </w:rPr>
            </w:pPr>
            <w:r>
              <w:rPr>
                <w:rFonts w:ascii="Arial" w:cs="Arial" w:eastAsia="Arial" w:hAnsi="Arial"/>
                <w:sz w:val="16"/>
                <w:szCs w:val="16"/>
                <w:color w:val="auto"/>
                <w:w w:val="97"/>
              </w:rPr>
              <w:t>our  customers  and  employees,  as  discussed  in  more  detail  in  the  CD&amp;A  below  on  page</w:t>
            </w:r>
          </w:p>
        </w:tc>
      </w:tr>
      <w:tr>
        <w:trPr>
          <w:trHeight w:val="189"/>
        </w:trPr>
        <w:tc>
          <w:tcPr>
            <w:tcW w:w="220" w:type="dxa"/>
            <w:vAlign w:val="bottom"/>
            <w:shd w:val="clear" w:color="auto" w:fill="1414D2"/>
          </w:tcPr>
          <w:p>
            <w:pPr>
              <w:spacing w:after="0"/>
              <w:rPr>
                <w:sz w:val="16"/>
                <w:szCs w:val="16"/>
                <w:color w:val="auto"/>
              </w:rPr>
            </w:pPr>
          </w:p>
        </w:tc>
        <w:tc>
          <w:tcPr>
            <w:tcW w:w="2200" w:type="dxa"/>
            <w:vAlign w:val="bottom"/>
          </w:tcPr>
          <w:p>
            <w:pPr>
              <w:spacing w:after="0"/>
              <w:rPr>
                <w:sz w:val="16"/>
                <w:szCs w:val="16"/>
                <w:color w:val="auto"/>
              </w:rPr>
            </w:pPr>
          </w:p>
        </w:tc>
        <w:tc>
          <w:tcPr>
            <w:tcW w:w="7300" w:type="dxa"/>
            <w:vAlign w:val="bottom"/>
          </w:tcPr>
          <w:p>
            <w:pPr>
              <w:ind w:left="680"/>
              <w:spacing w:after="0"/>
              <w:rPr>
                <w:sz w:val="20"/>
                <w:szCs w:val="20"/>
                <w:color w:val="auto"/>
              </w:rPr>
            </w:pPr>
            <w:r>
              <w:rPr>
                <w:rFonts w:ascii="Arial" w:cs="Arial" w:eastAsia="Arial" w:hAnsi="Arial"/>
                <w:sz w:val="16"/>
                <w:szCs w:val="16"/>
                <w:color w:val="auto"/>
              </w:rPr>
              <w:t>101,  as  compared  to  the  strategic  initiatives  used  in  2024  relating  to  certain  key</w:t>
            </w:r>
          </w:p>
        </w:tc>
      </w:tr>
      <w:tr>
        <w:trPr>
          <w:trHeight w:val="189"/>
        </w:trPr>
        <w:tc>
          <w:tcPr>
            <w:tcW w:w="220" w:type="dxa"/>
            <w:vAlign w:val="bottom"/>
            <w:shd w:val="clear" w:color="auto" w:fill="1414D2"/>
          </w:tcPr>
          <w:p>
            <w:pPr>
              <w:spacing w:after="0"/>
              <w:rPr>
                <w:sz w:val="16"/>
                <w:szCs w:val="16"/>
                <w:color w:val="auto"/>
              </w:rPr>
            </w:pPr>
          </w:p>
        </w:tc>
        <w:tc>
          <w:tcPr>
            <w:tcW w:w="2200" w:type="dxa"/>
            <w:vAlign w:val="bottom"/>
          </w:tcPr>
          <w:p>
            <w:pPr>
              <w:spacing w:after="0"/>
              <w:rPr>
                <w:sz w:val="16"/>
                <w:szCs w:val="16"/>
                <w:color w:val="auto"/>
              </w:rPr>
            </w:pPr>
          </w:p>
        </w:tc>
        <w:tc>
          <w:tcPr>
            <w:tcW w:w="7300" w:type="dxa"/>
            <w:vAlign w:val="bottom"/>
          </w:tcPr>
          <w:p>
            <w:pPr>
              <w:ind w:left="680"/>
              <w:spacing w:after="0"/>
              <w:rPr>
                <w:sz w:val="20"/>
                <w:szCs w:val="20"/>
                <w:color w:val="auto"/>
              </w:rPr>
            </w:pPr>
            <w:r>
              <w:rPr>
                <w:rFonts w:ascii="Arial" w:cs="Arial" w:eastAsia="Arial" w:hAnsi="Arial"/>
                <w:sz w:val="16"/>
                <w:szCs w:val="16"/>
                <w:color w:val="auto"/>
              </w:rPr>
              <w:t>commitments  and  initiatives  with  respect  to  our  environmental  sustainability,  people</w:t>
            </w:r>
          </w:p>
        </w:tc>
      </w:tr>
      <w:tr>
        <w:trPr>
          <w:trHeight w:val="230"/>
        </w:trPr>
        <w:tc>
          <w:tcPr>
            <w:tcW w:w="220" w:type="dxa"/>
            <w:vAlign w:val="bottom"/>
            <w:shd w:val="clear" w:color="auto" w:fill="1414D2"/>
          </w:tcPr>
          <w:p>
            <w:pPr>
              <w:spacing w:after="0"/>
              <w:rPr>
                <w:sz w:val="19"/>
                <w:szCs w:val="19"/>
                <w:color w:val="auto"/>
              </w:rPr>
            </w:pPr>
          </w:p>
        </w:tc>
        <w:tc>
          <w:tcPr>
            <w:tcW w:w="2200" w:type="dxa"/>
            <w:vAlign w:val="bottom"/>
          </w:tcPr>
          <w:p>
            <w:pPr>
              <w:spacing w:after="0"/>
              <w:rPr>
                <w:sz w:val="19"/>
                <w:szCs w:val="19"/>
                <w:color w:val="auto"/>
              </w:rPr>
            </w:pPr>
          </w:p>
        </w:tc>
        <w:tc>
          <w:tcPr>
            <w:tcW w:w="7300" w:type="dxa"/>
            <w:vAlign w:val="bottom"/>
          </w:tcPr>
          <w:p>
            <w:pPr>
              <w:ind w:left="680"/>
              <w:spacing w:after="0"/>
              <w:rPr>
                <w:sz w:val="20"/>
                <w:szCs w:val="20"/>
                <w:color w:val="auto"/>
              </w:rPr>
            </w:pPr>
            <w:r>
              <w:rPr>
                <w:rFonts w:ascii="Arial" w:cs="Arial" w:eastAsia="Arial" w:hAnsi="Arial"/>
                <w:sz w:val="16"/>
                <w:szCs w:val="16"/>
                <w:color w:val="auto"/>
              </w:rPr>
              <w:t>impact  and  responsible  sourcing  programs.</w:t>
            </w:r>
          </w:p>
        </w:tc>
      </w:tr>
      <w:tr>
        <w:trPr>
          <w:trHeight w:val="203"/>
        </w:trPr>
        <w:tc>
          <w:tcPr>
            <w:tcW w:w="220" w:type="dxa"/>
            <w:vAlign w:val="bottom"/>
            <w:shd w:val="clear" w:color="auto" w:fill="1414D2"/>
          </w:tcPr>
          <w:p>
            <w:pPr>
              <w:spacing w:after="0"/>
              <w:rPr>
                <w:sz w:val="17"/>
                <w:szCs w:val="17"/>
                <w:color w:val="auto"/>
              </w:rPr>
            </w:pPr>
          </w:p>
        </w:tc>
        <w:tc>
          <w:tcPr>
            <w:tcW w:w="2200" w:type="dxa"/>
            <w:vAlign w:val="bottom"/>
          </w:tcPr>
          <w:p>
            <w:pPr>
              <w:spacing w:after="0"/>
              <w:rPr>
                <w:sz w:val="17"/>
                <w:szCs w:val="17"/>
                <w:color w:val="auto"/>
              </w:rPr>
            </w:pPr>
          </w:p>
        </w:tc>
        <w:tc>
          <w:tcPr>
            <w:tcW w:w="7300" w:type="dxa"/>
            <w:vAlign w:val="bottom"/>
          </w:tcPr>
          <w:p>
            <w:pPr>
              <w:ind w:left="360"/>
              <w:spacing w:after="0"/>
              <w:rPr>
                <w:sz w:val="20"/>
                <w:szCs w:val="20"/>
                <w:color w:val="auto"/>
              </w:rPr>
            </w:pPr>
            <w:r>
              <w:rPr>
                <w:rFonts w:ascii="Times New Roman" w:cs="Times New Roman" w:eastAsia="Times New Roman" w:hAnsi="Times New Roman"/>
                <w:sz w:val="16"/>
                <w:szCs w:val="16"/>
                <w:color w:val="auto"/>
                <w:w w:val="98"/>
              </w:rPr>
              <w:t>●</w:t>
            </w:r>
            <w:r>
              <w:rPr>
                <w:rFonts w:ascii="Arial" w:cs="Arial" w:eastAsia="Arial" w:hAnsi="Arial"/>
                <w:sz w:val="16"/>
                <w:szCs w:val="16"/>
                <w:color w:val="auto"/>
                <w:w w:val="98"/>
              </w:rPr>
              <w:t>Our  2025  LTI  did  not  include  another  relative  total  stockholder  return  (“TSR”)  modifer,</w:t>
            </w:r>
          </w:p>
        </w:tc>
      </w:tr>
      <w:tr>
        <w:trPr>
          <w:trHeight w:val="189"/>
        </w:trPr>
        <w:tc>
          <w:tcPr>
            <w:tcW w:w="220" w:type="dxa"/>
            <w:vAlign w:val="bottom"/>
            <w:shd w:val="clear" w:color="auto" w:fill="1414D2"/>
          </w:tcPr>
          <w:p>
            <w:pPr>
              <w:spacing w:after="0"/>
              <w:rPr>
                <w:sz w:val="16"/>
                <w:szCs w:val="16"/>
                <w:color w:val="auto"/>
              </w:rPr>
            </w:pPr>
          </w:p>
        </w:tc>
        <w:tc>
          <w:tcPr>
            <w:tcW w:w="2200" w:type="dxa"/>
            <w:vAlign w:val="bottom"/>
          </w:tcPr>
          <w:p>
            <w:pPr>
              <w:spacing w:after="0"/>
              <w:rPr>
                <w:sz w:val="16"/>
                <w:szCs w:val="16"/>
                <w:color w:val="auto"/>
              </w:rPr>
            </w:pPr>
          </w:p>
        </w:tc>
        <w:tc>
          <w:tcPr>
            <w:tcW w:w="7300" w:type="dxa"/>
            <w:vAlign w:val="bottom"/>
          </w:tcPr>
          <w:p>
            <w:pPr>
              <w:ind w:left="680"/>
              <w:spacing w:after="0"/>
              <w:rPr>
                <w:sz w:val="20"/>
                <w:szCs w:val="20"/>
                <w:color w:val="auto"/>
              </w:rPr>
            </w:pPr>
            <w:r>
              <w:rPr>
                <w:rFonts w:ascii="Arial" w:cs="Arial" w:eastAsia="Arial" w:hAnsi="Arial"/>
                <w:sz w:val="16"/>
                <w:szCs w:val="16"/>
                <w:color w:val="auto"/>
              </w:rPr>
              <w:t>which  would  overlap  with  the  existing  relative  TSR  modifer  for  the  2024-2026</w:t>
            </w:r>
          </w:p>
        </w:tc>
      </w:tr>
      <w:tr>
        <w:trPr>
          <w:trHeight w:val="189"/>
        </w:trPr>
        <w:tc>
          <w:tcPr>
            <w:tcW w:w="220" w:type="dxa"/>
            <w:vAlign w:val="bottom"/>
            <w:shd w:val="clear" w:color="auto" w:fill="1414D2"/>
          </w:tcPr>
          <w:p>
            <w:pPr>
              <w:spacing w:after="0"/>
              <w:rPr>
                <w:sz w:val="16"/>
                <w:szCs w:val="16"/>
                <w:color w:val="auto"/>
              </w:rPr>
            </w:pPr>
          </w:p>
        </w:tc>
        <w:tc>
          <w:tcPr>
            <w:tcW w:w="2200" w:type="dxa"/>
            <w:vAlign w:val="bottom"/>
          </w:tcPr>
          <w:p>
            <w:pPr>
              <w:spacing w:after="0"/>
              <w:rPr>
                <w:sz w:val="16"/>
                <w:szCs w:val="16"/>
                <w:color w:val="auto"/>
              </w:rPr>
            </w:pPr>
          </w:p>
        </w:tc>
        <w:tc>
          <w:tcPr>
            <w:tcW w:w="7300" w:type="dxa"/>
            <w:vAlign w:val="bottom"/>
          </w:tcPr>
          <w:p>
            <w:pPr>
              <w:ind w:left="680"/>
              <w:spacing w:after="0"/>
              <w:rPr>
                <w:sz w:val="20"/>
                <w:szCs w:val="20"/>
                <w:color w:val="auto"/>
              </w:rPr>
            </w:pPr>
            <w:r>
              <w:rPr>
                <w:rFonts w:ascii="Arial" w:cs="Arial" w:eastAsia="Arial" w:hAnsi="Arial"/>
                <w:sz w:val="16"/>
                <w:szCs w:val="16"/>
                <w:color w:val="auto"/>
              </w:rPr>
              <w:t>performance  period  that  was  part  of  our  2024  LTI.  Page  82  below  describes  the</w:t>
            </w:r>
          </w:p>
        </w:tc>
      </w:tr>
      <w:tr>
        <w:trPr>
          <w:trHeight w:val="229"/>
        </w:trPr>
        <w:tc>
          <w:tcPr>
            <w:tcW w:w="220" w:type="dxa"/>
            <w:vAlign w:val="bottom"/>
            <w:shd w:val="clear" w:color="auto" w:fill="1414D2"/>
          </w:tcPr>
          <w:p>
            <w:pPr>
              <w:spacing w:after="0"/>
              <w:rPr>
                <w:sz w:val="19"/>
                <w:szCs w:val="19"/>
                <w:color w:val="auto"/>
              </w:rPr>
            </w:pPr>
          </w:p>
        </w:tc>
        <w:tc>
          <w:tcPr>
            <w:tcW w:w="2200" w:type="dxa"/>
            <w:vAlign w:val="bottom"/>
          </w:tcPr>
          <w:p>
            <w:pPr>
              <w:spacing w:after="0"/>
              <w:rPr>
                <w:sz w:val="19"/>
                <w:szCs w:val="19"/>
                <w:color w:val="auto"/>
              </w:rPr>
            </w:pPr>
          </w:p>
        </w:tc>
        <w:tc>
          <w:tcPr>
            <w:tcW w:w="7300" w:type="dxa"/>
            <w:vAlign w:val="bottom"/>
          </w:tcPr>
          <w:p>
            <w:pPr>
              <w:ind w:left="680"/>
              <w:spacing w:after="0"/>
              <w:rPr>
                <w:sz w:val="20"/>
                <w:szCs w:val="20"/>
                <w:color w:val="auto"/>
              </w:rPr>
            </w:pPr>
            <w:r>
              <w:rPr>
                <w:rFonts w:ascii="Arial" w:cs="Arial" w:eastAsia="Arial" w:hAnsi="Arial"/>
                <w:sz w:val="16"/>
                <w:szCs w:val="16"/>
                <w:color w:val="auto"/>
              </w:rPr>
              <w:t>Company’s  impressive  TSR  performance.</w:t>
            </w:r>
          </w:p>
        </w:tc>
      </w:tr>
      <w:tr>
        <w:trPr>
          <w:trHeight w:val="189"/>
        </w:trPr>
        <w:tc>
          <w:tcPr>
            <w:tcW w:w="220" w:type="dxa"/>
            <w:vAlign w:val="bottom"/>
            <w:shd w:val="clear" w:color="auto" w:fill="1414D2"/>
          </w:tcPr>
          <w:p>
            <w:pPr>
              <w:spacing w:after="0"/>
              <w:rPr>
                <w:sz w:val="16"/>
                <w:szCs w:val="16"/>
                <w:color w:val="auto"/>
              </w:rPr>
            </w:pPr>
          </w:p>
        </w:tc>
        <w:tc>
          <w:tcPr>
            <w:tcW w:w="2200" w:type="dxa"/>
            <w:vAlign w:val="bottom"/>
          </w:tcPr>
          <w:p>
            <w:pPr>
              <w:spacing w:after="0"/>
              <w:rPr>
                <w:sz w:val="16"/>
                <w:szCs w:val="16"/>
                <w:color w:val="auto"/>
              </w:rPr>
            </w:pPr>
          </w:p>
        </w:tc>
        <w:tc>
          <w:tcPr>
            <w:tcW w:w="7300" w:type="dxa"/>
            <w:vAlign w:val="bottom"/>
          </w:tcPr>
          <w:p>
            <w:pPr>
              <w:ind w:left="360"/>
              <w:spacing w:after="0"/>
              <w:rPr>
                <w:sz w:val="20"/>
                <w:szCs w:val="20"/>
                <w:color w:val="auto"/>
              </w:rPr>
            </w:pPr>
            <w:r>
              <w:rPr>
                <w:rFonts w:ascii="Times New Roman" w:cs="Times New Roman" w:eastAsia="Times New Roman" w:hAnsi="Times New Roman"/>
                <w:sz w:val="16"/>
                <w:szCs w:val="16"/>
                <w:color w:val="auto"/>
                <w:w w:val="95"/>
              </w:rPr>
              <w:t>●</w:t>
            </w:r>
            <w:r>
              <w:rPr>
                <w:rFonts w:ascii="Arial" w:cs="Arial" w:eastAsia="Arial" w:hAnsi="Arial"/>
                <w:sz w:val="16"/>
                <w:szCs w:val="16"/>
                <w:color w:val="auto"/>
                <w:w w:val="95"/>
              </w:rPr>
              <w:t>Otherwise,  consistent  with  the  2024  LTI,  the  2025  annual  PBRSUs  are  earned  based  on</w:t>
            </w:r>
          </w:p>
        </w:tc>
      </w:tr>
      <w:tr>
        <w:trPr>
          <w:trHeight w:val="203"/>
        </w:trPr>
        <w:tc>
          <w:tcPr>
            <w:tcW w:w="220" w:type="dxa"/>
            <w:vAlign w:val="bottom"/>
            <w:shd w:val="clear" w:color="auto" w:fill="1414D2"/>
          </w:tcPr>
          <w:p>
            <w:pPr>
              <w:spacing w:after="0"/>
              <w:rPr>
                <w:sz w:val="17"/>
                <w:szCs w:val="17"/>
                <w:color w:val="auto"/>
              </w:rPr>
            </w:pPr>
          </w:p>
        </w:tc>
        <w:tc>
          <w:tcPr>
            <w:tcW w:w="2200" w:type="dxa"/>
            <w:vAlign w:val="bottom"/>
          </w:tcPr>
          <w:p>
            <w:pPr>
              <w:spacing w:after="0"/>
              <w:rPr>
                <w:sz w:val="17"/>
                <w:szCs w:val="17"/>
                <w:color w:val="auto"/>
              </w:rPr>
            </w:pPr>
          </w:p>
        </w:tc>
        <w:tc>
          <w:tcPr>
            <w:tcW w:w="7300" w:type="dxa"/>
            <w:vAlign w:val="bottom"/>
          </w:tcPr>
          <w:p>
            <w:pPr>
              <w:ind w:left="680"/>
              <w:spacing w:after="0"/>
              <w:rPr>
                <w:sz w:val="20"/>
                <w:szCs w:val="20"/>
                <w:color w:val="auto"/>
              </w:rPr>
            </w:pPr>
            <w:r>
              <w:rPr>
                <w:rFonts w:ascii="Arial" w:cs="Arial" w:eastAsia="Arial" w:hAnsi="Arial"/>
                <w:sz w:val="16"/>
                <w:szCs w:val="16"/>
                <w:color w:val="auto"/>
              </w:rPr>
              <w:t>fnancial  measures  weighting  at  80%,  split  evenly  between  an  absolute  Adjusted  EPS</w:t>
            </w:r>
          </w:p>
        </w:tc>
      </w:tr>
      <w:tr>
        <w:trPr>
          <w:trHeight w:val="248"/>
        </w:trPr>
        <w:tc>
          <w:tcPr>
            <w:tcW w:w="220" w:type="dxa"/>
            <w:vAlign w:val="bottom"/>
            <w:tcBorders>
              <w:bottom w:val="single" w:sz="8" w:color="1414D2"/>
            </w:tcBorders>
            <w:shd w:val="clear" w:color="auto" w:fill="1414D2"/>
          </w:tcPr>
          <w:p>
            <w:pPr>
              <w:spacing w:after="0"/>
              <w:rPr>
                <w:sz w:val="21"/>
                <w:szCs w:val="21"/>
                <w:color w:val="auto"/>
              </w:rPr>
            </w:pPr>
          </w:p>
        </w:tc>
        <w:tc>
          <w:tcPr>
            <w:tcW w:w="2200" w:type="dxa"/>
            <w:vAlign w:val="bottom"/>
            <w:tcBorders>
              <w:bottom w:val="single" w:sz="8" w:color="1414D2"/>
            </w:tcBorders>
          </w:tcPr>
          <w:p>
            <w:pPr>
              <w:spacing w:after="0"/>
              <w:rPr>
                <w:sz w:val="21"/>
                <w:szCs w:val="21"/>
                <w:color w:val="auto"/>
              </w:rPr>
            </w:pPr>
          </w:p>
        </w:tc>
        <w:tc>
          <w:tcPr>
            <w:tcW w:w="7300" w:type="dxa"/>
            <w:vAlign w:val="bottom"/>
            <w:tcBorders>
              <w:bottom w:val="single" w:sz="8" w:color="1414D2"/>
            </w:tcBorders>
          </w:tcPr>
          <w:p>
            <w:pPr>
              <w:ind w:left="680"/>
              <w:spacing w:after="0"/>
              <w:rPr>
                <w:sz w:val="20"/>
                <w:szCs w:val="20"/>
                <w:color w:val="auto"/>
              </w:rPr>
            </w:pPr>
            <w:r>
              <w:rPr>
                <w:rFonts w:ascii="Arial" w:cs="Arial" w:eastAsia="Arial" w:hAnsi="Arial"/>
                <w:sz w:val="16"/>
                <w:szCs w:val="16"/>
                <w:color w:val="auto"/>
              </w:rPr>
              <w:t>metric  and  a  relative  Adjusted  Pre-Tax  Margin  metric.</w:t>
            </w:r>
          </w:p>
        </w:tc>
      </w:tr>
    </w:tbl>
    <w:p>
      <w:pPr>
        <w:spacing w:after="0" w:line="200" w:lineRule="exact"/>
        <w:rPr>
          <w:sz w:val="20"/>
          <w:szCs w:val="20"/>
          <w:color w:val="auto"/>
        </w:rPr>
      </w:pPr>
    </w:p>
    <w:p>
      <w:pPr>
        <w:sectPr>
          <w:pgSz w:w="11900" w:h="16838" w:orient="portrait"/>
          <w:cols w:equalWidth="0" w:num="1">
            <w:col w:w="9720"/>
          </w:cols>
          <w:pgMar w:left="1080" w:top="695"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right"/>
        <w:ind w:right="7720"/>
        <w:spacing w:after="0"/>
        <w:rPr>
          <w:sz w:val="20"/>
          <w:szCs w:val="20"/>
          <w:color w:val="auto"/>
        </w:rPr>
      </w:pPr>
      <w:r>
        <w:rPr>
          <w:rFonts w:ascii="Arial" w:cs="Arial" w:eastAsia="Arial" w:hAnsi="Arial"/>
          <w:sz w:val="16"/>
          <w:szCs w:val="16"/>
          <w:color w:val="auto"/>
        </w:rPr>
        <w:t>​​2026​  Proxy</w:t>
      </w:r>
    </w:p>
    <w:p>
      <w:pPr>
        <w:spacing w:after="0" w:line="5" w:lineRule="exact"/>
        <w:rPr>
          <w:sz w:val="20"/>
          <w:szCs w:val="20"/>
          <w:color w:val="auto"/>
        </w:rPr>
      </w:pPr>
    </w:p>
    <w:p>
      <w:pPr>
        <w:ind w:left="660" w:hanging="656"/>
        <w:spacing w:after="0"/>
        <w:tabs>
          <w:tab w:leader="none" w:pos="660" w:val="left"/>
        </w:tabs>
        <w:numPr>
          <w:ilvl w:val="0"/>
          <w:numId w:val="86"/>
        </w:numPr>
        <w:rPr>
          <w:rFonts w:ascii="Arial" w:cs="Arial" w:eastAsia="Arial" w:hAnsi="Arial"/>
          <w:sz w:val="16"/>
          <w:szCs w:val="16"/>
          <w:b w:val="1"/>
          <w:bCs w:val="1"/>
          <w:color w:val="1414D2"/>
        </w:rPr>
      </w:pPr>
      <w:r>
        <w:rPr>
          <w:rFonts w:ascii="Arial" w:cs="Arial" w:eastAsia="Arial" w:hAnsi="Arial"/>
          <w:sz w:val="16"/>
          <w:szCs w:val="16"/>
          <w:color w:val="auto"/>
        </w:rPr>
        <w:t>Statement</w:t>
      </w:r>
    </w:p>
    <w:p>
      <w:pPr>
        <w:sectPr>
          <w:pgSz w:w="11900" w:h="16838" w:orient="portrait"/>
          <w:cols w:equalWidth="0" w:num="1">
            <w:col w:w="9720"/>
          </w:cols>
          <w:pgMar w:left="1080" w:top="695" w:right="1099" w:bottom="1440" w:gutter="0" w:footer="0" w:header="0"/>
          <w:type w:val="continuous"/>
        </w:sectPr>
      </w:pPr>
    </w:p>
    <w:bookmarkStart w:id="91" w:name="page92"/>
    <w:bookmarkEnd w:id="91"/>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27" w:lineRule="exact"/>
        <w:rPr>
          <w:sz w:val="20"/>
          <w:szCs w:val="20"/>
          <w:color w:val="auto"/>
        </w:rPr>
      </w:pPr>
    </w:p>
    <w:p>
      <w:pPr>
        <w:jc w:val="right"/>
        <w:spacing w:after="0"/>
        <w:rPr>
          <w:sz w:val="20"/>
          <w:szCs w:val="20"/>
          <w:color w:val="auto"/>
        </w:rPr>
      </w:pPr>
      <w:r>
        <w:rPr>
          <w:rFonts w:ascii="Arial" w:cs="Arial" w:eastAsia="Arial" w:hAnsi="Arial"/>
          <w:sz w:val="14"/>
          <w:szCs w:val="14"/>
          <w:color w:val="6D6F71"/>
        </w:rPr>
        <w:t>Compensation  Discussion  and  Analysis</w:t>
      </w:r>
    </w:p>
    <w:p>
      <w:pPr>
        <w:spacing w:after="0" w:line="223" w:lineRule="exact"/>
        <w:rPr>
          <w:sz w:val="20"/>
          <w:szCs w:val="20"/>
          <w:color w:val="auto"/>
        </w:rPr>
      </w:pPr>
    </w:p>
    <w:p>
      <w:pPr>
        <w:spacing w:after="0"/>
        <w:rPr>
          <w:sz w:val="20"/>
          <w:szCs w:val="20"/>
          <w:color w:val="auto"/>
        </w:rPr>
      </w:pPr>
      <w:r>
        <w:rPr>
          <w:rFonts w:ascii="Arial" w:cs="Arial" w:eastAsia="Arial" w:hAnsi="Arial"/>
          <w:sz w:val="25"/>
          <w:szCs w:val="25"/>
          <w:b w:val="1"/>
          <w:bCs w:val="1"/>
          <w:color w:val="1414D2"/>
          <w:highlight w:val="white"/>
        </w:rPr>
        <w:t>Company Performance Update</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ACHIEVING STRONG FINANCIAL RESULTS</w:t>
      </w:r>
    </w:p>
    <w:p>
      <w:pPr>
        <w:spacing w:after="0" w:line="127"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In 2025, United continued strong execution of our United Next plan to align our network and product with the potential of our hubs. We remained focused on protecting the safety of our employees and customers, as well as providing a superior customer experience. We continued to win brand-loyal customers across all of our hubs with our customer-focused investments. These investments included deploying new and retroftted aircraft featuring United's signature interior with larger bins, seatback</w:t>
      </w:r>
    </w:p>
    <w:p>
      <w:pPr>
        <w:spacing w:after="0" w:line="3" w:lineRule="exact"/>
        <w:rPr>
          <w:sz w:val="20"/>
          <w:szCs w:val="20"/>
          <w:color w:val="auto"/>
        </w:rPr>
      </w:pPr>
    </w:p>
    <w:p>
      <w:pPr>
        <w:ind w:right="160"/>
        <w:spacing w:after="0" w:line="250" w:lineRule="auto"/>
        <w:rPr>
          <w:sz w:val="20"/>
          <w:szCs w:val="20"/>
          <w:color w:val="auto"/>
        </w:rPr>
      </w:pPr>
      <w:r>
        <w:rPr>
          <w:rFonts w:ascii="Arial" w:cs="Arial" w:eastAsia="Arial" w:hAnsi="Arial"/>
          <w:sz w:val="16"/>
          <w:szCs w:val="16"/>
          <w:color w:val="auto"/>
        </w:rPr>
        <w:t>screens at every seat and Bluetooth connectivity; bringing Starlink's Wi-Fi service (the world's fastest, most reliable high-speed Wi-Fi in the sky) to our dual-class United Express regional aircraft and beginning its installation on our mainline aircraft; expanding our leading global network to more than 380 destinations; and making signifcant technology investments that empower our employees and improve the customer experience. These investments helped us deliver some of the best</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operational  metrics  in  our  history,  which  were  fundamental  to  producing  the  following  strong  fnancial  results  in  2025:</w:t>
      </w:r>
    </w:p>
    <w:p>
      <w:pPr>
        <w:spacing w:after="0" w:line="138" w:lineRule="exact"/>
        <w:rPr>
          <w:sz w:val="20"/>
          <w:szCs w:val="20"/>
          <w:color w:val="auto"/>
        </w:rPr>
      </w:pPr>
    </w:p>
    <w:tbl>
      <w:tblPr>
        <w:tblLayout w:type="fixed"/>
        <w:tblInd w:w="980" w:type="dxa"/>
        <w:tblCellMar>
          <w:top w:w="0" w:type="dxa"/>
          <w:left w:w="0" w:type="dxa"/>
          <w:bottom w:w="0" w:type="dxa"/>
          <w:right w:w="0" w:type="dxa"/>
        </w:tblCellMar>
      </w:tblPr>
      <w:tr>
        <w:trPr>
          <w:trHeight w:val="294"/>
        </w:trPr>
        <w:tc>
          <w:tcPr>
            <w:tcW w:w="1880" w:type="dxa"/>
            <w:vAlign w:val="bottom"/>
            <w:vMerge w:val="restart"/>
            <w:shd w:val="clear" w:color="auto" w:fill="1414D2"/>
          </w:tcPr>
          <w:p>
            <w:pPr>
              <w:ind w:left="120"/>
              <w:spacing w:after="0"/>
              <w:rPr>
                <w:sz w:val="20"/>
                <w:szCs w:val="20"/>
                <w:color w:val="auto"/>
              </w:rPr>
            </w:pPr>
            <w:r>
              <w:rPr>
                <w:rFonts w:ascii="Arial" w:cs="Arial" w:eastAsia="Arial" w:hAnsi="Arial"/>
                <w:sz w:val="18"/>
                <w:szCs w:val="18"/>
                <w:b w:val="1"/>
                <w:bCs w:val="1"/>
                <w:color w:val="FFFFFF"/>
              </w:rPr>
              <w:t>Pre-Tax Margin</w:t>
            </w:r>
          </w:p>
        </w:tc>
        <w:tc>
          <w:tcPr>
            <w:tcW w:w="1780" w:type="dxa"/>
            <w:vAlign w:val="bottom"/>
            <w:shd w:val="clear" w:color="auto" w:fill="1414D2"/>
          </w:tcPr>
          <w:p>
            <w:pPr>
              <w:spacing w:after="0"/>
              <w:rPr>
                <w:sz w:val="24"/>
                <w:szCs w:val="24"/>
                <w:color w:val="auto"/>
              </w:rPr>
            </w:pPr>
          </w:p>
        </w:tc>
        <w:tc>
          <w:tcPr>
            <w:tcW w:w="440" w:type="dxa"/>
            <w:vAlign w:val="bottom"/>
          </w:tcPr>
          <w:p>
            <w:pPr>
              <w:ind w:left="220"/>
              <w:spacing w:after="0"/>
              <w:rPr>
                <w:sz w:val="20"/>
                <w:szCs w:val="20"/>
                <w:color w:val="auto"/>
              </w:rPr>
            </w:pPr>
            <w:r>
              <w:rPr>
                <w:rFonts w:ascii="Arial" w:cs="Arial" w:eastAsia="Arial" w:hAnsi="Arial"/>
                <w:sz w:val="18"/>
                <w:szCs w:val="18"/>
                <w:b w:val="1"/>
                <w:bCs w:val="1"/>
                <w:color w:val="auto"/>
              </w:rPr>
              <w:t>​​</w:t>
            </w:r>
          </w:p>
        </w:tc>
        <w:tc>
          <w:tcPr>
            <w:tcW w:w="1840" w:type="dxa"/>
            <w:vAlign w:val="bottom"/>
            <w:shd w:val="clear" w:color="auto" w:fill="1414D2"/>
          </w:tcPr>
          <w:p>
            <w:pPr>
              <w:ind w:left="120"/>
              <w:spacing w:after="0"/>
              <w:rPr>
                <w:sz w:val="20"/>
                <w:szCs w:val="20"/>
                <w:color w:val="auto"/>
              </w:rPr>
            </w:pPr>
            <w:r>
              <w:rPr>
                <w:rFonts w:ascii="Arial" w:cs="Arial" w:eastAsia="Arial" w:hAnsi="Arial"/>
                <w:sz w:val="18"/>
                <w:szCs w:val="18"/>
                <w:b w:val="1"/>
                <w:bCs w:val="1"/>
                <w:color w:val="FFFFFF"/>
              </w:rPr>
              <w:t>EPS</w:t>
            </w:r>
          </w:p>
        </w:tc>
        <w:tc>
          <w:tcPr>
            <w:tcW w:w="1840" w:type="dxa"/>
            <w:vAlign w:val="bottom"/>
            <w:shd w:val="clear" w:color="auto" w:fill="1414D2"/>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1880" w:type="dxa"/>
            <w:vAlign w:val="bottom"/>
            <w:vMerge w:val="continue"/>
            <w:shd w:val="clear" w:color="auto" w:fill="1414D2"/>
          </w:tcPr>
          <w:p>
            <w:pPr>
              <w:spacing w:after="0"/>
              <w:rPr>
                <w:sz w:val="12"/>
                <w:szCs w:val="12"/>
                <w:color w:val="auto"/>
              </w:rPr>
            </w:pPr>
          </w:p>
        </w:tc>
        <w:tc>
          <w:tcPr>
            <w:tcW w:w="1780" w:type="dxa"/>
            <w:vAlign w:val="bottom"/>
            <w:shd w:val="clear" w:color="auto" w:fill="1414D2"/>
          </w:tcPr>
          <w:p>
            <w:pPr>
              <w:spacing w:after="0"/>
              <w:rPr>
                <w:sz w:val="12"/>
                <w:szCs w:val="12"/>
                <w:color w:val="auto"/>
              </w:rPr>
            </w:pPr>
          </w:p>
        </w:tc>
        <w:tc>
          <w:tcPr>
            <w:tcW w:w="44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w:t>
            </w:r>
          </w:p>
        </w:tc>
        <w:tc>
          <w:tcPr>
            <w:tcW w:w="1840" w:type="dxa"/>
            <w:vAlign w:val="bottom"/>
            <w:shd w:val="clear" w:color="auto" w:fill="1414D2"/>
          </w:tcPr>
          <w:p>
            <w:pPr>
              <w:spacing w:after="0"/>
              <w:rPr>
                <w:sz w:val="12"/>
                <w:szCs w:val="12"/>
                <w:color w:val="auto"/>
              </w:rPr>
            </w:pPr>
          </w:p>
        </w:tc>
        <w:tc>
          <w:tcPr>
            <w:tcW w:w="1840" w:type="dxa"/>
            <w:vAlign w:val="bottom"/>
            <w:shd w:val="clear" w:color="auto" w:fill="1414D2"/>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880" w:type="dxa"/>
            <w:vAlign w:val="bottom"/>
            <w:shd w:val="clear" w:color="auto" w:fill="1414D2"/>
          </w:tcPr>
          <w:p>
            <w:pPr>
              <w:spacing w:after="0"/>
              <w:rPr>
                <w:sz w:val="10"/>
                <w:szCs w:val="10"/>
                <w:color w:val="auto"/>
              </w:rPr>
            </w:pPr>
          </w:p>
        </w:tc>
        <w:tc>
          <w:tcPr>
            <w:tcW w:w="1780" w:type="dxa"/>
            <w:vAlign w:val="bottom"/>
            <w:shd w:val="clear" w:color="auto" w:fill="1414D2"/>
          </w:tcPr>
          <w:p>
            <w:pPr>
              <w:spacing w:after="0"/>
              <w:rPr>
                <w:sz w:val="10"/>
                <w:szCs w:val="10"/>
                <w:color w:val="auto"/>
              </w:rPr>
            </w:pPr>
          </w:p>
        </w:tc>
        <w:tc>
          <w:tcPr>
            <w:tcW w:w="440" w:type="dxa"/>
            <w:vAlign w:val="bottom"/>
            <w:vMerge w:val="continue"/>
          </w:tcPr>
          <w:p>
            <w:pPr>
              <w:spacing w:after="0"/>
              <w:rPr>
                <w:sz w:val="10"/>
                <w:szCs w:val="10"/>
                <w:color w:val="auto"/>
              </w:rPr>
            </w:pPr>
          </w:p>
        </w:tc>
        <w:tc>
          <w:tcPr>
            <w:tcW w:w="1840" w:type="dxa"/>
            <w:vAlign w:val="bottom"/>
            <w:shd w:val="clear" w:color="auto" w:fill="1414D2"/>
          </w:tcPr>
          <w:p>
            <w:pPr>
              <w:spacing w:after="0"/>
              <w:rPr>
                <w:sz w:val="10"/>
                <w:szCs w:val="10"/>
                <w:color w:val="auto"/>
              </w:rPr>
            </w:pPr>
          </w:p>
        </w:tc>
        <w:tc>
          <w:tcPr>
            <w:tcW w:w="1840" w:type="dxa"/>
            <w:vAlign w:val="bottom"/>
            <w:shd w:val="clear" w:color="auto" w:fill="1414D2"/>
          </w:tcPr>
          <w:p>
            <w:pPr>
              <w:spacing w:after="0"/>
              <w:rPr>
                <w:sz w:val="10"/>
                <w:szCs w:val="10"/>
                <w:color w:val="auto"/>
              </w:rPr>
            </w:pPr>
          </w:p>
        </w:tc>
        <w:tc>
          <w:tcPr>
            <w:tcW w:w="0" w:type="dxa"/>
            <w:vAlign w:val="bottom"/>
          </w:tcPr>
          <w:p>
            <w:pPr>
              <w:spacing w:after="0"/>
              <w:rPr>
                <w:sz w:val="1"/>
                <w:szCs w:val="1"/>
                <w:color w:val="auto"/>
              </w:rPr>
            </w:pPr>
          </w:p>
        </w:tc>
      </w:tr>
      <w:tr>
        <w:trPr>
          <w:trHeight w:val="79"/>
        </w:trPr>
        <w:tc>
          <w:tcPr>
            <w:tcW w:w="1880" w:type="dxa"/>
            <w:vAlign w:val="bottom"/>
            <w:vMerge w:val="restart"/>
            <w:shd w:val="clear" w:color="auto" w:fill="1414D2"/>
          </w:tcPr>
          <w:p>
            <w:pPr>
              <w:ind w:left="500"/>
              <w:spacing w:after="0"/>
              <w:rPr>
                <w:sz w:val="20"/>
                <w:szCs w:val="20"/>
                <w:color w:val="auto"/>
              </w:rPr>
            </w:pPr>
            <w:r>
              <w:rPr>
                <w:rFonts w:ascii="Arial" w:cs="Arial" w:eastAsia="Arial" w:hAnsi="Arial"/>
                <w:sz w:val="36"/>
                <w:szCs w:val="36"/>
                <w:b w:val="1"/>
                <w:bCs w:val="1"/>
                <w:color w:val="FFFFFF"/>
              </w:rPr>
              <w:t>7.3%</w:t>
            </w:r>
          </w:p>
        </w:tc>
        <w:tc>
          <w:tcPr>
            <w:tcW w:w="1780" w:type="dxa"/>
            <w:vAlign w:val="bottom"/>
            <w:vMerge w:val="restart"/>
            <w:shd w:val="clear" w:color="auto" w:fill="1414D2"/>
          </w:tcPr>
          <w:p>
            <w:pPr>
              <w:jc w:val="center"/>
              <w:spacing w:after="0"/>
              <w:rPr>
                <w:sz w:val="20"/>
                <w:szCs w:val="20"/>
                <w:color w:val="auto"/>
              </w:rPr>
            </w:pPr>
            <w:r>
              <w:rPr>
                <w:rFonts w:ascii="Arial" w:cs="Arial" w:eastAsia="Arial" w:hAnsi="Arial"/>
                <w:sz w:val="36"/>
                <w:szCs w:val="36"/>
                <w:b w:val="1"/>
                <w:bCs w:val="1"/>
                <w:color w:val="FFFFFF"/>
                <w:w w:val="99"/>
              </w:rPr>
              <w:t>7.8%</w:t>
            </w:r>
          </w:p>
        </w:tc>
        <w:tc>
          <w:tcPr>
            <w:tcW w:w="440" w:type="dxa"/>
            <w:vAlign w:val="bottom"/>
          </w:tcPr>
          <w:p>
            <w:pPr>
              <w:spacing w:after="0"/>
              <w:rPr>
                <w:sz w:val="6"/>
                <w:szCs w:val="6"/>
                <w:color w:val="auto"/>
              </w:rPr>
            </w:pPr>
          </w:p>
        </w:tc>
        <w:tc>
          <w:tcPr>
            <w:tcW w:w="1840" w:type="dxa"/>
            <w:vAlign w:val="bottom"/>
            <w:vMerge w:val="restart"/>
            <w:shd w:val="clear" w:color="auto" w:fill="1414D2"/>
          </w:tcPr>
          <w:p>
            <w:pPr>
              <w:ind w:left="340"/>
              <w:spacing w:after="0"/>
              <w:rPr>
                <w:sz w:val="20"/>
                <w:szCs w:val="20"/>
                <w:color w:val="auto"/>
              </w:rPr>
            </w:pPr>
            <w:r>
              <w:rPr>
                <w:rFonts w:ascii="Arial" w:cs="Arial" w:eastAsia="Arial" w:hAnsi="Arial"/>
                <w:sz w:val="36"/>
                <w:szCs w:val="36"/>
                <w:b w:val="1"/>
                <w:bCs w:val="1"/>
                <w:color w:val="FFFFFF"/>
              </w:rPr>
              <w:t>$10.20</w:t>
            </w:r>
          </w:p>
        </w:tc>
        <w:tc>
          <w:tcPr>
            <w:tcW w:w="1840" w:type="dxa"/>
            <w:vAlign w:val="bottom"/>
            <w:vMerge w:val="restart"/>
            <w:shd w:val="clear" w:color="auto" w:fill="1414D2"/>
          </w:tcPr>
          <w:p>
            <w:pPr>
              <w:jc w:val="center"/>
              <w:spacing w:after="0"/>
              <w:rPr>
                <w:sz w:val="20"/>
                <w:szCs w:val="20"/>
                <w:color w:val="auto"/>
              </w:rPr>
            </w:pPr>
            <w:r>
              <w:rPr>
                <w:rFonts w:ascii="Arial" w:cs="Arial" w:eastAsia="Arial" w:hAnsi="Arial"/>
                <w:sz w:val="36"/>
                <w:szCs w:val="36"/>
                <w:b w:val="1"/>
                <w:bCs w:val="1"/>
                <w:color w:val="FFFFFF"/>
              </w:rPr>
              <w:t>$10.62</w:t>
            </w:r>
          </w:p>
        </w:tc>
        <w:tc>
          <w:tcPr>
            <w:tcW w:w="0" w:type="dxa"/>
            <w:vAlign w:val="bottom"/>
          </w:tcPr>
          <w:p>
            <w:pPr>
              <w:spacing w:after="0"/>
              <w:rPr>
                <w:sz w:val="1"/>
                <w:szCs w:val="1"/>
                <w:color w:val="auto"/>
              </w:rPr>
            </w:pPr>
          </w:p>
        </w:tc>
      </w:tr>
      <w:tr>
        <w:trPr>
          <w:trHeight w:val="27"/>
        </w:trPr>
        <w:tc>
          <w:tcPr>
            <w:tcW w:w="1880" w:type="dxa"/>
            <w:vAlign w:val="bottom"/>
            <w:vMerge w:val="continue"/>
            <w:shd w:val="clear" w:color="auto" w:fill="1414D2"/>
          </w:tcPr>
          <w:p>
            <w:pPr>
              <w:spacing w:after="0"/>
              <w:rPr>
                <w:sz w:val="2"/>
                <w:szCs w:val="2"/>
                <w:color w:val="auto"/>
              </w:rPr>
            </w:pPr>
          </w:p>
        </w:tc>
        <w:tc>
          <w:tcPr>
            <w:tcW w:w="1780" w:type="dxa"/>
            <w:vAlign w:val="bottom"/>
            <w:vMerge w:val="continue"/>
            <w:shd w:val="clear" w:color="auto" w:fill="1414D2"/>
          </w:tcPr>
          <w:p>
            <w:pPr>
              <w:spacing w:after="0"/>
              <w:rPr>
                <w:sz w:val="2"/>
                <w:szCs w:val="2"/>
                <w:color w:val="auto"/>
              </w:rPr>
            </w:pPr>
          </w:p>
        </w:tc>
        <w:tc>
          <w:tcPr>
            <w:tcW w:w="440" w:type="dxa"/>
            <w:vAlign w:val="bottom"/>
          </w:tcPr>
          <w:p>
            <w:pPr>
              <w:spacing w:after="0"/>
              <w:rPr>
                <w:sz w:val="2"/>
                <w:szCs w:val="2"/>
                <w:color w:val="auto"/>
              </w:rPr>
            </w:pPr>
          </w:p>
        </w:tc>
        <w:tc>
          <w:tcPr>
            <w:tcW w:w="1840" w:type="dxa"/>
            <w:vAlign w:val="bottom"/>
            <w:vMerge w:val="continue"/>
            <w:shd w:val="clear" w:color="auto" w:fill="1414D2"/>
          </w:tcPr>
          <w:p>
            <w:pPr>
              <w:spacing w:after="0"/>
              <w:rPr>
                <w:sz w:val="2"/>
                <w:szCs w:val="2"/>
                <w:color w:val="auto"/>
              </w:rPr>
            </w:pPr>
          </w:p>
        </w:tc>
        <w:tc>
          <w:tcPr>
            <w:tcW w:w="1840" w:type="dxa"/>
            <w:vAlign w:val="bottom"/>
            <w:vMerge w:val="continue"/>
            <w:shd w:val="clear" w:color="auto" w:fill="1414D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586"/>
        </w:trPr>
        <w:tc>
          <w:tcPr>
            <w:tcW w:w="1880" w:type="dxa"/>
            <w:vAlign w:val="bottom"/>
            <w:vMerge w:val="continue"/>
            <w:shd w:val="clear" w:color="auto" w:fill="1414D2"/>
          </w:tcPr>
          <w:p>
            <w:pPr>
              <w:spacing w:after="0"/>
              <w:rPr>
                <w:sz w:val="24"/>
                <w:szCs w:val="24"/>
                <w:color w:val="auto"/>
              </w:rPr>
            </w:pPr>
          </w:p>
        </w:tc>
        <w:tc>
          <w:tcPr>
            <w:tcW w:w="1780" w:type="dxa"/>
            <w:vAlign w:val="bottom"/>
            <w:vMerge w:val="continue"/>
            <w:shd w:val="clear" w:color="auto" w:fill="1414D2"/>
          </w:tcPr>
          <w:p>
            <w:pPr>
              <w:spacing w:after="0"/>
              <w:rPr>
                <w:sz w:val="24"/>
                <w:szCs w:val="24"/>
                <w:color w:val="auto"/>
              </w:rPr>
            </w:pPr>
          </w:p>
        </w:tc>
        <w:tc>
          <w:tcPr>
            <w:tcW w:w="440" w:type="dxa"/>
            <w:vAlign w:val="bottom"/>
          </w:tcPr>
          <w:p>
            <w:pPr>
              <w:spacing w:after="0"/>
              <w:rPr>
                <w:sz w:val="24"/>
                <w:szCs w:val="24"/>
                <w:color w:val="auto"/>
              </w:rPr>
            </w:pPr>
          </w:p>
        </w:tc>
        <w:tc>
          <w:tcPr>
            <w:tcW w:w="1840" w:type="dxa"/>
            <w:vAlign w:val="bottom"/>
            <w:vMerge w:val="continue"/>
            <w:shd w:val="clear" w:color="auto" w:fill="1414D2"/>
          </w:tcPr>
          <w:p>
            <w:pPr>
              <w:spacing w:after="0"/>
              <w:rPr>
                <w:sz w:val="24"/>
                <w:szCs w:val="24"/>
                <w:color w:val="auto"/>
              </w:rPr>
            </w:pPr>
          </w:p>
        </w:tc>
        <w:tc>
          <w:tcPr>
            <w:tcW w:w="1840" w:type="dxa"/>
            <w:vAlign w:val="bottom"/>
            <w:vMerge w:val="continue"/>
            <w:shd w:val="clear" w:color="auto" w:fill="1414D2"/>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880" w:type="dxa"/>
            <w:vAlign w:val="bottom"/>
            <w:shd w:val="clear" w:color="auto" w:fill="1414D2"/>
          </w:tcPr>
          <w:p>
            <w:pPr>
              <w:ind w:left="360"/>
              <w:spacing w:after="0"/>
              <w:rPr>
                <w:sz w:val="20"/>
                <w:szCs w:val="20"/>
                <w:color w:val="auto"/>
              </w:rPr>
            </w:pPr>
            <w:r>
              <w:rPr>
                <w:rFonts w:ascii="Arial" w:cs="Arial" w:eastAsia="Arial" w:hAnsi="Arial"/>
                <w:sz w:val="16"/>
                <w:szCs w:val="16"/>
                <w:color w:val="FFFFFF"/>
              </w:rPr>
              <w:t>Pre-Tax  Margin</w:t>
            </w:r>
          </w:p>
        </w:tc>
        <w:tc>
          <w:tcPr>
            <w:tcW w:w="1780" w:type="dxa"/>
            <w:vAlign w:val="bottom"/>
            <w:shd w:val="clear" w:color="auto" w:fill="1414D2"/>
          </w:tcPr>
          <w:p>
            <w:pPr>
              <w:jc w:val="center"/>
              <w:spacing w:after="0"/>
              <w:rPr>
                <w:sz w:val="20"/>
                <w:szCs w:val="20"/>
                <w:color w:val="auto"/>
              </w:rPr>
            </w:pPr>
            <w:r>
              <w:rPr>
                <w:rFonts w:ascii="Arial" w:cs="Arial" w:eastAsia="Arial" w:hAnsi="Arial"/>
                <w:sz w:val="16"/>
                <w:szCs w:val="16"/>
                <w:color w:val="FFFFFF"/>
              </w:rPr>
              <w:t>Adjusted  Pre-tax</w:t>
            </w:r>
          </w:p>
        </w:tc>
        <w:tc>
          <w:tcPr>
            <w:tcW w:w="440" w:type="dxa"/>
            <w:vAlign w:val="bottom"/>
          </w:tcPr>
          <w:p>
            <w:pPr>
              <w:spacing w:after="0"/>
              <w:rPr>
                <w:sz w:val="24"/>
                <w:szCs w:val="24"/>
                <w:color w:val="auto"/>
              </w:rPr>
            </w:pPr>
          </w:p>
        </w:tc>
        <w:tc>
          <w:tcPr>
            <w:tcW w:w="1840" w:type="dxa"/>
            <w:vAlign w:val="bottom"/>
            <w:shd w:val="clear" w:color="auto" w:fill="1414D2"/>
          </w:tcPr>
          <w:p>
            <w:pPr>
              <w:ind w:left="480"/>
              <w:spacing w:after="0"/>
              <w:rPr>
                <w:sz w:val="20"/>
                <w:szCs w:val="20"/>
                <w:color w:val="auto"/>
              </w:rPr>
            </w:pPr>
            <w:r>
              <w:rPr>
                <w:rFonts w:ascii="Arial" w:cs="Arial" w:eastAsia="Arial" w:hAnsi="Arial"/>
                <w:sz w:val="16"/>
                <w:szCs w:val="16"/>
                <w:color w:val="FFFFFF"/>
              </w:rPr>
              <w:t>Diluted  EPS</w:t>
            </w:r>
          </w:p>
        </w:tc>
        <w:tc>
          <w:tcPr>
            <w:tcW w:w="1840" w:type="dxa"/>
            <w:vAlign w:val="bottom"/>
            <w:shd w:val="clear" w:color="auto" w:fill="1414D2"/>
          </w:tcPr>
          <w:p>
            <w:pPr>
              <w:jc w:val="center"/>
              <w:spacing w:after="0"/>
              <w:rPr>
                <w:sz w:val="20"/>
                <w:szCs w:val="20"/>
                <w:color w:val="auto"/>
              </w:rPr>
            </w:pPr>
            <w:r>
              <w:rPr>
                <w:rFonts w:ascii="Arial" w:cs="Arial" w:eastAsia="Arial" w:hAnsi="Arial"/>
                <w:sz w:val="16"/>
                <w:szCs w:val="16"/>
                <w:color w:val="FFFFFF"/>
              </w:rPr>
              <w:t>Adjusted  Diluted</w:t>
            </w:r>
          </w:p>
        </w:tc>
        <w:tc>
          <w:tcPr>
            <w:tcW w:w="0" w:type="dxa"/>
            <w:vAlign w:val="bottom"/>
          </w:tcPr>
          <w:p>
            <w:pPr>
              <w:spacing w:after="0"/>
              <w:rPr>
                <w:sz w:val="1"/>
                <w:szCs w:val="1"/>
                <w:color w:val="auto"/>
              </w:rPr>
            </w:pPr>
          </w:p>
        </w:tc>
      </w:tr>
      <w:tr>
        <w:trPr>
          <w:trHeight w:val="229"/>
        </w:trPr>
        <w:tc>
          <w:tcPr>
            <w:tcW w:w="1880" w:type="dxa"/>
            <w:vAlign w:val="bottom"/>
            <w:shd w:val="clear" w:color="auto" w:fill="1414D2"/>
          </w:tcPr>
          <w:p>
            <w:pPr>
              <w:spacing w:after="0"/>
              <w:rPr>
                <w:sz w:val="19"/>
                <w:szCs w:val="19"/>
                <w:color w:val="auto"/>
              </w:rPr>
            </w:pPr>
          </w:p>
        </w:tc>
        <w:tc>
          <w:tcPr>
            <w:tcW w:w="1780" w:type="dxa"/>
            <w:vAlign w:val="bottom"/>
            <w:shd w:val="clear" w:color="auto" w:fill="1414D2"/>
          </w:tcPr>
          <w:p>
            <w:pPr>
              <w:jc w:val="center"/>
              <w:spacing w:after="0"/>
              <w:rPr>
                <w:sz w:val="20"/>
                <w:szCs w:val="20"/>
                <w:color w:val="auto"/>
              </w:rPr>
            </w:pPr>
            <w:r>
              <w:rPr>
                <w:rFonts w:ascii="Arial" w:cs="Arial" w:eastAsia="Arial" w:hAnsi="Arial"/>
                <w:sz w:val="16"/>
                <w:szCs w:val="16"/>
                <w:color w:val="FFFFFF"/>
              </w:rPr>
              <w:t>Margin</w:t>
            </w:r>
          </w:p>
        </w:tc>
        <w:tc>
          <w:tcPr>
            <w:tcW w:w="440" w:type="dxa"/>
            <w:vAlign w:val="bottom"/>
          </w:tcPr>
          <w:p>
            <w:pPr>
              <w:spacing w:after="0"/>
              <w:rPr>
                <w:sz w:val="19"/>
                <w:szCs w:val="19"/>
                <w:color w:val="auto"/>
              </w:rPr>
            </w:pPr>
          </w:p>
        </w:tc>
        <w:tc>
          <w:tcPr>
            <w:tcW w:w="1840" w:type="dxa"/>
            <w:vAlign w:val="bottom"/>
            <w:shd w:val="clear" w:color="auto" w:fill="1414D2"/>
          </w:tcPr>
          <w:p>
            <w:pPr>
              <w:spacing w:after="0"/>
              <w:rPr>
                <w:sz w:val="19"/>
                <w:szCs w:val="19"/>
                <w:color w:val="auto"/>
              </w:rPr>
            </w:pPr>
          </w:p>
        </w:tc>
        <w:tc>
          <w:tcPr>
            <w:tcW w:w="1840" w:type="dxa"/>
            <w:vAlign w:val="bottom"/>
            <w:shd w:val="clear" w:color="auto" w:fill="1414D2"/>
          </w:tcPr>
          <w:p>
            <w:pPr>
              <w:jc w:val="center"/>
              <w:spacing w:after="0" w:line="229" w:lineRule="exact"/>
              <w:rPr>
                <w:sz w:val="20"/>
                <w:szCs w:val="20"/>
                <w:color w:val="auto"/>
              </w:rPr>
            </w:pPr>
            <w:r>
              <w:rPr>
                <w:rFonts w:ascii="Arial" w:cs="Arial" w:eastAsia="Arial" w:hAnsi="Arial"/>
                <w:sz w:val="16"/>
                <w:szCs w:val="16"/>
                <w:color w:val="FFFFFF"/>
                <w:w w:val="90"/>
              </w:rPr>
              <w:t>EPS  (Non-GAAP)</w:t>
            </w:r>
            <w:r>
              <w:rPr>
                <w:rFonts w:ascii="Arial" w:cs="Arial" w:eastAsia="Arial" w:hAnsi="Arial"/>
                <w:sz w:val="24"/>
                <w:szCs w:val="24"/>
                <w:color w:val="FFFFFF"/>
                <w:w w:val="90"/>
                <w:vertAlign w:val="superscript"/>
              </w:rPr>
              <w:t>(1)</w:t>
            </w:r>
          </w:p>
        </w:tc>
        <w:tc>
          <w:tcPr>
            <w:tcW w:w="0" w:type="dxa"/>
            <w:vAlign w:val="bottom"/>
          </w:tcPr>
          <w:p>
            <w:pPr>
              <w:spacing w:after="0"/>
              <w:rPr>
                <w:sz w:val="1"/>
                <w:szCs w:val="1"/>
                <w:color w:val="auto"/>
              </w:rPr>
            </w:pPr>
          </w:p>
        </w:tc>
      </w:tr>
      <w:tr>
        <w:trPr>
          <w:trHeight w:val="373"/>
        </w:trPr>
        <w:tc>
          <w:tcPr>
            <w:tcW w:w="1880" w:type="dxa"/>
            <w:vAlign w:val="bottom"/>
            <w:shd w:val="clear" w:color="auto" w:fill="1414D2"/>
          </w:tcPr>
          <w:p>
            <w:pPr>
              <w:spacing w:after="0"/>
              <w:rPr>
                <w:sz w:val="24"/>
                <w:szCs w:val="24"/>
                <w:color w:val="auto"/>
              </w:rPr>
            </w:pPr>
          </w:p>
        </w:tc>
        <w:tc>
          <w:tcPr>
            <w:tcW w:w="1780" w:type="dxa"/>
            <w:vAlign w:val="bottom"/>
            <w:shd w:val="clear" w:color="auto" w:fill="1414D2"/>
          </w:tcPr>
          <w:p>
            <w:pPr>
              <w:jc w:val="center"/>
              <w:spacing w:after="0"/>
              <w:rPr>
                <w:sz w:val="20"/>
                <w:szCs w:val="20"/>
                <w:color w:val="auto"/>
              </w:rPr>
            </w:pPr>
            <w:r>
              <w:rPr>
                <w:rFonts w:ascii="Arial" w:cs="Arial" w:eastAsia="Arial" w:hAnsi="Arial"/>
                <w:sz w:val="16"/>
                <w:szCs w:val="16"/>
                <w:color w:val="FFFFFF"/>
                <w:w w:val="93"/>
              </w:rPr>
              <w:t>(Non-GAAP)</w:t>
            </w:r>
            <w:r>
              <w:rPr>
                <w:rFonts w:ascii="Arial" w:cs="Arial" w:eastAsia="Arial" w:hAnsi="Arial"/>
                <w:sz w:val="24"/>
                <w:szCs w:val="24"/>
                <w:color w:val="FFFFFF"/>
                <w:w w:val="93"/>
                <w:vertAlign w:val="superscript"/>
              </w:rPr>
              <w:t>(1)</w:t>
            </w:r>
          </w:p>
        </w:tc>
        <w:tc>
          <w:tcPr>
            <w:tcW w:w="440" w:type="dxa"/>
            <w:vAlign w:val="bottom"/>
          </w:tcPr>
          <w:p>
            <w:pPr>
              <w:spacing w:after="0"/>
              <w:rPr>
                <w:sz w:val="24"/>
                <w:szCs w:val="24"/>
                <w:color w:val="auto"/>
              </w:rPr>
            </w:pPr>
          </w:p>
        </w:tc>
        <w:tc>
          <w:tcPr>
            <w:tcW w:w="1840" w:type="dxa"/>
            <w:vAlign w:val="bottom"/>
            <w:shd w:val="clear" w:color="auto" w:fill="1414D2"/>
          </w:tcPr>
          <w:p>
            <w:pPr>
              <w:spacing w:after="0"/>
              <w:rPr>
                <w:sz w:val="24"/>
                <w:szCs w:val="24"/>
                <w:color w:val="auto"/>
              </w:rPr>
            </w:pPr>
          </w:p>
        </w:tc>
        <w:tc>
          <w:tcPr>
            <w:tcW w:w="1840" w:type="dxa"/>
            <w:vAlign w:val="bottom"/>
            <w:shd w:val="clear" w:color="auto" w:fill="1414D2"/>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3660" w:type="dxa"/>
            <w:vAlign w:val="bottom"/>
            <w:gridSpan w:val="2"/>
            <w:shd w:val="clear" w:color="auto" w:fill="F2F2F2"/>
          </w:tcPr>
          <w:p>
            <w:pPr>
              <w:ind w:left="120"/>
              <w:spacing w:after="0"/>
              <w:rPr>
                <w:sz w:val="20"/>
                <w:szCs w:val="20"/>
                <w:color w:val="auto"/>
              </w:rPr>
            </w:pPr>
            <w:r>
              <w:rPr>
                <w:rFonts w:ascii="Arial" w:cs="Arial" w:eastAsia="Arial" w:hAnsi="Arial"/>
                <w:sz w:val="16"/>
                <w:szCs w:val="16"/>
                <w:color w:val="auto"/>
              </w:rPr>
              <w:t>During  2025  we  delivered  7.8%  in  Adjusted</w:t>
            </w:r>
          </w:p>
        </w:tc>
        <w:tc>
          <w:tcPr>
            <w:tcW w:w="440" w:type="dxa"/>
            <w:vAlign w:val="bottom"/>
          </w:tcPr>
          <w:p>
            <w:pPr>
              <w:spacing w:after="0"/>
              <w:rPr>
                <w:sz w:val="24"/>
                <w:szCs w:val="24"/>
                <w:color w:val="auto"/>
              </w:rPr>
            </w:pPr>
          </w:p>
        </w:tc>
        <w:tc>
          <w:tcPr>
            <w:tcW w:w="3680" w:type="dxa"/>
            <w:vAlign w:val="bottom"/>
            <w:gridSpan w:val="2"/>
            <w:shd w:val="clear" w:color="auto" w:fill="F2F2F2"/>
          </w:tcPr>
          <w:p>
            <w:pPr>
              <w:ind w:left="120"/>
              <w:spacing w:after="0"/>
              <w:rPr>
                <w:sz w:val="20"/>
                <w:szCs w:val="20"/>
                <w:color w:val="auto"/>
              </w:rPr>
            </w:pPr>
            <w:r>
              <w:rPr>
                <w:rFonts w:ascii="Arial" w:cs="Arial" w:eastAsia="Arial" w:hAnsi="Arial"/>
                <w:sz w:val="16"/>
                <w:szCs w:val="16"/>
                <w:color w:val="auto"/>
              </w:rPr>
              <w:t>We  delivered  Diluted  EPS  up  8%  year-over-</w:t>
            </w:r>
          </w:p>
        </w:tc>
        <w:tc>
          <w:tcPr>
            <w:tcW w:w="0" w:type="dxa"/>
            <w:vAlign w:val="bottom"/>
          </w:tcPr>
          <w:p>
            <w:pPr>
              <w:spacing w:after="0"/>
              <w:rPr>
                <w:sz w:val="1"/>
                <w:szCs w:val="1"/>
                <w:color w:val="auto"/>
              </w:rPr>
            </w:pPr>
          </w:p>
        </w:tc>
      </w:tr>
      <w:tr>
        <w:trPr>
          <w:trHeight w:val="254"/>
        </w:trPr>
        <w:tc>
          <w:tcPr>
            <w:tcW w:w="3660" w:type="dxa"/>
            <w:vAlign w:val="bottom"/>
            <w:gridSpan w:val="2"/>
            <w:shd w:val="clear" w:color="auto" w:fill="F2F2F2"/>
          </w:tcPr>
          <w:p>
            <w:pPr>
              <w:ind w:left="120"/>
              <w:spacing w:after="0" w:line="253" w:lineRule="exact"/>
              <w:rPr>
                <w:sz w:val="20"/>
                <w:szCs w:val="20"/>
                <w:color w:val="auto"/>
              </w:rPr>
            </w:pPr>
            <w:r>
              <w:rPr>
                <w:rFonts w:ascii="Arial" w:cs="Arial" w:eastAsia="Arial" w:hAnsi="Arial"/>
                <w:sz w:val="16"/>
                <w:szCs w:val="16"/>
                <w:color w:val="auto"/>
              </w:rPr>
              <w:t xml:space="preserve">Pre-Tax  Margin, </w:t>
            </w:r>
            <w:r>
              <w:rPr>
                <w:rFonts w:ascii="Arial" w:cs="Arial" w:eastAsia="Arial" w:hAnsi="Arial"/>
                <w:sz w:val="24"/>
                <w:szCs w:val="24"/>
                <w:color w:val="auto"/>
                <w:vertAlign w:val="superscript"/>
              </w:rPr>
              <w:t>(1)</w:t>
            </w:r>
            <w:r>
              <w:rPr>
                <w:rFonts w:ascii="Arial" w:cs="Arial" w:eastAsia="Arial" w:hAnsi="Arial"/>
                <w:sz w:val="16"/>
                <w:szCs w:val="16"/>
                <w:color w:val="auto"/>
              </w:rPr>
              <w:t xml:space="preserve">  representing  our</w:t>
            </w:r>
          </w:p>
        </w:tc>
        <w:tc>
          <w:tcPr>
            <w:tcW w:w="440" w:type="dxa"/>
            <w:vAlign w:val="bottom"/>
          </w:tcPr>
          <w:p>
            <w:pPr>
              <w:spacing w:after="0"/>
              <w:rPr>
                <w:sz w:val="22"/>
                <w:szCs w:val="22"/>
                <w:color w:val="auto"/>
              </w:rPr>
            </w:pPr>
          </w:p>
        </w:tc>
        <w:tc>
          <w:tcPr>
            <w:tcW w:w="3680" w:type="dxa"/>
            <w:vAlign w:val="bottom"/>
            <w:gridSpan w:val="2"/>
            <w:shd w:val="clear" w:color="auto" w:fill="F2F2F2"/>
          </w:tcPr>
          <w:p>
            <w:pPr>
              <w:ind w:left="120"/>
              <w:spacing w:after="0" w:line="253" w:lineRule="exact"/>
              <w:rPr>
                <w:sz w:val="20"/>
                <w:szCs w:val="20"/>
                <w:color w:val="auto"/>
              </w:rPr>
            </w:pPr>
            <w:r>
              <w:rPr>
                <w:rFonts w:ascii="Arial" w:cs="Arial" w:eastAsia="Arial" w:hAnsi="Arial"/>
                <w:sz w:val="16"/>
                <w:szCs w:val="16"/>
                <w:color w:val="auto"/>
              </w:rPr>
              <w:t>year  and  our  Adjusted  Diluted  EPS</w:t>
            </w:r>
            <w:r>
              <w:rPr>
                <w:rFonts w:ascii="Arial" w:cs="Arial" w:eastAsia="Arial" w:hAnsi="Arial"/>
                <w:sz w:val="24"/>
                <w:szCs w:val="24"/>
                <w:color w:val="auto"/>
                <w:vertAlign w:val="superscript"/>
              </w:rPr>
              <w:t>(1)</w:t>
            </w:r>
            <w:r>
              <w:rPr>
                <w:rFonts w:ascii="Arial" w:cs="Arial" w:eastAsia="Arial" w:hAnsi="Arial"/>
                <w:sz w:val="16"/>
                <w:szCs w:val="16"/>
                <w:color w:val="auto"/>
              </w:rPr>
              <w:t xml:space="preserve">  was</w:t>
            </w:r>
          </w:p>
        </w:tc>
        <w:tc>
          <w:tcPr>
            <w:tcW w:w="0" w:type="dxa"/>
            <w:vAlign w:val="bottom"/>
          </w:tcPr>
          <w:p>
            <w:pPr>
              <w:spacing w:after="0"/>
              <w:rPr>
                <w:sz w:val="1"/>
                <w:szCs w:val="1"/>
                <w:color w:val="auto"/>
              </w:rPr>
            </w:pPr>
          </w:p>
        </w:tc>
      </w:tr>
      <w:tr>
        <w:trPr>
          <w:trHeight w:val="229"/>
        </w:trPr>
        <w:tc>
          <w:tcPr>
            <w:tcW w:w="3660" w:type="dxa"/>
            <w:vAlign w:val="bottom"/>
            <w:gridSpan w:val="2"/>
            <w:shd w:val="clear" w:color="auto" w:fill="F2F2F2"/>
          </w:tcPr>
          <w:p>
            <w:pPr>
              <w:ind w:left="120"/>
              <w:spacing w:after="0"/>
              <w:rPr>
                <w:sz w:val="20"/>
                <w:szCs w:val="20"/>
                <w:color w:val="auto"/>
              </w:rPr>
            </w:pPr>
            <w:r>
              <w:rPr>
                <w:rFonts w:ascii="Arial" w:cs="Arial" w:eastAsia="Arial" w:hAnsi="Arial"/>
                <w:sz w:val="16"/>
                <w:szCs w:val="16"/>
                <w:color w:val="auto"/>
              </w:rPr>
              <w:t>continued  focus  on  margin  expansion.</w:t>
            </w:r>
          </w:p>
        </w:tc>
        <w:tc>
          <w:tcPr>
            <w:tcW w:w="440" w:type="dxa"/>
            <w:vAlign w:val="bottom"/>
          </w:tcPr>
          <w:p>
            <w:pPr>
              <w:spacing w:after="0"/>
              <w:rPr>
                <w:sz w:val="19"/>
                <w:szCs w:val="19"/>
                <w:color w:val="auto"/>
              </w:rPr>
            </w:pPr>
          </w:p>
        </w:tc>
        <w:tc>
          <w:tcPr>
            <w:tcW w:w="3680" w:type="dxa"/>
            <w:vAlign w:val="bottom"/>
            <w:gridSpan w:val="2"/>
            <w:shd w:val="clear" w:color="auto" w:fill="F2F2F2"/>
          </w:tcPr>
          <w:p>
            <w:pPr>
              <w:ind w:left="120"/>
              <w:spacing w:after="0"/>
              <w:rPr>
                <w:sz w:val="20"/>
                <w:szCs w:val="20"/>
                <w:color w:val="auto"/>
              </w:rPr>
            </w:pPr>
            <w:r>
              <w:rPr>
                <w:rFonts w:ascii="Arial" w:cs="Arial" w:eastAsia="Arial" w:hAnsi="Arial"/>
                <w:sz w:val="16"/>
                <w:szCs w:val="16"/>
                <w:color w:val="auto"/>
              </w:rPr>
              <w:t>near  the  high-end  of  our  Adjusted  Diluted</w:t>
            </w:r>
          </w:p>
        </w:tc>
        <w:tc>
          <w:tcPr>
            <w:tcW w:w="0" w:type="dxa"/>
            <w:vAlign w:val="bottom"/>
          </w:tcPr>
          <w:p>
            <w:pPr>
              <w:spacing w:after="0"/>
              <w:rPr>
                <w:sz w:val="1"/>
                <w:szCs w:val="1"/>
                <w:color w:val="auto"/>
              </w:rPr>
            </w:pPr>
          </w:p>
        </w:tc>
      </w:tr>
      <w:tr>
        <w:trPr>
          <w:trHeight w:val="205"/>
        </w:trPr>
        <w:tc>
          <w:tcPr>
            <w:tcW w:w="1880" w:type="dxa"/>
            <w:vAlign w:val="bottom"/>
            <w:shd w:val="clear" w:color="auto" w:fill="F2F2F2"/>
          </w:tcPr>
          <w:p>
            <w:pPr>
              <w:spacing w:after="0"/>
              <w:rPr>
                <w:sz w:val="17"/>
                <w:szCs w:val="17"/>
                <w:color w:val="auto"/>
              </w:rPr>
            </w:pPr>
          </w:p>
        </w:tc>
        <w:tc>
          <w:tcPr>
            <w:tcW w:w="1780" w:type="dxa"/>
            <w:vAlign w:val="bottom"/>
            <w:shd w:val="clear" w:color="auto" w:fill="F2F2F2"/>
          </w:tcPr>
          <w:p>
            <w:pPr>
              <w:spacing w:after="0"/>
              <w:rPr>
                <w:sz w:val="17"/>
                <w:szCs w:val="17"/>
                <w:color w:val="auto"/>
              </w:rPr>
            </w:pPr>
          </w:p>
        </w:tc>
        <w:tc>
          <w:tcPr>
            <w:tcW w:w="440" w:type="dxa"/>
            <w:vAlign w:val="bottom"/>
          </w:tcPr>
          <w:p>
            <w:pPr>
              <w:spacing w:after="0"/>
              <w:rPr>
                <w:sz w:val="17"/>
                <w:szCs w:val="17"/>
                <w:color w:val="auto"/>
              </w:rPr>
            </w:pPr>
          </w:p>
        </w:tc>
        <w:tc>
          <w:tcPr>
            <w:tcW w:w="3680" w:type="dxa"/>
            <w:vAlign w:val="bottom"/>
            <w:gridSpan w:val="2"/>
            <w:shd w:val="clear" w:color="auto" w:fill="F2F2F2"/>
          </w:tcPr>
          <w:p>
            <w:pPr>
              <w:ind w:left="120"/>
              <w:spacing w:after="0"/>
              <w:rPr>
                <w:sz w:val="20"/>
                <w:szCs w:val="20"/>
                <w:color w:val="auto"/>
              </w:rPr>
            </w:pPr>
            <w:r>
              <w:rPr>
                <w:rFonts w:ascii="Arial" w:cs="Arial" w:eastAsia="Arial" w:hAnsi="Arial"/>
                <w:sz w:val="16"/>
                <w:szCs w:val="16"/>
                <w:color w:val="auto"/>
              </w:rPr>
              <w:t>EPS  guidance  range.   Further,  of  our  U.S.</w:t>
            </w:r>
          </w:p>
        </w:tc>
        <w:tc>
          <w:tcPr>
            <w:tcW w:w="0" w:type="dxa"/>
            <w:vAlign w:val="bottom"/>
          </w:tcPr>
          <w:p>
            <w:pPr>
              <w:spacing w:after="0"/>
              <w:rPr>
                <w:sz w:val="1"/>
                <w:szCs w:val="1"/>
                <w:color w:val="auto"/>
              </w:rPr>
            </w:pPr>
          </w:p>
        </w:tc>
      </w:tr>
      <w:tr>
        <w:trPr>
          <w:trHeight w:val="230"/>
        </w:trPr>
        <w:tc>
          <w:tcPr>
            <w:tcW w:w="1880" w:type="dxa"/>
            <w:vAlign w:val="bottom"/>
            <w:shd w:val="clear" w:color="auto" w:fill="F2F2F2"/>
          </w:tcPr>
          <w:p>
            <w:pPr>
              <w:spacing w:after="0"/>
              <w:rPr>
                <w:sz w:val="19"/>
                <w:szCs w:val="19"/>
                <w:color w:val="auto"/>
              </w:rPr>
            </w:pPr>
          </w:p>
        </w:tc>
        <w:tc>
          <w:tcPr>
            <w:tcW w:w="1780" w:type="dxa"/>
            <w:vAlign w:val="bottom"/>
            <w:shd w:val="clear" w:color="auto" w:fill="F2F2F2"/>
          </w:tcPr>
          <w:p>
            <w:pPr>
              <w:spacing w:after="0"/>
              <w:rPr>
                <w:sz w:val="19"/>
                <w:szCs w:val="19"/>
                <w:color w:val="auto"/>
              </w:rPr>
            </w:pPr>
          </w:p>
        </w:tc>
        <w:tc>
          <w:tcPr>
            <w:tcW w:w="440" w:type="dxa"/>
            <w:vAlign w:val="bottom"/>
          </w:tcPr>
          <w:p>
            <w:pPr>
              <w:spacing w:after="0"/>
              <w:rPr>
                <w:sz w:val="19"/>
                <w:szCs w:val="19"/>
                <w:color w:val="auto"/>
              </w:rPr>
            </w:pPr>
          </w:p>
        </w:tc>
        <w:tc>
          <w:tcPr>
            <w:tcW w:w="3680" w:type="dxa"/>
            <w:vAlign w:val="bottom"/>
            <w:gridSpan w:val="2"/>
            <w:shd w:val="clear" w:color="auto" w:fill="F2F2F2"/>
          </w:tcPr>
          <w:p>
            <w:pPr>
              <w:ind w:left="120"/>
              <w:spacing w:after="0" w:line="229" w:lineRule="exact"/>
              <w:rPr>
                <w:sz w:val="20"/>
                <w:szCs w:val="20"/>
                <w:color w:val="auto"/>
              </w:rPr>
            </w:pPr>
            <w:r>
              <w:rPr>
                <w:rFonts w:ascii="Arial" w:cs="Arial" w:eastAsia="Arial" w:hAnsi="Arial"/>
                <w:sz w:val="16"/>
                <w:szCs w:val="16"/>
                <w:color w:val="auto"/>
              </w:rPr>
              <w:t>competitors</w:t>
            </w:r>
            <w:r>
              <w:rPr>
                <w:rFonts w:ascii="Arial" w:cs="Arial" w:eastAsia="Arial" w:hAnsi="Arial"/>
                <w:sz w:val="24"/>
                <w:szCs w:val="24"/>
                <w:color w:val="auto"/>
                <w:vertAlign w:val="superscript"/>
              </w:rPr>
              <w:t>(2)</w:t>
            </w:r>
            <w:r>
              <w:rPr>
                <w:rFonts w:ascii="Arial" w:cs="Arial" w:eastAsia="Arial" w:hAnsi="Arial"/>
                <w:sz w:val="16"/>
                <w:szCs w:val="16"/>
                <w:color w:val="auto"/>
              </w:rPr>
              <w:t>,  we  were  the  only  airline  to</w:t>
            </w:r>
          </w:p>
        </w:tc>
        <w:tc>
          <w:tcPr>
            <w:tcW w:w="0" w:type="dxa"/>
            <w:vAlign w:val="bottom"/>
          </w:tcPr>
          <w:p>
            <w:pPr>
              <w:spacing w:after="0"/>
              <w:rPr>
                <w:sz w:val="1"/>
                <w:szCs w:val="1"/>
                <w:color w:val="auto"/>
              </w:rPr>
            </w:pPr>
          </w:p>
        </w:tc>
      </w:tr>
      <w:tr>
        <w:trPr>
          <w:trHeight w:val="359"/>
        </w:trPr>
        <w:tc>
          <w:tcPr>
            <w:tcW w:w="1880" w:type="dxa"/>
            <w:vAlign w:val="bottom"/>
            <w:shd w:val="clear" w:color="auto" w:fill="F2F2F2"/>
          </w:tcPr>
          <w:p>
            <w:pPr>
              <w:spacing w:after="0"/>
              <w:rPr>
                <w:sz w:val="24"/>
                <w:szCs w:val="24"/>
                <w:color w:val="auto"/>
              </w:rPr>
            </w:pPr>
          </w:p>
        </w:tc>
        <w:tc>
          <w:tcPr>
            <w:tcW w:w="1780" w:type="dxa"/>
            <w:vAlign w:val="bottom"/>
            <w:shd w:val="clear" w:color="auto" w:fill="F2F2F2"/>
          </w:tcPr>
          <w:p>
            <w:pPr>
              <w:spacing w:after="0"/>
              <w:rPr>
                <w:sz w:val="24"/>
                <w:szCs w:val="24"/>
                <w:color w:val="auto"/>
              </w:rPr>
            </w:pPr>
          </w:p>
        </w:tc>
        <w:tc>
          <w:tcPr>
            <w:tcW w:w="440" w:type="dxa"/>
            <w:vAlign w:val="bottom"/>
          </w:tcPr>
          <w:p>
            <w:pPr>
              <w:spacing w:after="0"/>
              <w:rPr>
                <w:sz w:val="24"/>
                <w:szCs w:val="24"/>
                <w:color w:val="auto"/>
              </w:rPr>
            </w:pPr>
          </w:p>
        </w:tc>
        <w:tc>
          <w:tcPr>
            <w:tcW w:w="3680" w:type="dxa"/>
            <w:vAlign w:val="bottom"/>
            <w:gridSpan w:val="2"/>
            <w:shd w:val="clear" w:color="auto" w:fill="F2F2F2"/>
          </w:tcPr>
          <w:p>
            <w:pPr>
              <w:ind w:left="120"/>
              <w:spacing w:after="0"/>
              <w:rPr>
                <w:sz w:val="20"/>
                <w:szCs w:val="20"/>
                <w:color w:val="auto"/>
              </w:rPr>
            </w:pPr>
            <w:r>
              <w:rPr>
                <w:rFonts w:ascii="Arial" w:cs="Arial" w:eastAsia="Arial" w:hAnsi="Arial"/>
                <w:sz w:val="16"/>
                <w:szCs w:val="16"/>
                <w:color w:val="auto"/>
              </w:rPr>
              <w:t>grow  Adjusted  Diluted  EPS</w:t>
            </w:r>
            <w:r>
              <w:rPr>
                <w:rFonts w:ascii="Arial" w:cs="Arial" w:eastAsia="Arial" w:hAnsi="Arial"/>
                <w:sz w:val="24"/>
                <w:szCs w:val="24"/>
                <w:color w:val="auto"/>
                <w:vertAlign w:val="superscript"/>
              </w:rPr>
              <w:t>(1)</w:t>
            </w:r>
            <w:r>
              <w:rPr>
                <w:rFonts w:ascii="Arial" w:cs="Arial" w:eastAsia="Arial" w:hAnsi="Arial"/>
                <w:sz w:val="16"/>
                <w:szCs w:val="16"/>
                <w:color w:val="auto"/>
              </w:rPr>
              <w:t xml:space="preserve">  year-over-year.</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720"/>
          </w:cols>
          <w:pgMar w:left="1080" w:top="695" w:right="1099" w:bottom="1440" w:gutter="0" w:footer="0" w:header="0"/>
        </w:sectPr>
      </w:pPr>
    </w:p>
    <w:p>
      <w:pPr>
        <w:spacing w:after="0" w:line="161"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FFFFFF"/>
        </w:rPr>
        <w:t>Total Operating Revenue</w:t>
      </w:r>
    </w:p>
    <w:p>
      <w:pPr>
        <w:spacing w:after="0" w:line="269" w:lineRule="exact"/>
        <w:rPr>
          <w:sz w:val="20"/>
          <w:szCs w:val="20"/>
          <w:color w:val="auto"/>
        </w:rPr>
      </w:pPr>
    </w:p>
    <w:tbl>
      <w:tblPr>
        <w:tblLayout w:type="fixed"/>
        <w:tblInd w:w="980" w:type="dxa"/>
        <w:tblCellMar>
          <w:top w:w="0" w:type="dxa"/>
          <w:left w:w="0" w:type="dxa"/>
          <w:bottom w:w="0" w:type="dxa"/>
          <w:right w:w="0" w:type="dxa"/>
        </w:tblCellMar>
      </w:tblPr>
      <w:tr>
        <w:trPr>
          <w:trHeight w:val="599"/>
        </w:trPr>
        <w:tc>
          <w:tcPr>
            <w:tcW w:w="1880" w:type="dxa"/>
            <w:vAlign w:val="bottom"/>
            <w:shd w:val="clear" w:color="auto" w:fill="1414D2"/>
          </w:tcPr>
          <w:p>
            <w:pPr>
              <w:jc w:val="center"/>
              <w:spacing w:after="0"/>
              <w:rPr>
                <w:sz w:val="20"/>
                <w:szCs w:val="20"/>
                <w:color w:val="auto"/>
              </w:rPr>
            </w:pPr>
            <w:r>
              <w:rPr>
                <w:rFonts w:ascii="Arial" w:cs="Arial" w:eastAsia="Arial" w:hAnsi="Arial"/>
                <w:sz w:val="36"/>
                <w:szCs w:val="36"/>
                <w:b w:val="1"/>
                <w:bCs w:val="1"/>
                <w:color w:val="FFFFFF"/>
                <w:w w:val="96"/>
              </w:rPr>
              <w:t xml:space="preserve">$59.1B </w:t>
            </w:r>
            <w:r>
              <w:rPr>
                <w:rFonts w:ascii="Wingdings" w:cs="Wingdings" w:eastAsia="Wingdings" w:hAnsi="Wingdings"/>
                <w:sz w:val="32"/>
                <w:szCs w:val="32"/>
                <w:b w:val="1"/>
                <w:bCs w:val="1"/>
                <w:color w:val="000000"/>
                <w:highlight w:val="white"/>
                <w:w w:val="96"/>
              </w:rPr>
              <w:t>ä</w:t>
            </w:r>
          </w:p>
        </w:tc>
        <w:tc>
          <w:tcPr>
            <w:tcW w:w="1780" w:type="dxa"/>
            <w:vAlign w:val="bottom"/>
          </w:tcPr>
          <w:p>
            <w:pPr>
              <w:ind w:left="300"/>
              <w:spacing w:after="0"/>
              <w:rPr>
                <w:sz w:val="20"/>
                <w:szCs w:val="20"/>
                <w:color w:val="auto"/>
              </w:rPr>
            </w:pPr>
            <w:r>
              <w:rPr>
                <w:rFonts w:ascii="Arial" w:cs="Arial" w:eastAsia="Arial" w:hAnsi="Arial"/>
                <w:sz w:val="36"/>
                <w:szCs w:val="36"/>
                <w:b w:val="1"/>
                <w:bCs w:val="1"/>
                <w:color w:val="FFFFFF"/>
              </w:rPr>
              <w:t xml:space="preserve">3.5% </w:t>
            </w:r>
            <w:r>
              <w:rPr>
                <w:rFonts w:ascii="Wingdings" w:cs="Wingdings" w:eastAsia="Wingdings" w:hAnsi="Wingdings"/>
                <w:sz w:val="32"/>
                <w:szCs w:val="32"/>
                <w:b w:val="1"/>
                <w:bCs w:val="1"/>
                <w:color w:val="000000"/>
                <w:highlight w:val="white"/>
              </w:rPr>
              <w:t>ä</w:t>
            </w:r>
          </w:p>
        </w:tc>
      </w:tr>
      <w:tr>
        <w:trPr>
          <w:trHeight w:val="76"/>
        </w:trPr>
        <w:tc>
          <w:tcPr>
            <w:tcW w:w="1880" w:type="dxa"/>
            <w:vAlign w:val="bottom"/>
            <w:shd w:val="clear" w:color="auto" w:fill="1414D2"/>
          </w:tcPr>
          <w:p>
            <w:pPr>
              <w:spacing w:after="0"/>
              <w:rPr>
                <w:sz w:val="6"/>
                <w:szCs w:val="6"/>
                <w:color w:val="auto"/>
              </w:rPr>
            </w:pPr>
          </w:p>
        </w:tc>
        <w:tc>
          <w:tcPr>
            <w:tcW w:w="1780" w:type="dxa"/>
            <w:vAlign w:val="bottom"/>
          </w:tcPr>
          <w:p>
            <w:pPr>
              <w:spacing w:after="0"/>
              <w:rPr>
                <w:sz w:val="6"/>
                <w:szCs w:val="6"/>
                <w:color w:val="auto"/>
              </w:rPr>
            </w:pPr>
          </w:p>
        </w:tc>
      </w:tr>
      <w:tr>
        <w:trPr>
          <w:trHeight w:val="286"/>
        </w:trPr>
        <w:tc>
          <w:tcPr>
            <w:tcW w:w="1880" w:type="dxa"/>
            <w:vAlign w:val="bottom"/>
            <w:shd w:val="clear" w:color="auto" w:fill="1414D2"/>
          </w:tcPr>
          <w:p>
            <w:pPr>
              <w:jc w:val="center"/>
              <w:spacing w:after="0"/>
              <w:rPr>
                <w:sz w:val="20"/>
                <w:szCs w:val="20"/>
                <w:color w:val="auto"/>
              </w:rPr>
            </w:pPr>
            <w:r>
              <w:rPr>
                <w:rFonts w:ascii="Arial" w:cs="Arial" w:eastAsia="Arial" w:hAnsi="Arial"/>
                <w:sz w:val="16"/>
                <w:szCs w:val="16"/>
                <w:color w:val="FFFFFF"/>
              </w:rPr>
              <w:t>Total  Operating</w:t>
            </w:r>
          </w:p>
        </w:tc>
        <w:tc>
          <w:tcPr>
            <w:tcW w:w="1780" w:type="dxa"/>
            <w:vAlign w:val="bottom"/>
            <w:shd w:val="clear" w:color="auto" w:fill="1414D2"/>
          </w:tcPr>
          <w:p>
            <w:pPr>
              <w:ind w:left="300"/>
              <w:spacing w:after="0"/>
              <w:rPr>
                <w:sz w:val="20"/>
                <w:szCs w:val="20"/>
                <w:color w:val="auto"/>
              </w:rPr>
            </w:pPr>
            <w:r>
              <w:rPr>
                <w:rFonts w:ascii="Arial" w:cs="Arial" w:eastAsia="Arial" w:hAnsi="Arial"/>
                <w:sz w:val="16"/>
                <w:szCs w:val="16"/>
                <w:color w:val="FFFFFF"/>
              </w:rPr>
              <w:t>Total  Operating</w:t>
            </w:r>
          </w:p>
        </w:tc>
      </w:tr>
      <w:tr>
        <w:trPr>
          <w:trHeight w:val="203"/>
        </w:trPr>
        <w:tc>
          <w:tcPr>
            <w:tcW w:w="1880" w:type="dxa"/>
            <w:vAlign w:val="bottom"/>
            <w:shd w:val="clear" w:color="auto" w:fill="1414D2"/>
          </w:tcPr>
          <w:p>
            <w:pPr>
              <w:jc w:val="center"/>
              <w:spacing w:after="0"/>
              <w:rPr>
                <w:sz w:val="20"/>
                <w:szCs w:val="20"/>
                <w:color w:val="auto"/>
              </w:rPr>
            </w:pPr>
            <w:r>
              <w:rPr>
                <w:rFonts w:ascii="Arial" w:cs="Arial" w:eastAsia="Arial" w:hAnsi="Arial"/>
                <w:sz w:val="16"/>
                <w:szCs w:val="16"/>
                <w:color w:val="FFFFFF"/>
              </w:rPr>
              <w:t>Revenue</w:t>
            </w:r>
          </w:p>
        </w:tc>
        <w:tc>
          <w:tcPr>
            <w:tcW w:w="1780" w:type="dxa"/>
            <w:vAlign w:val="bottom"/>
            <w:shd w:val="clear" w:color="auto" w:fill="1414D2"/>
          </w:tcPr>
          <w:p>
            <w:pPr>
              <w:ind w:left="260"/>
              <w:spacing w:after="0"/>
              <w:rPr>
                <w:sz w:val="20"/>
                <w:szCs w:val="20"/>
                <w:color w:val="auto"/>
              </w:rPr>
            </w:pPr>
            <w:r>
              <w:rPr>
                <w:rFonts w:ascii="Arial" w:cs="Arial" w:eastAsia="Arial" w:hAnsi="Arial"/>
                <w:sz w:val="16"/>
                <w:szCs w:val="16"/>
                <w:color w:val="FFFFFF"/>
              </w:rPr>
              <w:t>Revenue  Growth</w:t>
            </w:r>
          </w:p>
        </w:tc>
      </w:tr>
      <w:tr>
        <w:trPr>
          <w:trHeight w:val="235"/>
        </w:trPr>
        <w:tc>
          <w:tcPr>
            <w:tcW w:w="1880" w:type="dxa"/>
            <w:vAlign w:val="bottom"/>
            <w:shd w:val="clear" w:color="auto" w:fill="1414D2"/>
          </w:tcPr>
          <w:p>
            <w:pPr>
              <w:spacing w:after="0"/>
              <w:rPr>
                <w:sz w:val="20"/>
                <w:szCs w:val="20"/>
                <w:color w:val="auto"/>
              </w:rPr>
            </w:pPr>
          </w:p>
        </w:tc>
        <w:tc>
          <w:tcPr>
            <w:tcW w:w="1780" w:type="dxa"/>
            <w:vAlign w:val="bottom"/>
            <w:shd w:val="clear" w:color="auto" w:fill="1414D2"/>
          </w:tcPr>
          <w:p>
            <w:pPr>
              <w:ind w:left="320"/>
              <w:spacing w:after="0"/>
              <w:rPr>
                <w:sz w:val="20"/>
                <w:szCs w:val="20"/>
                <w:color w:val="auto"/>
              </w:rPr>
            </w:pPr>
            <w:r>
              <w:rPr>
                <w:rFonts w:ascii="Arial" w:cs="Arial" w:eastAsia="Arial" w:hAnsi="Arial"/>
                <w:sz w:val="16"/>
                <w:szCs w:val="16"/>
                <w:color w:val="FFFFFF"/>
              </w:rPr>
              <w:t>Year-Over-Year</w:t>
            </w:r>
          </w:p>
        </w:tc>
      </w:tr>
      <w:tr>
        <w:trPr>
          <w:trHeight w:val="100"/>
        </w:trPr>
        <w:tc>
          <w:tcPr>
            <w:tcW w:w="1880" w:type="dxa"/>
            <w:vAlign w:val="bottom"/>
            <w:shd w:val="clear" w:color="auto" w:fill="1414D2"/>
          </w:tcPr>
          <w:p>
            <w:pPr>
              <w:spacing w:after="0"/>
              <w:rPr>
                <w:sz w:val="8"/>
                <w:szCs w:val="8"/>
                <w:color w:val="auto"/>
              </w:rPr>
            </w:pPr>
          </w:p>
        </w:tc>
        <w:tc>
          <w:tcPr>
            <w:tcW w:w="1780" w:type="dxa"/>
            <w:vAlign w:val="bottom"/>
            <w:shd w:val="clear" w:color="auto" w:fill="1414D2"/>
          </w:tcPr>
          <w:p>
            <w:pPr>
              <w:spacing w:after="0"/>
              <w:rPr>
                <w:sz w:val="8"/>
                <w:szCs w:val="8"/>
                <w:color w:val="auto"/>
              </w:rPr>
            </w:pPr>
          </w:p>
        </w:tc>
      </w:tr>
    </w:tbl>
    <w:p>
      <w:pPr>
        <w:spacing w:after="0" w:line="97" w:lineRule="exact"/>
        <w:rPr>
          <w:sz w:val="20"/>
          <w:szCs w:val="20"/>
          <w:color w:val="auto"/>
        </w:rPr>
      </w:pPr>
    </w:p>
    <w:p>
      <w:pPr>
        <w:ind w:left="1100" w:right="560"/>
        <w:spacing w:after="0" w:line="255" w:lineRule="auto"/>
        <w:rPr>
          <w:sz w:val="20"/>
          <w:szCs w:val="20"/>
          <w:color w:val="auto"/>
        </w:rPr>
      </w:pPr>
      <w:r>
        <w:rPr>
          <w:rFonts w:ascii="Arial" w:cs="Arial" w:eastAsia="Arial" w:hAnsi="Arial"/>
          <w:sz w:val="16"/>
          <w:szCs w:val="16"/>
          <w:color w:val="auto"/>
        </w:rPr>
        <w:t>During 2025, we generated the highest annual operating revenue in United’s</w:t>
      </w:r>
    </w:p>
    <w:p>
      <w:pPr>
        <w:spacing w:after="0" w:line="1"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history.</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ind w:left="40"/>
        <w:spacing w:after="0"/>
        <w:tabs>
          <w:tab w:leader="none" w:pos="360" w:val="left"/>
        </w:tabs>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FFFFF"/>
        </w:rPr>
        <w:tab/>
        <w:t>Free Cash Flow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147" w:lineRule="exact"/>
        <w:rPr>
          <w:sz w:val="20"/>
          <w:szCs w:val="20"/>
          <w:color w:val="auto"/>
        </w:rPr>
      </w:pPr>
    </w:p>
    <w:tbl>
      <w:tblPr>
        <w:tblLayout w:type="fixed"/>
        <w:tblInd w:w="260" w:type="dxa"/>
        <w:tblCellMar>
          <w:top w:w="0" w:type="dxa"/>
          <w:left w:w="0" w:type="dxa"/>
          <w:bottom w:w="0" w:type="dxa"/>
          <w:right w:w="0" w:type="dxa"/>
        </w:tblCellMar>
      </w:tblPr>
      <w:tr>
        <w:trPr>
          <w:trHeight w:val="599"/>
        </w:trPr>
        <w:tc>
          <w:tcPr>
            <w:tcW w:w="1840" w:type="dxa"/>
            <w:vAlign w:val="bottom"/>
            <w:shd w:val="clear" w:color="auto" w:fill="1414D2"/>
          </w:tcPr>
          <w:p>
            <w:pPr>
              <w:jc w:val="center"/>
              <w:spacing w:after="0"/>
              <w:rPr>
                <w:sz w:val="20"/>
                <w:szCs w:val="20"/>
                <w:color w:val="auto"/>
              </w:rPr>
            </w:pPr>
            <w:r>
              <w:rPr>
                <w:rFonts w:ascii="Arial" w:cs="Arial" w:eastAsia="Arial" w:hAnsi="Arial"/>
                <w:sz w:val="36"/>
                <w:szCs w:val="36"/>
                <w:b w:val="1"/>
                <w:bCs w:val="1"/>
                <w:color w:val="FFFFFF"/>
                <w:w w:val="99"/>
              </w:rPr>
              <w:t>$8.4B</w:t>
            </w:r>
          </w:p>
        </w:tc>
        <w:tc>
          <w:tcPr>
            <w:tcW w:w="1860" w:type="dxa"/>
            <w:vAlign w:val="bottom"/>
            <w:tcBorders>
              <w:right w:val="single" w:sz="8" w:color="D9D9D9"/>
            </w:tcBorders>
          </w:tcPr>
          <w:p>
            <w:pPr>
              <w:jc w:val="center"/>
              <w:spacing w:after="0"/>
              <w:rPr>
                <w:sz w:val="20"/>
                <w:szCs w:val="20"/>
                <w:color w:val="auto"/>
              </w:rPr>
            </w:pPr>
            <w:r>
              <w:rPr>
                <w:rFonts w:ascii="Arial" w:cs="Arial" w:eastAsia="Arial" w:hAnsi="Arial"/>
                <w:sz w:val="36"/>
                <w:szCs w:val="36"/>
                <w:b w:val="1"/>
                <w:bCs w:val="1"/>
                <w:color w:val="FFFFFF"/>
                <w:w w:val="99"/>
              </w:rPr>
              <w:t>$2.7B</w:t>
            </w:r>
          </w:p>
        </w:tc>
        <w:tc>
          <w:tcPr>
            <w:tcW w:w="0" w:type="dxa"/>
            <w:vAlign w:val="bottom"/>
          </w:tcPr>
          <w:p>
            <w:pPr>
              <w:spacing w:after="0"/>
              <w:rPr>
                <w:sz w:val="1"/>
                <w:szCs w:val="1"/>
                <w:color w:val="auto"/>
              </w:rPr>
            </w:pPr>
          </w:p>
        </w:tc>
      </w:tr>
      <w:tr>
        <w:trPr>
          <w:trHeight w:val="76"/>
        </w:trPr>
        <w:tc>
          <w:tcPr>
            <w:tcW w:w="1840" w:type="dxa"/>
            <w:vAlign w:val="bottom"/>
            <w:vMerge w:val="restart"/>
            <w:shd w:val="clear" w:color="auto" w:fill="1414D2"/>
          </w:tcPr>
          <w:p>
            <w:pPr>
              <w:jc w:val="center"/>
              <w:spacing w:after="0"/>
              <w:rPr>
                <w:sz w:val="20"/>
                <w:szCs w:val="20"/>
                <w:color w:val="auto"/>
              </w:rPr>
            </w:pPr>
            <w:r>
              <w:rPr>
                <w:rFonts w:ascii="Arial" w:cs="Arial" w:eastAsia="Arial" w:hAnsi="Arial"/>
                <w:sz w:val="16"/>
                <w:szCs w:val="16"/>
                <w:color w:val="FFFFFF"/>
              </w:rPr>
              <w:t>Operating  Cash</w:t>
            </w:r>
          </w:p>
        </w:tc>
        <w:tc>
          <w:tcPr>
            <w:tcW w:w="1860" w:type="dxa"/>
            <w:vAlign w:val="bottom"/>
            <w:tcBorders>
              <w:right w:val="single" w:sz="8" w:color="D9D9D9"/>
            </w:tcBorders>
          </w:tcPr>
          <w:p>
            <w:pPr>
              <w:spacing w:after="0"/>
              <w:rPr>
                <w:sz w:val="6"/>
                <w:szCs w:val="6"/>
                <w:color w:val="auto"/>
              </w:rPr>
            </w:pPr>
          </w:p>
        </w:tc>
        <w:tc>
          <w:tcPr>
            <w:tcW w:w="0" w:type="dxa"/>
            <w:vAlign w:val="bottom"/>
          </w:tcPr>
          <w:p>
            <w:pPr>
              <w:spacing w:after="0"/>
              <w:rPr>
                <w:sz w:val="1"/>
                <w:szCs w:val="1"/>
                <w:color w:val="auto"/>
              </w:rPr>
            </w:pPr>
          </w:p>
        </w:tc>
      </w:tr>
      <w:tr>
        <w:trPr>
          <w:trHeight w:val="297"/>
        </w:trPr>
        <w:tc>
          <w:tcPr>
            <w:tcW w:w="1840" w:type="dxa"/>
            <w:vAlign w:val="bottom"/>
            <w:vMerge w:val="continue"/>
            <w:shd w:val="clear" w:color="auto" w:fill="1414D2"/>
          </w:tcPr>
          <w:p>
            <w:pPr>
              <w:spacing w:after="0"/>
              <w:rPr>
                <w:sz w:val="24"/>
                <w:szCs w:val="24"/>
                <w:color w:val="auto"/>
              </w:rPr>
            </w:pPr>
          </w:p>
        </w:tc>
        <w:tc>
          <w:tcPr>
            <w:tcW w:w="1860" w:type="dxa"/>
            <w:vAlign w:val="bottom"/>
            <w:tcBorders>
              <w:right w:val="single" w:sz="8" w:color="D9D9D9"/>
            </w:tcBorders>
            <w:shd w:val="clear" w:color="auto" w:fill="1414D2"/>
          </w:tcPr>
          <w:p>
            <w:pPr>
              <w:jc w:val="center"/>
              <w:spacing w:after="0"/>
              <w:rPr>
                <w:sz w:val="20"/>
                <w:szCs w:val="20"/>
                <w:color w:val="auto"/>
              </w:rPr>
            </w:pPr>
            <w:r>
              <w:rPr>
                <w:rFonts w:ascii="Arial" w:cs="Arial" w:eastAsia="Arial" w:hAnsi="Arial"/>
                <w:sz w:val="16"/>
                <w:szCs w:val="16"/>
                <w:color w:val="FFFFFF"/>
                <w:w w:val="91"/>
              </w:rPr>
              <w:t>Free  Cash  Flow</w:t>
            </w:r>
          </w:p>
        </w:tc>
        <w:tc>
          <w:tcPr>
            <w:tcW w:w="0" w:type="dxa"/>
            <w:vAlign w:val="bottom"/>
          </w:tcPr>
          <w:p>
            <w:pPr>
              <w:spacing w:after="0"/>
              <w:rPr>
                <w:sz w:val="1"/>
                <w:szCs w:val="1"/>
                <w:color w:val="auto"/>
              </w:rPr>
            </w:pPr>
          </w:p>
        </w:tc>
      </w:tr>
      <w:tr>
        <w:trPr>
          <w:trHeight w:val="403"/>
        </w:trPr>
        <w:tc>
          <w:tcPr>
            <w:tcW w:w="1840" w:type="dxa"/>
            <w:vAlign w:val="bottom"/>
            <w:shd w:val="clear" w:color="auto" w:fill="1414D2"/>
          </w:tcPr>
          <w:p>
            <w:pPr>
              <w:jc w:val="center"/>
              <w:spacing w:after="0"/>
              <w:rPr>
                <w:sz w:val="20"/>
                <w:szCs w:val="20"/>
                <w:color w:val="auto"/>
              </w:rPr>
            </w:pPr>
            <w:r>
              <w:rPr>
                <w:rFonts w:ascii="Arial" w:cs="Arial" w:eastAsia="Arial" w:hAnsi="Arial"/>
                <w:sz w:val="16"/>
                <w:szCs w:val="16"/>
                <w:color w:val="FFFFFF"/>
              </w:rPr>
              <w:t>Flow</w:t>
            </w:r>
          </w:p>
        </w:tc>
        <w:tc>
          <w:tcPr>
            <w:tcW w:w="1860" w:type="dxa"/>
            <w:vAlign w:val="bottom"/>
            <w:tcBorders>
              <w:right w:val="single" w:sz="8" w:color="D9D9D9"/>
            </w:tcBorders>
            <w:shd w:val="clear" w:color="auto" w:fill="1414D2"/>
          </w:tcPr>
          <w:p>
            <w:pPr>
              <w:jc w:val="center"/>
              <w:spacing w:after="0"/>
              <w:rPr>
                <w:sz w:val="20"/>
                <w:szCs w:val="20"/>
                <w:color w:val="auto"/>
              </w:rPr>
            </w:pPr>
            <w:r>
              <w:rPr>
                <w:rFonts w:ascii="Arial" w:cs="Arial" w:eastAsia="Arial" w:hAnsi="Arial"/>
                <w:sz w:val="16"/>
                <w:szCs w:val="16"/>
                <w:color w:val="FFFFFF"/>
                <w:w w:val="95"/>
              </w:rPr>
              <w:t>(Non-GAAP)</w:t>
            </w:r>
            <w:r>
              <w:rPr>
                <w:rFonts w:ascii="Arial" w:cs="Arial" w:eastAsia="Arial" w:hAnsi="Arial"/>
                <w:sz w:val="24"/>
                <w:szCs w:val="24"/>
                <w:color w:val="FFFFFF"/>
                <w:w w:val="95"/>
                <w:vertAlign w:val="superscript"/>
              </w:rPr>
              <w:t>(1)</w:t>
            </w:r>
          </w:p>
        </w:tc>
        <w:tc>
          <w:tcPr>
            <w:tcW w:w="0" w:type="dxa"/>
            <w:vAlign w:val="bottom"/>
          </w:tcPr>
          <w:p>
            <w:pPr>
              <w:spacing w:after="0"/>
              <w:rPr>
                <w:sz w:val="1"/>
                <w:szCs w:val="1"/>
                <w:color w:val="auto"/>
              </w:rPr>
            </w:pPr>
          </w:p>
        </w:tc>
      </w:tr>
      <w:tr>
        <w:trPr>
          <w:trHeight w:val="124"/>
        </w:trPr>
        <w:tc>
          <w:tcPr>
            <w:tcW w:w="1840" w:type="dxa"/>
            <w:vAlign w:val="bottom"/>
            <w:shd w:val="clear" w:color="auto" w:fill="1414D2"/>
          </w:tcPr>
          <w:p>
            <w:pPr>
              <w:spacing w:after="0"/>
              <w:rPr>
                <w:sz w:val="10"/>
                <w:szCs w:val="10"/>
                <w:color w:val="auto"/>
              </w:rPr>
            </w:pPr>
          </w:p>
        </w:tc>
        <w:tc>
          <w:tcPr>
            <w:tcW w:w="1860" w:type="dxa"/>
            <w:vAlign w:val="bottom"/>
            <w:tcBorders>
              <w:right w:val="single" w:sz="8" w:color="D9D9D9"/>
            </w:tcBorders>
            <w:shd w:val="clear" w:color="auto" w:fill="1414D2"/>
          </w:tcPr>
          <w:p>
            <w:pPr>
              <w:spacing w:after="0"/>
              <w:rPr>
                <w:sz w:val="10"/>
                <w:szCs w:val="10"/>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380" w:right="1140"/>
        <w:spacing w:after="0" w:line="284" w:lineRule="auto"/>
        <w:rPr>
          <w:sz w:val="20"/>
          <w:szCs w:val="20"/>
          <w:color w:val="auto"/>
        </w:rPr>
      </w:pPr>
      <w:r>
        <w:rPr>
          <w:rFonts w:ascii="Arial" w:cs="Arial" w:eastAsia="Arial" w:hAnsi="Arial"/>
          <w:sz w:val="16"/>
          <w:szCs w:val="16"/>
          <w:color w:val="auto"/>
        </w:rPr>
        <w:t>We delivered strong Free Cash Flow</w:t>
      </w:r>
      <w:r>
        <w:rPr>
          <w:rFonts w:ascii="Arial" w:cs="Arial" w:eastAsia="Arial" w:hAnsi="Arial"/>
          <w:sz w:val="24"/>
          <w:szCs w:val="24"/>
          <w:color w:val="auto"/>
          <w:vertAlign w:val="superscript"/>
        </w:rPr>
        <w:t>(1)</w:t>
      </w:r>
      <w:r>
        <w:rPr>
          <w:rFonts w:ascii="Arial" w:cs="Arial" w:eastAsia="Arial" w:hAnsi="Arial"/>
          <w:sz w:val="16"/>
          <w:szCs w:val="16"/>
          <w:color w:val="auto"/>
        </w:rPr>
        <w:t xml:space="preserve"> for 2025 of $2.7B, which demonstrated our resiliency and that Free Cash Flow remains a priority for management.</w:t>
      </w:r>
    </w:p>
    <w:p>
      <w:pPr>
        <w:spacing w:after="0" w:line="169" w:lineRule="exact"/>
        <w:rPr>
          <w:sz w:val="20"/>
          <w:szCs w:val="20"/>
          <w:color w:val="auto"/>
        </w:rPr>
      </w:pPr>
    </w:p>
    <w:p>
      <w:pPr>
        <w:sectPr>
          <w:pgSz w:w="11900" w:h="16838" w:orient="portrait"/>
          <w:cols w:equalWidth="0" w:num="2">
            <w:col w:w="4640" w:space="180"/>
            <w:col w:w="4900"/>
          </w:cols>
          <w:pgMar w:left="1080" w:top="695" w:right="1099" w:bottom="1440" w:gutter="0" w:footer="0" w:header="0"/>
          <w:type w:val="continuous"/>
        </w:sectPr>
      </w:pPr>
    </w:p>
    <w:p>
      <w:pPr>
        <w:ind w:left="680" w:right="200" w:hanging="325"/>
        <w:spacing w:after="0" w:line="259" w:lineRule="auto"/>
        <w:tabs>
          <w:tab w:leader="none" w:pos="680" w:val="left"/>
        </w:tabs>
        <w:numPr>
          <w:ilvl w:val="0"/>
          <w:numId w:val="87"/>
        </w:numPr>
        <w:rPr>
          <w:rFonts w:ascii="Arial" w:cs="Arial" w:eastAsia="Arial" w:hAnsi="Arial"/>
          <w:sz w:val="12"/>
          <w:szCs w:val="12"/>
          <w:color w:val="auto"/>
        </w:rPr>
      </w:pPr>
      <w:r>
        <w:rPr>
          <w:rFonts w:ascii="Arial" w:cs="Arial" w:eastAsia="Arial" w:hAnsi="Arial"/>
          <w:sz w:val="11"/>
          <w:szCs w:val="11"/>
          <w:color w:val="auto"/>
        </w:rPr>
        <w:t xml:space="preserve">Adjusted Pre-Tax Margin, Adjusted Diluted EPS and Free Cash Flow are non-GAAP fnancial measures. Please refer to Appendix A for important information regarding these measures, including a reconciliation of each measure to the most directly comparable GAAP fnancial measure. </w:t>
      </w:r>
      <w:r>
        <w:rPr>
          <w:rFonts w:ascii="Arial" w:cs="Arial" w:eastAsia="Arial" w:hAnsi="Arial"/>
          <w:sz w:val="11"/>
          <w:szCs w:val="11"/>
          <w:color w:val="231F20"/>
        </w:rPr>
        <w:t>Comparisons to Adjusted Diluted EPS year-over-year of our U.S.</w:t>
      </w:r>
      <w:r>
        <w:rPr>
          <w:rFonts w:ascii="Arial" w:cs="Arial" w:eastAsia="Arial" w:hAnsi="Arial"/>
          <w:sz w:val="11"/>
          <w:szCs w:val="11"/>
          <w:color w:val="auto"/>
        </w:rPr>
        <w:t xml:space="preserve"> </w:t>
      </w:r>
      <w:r>
        <w:rPr>
          <w:rFonts w:ascii="Arial" w:cs="Arial" w:eastAsia="Arial" w:hAnsi="Arial"/>
          <w:sz w:val="11"/>
          <w:szCs w:val="11"/>
          <w:color w:val="231F20"/>
        </w:rPr>
        <w:t>competitors are based on this measure as reported by such companies. Because this non-GAAP fnancial measure is not calculated in accordance with GAAP, there may be diferences in method and in the items being adjusted as reported by our U.S. competitors.</w:t>
      </w:r>
    </w:p>
    <w:p>
      <w:pPr>
        <w:spacing w:after="0" w:line="62" w:lineRule="exact"/>
        <w:rPr>
          <w:rFonts w:ascii="Arial" w:cs="Arial" w:eastAsia="Arial" w:hAnsi="Arial"/>
          <w:sz w:val="12"/>
          <w:szCs w:val="12"/>
          <w:color w:val="auto"/>
        </w:rPr>
      </w:pPr>
    </w:p>
    <w:p>
      <w:pPr>
        <w:ind w:left="680" w:hanging="325"/>
        <w:spacing w:after="0"/>
        <w:tabs>
          <w:tab w:leader="none" w:pos="680" w:val="left"/>
        </w:tabs>
        <w:numPr>
          <w:ilvl w:val="0"/>
          <w:numId w:val="87"/>
        </w:numPr>
        <w:rPr>
          <w:rFonts w:ascii="Arial" w:cs="Arial" w:eastAsia="Arial" w:hAnsi="Arial"/>
          <w:sz w:val="12"/>
          <w:szCs w:val="12"/>
          <w:color w:val="231F20"/>
        </w:rPr>
      </w:pPr>
      <w:r>
        <w:rPr>
          <w:rFonts w:ascii="Arial" w:cs="Arial" w:eastAsia="Arial" w:hAnsi="Arial"/>
          <w:sz w:val="11"/>
          <w:szCs w:val="11"/>
          <w:color w:val="231F20"/>
        </w:rPr>
        <w:t>For  purposes  of  this  comparison,  our  U.S.  competitors  are  Delta,  American,  Southwest,  JetBlue,  Alaska,  Spirit  and  Frontier.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2026  Proxy  Statement</w:t>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1414D2"/>
        </w:rPr>
        <w:t>81</w:t>
      </w:r>
    </w:p>
    <w:p>
      <w:pPr>
        <w:sectPr>
          <w:pgSz w:w="11900" w:h="16838" w:orient="portrait"/>
          <w:cols w:equalWidth="0" w:num="1">
            <w:col w:w="9720"/>
          </w:cols>
          <w:pgMar w:left="1080" w:top="695" w:right="1099" w:bottom="1440" w:gutter="0" w:footer="0" w:header="0"/>
          <w:type w:val="continuous"/>
        </w:sectPr>
      </w:pPr>
    </w:p>
    <w:bookmarkStart w:id="92" w:name="page93"/>
    <w:bookmarkEnd w:id="92"/>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6D6F71"/>
        </w:rPr>
        <w:t>Compensation  Discussion  and  Analysis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DRIVING BUSINESS SUCCESS</w:t>
      </w:r>
    </w:p>
    <w:p>
      <w:pPr>
        <w:spacing w:after="0" w:line="113" w:lineRule="exact"/>
        <w:rPr>
          <w:sz w:val="20"/>
          <w:szCs w:val="20"/>
          <w:color w:val="auto"/>
        </w:rPr>
      </w:pPr>
    </w:p>
    <w:p>
      <w:pPr>
        <w:spacing w:after="0"/>
        <w:rPr>
          <w:sz w:val="20"/>
          <w:szCs w:val="20"/>
          <w:color w:val="auto"/>
        </w:rPr>
      </w:pPr>
      <w:r>
        <w:rPr>
          <w:rFonts w:ascii="Arial" w:cs="Arial" w:eastAsia="Arial" w:hAnsi="Arial"/>
          <w:sz w:val="15"/>
          <w:szCs w:val="15"/>
          <w:color w:val="auto"/>
        </w:rPr>
        <w:t>Mr.  Kirby  assumed  his  role  as  Chief  Executive  Ofcer  in  May  2020  and,  together  with  our  leadership  team,  established  a  unique</w:t>
      </w:r>
    </w:p>
    <w:p>
      <w:pPr>
        <w:spacing w:after="0" w:line="30"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strategy coming out of one of the most challenging periods of United’s history. This strategy, of which United Next is one part, intends to position United to continue to improve the customer experience and improve fnancial performance for years to come.</w:t>
      </w:r>
    </w:p>
    <w:p>
      <w:pPr>
        <w:spacing w:after="0" w:line="226" w:lineRule="exact"/>
        <w:rPr>
          <w:sz w:val="20"/>
          <w:szCs w:val="20"/>
          <w:color w:val="auto"/>
        </w:rPr>
      </w:pPr>
    </w:p>
    <w:p>
      <w:pPr>
        <w:spacing w:after="0"/>
        <w:rPr>
          <w:sz w:val="20"/>
          <w:szCs w:val="20"/>
          <w:color w:val="auto"/>
        </w:rPr>
      </w:pPr>
      <w:r>
        <w:rPr>
          <w:rFonts w:ascii="Arial" w:cs="Arial" w:eastAsia="Arial" w:hAnsi="Arial"/>
          <w:sz w:val="15"/>
          <w:szCs w:val="15"/>
          <w:color w:val="auto"/>
        </w:rPr>
        <w:t>Fiscal  year  2025  was  a  strong  year  fnancially  for  United  as  we  continued  to  execute  on  this  strategy  with  a  Pre-Tax  Margin  of</w:t>
      </w:r>
    </w:p>
    <w:p>
      <w:pPr>
        <w:spacing w:after="0" w:line="30" w:lineRule="exact"/>
        <w:rPr>
          <w:sz w:val="20"/>
          <w:szCs w:val="20"/>
          <w:color w:val="auto"/>
        </w:rPr>
      </w:pPr>
    </w:p>
    <w:p>
      <w:pPr>
        <w:spacing w:after="0" w:line="221" w:lineRule="auto"/>
        <w:rPr>
          <w:sz w:val="20"/>
          <w:szCs w:val="20"/>
          <w:color w:val="auto"/>
        </w:rPr>
      </w:pPr>
      <w:r>
        <w:rPr>
          <w:rFonts w:ascii="Arial" w:cs="Arial" w:eastAsia="Arial" w:hAnsi="Arial"/>
          <w:sz w:val="16"/>
          <w:szCs w:val="16"/>
          <w:color w:val="auto"/>
        </w:rPr>
        <w:t xml:space="preserve">7.3%, an Adjusted Pre-Tax Margin </w:t>
      </w:r>
      <w:r>
        <w:rPr>
          <w:rFonts w:ascii="Arial" w:cs="Arial" w:eastAsia="Arial" w:hAnsi="Arial"/>
          <w:sz w:val="24"/>
          <w:szCs w:val="24"/>
          <w:color w:val="auto"/>
          <w:vertAlign w:val="superscript"/>
        </w:rPr>
        <w:t>(1)</w:t>
      </w:r>
      <w:r>
        <w:rPr>
          <w:rFonts w:ascii="Arial" w:cs="Arial" w:eastAsia="Arial" w:hAnsi="Arial"/>
          <w:sz w:val="16"/>
          <w:szCs w:val="16"/>
          <w:color w:val="auto"/>
        </w:rPr>
        <w:t xml:space="preserve"> of 7.8%, Diluted Earnings Per Share of $10.20 and Adjusted Diluted Earnings Per Share</w:t>
      </w:r>
      <w:r>
        <w:rPr>
          <w:rFonts w:ascii="Arial" w:cs="Arial" w:eastAsia="Arial" w:hAnsi="Arial"/>
          <w:sz w:val="24"/>
          <w:szCs w:val="24"/>
          <w:color w:val="auto"/>
          <w:vertAlign w:val="superscript"/>
        </w:rPr>
        <w:t>(1)</w:t>
      </w:r>
      <w:r>
        <w:rPr>
          <w:rFonts w:ascii="Arial" w:cs="Arial" w:eastAsia="Arial" w:hAnsi="Arial"/>
          <w:sz w:val="16"/>
          <w:szCs w:val="16"/>
          <w:color w:val="auto"/>
        </w:rPr>
        <w:t xml:space="preserve"> of $10.62.</w:t>
      </w:r>
    </w:p>
    <w:p>
      <w:pPr>
        <w:spacing w:after="0" w:line="62" w:lineRule="exact"/>
        <w:rPr>
          <w:sz w:val="20"/>
          <w:szCs w:val="20"/>
          <w:color w:val="auto"/>
        </w:rPr>
      </w:pPr>
    </w:p>
    <w:p>
      <w:pPr>
        <w:ind w:right="60"/>
        <w:spacing w:after="0" w:line="255" w:lineRule="auto"/>
        <w:rPr>
          <w:sz w:val="20"/>
          <w:szCs w:val="20"/>
          <w:color w:val="auto"/>
        </w:rPr>
      </w:pPr>
      <w:r>
        <w:rPr>
          <w:rFonts w:ascii="Arial" w:cs="Arial" w:eastAsia="Arial" w:hAnsi="Arial"/>
          <w:sz w:val="16"/>
          <w:szCs w:val="16"/>
          <w:color w:val="auto"/>
        </w:rPr>
        <w:t>Not only were we fnancially strong, but our customers continued to beneft from our growing, reliable operation. We canceled fights at the lowest per-seat rate among U.S. network airlines in 2025 while fying the largest mainline schedule in the</w:t>
      </w:r>
    </w:p>
    <w:p>
      <w:pPr>
        <w:spacing w:after="0" w:line="1" w:lineRule="exact"/>
        <w:rPr>
          <w:sz w:val="20"/>
          <w:szCs w:val="20"/>
          <w:color w:val="auto"/>
        </w:rPr>
      </w:pPr>
    </w:p>
    <w:p>
      <w:pPr>
        <w:ind w:right="80"/>
        <w:spacing w:after="0" w:line="252" w:lineRule="auto"/>
        <w:rPr>
          <w:sz w:val="20"/>
          <w:szCs w:val="20"/>
          <w:color w:val="auto"/>
        </w:rPr>
      </w:pPr>
      <w:r>
        <w:rPr>
          <w:rFonts w:ascii="Arial" w:cs="Arial" w:eastAsia="Arial" w:hAnsi="Arial"/>
          <w:sz w:val="16"/>
          <w:szCs w:val="16"/>
          <w:color w:val="auto"/>
        </w:rPr>
        <w:t>Company’s history, carrying an average of more than 496,000 passengers daily. Our average of 303 daily widebody departures in 2025 was the most in the Company’s history. United Express logged 134 days without a single cancellation during 2025 and Connection Saver saved more than one million potential missed connections during the year, a 42% increase over 2024. Lastly,</w:t>
      </w:r>
    </w:p>
    <w:p>
      <w:pPr>
        <w:spacing w:after="0" w:line="1" w:lineRule="exact"/>
        <w:rPr>
          <w:sz w:val="20"/>
          <w:szCs w:val="20"/>
          <w:color w:val="auto"/>
        </w:rPr>
      </w:pPr>
    </w:p>
    <w:p>
      <w:pPr>
        <w:ind w:right="180"/>
        <w:spacing w:after="0" w:line="313" w:lineRule="auto"/>
        <w:rPr>
          <w:sz w:val="20"/>
          <w:szCs w:val="20"/>
          <w:color w:val="auto"/>
        </w:rPr>
      </w:pPr>
      <w:r>
        <w:rPr>
          <w:rFonts w:ascii="Arial" w:cs="Arial" w:eastAsia="Arial" w:hAnsi="Arial"/>
          <w:sz w:val="16"/>
          <w:szCs w:val="16"/>
          <w:color w:val="auto"/>
        </w:rPr>
        <w:t>notwithstanding challenges during 2025 such as the government shutdown, we set a fourth-quarter Company record for our NPS, including our highest-ever monthly NPS in November.</w:t>
      </w:r>
    </w:p>
    <w:p>
      <w:pPr>
        <w:spacing w:after="0" w:line="6" w:lineRule="exact"/>
        <w:rPr>
          <w:sz w:val="20"/>
          <w:szCs w:val="20"/>
          <w:color w:val="auto"/>
        </w:rPr>
      </w:pPr>
    </w:p>
    <w:p>
      <w:pPr>
        <w:ind w:right="60"/>
        <w:spacing w:after="0" w:line="255" w:lineRule="auto"/>
        <w:rPr>
          <w:sz w:val="20"/>
          <w:szCs w:val="20"/>
          <w:color w:val="auto"/>
        </w:rPr>
      </w:pPr>
      <w:r>
        <w:rPr>
          <w:rFonts w:ascii="Arial" w:cs="Arial" w:eastAsia="Arial" w:hAnsi="Arial"/>
          <w:sz w:val="16"/>
          <w:szCs w:val="16"/>
          <w:color w:val="auto"/>
        </w:rPr>
        <w:t>United’s strategy over the past fve years has been successful in delivering value to its stockholders. Since May 1, 2020 through the end of 2025, United’s cumulative TSR was over 320%, which was 159 percentage points higher than the cumulative TSR of</w:t>
      </w:r>
    </w:p>
    <w:p>
      <w:pPr>
        <w:spacing w:after="0" w:line="1" w:lineRule="exact"/>
        <w:rPr>
          <w:sz w:val="20"/>
          <w:szCs w:val="20"/>
          <w:color w:val="auto"/>
        </w:rPr>
      </w:pPr>
    </w:p>
    <w:p>
      <w:pPr>
        <w:spacing w:after="0" w:line="313" w:lineRule="auto"/>
        <w:rPr>
          <w:sz w:val="20"/>
          <w:szCs w:val="20"/>
          <w:color w:val="auto"/>
        </w:rPr>
      </w:pPr>
      <w:r>
        <w:rPr>
          <w:rFonts w:ascii="Arial" w:cs="Arial" w:eastAsia="Arial" w:hAnsi="Arial"/>
          <w:sz w:val="16"/>
          <w:szCs w:val="16"/>
          <w:color w:val="auto"/>
        </w:rPr>
        <w:t>the Standard and Poor's 500 Index ("SPX") and 262 percentage points higher than the NYSE Arca Airline Index ("XAL"), each over the same period.</w:t>
      </w:r>
    </w:p>
    <w:p>
      <w:pPr>
        <w:spacing w:after="0" w:line="6" w:lineRule="exact"/>
        <w:rPr>
          <w:sz w:val="20"/>
          <w:szCs w:val="20"/>
          <w:color w:val="auto"/>
        </w:rPr>
      </w:pPr>
    </w:p>
    <w:p>
      <w:pPr>
        <w:ind w:right="160"/>
        <w:spacing w:after="0" w:line="255" w:lineRule="auto"/>
        <w:rPr>
          <w:sz w:val="20"/>
          <w:szCs w:val="20"/>
          <w:color w:val="auto"/>
        </w:rPr>
      </w:pPr>
      <w:r>
        <w:rPr>
          <w:rFonts w:ascii="Arial" w:cs="Arial" w:eastAsia="Arial" w:hAnsi="Arial"/>
          <w:sz w:val="16"/>
          <w:szCs w:val="16"/>
          <w:color w:val="auto"/>
        </w:rPr>
        <w:t>The following graph compares the cumulative TSR during the period from May 1, 2020 to December 31, 2025. The graph assumes $100 was invested on May 1, 2020 in UAL Common Stock and in each of SPX and XAL and assumes that all dividends</w:t>
      </w:r>
    </w:p>
    <w:p>
      <w:pPr>
        <w:spacing w:after="0" w:line="1" w:lineRule="exact"/>
        <w:rPr>
          <w:sz w:val="20"/>
          <w:szCs w:val="20"/>
          <w:color w:val="auto"/>
        </w:rPr>
      </w:pPr>
    </w:p>
    <w:p>
      <w:pPr>
        <w:ind w:right="780"/>
        <w:spacing w:after="0" w:line="313" w:lineRule="auto"/>
        <w:rPr>
          <w:sz w:val="20"/>
          <w:szCs w:val="20"/>
          <w:color w:val="auto"/>
        </w:rPr>
      </w:pPr>
      <w:r>
        <w:rPr>
          <w:rFonts w:ascii="Arial" w:cs="Arial" w:eastAsia="Arial" w:hAnsi="Arial"/>
          <w:sz w:val="16"/>
          <w:szCs w:val="16"/>
          <w:color w:val="auto"/>
        </w:rPr>
        <w:t>were reinvested. The stock price performance in the following graph is not necessarily indicative of future stock price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20" w:right="20" w:hanging="316"/>
        <w:spacing w:after="0" w:line="210" w:lineRule="auto"/>
        <w:tabs>
          <w:tab w:leader="none" w:pos="320" w:val="left"/>
        </w:tabs>
        <w:numPr>
          <w:ilvl w:val="0"/>
          <w:numId w:val="88"/>
        </w:numPr>
        <w:rPr>
          <w:rFonts w:ascii="Arial" w:cs="Arial" w:eastAsia="Arial" w:hAnsi="Arial"/>
          <w:sz w:val="24"/>
          <w:szCs w:val="24"/>
          <w:color w:val="auto"/>
          <w:vertAlign w:val="superscript"/>
        </w:rPr>
      </w:pPr>
      <w:r>
        <w:rPr>
          <w:rFonts w:ascii="Arial" w:cs="Arial" w:eastAsia="Arial" w:hAnsi="Arial"/>
          <w:sz w:val="14"/>
          <w:szCs w:val="14"/>
          <w:color w:val="auto"/>
        </w:rPr>
        <w:t>Adjusted Pre-Tax Margin and Adjusted Diluted EPS are non-GAAP fnancial measures. Please refer to Appendix A for additional information and a reconciliation of each measure to the most directly comparable GAAP fnancial measure.</w:t>
      </w:r>
    </w:p>
    <w:p>
      <w:pPr>
        <w:sectPr>
          <w:pgSz w:w="11900" w:h="16838" w:orient="portrait"/>
          <w:cols w:equalWidth="0" w:num="1">
            <w:col w:w="9660"/>
          </w:cols>
          <w:pgMar w:left="1080" w:top="695" w:right="11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right"/>
        <w:ind w:right="7660"/>
        <w:spacing w:after="0"/>
        <w:rPr>
          <w:sz w:val="20"/>
          <w:szCs w:val="20"/>
          <w:color w:val="auto"/>
        </w:rPr>
      </w:pPr>
      <w:r>
        <w:rPr>
          <w:rFonts w:ascii="Arial" w:cs="Arial" w:eastAsia="Arial" w:hAnsi="Arial"/>
          <w:sz w:val="16"/>
          <w:szCs w:val="16"/>
          <w:color w:val="auto"/>
        </w:rPr>
        <w:t>​​2026​  Proxy</w:t>
      </w:r>
    </w:p>
    <w:p>
      <w:pPr>
        <w:spacing w:after="0" w:line="5" w:lineRule="exact"/>
        <w:rPr>
          <w:sz w:val="20"/>
          <w:szCs w:val="20"/>
          <w:color w:val="auto"/>
        </w:rPr>
      </w:pPr>
    </w:p>
    <w:p>
      <w:pPr>
        <w:ind w:left="660" w:hanging="656"/>
        <w:spacing w:after="0"/>
        <w:tabs>
          <w:tab w:leader="none" w:pos="660" w:val="left"/>
        </w:tabs>
        <w:numPr>
          <w:ilvl w:val="0"/>
          <w:numId w:val="89"/>
        </w:numPr>
        <w:rPr>
          <w:rFonts w:ascii="Arial" w:cs="Arial" w:eastAsia="Arial" w:hAnsi="Arial"/>
          <w:sz w:val="16"/>
          <w:szCs w:val="16"/>
          <w:b w:val="1"/>
          <w:bCs w:val="1"/>
          <w:color w:val="1414D2"/>
        </w:rPr>
      </w:pPr>
      <w:r>
        <w:rPr>
          <w:rFonts w:ascii="Arial" w:cs="Arial" w:eastAsia="Arial" w:hAnsi="Arial"/>
          <w:sz w:val="16"/>
          <w:szCs w:val="16"/>
          <w:color w:val="auto"/>
        </w:rPr>
        <w:t>Statement</w:t>
      </w:r>
    </w:p>
    <w:p>
      <w:pPr>
        <w:sectPr>
          <w:pgSz w:w="11900" w:h="16838" w:orient="portrait"/>
          <w:cols w:equalWidth="0" w:num="1">
            <w:col w:w="9660"/>
          </w:cols>
          <w:pgMar w:left="1080" w:top="695" w:right="1159" w:bottom="1440" w:gutter="0" w:footer="0" w:header="0"/>
          <w:type w:val="continuous"/>
        </w:sectPr>
      </w:pPr>
    </w:p>
    <w:bookmarkStart w:id="93" w:name="page94"/>
    <w:bookmarkEnd w:id="93"/>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27" w:lineRule="exact"/>
        <w:rPr>
          <w:sz w:val="20"/>
          <w:szCs w:val="20"/>
          <w:color w:val="auto"/>
        </w:rPr>
      </w:pPr>
    </w:p>
    <w:p>
      <w:pPr>
        <w:jc w:val="right"/>
        <w:spacing w:after="0"/>
        <w:rPr>
          <w:sz w:val="20"/>
          <w:szCs w:val="20"/>
          <w:color w:val="auto"/>
        </w:rPr>
      </w:pPr>
      <w:r>
        <w:rPr>
          <w:rFonts w:ascii="Arial" w:cs="Arial" w:eastAsia="Arial" w:hAnsi="Arial"/>
          <w:sz w:val="14"/>
          <w:szCs w:val="14"/>
          <w:color w:val="6D6F71"/>
        </w:rPr>
        <w:t>Compensation  Discussion  and  Analysis</w:t>
      </w:r>
    </w:p>
    <w:p>
      <w:pPr>
        <w:spacing w:after="0" w:line="223" w:lineRule="exact"/>
        <w:rPr>
          <w:sz w:val="20"/>
          <w:szCs w:val="20"/>
          <w:color w:val="auto"/>
        </w:rPr>
      </w:pPr>
    </w:p>
    <w:p>
      <w:pPr>
        <w:spacing w:after="0"/>
        <w:rPr>
          <w:sz w:val="20"/>
          <w:szCs w:val="20"/>
          <w:color w:val="auto"/>
        </w:rPr>
      </w:pPr>
      <w:r>
        <w:rPr>
          <w:rFonts w:ascii="Arial" w:cs="Arial" w:eastAsia="Arial" w:hAnsi="Arial"/>
          <w:sz w:val="25"/>
          <w:szCs w:val="25"/>
          <w:b w:val="1"/>
          <w:bCs w:val="1"/>
          <w:color w:val="1414D2"/>
        </w:rPr>
        <w:t>Executive Compensation Program Overview</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auto"/>
        </w:rPr>
        <w:t>The  Committee  oversees  our  executive  compensation  program,  which  includes  elements  designed  to  support  our</w:t>
      </w:r>
    </w:p>
    <w:p>
      <w:pPr>
        <w:spacing w:after="0" w:line="19" w:lineRule="exact"/>
        <w:rPr>
          <w:sz w:val="20"/>
          <w:szCs w:val="20"/>
          <w:color w:val="auto"/>
        </w:rPr>
      </w:pPr>
    </w:p>
    <w:p>
      <w:pPr>
        <w:ind w:right="260"/>
        <w:spacing w:after="0" w:line="250" w:lineRule="auto"/>
        <w:rPr>
          <w:sz w:val="20"/>
          <w:szCs w:val="20"/>
          <w:color w:val="auto"/>
        </w:rPr>
      </w:pPr>
      <w:r>
        <w:rPr>
          <w:rFonts w:ascii="Arial" w:cs="Arial" w:eastAsia="Arial" w:hAnsi="Arial"/>
          <w:sz w:val="16"/>
          <w:szCs w:val="16"/>
          <w:color w:val="auto"/>
        </w:rPr>
        <w:t>compensation objectives and the achievement of our fnancial goals and other business objectives. These compensation objectives include attracting, motivating and retaining the key executives who drive our success and industry leadership in a dynamic, innovative and competitive environment and rewarding and incentivizing specifc aspects of our fnancial and operational priorities that the Board believes are critical to the Company’s strategy and the creation of stockholder value. We</w:t>
      </w:r>
    </w:p>
    <w:p>
      <w:pPr>
        <w:spacing w:after="0" w:line="3" w:lineRule="exact"/>
        <w:rPr>
          <w:sz w:val="20"/>
          <w:szCs w:val="20"/>
          <w:color w:val="auto"/>
        </w:rPr>
      </w:pPr>
    </w:p>
    <w:p>
      <w:pPr>
        <w:ind w:right="180"/>
        <w:spacing w:after="0" w:line="272" w:lineRule="auto"/>
        <w:rPr>
          <w:sz w:val="20"/>
          <w:szCs w:val="20"/>
          <w:color w:val="auto"/>
        </w:rPr>
      </w:pPr>
      <w:r>
        <w:rPr>
          <w:rFonts w:ascii="Arial" w:cs="Arial" w:eastAsia="Arial" w:hAnsi="Arial"/>
          <w:sz w:val="16"/>
          <w:szCs w:val="16"/>
          <w:color w:val="auto"/>
        </w:rPr>
        <w:t>use a mix of base salary, annual short-term cash awards and long-term equity awards to accomplish these objectives. After reviewing our fnancial and operational performance, our share price performance, the individual performance of our executives and broader market trends, the Committee determined that the structure of our executive compensation program continues to be appropriate.</w:t>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COMPENSATION PHILOSOPHY</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Our  core  executive  compensation  philosophy  is  based  on  achieving  the  following  objectives: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200" w:type="dxa"/>
            <w:vAlign w:val="bottom"/>
            <w:tcBorders>
              <w:top w:val="single" w:sz="8" w:color="1414D2"/>
            </w:tcBorders>
            <w:shd w:val="clear" w:color="auto" w:fill="1414D2"/>
          </w:tcPr>
          <w:p>
            <w:pPr>
              <w:spacing w:after="0"/>
              <w:rPr>
                <w:sz w:val="22"/>
                <w:szCs w:val="22"/>
                <w:color w:val="auto"/>
              </w:rPr>
            </w:pPr>
          </w:p>
        </w:tc>
        <w:tc>
          <w:tcPr>
            <w:tcW w:w="2140" w:type="dxa"/>
            <w:vAlign w:val="bottom"/>
            <w:tcBorders>
              <w:top w:val="single" w:sz="8" w:color="1414D2"/>
            </w:tcBorders>
          </w:tcPr>
          <w:p>
            <w:pPr>
              <w:ind w:left="240"/>
              <w:spacing w:after="0"/>
              <w:rPr>
                <w:sz w:val="20"/>
                <w:szCs w:val="20"/>
                <w:color w:val="auto"/>
              </w:rPr>
            </w:pPr>
            <w:r>
              <w:rPr>
                <w:rFonts w:ascii="Arial" w:cs="Arial" w:eastAsia="Arial" w:hAnsi="Arial"/>
                <w:sz w:val="15"/>
                <w:szCs w:val="15"/>
                <w:b w:val="1"/>
                <w:bCs w:val="1"/>
                <w:color w:val="1414D2"/>
              </w:rPr>
              <w:t>ALIGNING THE</w:t>
            </w:r>
          </w:p>
        </w:tc>
        <w:tc>
          <w:tcPr>
            <w:tcW w:w="7380" w:type="dxa"/>
            <w:vAlign w:val="bottom"/>
            <w:tcBorders>
              <w:top w:val="single" w:sz="8" w:color="1414D2"/>
            </w:tcBorders>
          </w:tcPr>
          <w:p>
            <w:pPr>
              <w:ind w:left="200"/>
              <w:spacing w:after="0"/>
              <w:rPr>
                <w:sz w:val="20"/>
                <w:szCs w:val="20"/>
                <w:color w:val="auto"/>
              </w:rPr>
            </w:pPr>
            <w:r>
              <w:rPr>
                <w:rFonts w:ascii="Arial" w:cs="Arial" w:eastAsia="Arial" w:hAnsi="Arial"/>
                <w:sz w:val="15"/>
                <w:szCs w:val="15"/>
                <w:color w:val="auto"/>
              </w:rPr>
              <w:t>The  2025  Program  was  designed  to  align  with  the  interests  of  our  stockholders  by  linking</w:t>
            </w:r>
          </w:p>
        </w:tc>
      </w:tr>
      <w:tr>
        <w:trPr>
          <w:trHeight w:val="176"/>
        </w:trPr>
        <w:tc>
          <w:tcPr>
            <w:tcW w:w="200" w:type="dxa"/>
            <w:vAlign w:val="bottom"/>
            <w:shd w:val="clear" w:color="auto" w:fill="1414D2"/>
          </w:tcPr>
          <w:p>
            <w:pPr>
              <w:spacing w:after="0"/>
              <w:rPr>
                <w:sz w:val="15"/>
                <w:szCs w:val="15"/>
                <w:color w:val="auto"/>
              </w:rPr>
            </w:pPr>
          </w:p>
        </w:tc>
        <w:tc>
          <w:tcPr>
            <w:tcW w:w="2140" w:type="dxa"/>
            <w:vAlign w:val="bottom"/>
          </w:tcPr>
          <w:p>
            <w:pPr>
              <w:ind w:left="240"/>
              <w:spacing w:after="0"/>
              <w:rPr>
                <w:sz w:val="20"/>
                <w:szCs w:val="20"/>
                <w:color w:val="auto"/>
              </w:rPr>
            </w:pPr>
            <w:r>
              <w:rPr>
                <w:rFonts w:ascii="Arial" w:cs="Arial" w:eastAsia="Arial" w:hAnsi="Arial"/>
                <w:sz w:val="15"/>
                <w:szCs w:val="15"/>
                <w:b w:val="1"/>
                <w:bCs w:val="1"/>
                <w:color w:val="1414D2"/>
              </w:rPr>
              <w:t>INTERESTS OF OUR</w:t>
            </w:r>
          </w:p>
        </w:tc>
        <w:tc>
          <w:tcPr>
            <w:tcW w:w="7380" w:type="dxa"/>
            <w:vAlign w:val="bottom"/>
          </w:tcPr>
          <w:p>
            <w:pPr>
              <w:ind w:left="200"/>
              <w:spacing w:after="0"/>
              <w:rPr>
                <w:sz w:val="20"/>
                <w:szCs w:val="20"/>
                <w:color w:val="auto"/>
              </w:rPr>
            </w:pPr>
            <w:r>
              <w:rPr>
                <w:rFonts w:ascii="Arial" w:cs="Arial" w:eastAsia="Arial" w:hAnsi="Arial"/>
                <w:sz w:val="15"/>
                <w:szCs w:val="15"/>
                <w:color w:val="auto"/>
              </w:rPr>
              <w:t>executive  pay  to  performance  measures  that  we  view  as  key  to  our  fnancial  and  operational</w:t>
            </w:r>
          </w:p>
        </w:tc>
      </w:tr>
      <w:tr>
        <w:trPr>
          <w:trHeight w:val="189"/>
        </w:trPr>
        <w:tc>
          <w:tcPr>
            <w:tcW w:w="200" w:type="dxa"/>
            <w:vAlign w:val="bottom"/>
            <w:shd w:val="clear" w:color="auto" w:fill="1414D2"/>
          </w:tcPr>
          <w:p>
            <w:pPr>
              <w:spacing w:after="0"/>
              <w:rPr>
                <w:sz w:val="16"/>
                <w:szCs w:val="16"/>
                <w:color w:val="auto"/>
              </w:rPr>
            </w:pPr>
          </w:p>
        </w:tc>
        <w:tc>
          <w:tcPr>
            <w:tcW w:w="2140" w:type="dxa"/>
            <w:vAlign w:val="bottom"/>
          </w:tcPr>
          <w:p>
            <w:pPr>
              <w:ind w:left="240"/>
              <w:spacing w:after="0"/>
              <w:rPr>
                <w:sz w:val="20"/>
                <w:szCs w:val="20"/>
                <w:color w:val="auto"/>
              </w:rPr>
            </w:pPr>
            <w:r>
              <w:rPr>
                <w:rFonts w:ascii="Arial" w:cs="Arial" w:eastAsia="Arial" w:hAnsi="Arial"/>
                <w:sz w:val="15"/>
                <w:szCs w:val="15"/>
                <w:b w:val="1"/>
                <w:bCs w:val="1"/>
                <w:color w:val="1414D2"/>
              </w:rPr>
              <w:t>STOCKHOLDERS AND</w:t>
            </w:r>
          </w:p>
        </w:tc>
        <w:tc>
          <w:tcPr>
            <w:tcW w:w="7380" w:type="dxa"/>
            <w:vAlign w:val="bottom"/>
          </w:tcPr>
          <w:p>
            <w:pPr>
              <w:ind w:left="200"/>
              <w:spacing w:after="0"/>
              <w:rPr>
                <w:sz w:val="20"/>
                <w:szCs w:val="20"/>
                <w:color w:val="auto"/>
              </w:rPr>
            </w:pPr>
            <w:r>
              <w:rPr>
                <w:rFonts w:ascii="Arial" w:cs="Arial" w:eastAsia="Arial" w:hAnsi="Arial"/>
                <w:sz w:val="15"/>
                <w:szCs w:val="15"/>
                <w:color w:val="auto"/>
              </w:rPr>
              <w:t>priorities,  which  help  us  to  achieve  success  that  will  deliver  long-term  stockholder  value.  Further,</w:t>
            </w:r>
          </w:p>
        </w:tc>
      </w:tr>
      <w:tr>
        <w:trPr>
          <w:trHeight w:val="175"/>
        </w:trPr>
        <w:tc>
          <w:tcPr>
            <w:tcW w:w="200" w:type="dxa"/>
            <w:vAlign w:val="bottom"/>
            <w:shd w:val="clear" w:color="auto" w:fill="1414D2"/>
          </w:tcPr>
          <w:p>
            <w:pPr>
              <w:spacing w:after="0"/>
              <w:rPr>
                <w:sz w:val="15"/>
                <w:szCs w:val="15"/>
                <w:color w:val="auto"/>
              </w:rPr>
            </w:pPr>
          </w:p>
        </w:tc>
        <w:tc>
          <w:tcPr>
            <w:tcW w:w="2140" w:type="dxa"/>
            <w:vAlign w:val="bottom"/>
          </w:tcPr>
          <w:p>
            <w:pPr>
              <w:ind w:left="240"/>
              <w:spacing w:after="0"/>
              <w:rPr>
                <w:sz w:val="20"/>
                <w:szCs w:val="20"/>
                <w:color w:val="auto"/>
              </w:rPr>
            </w:pPr>
            <w:r>
              <w:rPr>
                <w:rFonts w:ascii="Arial" w:cs="Arial" w:eastAsia="Arial" w:hAnsi="Arial"/>
                <w:sz w:val="15"/>
                <w:szCs w:val="15"/>
                <w:b w:val="1"/>
                <w:bCs w:val="1"/>
                <w:color w:val="1414D2"/>
              </w:rPr>
              <w:t>EXECUTIVES</w:t>
            </w:r>
          </w:p>
        </w:tc>
        <w:tc>
          <w:tcPr>
            <w:tcW w:w="7380" w:type="dxa"/>
            <w:vAlign w:val="bottom"/>
          </w:tcPr>
          <w:p>
            <w:pPr>
              <w:ind w:left="200"/>
              <w:spacing w:after="0"/>
              <w:rPr>
                <w:sz w:val="20"/>
                <w:szCs w:val="20"/>
                <w:color w:val="auto"/>
              </w:rPr>
            </w:pPr>
            <w:r>
              <w:rPr>
                <w:rFonts w:ascii="Arial" w:cs="Arial" w:eastAsia="Arial" w:hAnsi="Arial"/>
                <w:sz w:val="15"/>
                <w:szCs w:val="15"/>
                <w:color w:val="auto"/>
              </w:rPr>
              <w:t>our  2025  Program  considered  feedback  we  received  on  our  executive  compensation  program</w:t>
            </w:r>
          </w:p>
        </w:tc>
      </w:tr>
      <w:tr>
        <w:trPr>
          <w:trHeight w:val="222"/>
        </w:trPr>
        <w:tc>
          <w:tcPr>
            <w:tcW w:w="200" w:type="dxa"/>
            <w:vAlign w:val="bottom"/>
            <w:shd w:val="clear" w:color="auto" w:fill="1414D2"/>
          </w:tcPr>
          <w:p>
            <w:pPr>
              <w:spacing w:after="0"/>
              <w:rPr>
                <w:sz w:val="19"/>
                <w:szCs w:val="19"/>
                <w:color w:val="auto"/>
              </w:rPr>
            </w:pPr>
          </w:p>
        </w:tc>
        <w:tc>
          <w:tcPr>
            <w:tcW w:w="2140" w:type="dxa"/>
            <w:vAlign w:val="bottom"/>
          </w:tcPr>
          <w:p>
            <w:pPr>
              <w:spacing w:after="0"/>
              <w:rPr>
                <w:sz w:val="19"/>
                <w:szCs w:val="19"/>
                <w:color w:val="auto"/>
              </w:rPr>
            </w:pPr>
          </w:p>
        </w:tc>
        <w:tc>
          <w:tcPr>
            <w:tcW w:w="7380" w:type="dxa"/>
            <w:vAlign w:val="bottom"/>
          </w:tcPr>
          <w:p>
            <w:pPr>
              <w:ind w:left="200"/>
              <w:spacing w:after="0"/>
              <w:rPr>
                <w:sz w:val="20"/>
                <w:szCs w:val="20"/>
                <w:color w:val="auto"/>
              </w:rPr>
            </w:pPr>
            <w:r>
              <w:rPr>
                <w:rFonts w:ascii="Arial" w:cs="Arial" w:eastAsia="Arial" w:hAnsi="Arial"/>
                <w:sz w:val="15"/>
                <w:szCs w:val="15"/>
                <w:color w:val="auto"/>
              </w:rPr>
              <w:t>during  our  annual  stockholder  engagement  eforts.</w:t>
            </w:r>
          </w:p>
        </w:tc>
      </w:tr>
      <w:tr>
        <w:trPr>
          <w:trHeight w:val="210"/>
        </w:trPr>
        <w:tc>
          <w:tcPr>
            <w:tcW w:w="200" w:type="dxa"/>
            <w:vAlign w:val="bottom"/>
            <w:shd w:val="clear" w:color="auto" w:fill="1414D2"/>
          </w:tcPr>
          <w:p>
            <w:pPr>
              <w:spacing w:after="0"/>
              <w:rPr>
                <w:sz w:val="18"/>
                <w:szCs w:val="18"/>
                <w:color w:val="auto"/>
              </w:rPr>
            </w:pPr>
          </w:p>
        </w:tc>
        <w:tc>
          <w:tcPr>
            <w:tcW w:w="2140" w:type="dxa"/>
            <w:vAlign w:val="bottom"/>
          </w:tcPr>
          <w:p>
            <w:pPr>
              <w:spacing w:after="0"/>
              <w:rPr>
                <w:sz w:val="18"/>
                <w:szCs w:val="18"/>
                <w:color w:val="auto"/>
              </w:rPr>
            </w:pPr>
          </w:p>
        </w:tc>
        <w:tc>
          <w:tcPr>
            <w:tcW w:w="7380" w:type="dxa"/>
            <w:vAlign w:val="bottom"/>
          </w:tcPr>
          <w:p>
            <w:pPr>
              <w:ind w:left="200"/>
              <w:spacing w:after="0"/>
              <w:rPr>
                <w:sz w:val="20"/>
                <w:szCs w:val="20"/>
                <w:color w:val="auto"/>
              </w:rPr>
            </w:pPr>
            <w:r>
              <w:rPr>
                <w:rFonts w:ascii="Arial" w:cs="Arial" w:eastAsia="Arial" w:hAnsi="Arial"/>
                <w:sz w:val="15"/>
                <w:szCs w:val="15"/>
                <w:color w:val="auto"/>
              </w:rPr>
              <w:t>All  of  our  LTI  awards  granted  in  2025  are  equity  awards  that  provide  a  direct  link  to  the  creation</w:t>
            </w:r>
          </w:p>
        </w:tc>
      </w:tr>
      <w:tr>
        <w:trPr>
          <w:trHeight w:val="189"/>
        </w:trPr>
        <w:tc>
          <w:tcPr>
            <w:tcW w:w="200" w:type="dxa"/>
            <w:vAlign w:val="bottom"/>
            <w:shd w:val="clear" w:color="auto" w:fill="1414D2"/>
          </w:tcPr>
          <w:p>
            <w:pPr>
              <w:spacing w:after="0"/>
              <w:rPr>
                <w:sz w:val="16"/>
                <w:szCs w:val="16"/>
                <w:color w:val="auto"/>
              </w:rPr>
            </w:pPr>
          </w:p>
        </w:tc>
        <w:tc>
          <w:tcPr>
            <w:tcW w:w="2140" w:type="dxa"/>
            <w:vAlign w:val="bottom"/>
          </w:tcPr>
          <w:p>
            <w:pPr>
              <w:spacing w:after="0"/>
              <w:rPr>
                <w:sz w:val="16"/>
                <w:szCs w:val="16"/>
                <w:color w:val="auto"/>
              </w:rPr>
            </w:pPr>
          </w:p>
        </w:tc>
        <w:tc>
          <w:tcPr>
            <w:tcW w:w="7380" w:type="dxa"/>
            <w:vAlign w:val="bottom"/>
          </w:tcPr>
          <w:p>
            <w:pPr>
              <w:ind w:left="200"/>
              <w:spacing w:after="0"/>
              <w:rPr>
                <w:sz w:val="20"/>
                <w:szCs w:val="20"/>
                <w:color w:val="auto"/>
              </w:rPr>
            </w:pPr>
            <w:r>
              <w:rPr>
                <w:rFonts w:ascii="Arial" w:cs="Arial" w:eastAsia="Arial" w:hAnsi="Arial"/>
                <w:sz w:val="15"/>
                <w:szCs w:val="15"/>
                <w:color w:val="auto"/>
              </w:rPr>
              <w:t>of  stockholder  value.  We  also  maintain  robust  stock  ownership  guidelines  for  our  NEOs  that  are</w:t>
            </w:r>
          </w:p>
        </w:tc>
      </w:tr>
      <w:tr>
        <w:trPr>
          <w:trHeight w:val="176"/>
        </w:trPr>
        <w:tc>
          <w:tcPr>
            <w:tcW w:w="200" w:type="dxa"/>
            <w:vAlign w:val="bottom"/>
            <w:shd w:val="clear" w:color="auto" w:fill="1414D2"/>
          </w:tcPr>
          <w:p>
            <w:pPr>
              <w:spacing w:after="0"/>
              <w:rPr>
                <w:sz w:val="15"/>
                <w:szCs w:val="15"/>
                <w:color w:val="auto"/>
              </w:rPr>
            </w:pPr>
          </w:p>
        </w:tc>
        <w:tc>
          <w:tcPr>
            <w:tcW w:w="2140" w:type="dxa"/>
            <w:vAlign w:val="bottom"/>
          </w:tcPr>
          <w:p>
            <w:pPr>
              <w:spacing w:after="0"/>
              <w:rPr>
                <w:sz w:val="15"/>
                <w:szCs w:val="15"/>
                <w:color w:val="auto"/>
              </w:rPr>
            </w:pPr>
          </w:p>
        </w:tc>
        <w:tc>
          <w:tcPr>
            <w:tcW w:w="7380" w:type="dxa"/>
            <w:vAlign w:val="bottom"/>
          </w:tcPr>
          <w:p>
            <w:pPr>
              <w:ind w:left="200"/>
              <w:spacing w:after="0"/>
              <w:rPr>
                <w:sz w:val="20"/>
                <w:szCs w:val="20"/>
                <w:color w:val="auto"/>
              </w:rPr>
            </w:pPr>
            <w:r>
              <w:rPr>
                <w:rFonts w:ascii="Arial" w:cs="Arial" w:eastAsia="Arial" w:hAnsi="Arial"/>
                <w:sz w:val="15"/>
                <w:szCs w:val="15"/>
                <w:color w:val="auto"/>
              </w:rPr>
              <w:t>designed  to  further  align  the  fnancial  interests  of  our  executives  with  our  stockholders’  interests.</w:t>
            </w:r>
          </w:p>
        </w:tc>
      </w:tr>
      <w:tr>
        <w:trPr>
          <w:trHeight w:val="189"/>
        </w:trPr>
        <w:tc>
          <w:tcPr>
            <w:tcW w:w="200" w:type="dxa"/>
            <w:vAlign w:val="bottom"/>
            <w:shd w:val="clear" w:color="auto" w:fill="1414D2"/>
          </w:tcPr>
          <w:p>
            <w:pPr>
              <w:spacing w:after="0"/>
              <w:rPr>
                <w:sz w:val="16"/>
                <w:szCs w:val="16"/>
                <w:color w:val="auto"/>
              </w:rPr>
            </w:pPr>
          </w:p>
        </w:tc>
        <w:tc>
          <w:tcPr>
            <w:tcW w:w="2140" w:type="dxa"/>
            <w:vAlign w:val="bottom"/>
          </w:tcPr>
          <w:p>
            <w:pPr>
              <w:spacing w:after="0"/>
              <w:rPr>
                <w:sz w:val="16"/>
                <w:szCs w:val="16"/>
                <w:color w:val="auto"/>
              </w:rPr>
            </w:pPr>
          </w:p>
        </w:tc>
        <w:tc>
          <w:tcPr>
            <w:tcW w:w="7380" w:type="dxa"/>
            <w:vAlign w:val="bottom"/>
          </w:tcPr>
          <w:p>
            <w:pPr>
              <w:ind w:left="200"/>
              <w:spacing w:after="0"/>
              <w:rPr>
                <w:sz w:val="20"/>
                <w:szCs w:val="20"/>
                <w:color w:val="auto"/>
              </w:rPr>
            </w:pPr>
            <w:r>
              <w:rPr>
                <w:rFonts w:ascii="Arial" w:cs="Arial" w:eastAsia="Arial" w:hAnsi="Arial"/>
                <w:sz w:val="15"/>
                <w:szCs w:val="15"/>
                <w:color w:val="auto"/>
              </w:rPr>
              <w:t>Further,  our  compensation  clawback  policy  helps  ensure  that  our  executives  are  accountable  and</w:t>
            </w:r>
          </w:p>
        </w:tc>
      </w:tr>
      <w:tr>
        <w:trPr>
          <w:trHeight w:val="222"/>
        </w:trPr>
        <w:tc>
          <w:tcPr>
            <w:tcW w:w="200" w:type="dxa"/>
            <w:vAlign w:val="bottom"/>
            <w:shd w:val="clear" w:color="auto" w:fill="1414D2"/>
          </w:tcPr>
          <w:p>
            <w:pPr>
              <w:spacing w:after="0"/>
              <w:rPr>
                <w:sz w:val="19"/>
                <w:szCs w:val="19"/>
                <w:color w:val="auto"/>
              </w:rPr>
            </w:pPr>
          </w:p>
        </w:tc>
        <w:tc>
          <w:tcPr>
            <w:tcW w:w="2140" w:type="dxa"/>
            <w:vAlign w:val="bottom"/>
          </w:tcPr>
          <w:p>
            <w:pPr>
              <w:spacing w:after="0"/>
              <w:rPr>
                <w:sz w:val="19"/>
                <w:szCs w:val="19"/>
                <w:color w:val="auto"/>
              </w:rPr>
            </w:pPr>
          </w:p>
        </w:tc>
        <w:tc>
          <w:tcPr>
            <w:tcW w:w="7380" w:type="dxa"/>
            <w:vAlign w:val="bottom"/>
          </w:tcPr>
          <w:p>
            <w:pPr>
              <w:ind w:left="200"/>
              <w:spacing w:after="0"/>
              <w:rPr>
                <w:sz w:val="20"/>
                <w:szCs w:val="20"/>
                <w:color w:val="auto"/>
              </w:rPr>
            </w:pPr>
            <w:r>
              <w:rPr>
                <w:rFonts w:ascii="Arial" w:cs="Arial" w:eastAsia="Arial" w:hAnsi="Arial"/>
                <w:sz w:val="15"/>
                <w:szCs w:val="15"/>
                <w:color w:val="auto"/>
              </w:rPr>
              <w:t>includes  both  mandatory  and  discretionary  compensation  recovery  elements.</w:t>
            </w:r>
          </w:p>
        </w:tc>
      </w:tr>
      <w:tr>
        <w:trPr>
          <w:trHeight w:val="50"/>
        </w:trPr>
        <w:tc>
          <w:tcPr>
            <w:tcW w:w="200" w:type="dxa"/>
            <w:vAlign w:val="bottom"/>
            <w:tcBorders>
              <w:bottom w:val="single" w:sz="8" w:color="1414D2"/>
            </w:tcBorders>
            <w:shd w:val="clear" w:color="auto" w:fill="1414D2"/>
          </w:tcPr>
          <w:p>
            <w:pPr>
              <w:spacing w:after="0"/>
              <w:rPr>
                <w:sz w:val="4"/>
                <w:szCs w:val="4"/>
                <w:color w:val="auto"/>
              </w:rPr>
            </w:pPr>
          </w:p>
        </w:tc>
        <w:tc>
          <w:tcPr>
            <w:tcW w:w="2140" w:type="dxa"/>
            <w:vAlign w:val="bottom"/>
            <w:tcBorders>
              <w:bottom w:val="single" w:sz="8" w:color="1414D2"/>
            </w:tcBorders>
          </w:tcPr>
          <w:p>
            <w:pPr>
              <w:spacing w:after="0"/>
              <w:rPr>
                <w:sz w:val="4"/>
                <w:szCs w:val="4"/>
                <w:color w:val="auto"/>
              </w:rPr>
            </w:pPr>
          </w:p>
        </w:tc>
        <w:tc>
          <w:tcPr>
            <w:tcW w:w="7380" w:type="dxa"/>
            <w:vAlign w:val="bottom"/>
            <w:tcBorders>
              <w:bottom w:val="single" w:sz="8" w:color="1414D2"/>
            </w:tcBorders>
          </w:tcPr>
          <w:p>
            <w:pPr>
              <w:spacing w:after="0"/>
              <w:rPr>
                <w:sz w:val="4"/>
                <w:szCs w:val="4"/>
                <w:color w:val="auto"/>
              </w:rPr>
            </w:pPr>
          </w:p>
        </w:tc>
      </w:tr>
      <w:tr>
        <w:trPr>
          <w:trHeight w:val="169"/>
        </w:trPr>
        <w:tc>
          <w:tcPr>
            <w:tcW w:w="200" w:type="dxa"/>
            <w:vAlign w:val="bottom"/>
            <w:tcBorders>
              <w:bottom w:val="single" w:sz="8" w:color="1414D2"/>
            </w:tcBorders>
          </w:tcPr>
          <w:p>
            <w:pPr>
              <w:spacing w:after="0"/>
              <w:rPr>
                <w:sz w:val="14"/>
                <w:szCs w:val="14"/>
                <w:color w:val="auto"/>
              </w:rPr>
            </w:pPr>
          </w:p>
        </w:tc>
        <w:tc>
          <w:tcPr>
            <w:tcW w:w="2140" w:type="dxa"/>
            <w:vAlign w:val="bottom"/>
            <w:tcBorders>
              <w:bottom w:val="single" w:sz="8" w:color="1414D2"/>
            </w:tcBorders>
          </w:tcPr>
          <w:p>
            <w:pPr>
              <w:spacing w:after="0"/>
              <w:rPr>
                <w:sz w:val="14"/>
                <w:szCs w:val="14"/>
                <w:color w:val="auto"/>
              </w:rPr>
            </w:pPr>
          </w:p>
        </w:tc>
        <w:tc>
          <w:tcPr>
            <w:tcW w:w="7380" w:type="dxa"/>
            <w:vAlign w:val="bottom"/>
            <w:tcBorders>
              <w:bottom w:val="single" w:sz="8" w:color="1414D2"/>
            </w:tcBorders>
          </w:tcPr>
          <w:p>
            <w:pPr>
              <w:spacing w:after="0"/>
              <w:rPr>
                <w:sz w:val="14"/>
                <w:szCs w:val="14"/>
                <w:color w:val="auto"/>
              </w:rPr>
            </w:pPr>
          </w:p>
        </w:tc>
      </w:tr>
      <w:tr>
        <w:trPr>
          <w:trHeight w:val="235"/>
        </w:trPr>
        <w:tc>
          <w:tcPr>
            <w:tcW w:w="200" w:type="dxa"/>
            <w:vAlign w:val="bottom"/>
            <w:shd w:val="clear" w:color="auto" w:fill="1414D2"/>
          </w:tcPr>
          <w:p>
            <w:pPr>
              <w:spacing w:after="0"/>
              <w:rPr>
                <w:sz w:val="20"/>
                <w:szCs w:val="20"/>
                <w:color w:val="auto"/>
              </w:rPr>
            </w:pPr>
          </w:p>
        </w:tc>
        <w:tc>
          <w:tcPr>
            <w:tcW w:w="2140" w:type="dxa"/>
            <w:vAlign w:val="bottom"/>
          </w:tcPr>
          <w:p>
            <w:pPr>
              <w:ind w:left="240"/>
              <w:spacing w:after="0"/>
              <w:rPr>
                <w:sz w:val="20"/>
                <w:szCs w:val="20"/>
                <w:color w:val="auto"/>
              </w:rPr>
            </w:pPr>
            <w:r>
              <w:rPr>
                <w:rFonts w:ascii="Arial" w:cs="Arial" w:eastAsia="Arial" w:hAnsi="Arial"/>
                <w:sz w:val="15"/>
                <w:szCs w:val="15"/>
                <w:b w:val="1"/>
                <w:bCs w:val="1"/>
                <w:color w:val="1414D2"/>
              </w:rPr>
              <w:t>LINKING EXECUTIVE</w:t>
            </w:r>
          </w:p>
        </w:tc>
        <w:tc>
          <w:tcPr>
            <w:tcW w:w="7380" w:type="dxa"/>
            <w:vAlign w:val="bottom"/>
          </w:tcPr>
          <w:p>
            <w:pPr>
              <w:ind w:left="200"/>
              <w:spacing w:after="0"/>
              <w:rPr>
                <w:sz w:val="20"/>
                <w:szCs w:val="20"/>
                <w:color w:val="auto"/>
              </w:rPr>
            </w:pPr>
            <w:r>
              <w:rPr>
                <w:rFonts w:ascii="Arial" w:cs="Arial" w:eastAsia="Arial" w:hAnsi="Arial"/>
                <w:sz w:val="15"/>
                <w:szCs w:val="15"/>
                <w:color w:val="auto"/>
              </w:rPr>
              <w:t>Our  executives’  total  compensation  packages  include  a  mix  of  fxed  and  variable  components,</w:t>
            </w:r>
          </w:p>
        </w:tc>
      </w:tr>
      <w:tr>
        <w:trPr>
          <w:trHeight w:val="175"/>
        </w:trPr>
        <w:tc>
          <w:tcPr>
            <w:tcW w:w="200" w:type="dxa"/>
            <w:vAlign w:val="bottom"/>
            <w:shd w:val="clear" w:color="auto" w:fill="1414D2"/>
          </w:tcPr>
          <w:p>
            <w:pPr>
              <w:spacing w:after="0"/>
              <w:rPr>
                <w:sz w:val="15"/>
                <w:szCs w:val="15"/>
                <w:color w:val="auto"/>
              </w:rPr>
            </w:pPr>
          </w:p>
        </w:tc>
        <w:tc>
          <w:tcPr>
            <w:tcW w:w="2140" w:type="dxa"/>
            <w:vAlign w:val="bottom"/>
          </w:tcPr>
          <w:p>
            <w:pPr>
              <w:ind w:left="240"/>
              <w:spacing w:after="0"/>
              <w:rPr>
                <w:sz w:val="20"/>
                <w:szCs w:val="20"/>
                <w:color w:val="auto"/>
              </w:rPr>
            </w:pPr>
            <w:r>
              <w:rPr>
                <w:rFonts w:ascii="Arial" w:cs="Arial" w:eastAsia="Arial" w:hAnsi="Arial"/>
                <w:sz w:val="15"/>
                <w:szCs w:val="15"/>
                <w:b w:val="1"/>
                <w:bCs w:val="1"/>
                <w:color w:val="1414D2"/>
              </w:rPr>
              <w:t>PAY TO PERFORMANCE</w:t>
            </w:r>
          </w:p>
        </w:tc>
        <w:tc>
          <w:tcPr>
            <w:tcW w:w="7380" w:type="dxa"/>
            <w:vAlign w:val="bottom"/>
          </w:tcPr>
          <w:p>
            <w:pPr>
              <w:ind w:left="200"/>
              <w:spacing w:after="0"/>
              <w:rPr>
                <w:sz w:val="20"/>
                <w:szCs w:val="20"/>
                <w:color w:val="auto"/>
              </w:rPr>
            </w:pPr>
            <w:r>
              <w:rPr>
                <w:rFonts w:ascii="Arial" w:cs="Arial" w:eastAsia="Arial" w:hAnsi="Arial"/>
                <w:sz w:val="15"/>
                <w:szCs w:val="15"/>
                <w:color w:val="auto"/>
              </w:rPr>
              <w:t>with  a  meaningful  portion  of  total  compensation  at-risk  (including  a  balance  of  both  short-term</w:t>
            </w:r>
          </w:p>
        </w:tc>
      </w:tr>
      <w:tr>
        <w:trPr>
          <w:trHeight w:val="222"/>
        </w:trPr>
        <w:tc>
          <w:tcPr>
            <w:tcW w:w="200" w:type="dxa"/>
            <w:vAlign w:val="bottom"/>
            <w:shd w:val="clear" w:color="auto" w:fill="1414D2"/>
          </w:tcPr>
          <w:p>
            <w:pPr>
              <w:spacing w:after="0"/>
              <w:rPr>
                <w:sz w:val="19"/>
                <w:szCs w:val="19"/>
                <w:color w:val="auto"/>
              </w:rPr>
            </w:pPr>
          </w:p>
        </w:tc>
        <w:tc>
          <w:tcPr>
            <w:tcW w:w="2140" w:type="dxa"/>
            <w:vAlign w:val="bottom"/>
          </w:tcPr>
          <w:p>
            <w:pPr>
              <w:spacing w:after="0"/>
              <w:rPr>
                <w:sz w:val="19"/>
                <w:szCs w:val="19"/>
                <w:color w:val="auto"/>
              </w:rPr>
            </w:pPr>
          </w:p>
        </w:tc>
        <w:tc>
          <w:tcPr>
            <w:tcW w:w="7380" w:type="dxa"/>
            <w:vAlign w:val="bottom"/>
          </w:tcPr>
          <w:p>
            <w:pPr>
              <w:ind w:left="200"/>
              <w:spacing w:after="0"/>
              <w:rPr>
                <w:sz w:val="20"/>
                <w:szCs w:val="20"/>
                <w:color w:val="auto"/>
              </w:rPr>
            </w:pPr>
            <w:r>
              <w:rPr>
                <w:rFonts w:ascii="Arial" w:cs="Arial" w:eastAsia="Arial" w:hAnsi="Arial"/>
                <w:sz w:val="15"/>
                <w:szCs w:val="15"/>
                <w:color w:val="auto"/>
              </w:rPr>
              <w:t>and  long-term  focus  on  improved  fnancial  performance).</w:t>
            </w:r>
          </w:p>
        </w:tc>
      </w:tr>
      <w:tr>
        <w:trPr>
          <w:trHeight w:val="210"/>
        </w:trPr>
        <w:tc>
          <w:tcPr>
            <w:tcW w:w="200" w:type="dxa"/>
            <w:vAlign w:val="bottom"/>
            <w:shd w:val="clear" w:color="auto" w:fill="1414D2"/>
          </w:tcPr>
          <w:p>
            <w:pPr>
              <w:spacing w:after="0"/>
              <w:rPr>
                <w:sz w:val="18"/>
                <w:szCs w:val="18"/>
                <w:color w:val="auto"/>
              </w:rPr>
            </w:pPr>
          </w:p>
        </w:tc>
        <w:tc>
          <w:tcPr>
            <w:tcW w:w="2140" w:type="dxa"/>
            <w:vAlign w:val="bottom"/>
          </w:tcPr>
          <w:p>
            <w:pPr>
              <w:spacing w:after="0"/>
              <w:rPr>
                <w:sz w:val="18"/>
                <w:szCs w:val="18"/>
                <w:color w:val="auto"/>
              </w:rPr>
            </w:pPr>
          </w:p>
        </w:tc>
        <w:tc>
          <w:tcPr>
            <w:tcW w:w="7380" w:type="dxa"/>
            <w:vAlign w:val="bottom"/>
          </w:tcPr>
          <w:p>
            <w:pPr>
              <w:ind w:left="200"/>
              <w:spacing w:after="0"/>
              <w:rPr>
                <w:sz w:val="20"/>
                <w:szCs w:val="20"/>
                <w:color w:val="auto"/>
              </w:rPr>
            </w:pPr>
            <w:r>
              <w:rPr>
                <w:rFonts w:ascii="Arial" w:cs="Arial" w:eastAsia="Arial" w:hAnsi="Arial"/>
                <w:sz w:val="15"/>
                <w:szCs w:val="15"/>
                <w:color w:val="auto"/>
              </w:rPr>
              <w:t>Our  STI  program  design  promotes  and  rewards  teamwork  given  that  it  emphasizes  company-</w:t>
            </w:r>
          </w:p>
        </w:tc>
      </w:tr>
      <w:tr>
        <w:trPr>
          <w:trHeight w:val="189"/>
        </w:trPr>
        <w:tc>
          <w:tcPr>
            <w:tcW w:w="200" w:type="dxa"/>
            <w:vAlign w:val="bottom"/>
            <w:shd w:val="clear" w:color="auto" w:fill="1414D2"/>
          </w:tcPr>
          <w:p>
            <w:pPr>
              <w:spacing w:after="0"/>
              <w:rPr>
                <w:sz w:val="16"/>
                <w:szCs w:val="16"/>
                <w:color w:val="auto"/>
              </w:rPr>
            </w:pPr>
          </w:p>
        </w:tc>
        <w:tc>
          <w:tcPr>
            <w:tcW w:w="2140" w:type="dxa"/>
            <w:vAlign w:val="bottom"/>
          </w:tcPr>
          <w:p>
            <w:pPr>
              <w:spacing w:after="0"/>
              <w:rPr>
                <w:sz w:val="16"/>
                <w:szCs w:val="16"/>
                <w:color w:val="auto"/>
              </w:rPr>
            </w:pPr>
          </w:p>
        </w:tc>
        <w:tc>
          <w:tcPr>
            <w:tcW w:w="7380" w:type="dxa"/>
            <w:vAlign w:val="bottom"/>
          </w:tcPr>
          <w:p>
            <w:pPr>
              <w:ind w:left="200"/>
              <w:spacing w:after="0"/>
              <w:rPr>
                <w:sz w:val="20"/>
                <w:szCs w:val="20"/>
                <w:color w:val="auto"/>
              </w:rPr>
            </w:pPr>
            <w:r>
              <w:rPr>
                <w:rFonts w:ascii="Arial" w:cs="Arial" w:eastAsia="Arial" w:hAnsi="Arial"/>
                <w:sz w:val="15"/>
                <w:szCs w:val="15"/>
                <w:color w:val="auto"/>
              </w:rPr>
              <w:t>wide  fnancial  goals  and  other  business  objectives  that  apply  consistently  across  many  levels,</w:t>
            </w:r>
          </w:p>
        </w:tc>
      </w:tr>
      <w:tr>
        <w:trPr>
          <w:trHeight w:val="175"/>
        </w:trPr>
        <w:tc>
          <w:tcPr>
            <w:tcW w:w="200" w:type="dxa"/>
            <w:vAlign w:val="bottom"/>
            <w:shd w:val="clear" w:color="auto" w:fill="1414D2"/>
          </w:tcPr>
          <w:p>
            <w:pPr>
              <w:spacing w:after="0"/>
              <w:rPr>
                <w:sz w:val="15"/>
                <w:szCs w:val="15"/>
                <w:color w:val="auto"/>
              </w:rPr>
            </w:pPr>
          </w:p>
        </w:tc>
        <w:tc>
          <w:tcPr>
            <w:tcW w:w="2140" w:type="dxa"/>
            <w:vAlign w:val="bottom"/>
          </w:tcPr>
          <w:p>
            <w:pPr>
              <w:spacing w:after="0"/>
              <w:rPr>
                <w:sz w:val="15"/>
                <w:szCs w:val="15"/>
                <w:color w:val="auto"/>
              </w:rPr>
            </w:pPr>
          </w:p>
        </w:tc>
        <w:tc>
          <w:tcPr>
            <w:tcW w:w="7380" w:type="dxa"/>
            <w:vAlign w:val="bottom"/>
          </w:tcPr>
          <w:p>
            <w:pPr>
              <w:ind w:left="200"/>
              <w:spacing w:after="0"/>
              <w:rPr>
                <w:sz w:val="20"/>
                <w:szCs w:val="20"/>
                <w:color w:val="auto"/>
              </w:rPr>
            </w:pPr>
            <w:r>
              <w:rPr>
                <w:rFonts w:ascii="Arial" w:cs="Arial" w:eastAsia="Arial" w:hAnsi="Arial"/>
                <w:sz w:val="15"/>
                <w:szCs w:val="15"/>
                <w:color w:val="auto"/>
              </w:rPr>
              <w:t>from  our  Chief  Executive  Ofcer  through  all  of  our  management  and  administrative  employees.</w:t>
            </w:r>
          </w:p>
        </w:tc>
      </w:tr>
      <w:tr>
        <w:trPr>
          <w:trHeight w:val="189"/>
        </w:trPr>
        <w:tc>
          <w:tcPr>
            <w:tcW w:w="200" w:type="dxa"/>
            <w:vAlign w:val="bottom"/>
            <w:shd w:val="clear" w:color="auto" w:fill="1414D2"/>
          </w:tcPr>
          <w:p>
            <w:pPr>
              <w:spacing w:after="0"/>
              <w:rPr>
                <w:sz w:val="16"/>
                <w:szCs w:val="16"/>
                <w:color w:val="auto"/>
              </w:rPr>
            </w:pPr>
          </w:p>
        </w:tc>
        <w:tc>
          <w:tcPr>
            <w:tcW w:w="2140" w:type="dxa"/>
            <w:vAlign w:val="bottom"/>
          </w:tcPr>
          <w:p>
            <w:pPr>
              <w:spacing w:after="0"/>
              <w:rPr>
                <w:sz w:val="16"/>
                <w:szCs w:val="16"/>
                <w:color w:val="auto"/>
              </w:rPr>
            </w:pPr>
          </w:p>
        </w:tc>
        <w:tc>
          <w:tcPr>
            <w:tcW w:w="7380" w:type="dxa"/>
            <w:vAlign w:val="bottom"/>
          </w:tcPr>
          <w:p>
            <w:pPr>
              <w:ind w:left="200"/>
              <w:spacing w:after="0"/>
              <w:rPr>
                <w:sz w:val="20"/>
                <w:szCs w:val="20"/>
                <w:color w:val="auto"/>
              </w:rPr>
            </w:pPr>
            <w:r>
              <w:rPr>
                <w:rFonts w:ascii="Arial" w:cs="Arial" w:eastAsia="Arial" w:hAnsi="Arial"/>
                <w:sz w:val="15"/>
                <w:szCs w:val="15"/>
                <w:color w:val="auto"/>
              </w:rPr>
              <w:t>This  consistency  increases  shared  accountability  for  success  and  alignment  with  interests  of  our</w:t>
            </w:r>
          </w:p>
        </w:tc>
      </w:tr>
      <w:tr>
        <w:trPr>
          <w:trHeight w:val="175"/>
        </w:trPr>
        <w:tc>
          <w:tcPr>
            <w:tcW w:w="200" w:type="dxa"/>
            <w:vAlign w:val="bottom"/>
            <w:shd w:val="clear" w:color="auto" w:fill="1414D2"/>
          </w:tcPr>
          <w:p>
            <w:pPr>
              <w:spacing w:after="0"/>
              <w:rPr>
                <w:sz w:val="15"/>
                <w:szCs w:val="15"/>
                <w:color w:val="auto"/>
              </w:rPr>
            </w:pPr>
          </w:p>
        </w:tc>
        <w:tc>
          <w:tcPr>
            <w:tcW w:w="2140" w:type="dxa"/>
            <w:vAlign w:val="bottom"/>
          </w:tcPr>
          <w:p>
            <w:pPr>
              <w:spacing w:after="0"/>
              <w:rPr>
                <w:sz w:val="15"/>
                <w:szCs w:val="15"/>
                <w:color w:val="auto"/>
              </w:rPr>
            </w:pPr>
          </w:p>
        </w:tc>
        <w:tc>
          <w:tcPr>
            <w:tcW w:w="7380" w:type="dxa"/>
            <w:vAlign w:val="bottom"/>
          </w:tcPr>
          <w:p>
            <w:pPr>
              <w:ind w:left="200"/>
              <w:spacing w:after="0"/>
              <w:rPr>
                <w:sz w:val="20"/>
                <w:szCs w:val="20"/>
                <w:color w:val="auto"/>
              </w:rPr>
            </w:pPr>
            <w:r>
              <w:rPr>
                <w:rFonts w:ascii="Arial" w:cs="Arial" w:eastAsia="Arial" w:hAnsi="Arial"/>
                <w:sz w:val="15"/>
                <w:szCs w:val="15"/>
                <w:color w:val="auto"/>
              </w:rPr>
              <w:t>customers.  Further,  our  2025  Program  used  STI  performance  measures  that  are  based  upon  our</w:t>
            </w:r>
          </w:p>
        </w:tc>
      </w:tr>
      <w:tr>
        <w:trPr>
          <w:trHeight w:val="189"/>
        </w:trPr>
        <w:tc>
          <w:tcPr>
            <w:tcW w:w="200" w:type="dxa"/>
            <w:vAlign w:val="bottom"/>
            <w:shd w:val="clear" w:color="auto" w:fill="1414D2"/>
          </w:tcPr>
          <w:p>
            <w:pPr>
              <w:spacing w:after="0"/>
              <w:rPr>
                <w:sz w:val="16"/>
                <w:szCs w:val="16"/>
                <w:color w:val="auto"/>
              </w:rPr>
            </w:pPr>
          </w:p>
        </w:tc>
        <w:tc>
          <w:tcPr>
            <w:tcW w:w="2140" w:type="dxa"/>
            <w:vAlign w:val="bottom"/>
          </w:tcPr>
          <w:p>
            <w:pPr>
              <w:spacing w:after="0"/>
              <w:rPr>
                <w:sz w:val="16"/>
                <w:szCs w:val="16"/>
                <w:color w:val="auto"/>
              </w:rPr>
            </w:pPr>
          </w:p>
        </w:tc>
        <w:tc>
          <w:tcPr>
            <w:tcW w:w="7380" w:type="dxa"/>
            <w:vAlign w:val="bottom"/>
          </w:tcPr>
          <w:p>
            <w:pPr>
              <w:ind w:left="200"/>
              <w:spacing w:after="0"/>
              <w:rPr>
                <w:sz w:val="20"/>
                <w:szCs w:val="20"/>
                <w:color w:val="auto"/>
              </w:rPr>
            </w:pPr>
            <w:r>
              <w:rPr>
                <w:rFonts w:ascii="Arial" w:cs="Arial" w:eastAsia="Arial" w:hAnsi="Arial"/>
                <w:sz w:val="15"/>
                <w:szCs w:val="15"/>
                <w:color w:val="auto"/>
              </w:rPr>
              <w:t>business  plan  for  the  fscal  year,  helping  to  align  pay  with  annual  performance.  For  example,  the</w:t>
            </w:r>
          </w:p>
        </w:tc>
      </w:tr>
      <w:tr>
        <w:trPr>
          <w:trHeight w:val="176"/>
        </w:trPr>
        <w:tc>
          <w:tcPr>
            <w:tcW w:w="200" w:type="dxa"/>
            <w:vAlign w:val="bottom"/>
            <w:shd w:val="clear" w:color="auto" w:fill="1414D2"/>
          </w:tcPr>
          <w:p>
            <w:pPr>
              <w:spacing w:after="0"/>
              <w:rPr>
                <w:sz w:val="15"/>
                <w:szCs w:val="15"/>
                <w:color w:val="auto"/>
              </w:rPr>
            </w:pPr>
          </w:p>
        </w:tc>
        <w:tc>
          <w:tcPr>
            <w:tcW w:w="2140" w:type="dxa"/>
            <w:vAlign w:val="bottom"/>
          </w:tcPr>
          <w:p>
            <w:pPr>
              <w:spacing w:after="0"/>
              <w:rPr>
                <w:sz w:val="15"/>
                <w:szCs w:val="15"/>
                <w:color w:val="auto"/>
              </w:rPr>
            </w:pPr>
          </w:p>
        </w:tc>
        <w:tc>
          <w:tcPr>
            <w:tcW w:w="7380" w:type="dxa"/>
            <w:vAlign w:val="bottom"/>
          </w:tcPr>
          <w:p>
            <w:pPr>
              <w:ind w:left="200"/>
              <w:spacing w:after="0"/>
              <w:rPr>
                <w:sz w:val="20"/>
                <w:szCs w:val="20"/>
                <w:color w:val="auto"/>
              </w:rPr>
            </w:pPr>
            <w:r>
              <w:rPr>
                <w:rFonts w:ascii="Arial" w:cs="Arial" w:eastAsia="Arial" w:hAnsi="Arial"/>
                <w:sz w:val="15"/>
                <w:szCs w:val="15"/>
                <w:color w:val="auto"/>
              </w:rPr>
              <w:t>NPS  metric  in  the  2025  STI  program  directly  linked  a  portion  of  incentive  payouts  to  customer</w:t>
            </w:r>
          </w:p>
        </w:tc>
      </w:tr>
      <w:tr>
        <w:trPr>
          <w:trHeight w:val="189"/>
        </w:trPr>
        <w:tc>
          <w:tcPr>
            <w:tcW w:w="200" w:type="dxa"/>
            <w:vAlign w:val="bottom"/>
            <w:shd w:val="clear" w:color="auto" w:fill="1414D2"/>
          </w:tcPr>
          <w:p>
            <w:pPr>
              <w:spacing w:after="0"/>
              <w:rPr>
                <w:sz w:val="16"/>
                <w:szCs w:val="16"/>
                <w:color w:val="auto"/>
              </w:rPr>
            </w:pPr>
          </w:p>
        </w:tc>
        <w:tc>
          <w:tcPr>
            <w:tcW w:w="2140" w:type="dxa"/>
            <w:vAlign w:val="bottom"/>
          </w:tcPr>
          <w:p>
            <w:pPr>
              <w:spacing w:after="0"/>
              <w:rPr>
                <w:sz w:val="16"/>
                <w:szCs w:val="16"/>
                <w:color w:val="auto"/>
              </w:rPr>
            </w:pPr>
          </w:p>
        </w:tc>
        <w:tc>
          <w:tcPr>
            <w:tcW w:w="7380" w:type="dxa"/>
            <w:vAlign w:val="bottom"/>
          </w:tcPr>
          <w:p>
            <w:pPr>
              <w:ind w:left="200"/>
              <w:spacing w:after="0"/>
              <w:rPr>
                <w:sz w:val="20"/>
                <w:szCs w:val="20"/>
                <w:color w:val="auto"/>
              </w:rPr>
            </w:pPr>
            <w:r>
              <w:rPr>
                <w:rFonts w:ascii="Arial" w:cs="Arial" w:eastAsia="Arial" w:hAnsi="Arial"/>
                <w:sz w:val="15"/>
                <w:szCs w:val="15"/>
                <w:color w:val="auto"/>
              </w:rPr>
              <w:t>satisfaction  outcomes,  contributing  to  our  highest  full-year  Net  Promoter  Score  since  2022</w:t>
            </w:r>
          </w:p>
        </w:tc>
      </w:tr>
      <w:tr>
        <w:trPr>
          <w:trHeight w:val="175"/>
        </w:trPr>
        <w:tc>
          <w:tcPr>
            <w:tcW w:w="200" w:type="dxa"/>
            <w:vAlign w:val="bottom"/>
            <w:shd w:val="clear" w:color="auto" w:fill="1414D2"/>
          </w:tcPr>
          <w:p>
            <w:pPr>
              <w:spacing w:after="0"/>
              <w:rPr>
                <w:sz w:val="15"/>
                <w:szCs w:val="15"/>
                <w:color w:val="auto"/>
              </w:rPr>
            </w:pPr>
          </w:p>
        </w:tc>
        <w:tc>
          <w:tcPr>
            <w:tcW w:w="2140" w:type="dxa"/>
            <w:vAlign w:val="bottom"/>
          </w:tcPr>
          <w:p>
            <w:pPr>
              <w:spacing w:after="0"/>
              <w:rPr>
                <w:sz w:val="15"/>
                <w:szCs w:val="15"/>
                <w:color w:val="auto"/>
              </w:rPr>
            </w:pPr>
          </w:p>
        </w:tc>
        <w:tc>
          <w:tcPr>
            <w:tcW w:w="7380" w:type="dxa"/>
            <w:vAlign w:val="bottom"/>
          </w:tcPr>
          <w:p>
            <w:pPr>
              <w:ind w:left="200"/>
              <w:spacing w:after="0"/>
              <w:rPr>
                <w:sz w:val="20"/>
                <w:szCs w:val="20"/>
                <w:color w:val="auto"/>
              </w:rPr>
            </w:pPr>
            <w:r>
              <w:rPr>
                <w:rFonts w:ascii="Arial" w:cs="Arial" w:eastAsia="Arial" w:hAnsi="Arial"/>
                <w:sz w:val="15"/>
                <w:szCs w:val="15"/>
                <w:color w:val="auto"/>
              </w:rPr>
              <w:t>among  on-time  passengers,  allowing  us  to  continue  to  build  the  United  brand  into  the  preferred</w:t>
            </w:r>
          </w:p>
        </w:tc>
      </w:tr>
      <w:tr>
        <w:trPr>
          <w:trHeight w:val="222"/>
        </w:trPr>
        <w:tc>
          <w:tcPr>
            <w:tcW w:w="200" w:type="dxa"/>
            <w:vAlign w:val="bottom"/>
            <w:shd w:val="clear" w:color="auto" w:fill="1414D2"/>
          </w:tcPr>
          <w:p>
            <w:pPr>
              <w:spacing w:after="0"/>
              <w:rPr>
                <w:sz w:val="19"/>
                <w:szCs w:val="19"/>
                <w:color w:val="auto"/>
              </w:rPr>
            </w:pPr>
          </w:p>
        </w:tc>
        <w:tc>
          <w:tcPr>
            <w:tcW w:w="2140" w:type="dxa"/>
            <w:vAlign w:val="bottom"/>
          </w:tcPr>
          <w:p>
            <w:pPr>
              <w:spacing w:after="0"/>
              <w:rPr>
                <w:sz w:val="19"/>
                <w:szCs w:val="19"/>
                <w:color w:val="auto"/>
              </w:rPr>
            </w:pPr>
          </w:p>
        </w:tc>
        <w:tc>
          <w:tcPr>
            <w:tcW w:w="7380" w:type="dxa"/>
            <w:vAlign w:val="bottom"/>
          </w:tcPr>
          <w:p>
            <w:pPr>
              <w:ind w:left="200"/>
              <w:spacing w:after="0"/>
              <w:rPr>
                <w:sz w:val="20"/>
                <w:szCs w:val="20"/>
                <w:color w:val="auto"/>
              </w:rPr>
            </w:pPr>
            <w:r>
              <w:rPr>
                <w:rFonts w:ascii="Arial" w:cs="Arial" w:eastAsia="Arial" w:hAnsi="Arial"/>
                <w:sz w:val="15"/>
                <w:szCs w:val="15"/>
                <w:color w:val="auto"/>
              </w:rPr>
              <w:t>choice  for  airline  travel  and  winning  brand-loyal  customers.</w:t>
            </w:r>
          </w:p>
        </w:tc>
      </w:tr>
      <w:tr>
        <w:trPr>
          <w:trHeight w:val="210"/>
        </w:trPr>
        <w:tc>
          <w:tcPr>
            <w:tcW w:w="200" w:type="dxa"/>
            <w:vAlign w:val="bottom"/>
            <w:shd w:val="clear" w:color="auto" w:fill="1414D2"/>
          </w:tcPr>
          <w:p>
            <w:pPr>
              <w:spacing w:after="0"/>
              <w:rPr>
                <w:sz w:val="18"/>
                <w:szCs w:val="18"/>
                <w:color w:val="auto"/>
              </w:rPr>
            </w:pPr>
          </w:p>
        </w:tc>
        <w:tc>
          <w:tcPr>
            <w:tcW w:w="2140" w:type="dxa"/>
            <w:vAlign w:val="bottom"/>
          </w:tcPr>
          <w:p>
            <w:pPr>
              <w:spacing w:after="0"/>
              <w:rPr>
                <w:sz w:val="18"/>
                <w:szCs w:val="18"/>
                <w:color w:val="auto"/>
              </w:rPr>
            </w:pPr>
          </w:p>
        </w:tc>
        <w:tc>
          <w:tcPr>
            <w:tcW w:w="7380" w:type="dxa"/>
            <w:vAlign w:val="bottom"/>
          </w:tcPr>
          <w:p>
            <w:pPr>
              <w:ind w:left="200"/>
              <w:spacing w:after="0"/>
              <w:rPr>
                <w:sz w:val="20"/>
                <w:szCs w:val="20"/>
                <w:color w:val="auto"/>
              </w:rPr>
            </w:pPr>
            <w:r>
              <w:rPr>
                <w:rFonts w:ascii="Arial" w:cs="Arial" w:eastAsia="Arial" w:hAnsi="Arial"/>
                <w:sz w:val="15"/>
                <w:szCs w:val="15"/>
                <w:color w:val="auto"/>
              </w:rPr>
              <w:t>Performance  measures  for  our  regular  annual  PBRSUs  (tranche  1  of  the  Performance-Based</w:t>
            </w:r>
          </w:p>
        </w:tc>
      </w:tr>
      <w:tr>
        <w:trPr>
          <w:trHeight w:val="189"/>
        </w:trPr>
        <w:tc>
          <w:tcPr>
            <w:tcW w:w="200" w:type="dxa"/>
            <w:vAlign w:val="bottom"/>
            <w:shd w:val="clear" w:color="auto" w:fill="1414D2"/>
          </w:tcPr>
          <w:p>
            <w:pPr>
              <w:spacing w:after="0"/>
              <w:rPr>
                <w:sz w:val="16"/>
                <w:szCs w:val="16"/>
                <w:color w:val="auto"/>
              </w:rPr>
            </w:pPr>
          </w:p>
        </w:tc>
        <w:tc>
          <w:tcPr>
            <w:tcW w:w="2140" w:type="dxa"/>
            <w:vAlign w:val="bottom"/>
          </w:tcPr>
          <w:p>
            <w:pPr>
              <w:spacing w:after="0"/>
              <w:rPr>
                <w:sz w:val="16"/>
                <w:szCs w:val="16"/>
                <w:color w:val="auto"/>
              </w:rPr>
            </w:pPr>
          </w:p>
        </w:tc>
        <w:tc>
          <w:tcPr>
            <w:tcW w:w="7380" w:type="dxa"/>
            <w:vAlign w:val="bottom"/>
          </w:tcPr>
          <w:p>
            <w:pPr>
              <w:ind w:left="200"/>
              <w:spacing w:after="0"/>
              <w:rPr>
                <w:sz w:val="20"/>
                <w:szCs w:val="20"/>
                <w:color w:val="auto"/>
              </w:rPr>
            </w:pPr>
            <w:r>
              <w:rPr>
                <w:rFonts w:ascii="Arial" w:cs="Arial" w:eastAsia="Arial" w:hAnsi="Arial"/>
                <w:sz w:val="15"/>
                <w:szCs w:val="15"/>
                <w:color w:val="auto"/>
              </w:rPr>
              <w:t>RSUs  granted  in  2025,  tranche  2  of  the  Performance-Based  RSUs  granted  in  2024  and  tranche  3</w:t>
            </w:r>
          </w:p>
        </w:tc>
      </w:tr>
      <w:tr>
        <w:trPr>
          <w:trHeight w:val="175"/>
        </w:trPr>
        <w:tc>
          <w:tcPr>
            <w:tcW w:w="200" w:type="dxa"/>
            <w:vAlign w:val="bottom"/>
            <w:shd w:val="clear" w:color="auto" w:fill="1414D2"/>
          </w:tcPr>
          <w:p>
            <w:pPr>
              <w:spacing w:after="0"/>
              <w:rPr>
                <w:sz w:val="15"/>
                <w:szCs w:val="15"/>
                <w:color w:val="auto"/>
              </w:rPr>
            </w:pPr>
          </w:p>
        </w:tc>
        <w:tc>
          <w:tcPr>
            <w:tcW w:w="2140" w:type="dxa"/>
            <w:vAlign w:val="bottom"/>
          </w:tcPr>
          <w:p>
            <w:pPr>
              <w:spacing w:after="0"/>
              <w:rPr>
                <w:sz w:val="15"/>
                <w:szCs w:val="15"/>
                <w:color w:val="auto"/>
              </w:rPr>
            </w:pPr>
          </w:p>
        </w:tc>
        <w:tc>
          <w:tcPr>
            <w:tcW w:w="7380" w:type="dxa"/>
            <w:vAlign w:val="bottom"/>
          </w:tcPr>
          <w:p>
            <w:pPr>
              <w:ind w:left="200"/>
              <w:spacing w:after="0"/>
              <w:rPr>
                <w:sz w:val="20"/>
                <w:szCs w:val="20"/>
                <w:color w:val="auto"/>
              </w:rPr>
            </w:pPr>
            <w:r>
              <w:rPr>
                <w:rFonts w:ascii="Arial" w:cs="Arial" w:eastAsia="Arial" w:hAnsi="Arial"/>
                <w:sz w:val="15"/>
                <w:szCs w:val="15"/>
                <w:color w:val="auto"/>
              </w:rPr>
              <w:t>of  the  Performance-Based  RSUs  granted  in  2023)  were  similarly  focused  on  fnancial  goals  and</w:t>
            </w:r>
          </w:p>
        </w:tc>
      </w:tr>
      <w:tr>
        <w:trPr>
          <w:trHeight w:val="189"/>
        </w:trPr>
        <w:tc>
          <w:tcPr>
            <w:tcW w:w="200" w:type="dxa"/>
            <w:vAlign w:val="bottom"/>
            <w:shd w:val="clear" w:color="auto" w:fill="1414D2"/>
          </w:tcPr>
          <w:p>
            <w:pPr>
              <w:spacing w:after="0"/>
              <w:rPr>
                <w:sz w:val="16"/>
                <w:szCs w:val="16"/>
                <w:color w:val="auto"/>
              </w:rPr>
            </w:pPr>
          </w:p>
        </w:tc>
        <w:tc>
          <w:tcPr>
            <w:tcW w:w="2140" w:type="dxa"/>
            <w:vAlign w:val="bottom"/>
          </w:tcPr>
          <w:p>
            <w:pPr>
              <w:spacing w:after="0"/>
              <w:rPr>
                <w:sz w:val="16"/>
                <w:szCs w:val="16"/>
                <w:color w:val="auto"/>
              </w:rPr>
            </w:pPr>
          </w:p>
        </w:tc>
        <w:tc>
          <w:tcPr>
            <w:tcW w:w="7380" w:type="dxa"/>
            <w:vAlign w:val="bottom"/>
          </w:tcPr>
          <w:p>
            <w:pPr>
              <w:ind w:left="200"/>
              <w:spacing w:after="0"/>
              <w:rPr>
                <w:sz w:val="20"/>
                <w:szCs w:val="20"/>
                <w:color w:val="auto"/>
              </w:rPr>
            </w:pPr>
            <w:r>
              <w:rPr>
                <w:rFonts w:ascii="Arial" w:cs="Arial" w:eastAsia="Arial" w:hAnsi="Arial"/>
                <w:sz w:val="15"/>
                <w:szCs w:val="15"/>
                <w:color w:val="auto"/>
              </w:rPr>
              <w:t>other  business  objectives  deemed  by  the  Committee  to  be  critical  to  motivating  management’s</w:t>
            </w:r>
          </w:p>
        </w:tc>
      </w:tr>
      <w:tr>
        <w:trPr>
          <w:trHeight w:val="176"/>
        </w:trPr>
        <w:tc>
          <w:tcPr>
            <w:tcW w:w="200" w:type="dxa"/>
            <w:vAlign w:val="bottom"/>
            <w:shd w:val="clear" w:color="auto" w:fill="1414D2"/>
          </w:tcPr>
          <w:p>
            <w:pPr>
              <w:spacing w:after="0"/>
              <w:rPr>
                <w:sz w:val="15"/>
                <w:szCs w:val="15"/>
                <w:color w:val="auto"/>
              </w:rPr>
            </w:pPr>
          </w:p>
        </w:tc>
        <w:tc>
          <w:tcPr>
            <w:tcW w:w="2140" w:type="dxa"/>
            <w:vAlign w:val="bottom"/>
          </w:tcPr>
          <w:p>
            <w:pPr>
              <w:spacing w:after="0"/>
              <w:rPr>
                <w:sz w:val="15"/>
                <w:szCs w:val="15"/>
                <w:color w:val="auto"/>
              </w:rPr>
            </w:pPr>
          </w:p>
        </w:tc>
        <w:tc>
          <w:tcPr>
            <w:tcW w:w="7380" w:type="dxa"/>
            <w:vAlign w:val="bottom"/>
          </w:tcPr>
          <w:p>
            <w:pPr>
              <w:ind w:left="200"/>
              <w:spacing w:after="0"/>
              <w:rPr>
                <w:sz w:val="20"/>
                <w:szCs w:val="20"/>
                <w:color w:val="auto"/>
              </w:rPr>
            </w:pPr>
            <w:r>
              <w:rPr>
                <w:rFonts w:ascii="Arial" w:cs="Arial" w:eastAsia="Arial" w:hAnsi="Arial"/>
                <w:sz w:val="15"/>
                <w:szCs w:val="15"/>
                <w:color w:val="auto"/>
              </w:rPr>
              <w:t>focus  on  our  sustained  performance  and  building  long-term  stockholder  value.   For  example,  the</w:t>
            </w:r>
          </w:p>
        </w:tc>
      </w:tr>
      <w:tr>
        <w:trPr>
          <w:trHeight w:val="189"/>
        </w:trPr>
        <w:tc>
          <w:tcPr>
            <w:tcW w:w="200" w:type="dxa"/>
            <w:vAlign w:val="bottom"/>
            <w:shd w:val="clear" w:color="auto" w:fill="1414D2"/>
          </w:tcPr>
          <w:p>
            <w:pPr>
              <w:spacing w:after="0"/>
              <w:rPr>
                <w:sz w:val="16"/>
                <w:szCs w:val="16"/>
                <w:color w:val="auto"/>
              </w:rPr>
            </w:pPr>
          </w:p>
        </w:tc>
        <w:tc>
          <w:tcPr>
            <w:tcW w:w="2140" w:type="dxa"/>
            <w:vAlign w:val="bottom"/>
          </w:tcPr>
          <w:p>
            <w:pPr>
              <w:spacing w:after="0"/>
              <w:rPr>
                <w:sz w:val="16"/>
                <w:szCs w:val="16"/>
                <w:color w:val="auto"/>
              </w:rPr>
            </w:pPr>
          </w:p>
        </w:tc>
        <w:tc>
          <w:tcPr>
            <w:tcW w:w="7380" w:type="dxa"/>
            <w:vAlign w:val="bottom"/>
          </w:tcPr>
          <w:p>
            <w:pPr>
              <w:ind w:left="200"/>
              <w:spacing w:after="0"/>
              <w:rPr>
                <w:sz w:val="20"/>
                <w:szCs w:val="20"/>
                <w:color w:val="auto"/>
              </w:rPr>
            </w:pPr>
            <w:r>
              <w:rPr>
                <w:rFonts w:ascii="Arial" w:cs="Arial" w:eastAsia="Arial" w:hAnsi="Arial"/>
                <w:sz w:val="15"/>
                <w:szCs w:val="15"/>
                <w:color w:val="auto"/>
              </w:rPr>
              <w:t>Adjusted  Diluted  EPS  metric  in  the  2025  LTI  directly  linked  payout  opportunities  to  earnings</w:t>
            </w:r>
          </w:p>
        </w:tc>
      </w:tr>
      <w:tr>
        <w:trPr>
          <w:trHeight w:val="175"/>
        </w:trPr>
        <w:tc>
          <w:tcPr>
            <w:tcW w:w="200" w:type="dxa"/>
            <w:vAlign w:val="bottom"/>
            <w:shd w:val="clear" w:color="auto" w:fill="1414D2"/>
          </w:tcPr>
          <w:p>
            <w:pPr>
              <w:spacing w:after="0"/>
              <w:rPr>
                <w:sz w:val="15"/>
                <w:szCs w:val="15"/>
                <w:color w:val="auto"/>
              </w:rPr>
            </w:pPr>
          </w:p>
        </w:tc>
        <w:tc>
          <w:tcPr>
            <w:tcW w:w="2140" w:type="dxa"/>
            <w:vAlign w:val="bottom"/>
          </w:tcPr>
          <w:p>
            <w:pPr>
              <w:spacing w:after="0"/>
              <w:rPr>
                <w:sz w:val="15"/>
                <w:szCs w:val="15"/>
                <w:color w:val="auto"/>
              </w:rPr>
            </w:pPr>
          </w:p>
        </w:tc>
        <w:tc>
          <w:tcPr>
            <w:tcW w:w="7380" w:type="dxa"/>
            <w:vAlign w:val="bottom"/>
          </w:tcPr>
          <w:p>
            <w:pPr>
              <w:ind w:left="200"/>
              <w:spacing w:after="0"/>
              <w:rPr>
                <w:sz w:val="20"/>
                <w:szCs w:val="20"/>
                <w:color w:val="auto"/>
              </w:rPr>
            </w:pPr>
            <w:r>
              <w:rPr>
                <w:rFonts w:ascii="Arial" w:cs="Arial" w:eastAsia="Arial" w:hAnsi="Arial"/>
                <w:sz w:val="15"/>
                <w:szCs w:val="15"/>
                <w:color w:val="auto"/>
              </w:rPr>
              <w:t>performance,  reinforcing  management’s  focus  on  Adjusted  Diluted  EPS,  which  increased  year-</w:t>
            </w:r>
          </w:p>
        </w:tc>
      </w:tr>
      <w:tr>
        <w:trPr>
          <w:trHeight w:val="189"/>
        </w:trPr>
        <w:tc>
          <w:tcPr>
            <w:tcW w:w="200" w:type="dxa"/>
            <w:vAlign w:val="bottom"/>
            <w:shd w:val="clear" w:color="auto" w:fill="1414D2"/>
          </w:tcPr>
          <w:p>
            <w:pPr>
              <w:spacing w:after="0"/>
              <w:rPr>
                <w:sz w:val="16"/>
                <w:szCs w:val="16"/>
                <w:color w:val="auto"/>
              </w:rPr>
            </w:pPr>
          </w:p>
        </w:tc>
        <w:tc>
          <w:tcPr>
            <w:tcW w:w="2140" w:type="dxa"/>
            <w:vAlign w:val="bottom"/>
          </w:tcPr>
          <w:p>
            <w:pPr>
              <w:spacing w:after="0"/>
              <w:rPr>
                <w:sz w:val="16"/>
                <w:szCs w:val="16"/>
                <w:color w:val="auto"/>
              </w:rPr>
            </w:pPr>
          </w:p>
        </w:tc>
        <w:tc>
          <w:tcPr>
            <w:tcW w:w="7380" w:type="dxa"/>
            <w:vAlign w:val="bottom"/>
          </w:tcPr>
          <w:p>
            <w:pPr>
              <w:ind w:left="200"/>
              <w:spacing w:after="0"/>
              <w:rPr>
                <w:sz w:val="20"/>
                <w:szCs w:val="20"/>
                <w:color w:val="auto"/>
              </w:rPr>
            </w:pPr>
            <w:r>
              <w:rPr>
                <w:rFonts w:ascii="Arial" w:cs="Arial" w:eastAsia="Arial" w:hAnsi="Arial"/>
                <w:sz w:val="15"/>
                <w:szCs w:val="15"/>
                <w:color w:val="auto"/>
              </w:rPr>
              <w:t>over-year  in  2025  notwithstanding  industry  challenges.  Overall,  the  Committee  believes  that  the</w:t>
            </w:r>
          </w:p>
        </w:tc>
      </w:tr>
      <w:tr>
        <w:trPr>
          <w:trHeight w:val="175"/>
        </w:trPr>
        <w:tc>
          <w:tcPr>
            <w:tcW w:w="200" w:type="dxa"/>
            <w:vAlign w:val="bottom"/>
            <w:shd w:val="clear" w:color="auto" w:fill="1414D2"/>
          </w:tcPr>
          <w:p>
            <w:pPr>
              <w:spacing w:after="0"/>
              <w:rPr>
                <w:sz w:val="15"/>
                <w:szCs w:val="15"/>
                <w:color w:val="auto"/>
              </w:rPr>
            </w:pPr>
          </w:p>
        </w:tc>
        <w:tc>
          <w:tcPr>
            <w:tcW w:w="2140" w:type="dxa"/>
            <w:vAlign w:val="bottom"/>
          </w:tcPr>
          <w:p>
            <w:pPr>
              <w:spacing w:after="0"/>
              <w:rPr>
                <w:sz w:val="15"/>
                <w:szCs w:val="15"/>
                <w:color w:val="auto"/>
              </w:rPr>
            </w:pPr>
          </w:p>
        </w:tc>
        <w:tc>
          <w:tcPr>
            <w:tcW w:w="7380" w:type="dxa"/>
            <w:vAlign w:val="bottom"/>
          </w:tcPr>
          <w:p>
            <w:pPr>
              <w:ind w:left="200"/>
              <w:spacing w:after="0"/>
              <w:rPr>
                <w:sz w:val="20"/>
                <w:szCs w:val="20"/>
                <w:color w:val="auto"/>
              </w:rPr>
            </w:pPr>
            <w:r>
              <w:rPr>
                <w:rFonts w:ascii="Arial" w:cs="Arial" w:eastAsia="Arial" w:hAnsi="Arial"/>
                <w:sz w:val="15"/>
                <w:szCs w:val="15"/>
                <w:color w:val="auto"/>
              </w:rPr>
              <w:t>performance  measures  under  the  2025  Program  helped  to  drive  United’s  achievement  of  its</w:t>
            </w:r>
          </w:p>
        </w:tc>
      </w:tr>
      <w:tr>
        <w:trPr>
          <w:trHeight w:val="222"/>
        </w:trPr>
        <w:tc>
          <w:tcPr>
            <w:tcW w:w="200" w:type="dxa"/>
            <w:vAlign w:val="bottom"/>
            <w:shd w:val="clear" w:color="auto" w:fill="1414D2"/>
          </w:tcPr>
          <w:p>
            <w:pPr>
              <w:spacing w:after="0"/>
              <w:rPr>
                <w:sz w:val="19"/>
                <w:szCs w:val="19"/>
                <w:color w:val="auto"/>
              </w:rPr>
            </w:pPr>
          </w:p>
        </w:tc>
        <w:tc>
          <w:tcPr>
            <w:tcW w:w="2140" w:type="dxa"/>
            <w:vAlign w:val="bottom"/>
          </w:tcPr>
          <w:p>
            <w:pPr>
              <w:spacing w:after="0"/>
              <w:rPr>
                <w:sz w:val="19"/>
                <w:szCs w:val="19"/>
                <w:color w:val="auto"/>
              </w:rPr>
            </w:pPr>
          </w:p>
        </w:tc>
        <w:tc>
          <w:tcPr>
            <w:tcW w:w="7380" w:type="dxa"/>
            <w:vAlign w:val="bottom"/>
          </w:tcPr>
          <w:p>
            <w:pPr>
              <w:ind w:left="200"/>
              <w:spacing w:after="0"/>
              <w:rPr>
                <w:sz w:val="20"/>
                <w:szCs w:val="20"/>
                <w:color w:val="auto"/>
              </w:rPr>
            </w:pPr>
            <w:r>
              <w:rPr>
                <w:rFonts w:ascii="Arial" w:cs="Arial" w:eastAsia="Arial" w:hAnsi="Arial"/>
                <w:sz w:val="15"/>
                <w:szCs w:val="15"/>
                <w:color w:val="auto"/>
              </w:rPr>
              <w:t>fnancial  goals  and  other  business  objectives  throughout  2025  and  beyond.</w:t>
            </w:r>
          </w:p>
        </w:tc>
      </w:tr>
      <w:tr>
        <w:trPr>
          <w:trHeight w:val="50"/>
        </w:trPr>
        <w:tc>
          <w:tcPr>
            <w:tcW w:w="200" w:type="dxa"/>
            <w:vAlign w:val="bottom"/>
            <w:tcBorders>
              <w:bottom w:val="single" w:sz="8" w:color="1414D2"/>
            </w:tcBorders>
            <w:shd w:val="clear" w:color="auto" w:fill="1414D2"/>
          </w:tcPr>
          <w:p>
            <w:pPr>
              <w:spacing w:after="0"/>
              <w:rPr>
                <w:sz w:val="4"/>
                <w:szCs w:val="4"/>
                <w:color w:val="auto"/>
              </w:rPr>
            </w:pPr>
          </w:p>
        </w:tc>
        <w:tc>
          <w:tcPr>
            <w:tcW w:w="2140" w:type="dxa"/>
            <w:vAlign w:val="bottom"/>
            <w:tcBorders>
              <w:bottom w:val="single" w:sz="8" w:color="1414D2"/>
            </w:tcBorders>
          </w:tcPr>
          <w:p>
            <w:pPr>
              <w:spacing w:after="0"/>
              <w:rPr>
                <w:sz w:val="4"/>
                <w:szCs w:val="4"/>
                <w:color w:val="auto"/>
              </w:rPr>
            </w:pPr>
          </w:p>
        </w:tc>
        <w:tc>
          <w:tcPr>
            <w:tcW w:w="7380" w:type="dxa"/>
            <w:vAlign w:val="bottom"/>
            <w:tcBorders>
              <w:bottom w:val="single" w:sz="8" w:color="1414D2"/>
            </w:tcBorders>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2026  Proxy  Statement</w:t>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1414D2"/>
        </w:rPr>
        <w:t>83</w:t>
      </w:r>
    </w:p>
    <w:p>
      <w:pPr>
        <w:sectPr>
          <w:pgSz w:w="11900" w:h="16838" w:orient="portrait"/>
          <w:cols w:equalWidth="0" w:num="1">
            <w:col w:w="9720"/>
          </w:cols>
          <w:pgMar w:left="1080" w:top="695" w:right="1099" w:bottom="1440" w:gutter="0" w:footer="0" w:header="0"/>
        </w:sectPr>
      </w:pPr>
    </w:p>
    <w:bookmarkStart w:id="94" w:name="page95"/>
    <w:bookmarkEnd w:id="94"/>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6D6F71"/>
        </w:rPr>
        <w:t>Compensation  Discussion  and  Analysis</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0" w:type="dxa"/>
            <w:vAlign w:val="bottom"/>
            <w:tcBorders>
              <w:top w:val="single" w:sz="8" w:color="1414D2"/>
            </w:tcBorders>
            <w:shd w:val="clear" w:color="auto" w:fill="1414D2"/>
          </w:tcPr>
          <w:p>
            <w:pPr>
              <w:spacing w:after="0"/>
              <w:rPr>
                <w:sz w:val="21"/>
                <w:szCs w:val="21"/>
                <w:color w:val="auto"/>
              </w:rPr>
            </w:pPr>
          </w:p>
        </w:tc>
        <w:tc>
          <w:tcPr>
            <w:tcW w:w="2040" w:type="dxa"/>
            <w:vAlign w:val="bottom"/>
            <w:tcBorders>
              <w:top w:val="single" w:sz="8" w:color="1414D2"/>
            </w:tcBorders>
          </w:tcPr>
          <w:p>
            <w:pPr>
              <w:ind w:left="240"/>
              <w:spacing w:after="0"/>
              <w:rPr>
                <w:sz w:val="20"/>
                <w:szCs w:val="20"/>
                <w:color w:val="auto"/>
              </w:rPr>
            </w:pPr>
            <w:r>
              <w:rPr>
                <w:rFonts w:ascii="Arial" w:cs="Arial" w:eastAsia="Arial" w:hAnsi="Arial"/>
                <w:sz w:val="15"/>
                <w:szCs w:val="15"/>
                <w:b w:val="1"/>
                <w:bCs w:val="1"/>
                <w:color w:val="1414D2"/>
              </w:rPr>
              <w:t>ATTRACTING,</w:t>
            </w:r>
          </w:p>
        </w:tc>
        <w:tc>
          <w:tcPr>
            <w:tcW w:w="7480" w:type="dxa"/>
            <w:vAlign w:val="bottom"/>
            <w:tcBorders>
              <w:top w:val="single" w:sz="8" w:color="1414D2"/>
            </w:tcBorders>
          </w:tcPr>
          <w:p>
            <w:pPr>
              <w:ind w:left="300"/>
              <w:spacing w:after="0"/>
              <w:rPr>
                <w:sz w:val="20"/>
                <w:szCs w:val="20"/>
                <w:color w:val="auto"/>
              </w:rPr>
            </w:pPr>
            <w:r>
              <w:rPr>
                <w:rFonts w:ascii="Arial" w:cs="Arial" w:eastAsia="Arial" w:hAnsi="Arial"/>
                <w:sz w:val="15"/>
                <w:szCs w:val="15"/>
                <w:color w:val="auto"/>
              </w:rPr>
              <w:t>We  seek  to  attract  world-class  executives  and  to  retain  our  existing  executives  by  setting  our</w:t>
            </w:r>
          </w:p>
        </w:tc>
      </w:tr>
      <w:tr>
        <w:trPr>
          <w:trHeight w:val="189"/>
        </w:trPr>
        <w:tc>
          <w:tcPr>
            <w:tcW w:w="200" w:type="dxa"/>
            <w:vAlign w:val="bottom"/>
            <w:shd w:val="clear" w:color="auto" w:fill="1414D2"/>
          </w:tcPr>
          <w:p>
            <w:pPr>
              <w:spacing w:after="0"/>
              <w:rPr>
                <w:sz w:val="16"/>
                <w:szCs w:val="16"/>
                <w:color w:val="auto"/>
              </w:rPr>
            </w:pPr>
          </w:p>
        </w:tc>
        <w:tc>
          <w:tcPr>
            <w:tcW w:w="2040" w:type="dxa"/>
            <w:vAlign w:val="bottom"/>
          </w:tcPr>
          <w:p>
            <w:pPr>
              <w:ind w:left="240"/>
              <w:spacing w:after="0"/>
              <w:rPr>
                <w:sz w:val="20"/>
                <w:szCs w:val="20"/>
                <w:color w:val="auto"/>
              </w:rPr>
            </w:pPr>
            <w:r>
              <w:rPr>
                <w:rFonts w:ascii="Arial" w:cs="Arial" w:eastAsia="Arial" w:hAnsi="Arial"/>
                <w:sz w:val="15"/>
                <w:szCs w:val="15"/>
                <w:b w:val="1"/>
                <w:bCs w:val="1"/>
                <w:color w:val="1414D2"/>
              </w:rPr>
              <w:t>RETAINING AND</w:t>
            </w:r>
          </w:p>
        </w:tc>
        <w:tc>
          <w:tcPr>
            <w:tcW w:w="7480" w:type="dxa"/>
            <w:vAlign w:val="bottom"/>
          </w:tcPr>
          <w:p>
            <w:pPr>
              <w:ind w:left="300"/>
              <w:spacing w:after="0"/>
              <w:rPr>
                <w:sz w:val="20"/>
                <w:szCs w:val="20"/>
                <w:color w:val="auto"/>
              </w:rPr>
            </w:pPr>
            <w:r>
              <w:rPr>
                <w:rFonts w:ascii="Arial" w:cs="Arial" w:eastAsia="Arial" w:hAnsi="Arial"/>
                <w:sz w:val="15"/>
                <w:szCs w:val="15"/>
                <w:color w:val="auto"/>
              </w:rPr>
              <w:t>compensation  and  benefts  at  competitive  levels  relative  to  companies  of  similar  size,  scope  and</w:t>
            </w:r>
          </w:p>
        </w:tc>
      </w:tr>
      <w:tr>
        <w:trPr>
          <w:trHeight w:val="175"/>
        </w:trPr>
        <w:tc>
          <w:tcPr>
            <w:tcW w:w="200" w:type="dxa"/>
            <w:vAlign w:val="bottom"/>
            <w:shd w:val="clear" w:color="auto" w:fill="1414D2"/>
          </w:tcPr>
          <w:p>
            <w:pPr>
              <w:spacing w:after="0"/>
              <w:rPr>
                <w:sz w:val="15"/>
                <w:szCs w:val="15"/>
                <w:color w:val="auto"/>
              </w:rPr>
            </w:pPr>
          </w:p>
        </w:tc>
        <w:tc>
          <w:tcPr>
            <w:tcW w:w="2040" w:type="dxa"/>
            <w:vAlign w:val="bottom"/>
          </w:tcPr>
          <w:p>
            <w:pPr>
              <w:ind w:left="240"/>
              <w:spacing w:after="0"/>
              <w:rPr>
                <w:sz w:val="20"/>
                <w:szCs w:val="20"/>
                <w:color w:val="auto"/>
              </w:rPr>
            </w:pPr>
            <w:r>
              <w:rPr>
                <w:rFonts w:ascii="Arial" w:cs="Arial" w:eastAsia="Arial" w:hAnsi="Arial"/>
                <w:sz w:val="15"/>
                <w:szCs w:val="15"/>
                <w:b w:val="1"/>
                <w:bCs w:val="1"/>
                <w:color w:val="1414D2"/>
              </w:rPr>
              <w:t>APPROPRIATELY</w:t>
            </w:r>
          </w:p>
        </w:tc>
        <w:tc>
          <w:tcPr>
            <w:tcW w:w="7480" w:type="dxa"/>
            <w:vAlign w:val="bottom"/>
          </w:tcPr>
          <w:p>
            <w:pPr>
              <w:ind w:left="300"/>
              <w:spacing w:after="0"/>
              <w:rPr>
                <w:sz w:val="20"/>
                <w:szCs w:val="20"/>
                <w:color w:val="auto"/>
              </w:rPr>
            </w:pPr>
            <w:r>
              <w:rPr>
                <w:rFonts w:ascii="Arial" w:cs="Arial" w:eastAsia="Arial" w:hAnsi="Arial"/>
                <w:sz w:val="15"/>
                <w:szCs w:val="15"/>
                <w:color w:val="auto"/>
              </w:rPr>
              <w:t>complexity.  Because  we  believe  that  our  management  team  has  skills  that  are  transferrable</w:t>
            </w:r>
          </w:p>
        </w:tc>
      </w:tr>
      <w:tr>
        <w:trPr>
          <w:trHeight w:val="189"/>
        </w:trPr>
        <w:tc>
          <w:tcPr>
            <w:tcW w:w="200" w:type="dxa"/>
            <w:vAlign w:val="bottom"/>
            <w:shd w:val="clear" w:color="auto" w:fill="1414D2"/>
          </w:tcPr>
          <w:p>
            <w:pPr>
              <w:spacing w:after="0"/>
              <w:rPr>
                <w:sz w:val="16"/>
                <w:szCs w:val="16"/>
                <w:color w:val="auto"/>
              </w:rPr>
            </w:pPr>
          </w:p>
        </w:tc>
        <w:tc>
          <w:tcPr>
            <w:tcW w:w="2040" w:type="dxa"/>
            <w:vAlign w:val="bottom"/>
          </w:tcPr>
          <w:p>
            <w:pPr>
              <w:ind w:left="240"/>
              <w:spacing w:after="0"/>
              <w:rPr>
                <w:sz w:val="20"/>
                <w:szCs w:val="20"/>
                <w:color w:val="auto"/>
              </w:rPr>
            </w:pPr>
            <w:r>
              <w:rPr>
                <w:rFonts w:ascii="Arial" w:cs="Arial" w:eastAsia="Arial" w:hAnsi="Arial"/>
                <w:sz w:val="15"/>
                <w:szCs w:val="15"/>
                <w:b w:val="1"/>
                <w:bCs w:val="1"/>
                <w:color w:val="1414D2"/>
              </w:rPr>
              <w:t>REWARDING OUR</w:t>
            </w:r>
          </w:p>
        </w:tc>
        <w:tc>
          <w:tcPr>
            <w:tcW w:w="7480" w:type="dxa"/>
            <w:vAlign w:val="bottom"/>
          </w:tcPr>
          <w:p>
            <w:pPr>
              <w:ind w:left="300"/>
              <w:spacing w:after="0"/>
              <w:rPr>
                <w:sz w:val="20"/>
                <w:szCs w:val="20"/>
                <w:color w:val="auto"/>
              </w:rPr>
            </w:pPr>
            <w:r>
              <w:rPr>
                <w:rFonts w:ascii="Arial" w:cs="Arial" w:eastAsia="Arial" w:hAnsi="Arial"/>
                <w:sz w:val="15"/>
                <w:szCs w:val="15"/>
                <w:color w:val="auto"/>
              </w:rPr>
              <w:t>across  industries  and  recruit  for  talent  both  within  the  airline  industry  and  from  a  broad</w:t>
            </w:r>
          </w:p>
        </w:tc>
      </w:tr>
      <w:tr>
        <w:trPr>
          <w:trHeight w:val="175"/>
        </w:trPr>
        <w:tc>
          <w:tcPr>
            <w:tcW w:w="200" w:type="dxa"/>
            <w:vAlign w:val="bottom"/>
            <w:shd w:val="clear" w:color="auto" w:fill="1414D2"/>
          </w:tcPr>
          <w:p>
            <w:pPr>
              <w:spacing w:after="0"/>
              <w:rPr>
                <w:sz w:val="15"/>
                <w:szCs w:val="15"/>
                <w:color w:val="auto"/>
              </w:rPr>
            </w:pPr>
          </w:p>
        </w:tc>
        <w:tc>
          <w:tcPr>
            <w:tcW w:w="2040" w:type="dxa"/>
            <w:vAlign w:val="bottom"/>
          </w:tcPr>
          <w:p>
            <w:pPr>
              <w:ind w:left="240"/>
              <w:spacing w:after="0"/>
              <w:rPr>
                <w:sz w:val="20"/>
                <w:szCs w:val="20"/>
                <w:color w:val="auto"/>
              </w:rPr>
            </w:pPr>
            <w:r>
              <w:rPr>
                <w:rFonts w:ascii="Arial" w:cs="Arial" w:eastAsia="Arial" w:hAnsi="Arial"/>
                <w:sz w:val="15"/>
                <w:szCs w:val="15"/>
                <w:b w:val="1"/>
                <w:bCs w:val="1"/>
                <w:color w:val="1414D2"/>
              </w:rPr>
              <w:t>EXECUTIVES IN LINE</w:t>
            </w:r>
          </w:p>
        </w:tc>
        <w:tc>
          <w:tcPr>
            <w:tcW w:w="7480" w:type="dxa"/>
            <w:vAlign w:val="bottom"/>
          </w:tcPr>
          <w:p>
            <w:pPr>
              <w:ind w:left="300"/>
              <w:spacing w:after="0"/>
              <w:rPr>
                <w:sz w:val="20"/>
                <w:szCs w:val="20"/>
                <w:color w:val="auto"/>
              </w:rPr>
            </w:pPr>
            <w:r>
              <w:rPr>
                <w:rFonts w:ascii="Arial" w:cs="Arial" w:eastAsia="Arial" w:hAnsi="Arial"/>
                <w:sz w:val="15"/>
                <w:szCs w:val="15"/>
                <w:color w:val="auto"/>
              </w:rPr>
              <w:t>spectrum  of  leading  businesses,  we  compare  the  overall  compensation  levels  of  our  executive</w:t>
            </w:r>
          </w:p>
        </w:tc>
      </w:tr>
      <w:tr>
        <w:trPr>
          <w:trHeight w:val="189"/>
        </w:trPr>
        <w:tc>
          <w:tcPr>
            <w:tcW w:w="200" w:type="dxa"/>
            <w:vAlign w:val="bottom"/>
            <w:shd w:val="clear" w:color="auto" w:fill="1414D2"/>
          </w:tcPr>
          <w:p>
            <w:pPr>
              <w:spacing w:after="0"/>
              <w:rPr>
                <w:sz w:val="16"/>
                <w:szCs w:val="16"/>
                <w:color w:val="auto"/>
              </w:rPr>
            </w:pPr>
          </w:p>
        </w:tc>
        <w:tc>
          <w:tcPr>
            <w:tcW w:w="2040" w:type="dxa"/>
            <w:vAlign w:val="bottom"/>
          </w:tcPr>
          <w:p>
            <w:pPr>
              <w:ind w:left="240"/>
              <w:spacing w:after="0"/>
              <w:rPr>
                <w:sz w:val="20"/>
                <w:szCs w:val="20"/>
                <w:color w:val="auto"/>
              </w:rPr>
            </w:pPr>
            <w:r>
              <w:rPr>
                <w:rFonts w:ascii="Arial" w:cs="Arial" w:eastAsia="Arial" w:hAnsi="Arial"/>
                <w:sz w:val="15"/>
                <w:szCs w:val="15"/>
                <w:b w:val="1"/>
                <w:bCs w:val="1"/>
                <w:color w:val="1414D2"/>
              </w:rPr>
              <w:t>WITH MARKET</w:t>
            </w:r>
          </w:p>
        </w:tc>
        <w:tc>
          <w:tcPr>
            <w:tcW w:w="7480" w:type="dxa"/>
            <w:vAlign w:val="bottom"/>
          </w:tcPr>
          <w:p>
            <w:pPr>
              <w:ind w:left="300"/>
              <w:spacing w:after="0"/>
              <w:rPr>
                <w:sz w:val="20"/>
                <w:szCs w:val="20"/>
                <w:color w:val="auto"/>
              </w:rPr>
            </w:pPr>
            <w:r>
              <w:rPr>
                <w:rFonts w:ascii="Arial" w:cs="Arial" w:eastAsia="Arial" w:hAnsi="Arial"/>
                <w:sz w:val="15"/>
                <w:szCs w:val="15"/>
                <w:color w:val="auto"/>
              </w:rPr>
              <w:t>ofcers  with  the  compensation  provided  to  similarly-situated  executive  ofcers  of  a</w:t>
            </w:r>
          </w:p>
        </w:tc>
      </w:tr>
      <w:tr>
        <w:trPr>
          <w:trHeight w:val="176"/>
        </w:trPr>
        <w:tc>
          <w:tcPr>
            <w:tcW w:w="200" w:type="dxa"/>
            <w:vAlign w:val="bottom"/>
            <w:shd w:val="clear" w:color="auto" w:fill="1414D2"/>
          </w:tcPr>
          <w:p>
            <w:pPr>
              <w:spacing w:after="0"/>
              <w:rPr>
                <w:sz w:val="15"/>
                <w:szCs w:val="15"/>
                <w:color w:val="auto"/>
              </w:rPr>
            </w:pPr>
          </w:p>
        </w:tc>
        <w:tc>
          <w:tcPr>
            <w:tcW w:w="2040" w:type="dxa"/>
            <w:vAlign w:val="bottom"/>
          </w:tcPr>
          <w:p>
            <w:pPr>
              <w:ind w:left="240"/>
              <w:spacing w:after="0"/>
              <w:rPr>
                <w:sz w:val="20"/>
                <w:szCs w:val="20"/>
                <w:color w:val="auto"/>
              </w:rPr>
            </w:pPr>
            <w:r>
              <w:rPr>
                <w:rFonts w:ascii="Arial" w:cs="Arial" w:eastAsia="Arial" w:hAnsi="Arial"/>
                <w:sz w:val="15"/>
                <w:szCs w:val="15"/>
                <w:b w:val="1"/>
                <w:bCs w:val="1"/>
                <w:color w:val="1414D2"/>
              </w:rPr>
              <w:t>PRACTICES</w:t>
            </w:r>
          </w:p>
        </w:tc>
        <w:tc>
          <w:tcPr>
            <w:tcW w:w="7480" w:type="dxa"/>
            <w:vAlign w:val="bottom"/>
          </w:tcPr>
          <w:p>
            <w:pPr>
              <w:ind w:left="300"/>
              <w:spacing w:after="0"/>
              <w:rPr>
                <w:sz w:val="20"/>
                <w:szCs w:val="20"/>
                <w:color w:val="auto"/>
              </w:rPr>
            </w:pPr>
            <w:r>
              <w:rPr>
                <w:rFonts w:ascii="Arial" w:cs="Arial" w:eastAsia="Arial" w:hAnsi="Arial"/>
                <w:sz w:val="15"/>
                <w:szCs w:val="15"/>
                <w:color w:val="auto"/>
              </w:rPr>
              <w:t>compensation  peer  group  comprised  both  of  major  US-based  airline  competitors  and  similarly-</w:t>
            </w:r>
          </w:p>
        </w:tc>
      </w:tr>
      <w:tr>
        <w:trPr>
          <w:trHeight w:val="222"/>
        </w:trPr>
        <w:tc>
          <w:tcPr>
            <w:tcW w:w="200" w:type="dxa"/>
            <w:vAlign w:val="bottom"/>
            <w:shd w:val="clear" w:color="auto" w:fill="1414D2"/>
          </w:tcPr>
          <w:p>
            <w:pPr>
              <w:spacing w:after="0"/>
              <w:rPr>
                <w:sz w:val="19"/>
                <w:szCs w:val="19"/>
                <w:color w:val="auto"/>
              </w:rPr>
            </w:pPr>
          </w:p>
        </w:tc>
        <w:tc>
          <w:tcPr>
            <w:tcW w:w="2040" w:type="dxa"/>
            <w:vAlign w:val="bottom"/>
          </w:tcPr>
          <w:p>
            <w:pPr>
              <w:spacing w:after="0"/>
              <w:rPr>
                <w:sz w:val="19"/>
                <w:szCs w:val="19"/>
                <w:color w:val="auto"/>
              </w:rPr>
            </w:pPr>
          </w:p>
        </w:tc>
        <w:tc>
          <w:tcPr>
            <w:tcW w:w="7480" w:type="dxa"/>
            <w:vAlign w:val="bottom"/>
          </w:tcPr>
          <w:p>
            <w:pPr>
              <w:ind w:left="300"/>
              <w:spacing w:after="0"/>
              <w:rPr>
                <w:sz w:val="20"/>
                <w:szCs w:val="20"/>
                <w:color w:val="auto"/>
              </w:rPr>
            </w:pPr>
            <w:r>
              <w:rPr>
                <w:rFonts w:ascii="Arial" w:cs="Arial" w:eastAsia="Arial" w:hAnsi="Arial"/>
                <w:sz w:val="15"/>
                <w:szCs w:val="15"/>
                <w:color w:val="auto"/>
              </w:rPr>
              <w:t>sized  companies  outside  the  airline  industry  that  face  comparable  operating  environments.</w:t>
            </w:r>
          </w:p>
        </w:tc>
      </w:tr>
      <w:tr>
        <w:trPr>
          <w:trHeight w:val="210"/>
        </w:trPr>
        <w:tc>
          <w:tcPr>
            <w:tcW w:w="200" w:type="dxa"/>
            <w:vAlign w:val="bottom"/>
            <w:shd w:val="clear" w:color="auto" w:fill="1414D2"/>
          </w:tcPr>
          <w:p>
            <w:pPr>
              <w:spacing w:after="0"/>
              <w:rPr>
                <w:sz w:val="18"/>
                <w:szCs w:val="18"/>
                <w:color w:val="auto"/>
              </w:rPr>
            </w:pPr>
          </w:p>
        </w:tc>
        <w:tc>
          <w:tcPr>
            <w:tcW w:w="2040" w:type="dxa"/>
            <w:vAlign w:val="bottom"/>
          </w:tcPr>
          <w:p>
            <w:pPr>
              <w:spacing w:after="0"/>
              <w:rPr>
                <w:sz w:val="18"/>
                <w:szCs w:val="18"/>
                <w:color w:val="auto"/>
              </w:rPr>
            </w:pPr>
          </w:p>
        </w:tc>
        <w:tc>
          <w:tcPr>
            <w:tcW w:w="7480" w:type="dxa"/>
            <w:vAlign w:val="bottom"/>
          </w:tcPr>
          <w:p>
            <w:pPr>
              <w:ind w:left="300"/>
              <w:spacing w:after="0"/>
              <w:rPr>
                <w:sz w:val="20"/>
                <w:szCs w:val="20"/>
                <w:color w:val="auto"/>
              </w:rPr>
            </w:pPr>
            <w:r>
              <w:rPr>
                <w:rFonts w:ascii="Arial" w:cs="Arial" w:eastAsia="Arial" w:hAnsi="Arial"/>
                <w:sz w:val="15"/>
                <w:szCs w:val="15"/>
                <w:color w:val="auto"/>
              </w:rPr>
              <w:t>Compensation  decisions  are  also  considered  and  balanced  in  light  of  responsibility  levels  and</w:t>
            </w:r>
          </w:p>
        </w:tc>
      </w:tr>
      <w:tr>
        <w:trPr>
          <w:trHeight w:val="189"/>
        </w:trPr>
        <w:tc>
          <w:tcPr>
            <w:tcW w:w="200" w:type="dxa"/>
            <w:vAlign w:val="bottom"/>
            <w:shd w:val="clear" w:color="auto" w:fill="1414D2"/>
          </w:tcPr>
          <w:p>
            <w:pPr>
              <w:spacing w:after="0"/>
              <w:rPr>
                <w:sz w:val="16"/>
                <w:szCs w:val="16"/>
                <w:color w:val="auto"/>
              </w:rPr>
            </w:pPr>
          </w:p>
        </w:tc>
        <w:tc>
          <w:tcPr>
            <w:tcW w:w="2040" w:type="dxa"/>
            <w:vAlign w:val="bottom"/>
          </w:tcPr>
          <w:p>
            <w:pPr>
              <w:spacing w:after="0"/>
              <w:rPr>
                <w:sz w:val="16"/>
                <w:szCs w:val="16"/>
                <w:color w:val="auto"/>
              </w:rPr>
            </w:pPr>
          </w:p>
        </w:tc>
        <w:tc>
          <w:tcPr>
            <w:tcW w:w="7480" w:type="dxa"/>
            <w:vAlign w:val="bottom"/>
          </w:tcPr>
          <w:p>
            <w:pPr>
              <w:ind w:left="300"/>
              <w:spacing w:after="0"/>
              <w:rPr>
                <w:sz w:val="20"/>
                <w:szCs w:val="20"/>
                <w:color w:val="auto"/>
              </w:rPr>
            </w:pPr>
            <w:r>
              <w:rPr>
                <w:rFonts w:ascii="Arial" w:cs="Arial" w:eastAsia="Arial" w:hAnsi="Arial"/>
                <w:sz w:val="15"/>
                <w:szCs w:val="15"/>
                <w:color w:val="auto"/>
              </w:rPr>
              <w:t>value  added  to  the  organization  while  taking  into  account  internal  pay  parity.  See  “Executive</w:t>
            </w:r>
          </w:p>
        </w:tc>
      </w:tr>
      <w:tr>
        <w:trPr>
          <w:trHeight w:val="176"/>
        </w:trPr>
        <w:tc>
          <w:tcPr>
            <w:tcW w:w="200" w:type="dxa"/>
            <w:vAlign w:val="bottom"/>
            <w:shd w:val="clear" w:color="auto" w:fill="1414D2"/>
          </w:tcPr>
          <w:p>
            <w:pPr>
              <w:spacing w:after="0"/>
              <w:rPr>
                <w:sz w:val="15"/>
                <w:szCs w:val="15"/>
                <w:color w:val="auto"/>
              </w:rPr>
            </w:pPr>
          </w:p>
        </w:tc>
        <w:tc>
          <w:tcPr>
            <w:tcW w:w="2040" w:type="dxa"/>
            <w:vAlign w:val="bottom"/>
          </w:tcPr>
          <w:p>
            <w:pPr>
              <w:spacing w:after="0"/>
              <w:rPr>
                <w:sz w:val="15"/>
                <w:szCs w:val="15"/>
                <w:color w:val="auto"/>
              </w:rPr>
            </w:pPr>
          </w:p>
        </w:tc>
        <w:tc>
          <w:tcPr>
            <w:tcW w:w="7480" w:type="dxa"/>
            <w:vAlign w:val="bottom"/>
          </w:tcPr>
          <w:p>
            <w:pPr>
              <w:ind w:left="300"/>
              <w:spacing w:after="0"/>
              <w:rPr>
                <w:sz w:val="20"/>
                <w:szCs w:val="20"/>
                <w:color w:val="auto"/>
              </w:rPr>
            </w:pPr>
            <w:r>
              <w:rPr>
                <w:rFonts w:ascii="Arial" w:cs="Arial" w:eastAsia="Arial" w:hAnsi="Arial"/>
                <w:sz w:val="15"/>
                <w:szCs w:val="15"/>
                <w:color w:val="auto"/>
              </w:rPr>
              <w:t>Compensation  Setting  Governance  and  Process”  below  for  further  discussion  of  factors,  in</w:t>
            </w:r>
          </w:p>
        </w:tc>
      </w:tr>
      <w:tr>
        <w:trPr>
          <w:trHeight w:val="189"/>
        </w:trPr>
        <w:tc>
          <w:tcPr>
            <w:tcW w:w="200" w:type="dxa"/>
            <w:vAlign w:val="bottom"/>
            <w:shd w:val="clear" w:color="auto" w:fill="1414D2"/>
          </w:tcPr>
          <w:p>
            <w:pPr>
              <w:spacing w:after="0"/>
              <w:rPr>
                <w:sz w:val="16"/>
                <w:szCs w:val="16"/>
                <w:color w:val="auto"/>
              </w:rPr>
            </w:pPr>
          </w:p>
        </w:tc>
        <w:tc>
          <w:tcPr>
            <w:tcW w:w="2040" w:type="dxa"/>
            <w:vAlign w:val="bottom"/>
          </w:tcPr>
          <w:p>
            <w:pPr>
              <w:spacing w:after="0"/>
              <w:rPr>
                <w:sz w:val="16"/>
                <w:szCs w:val="16"/>
                <w:color w:val="auto"/>
              </w:rPr>
            </w:pPr>
          </w:p>
        </w:tc>
        <w:tc>
          <w:tcPr>
            <w:tcW w:w="7480" w:type="dxa"/>
            <w:vAlign w:val="bottom"/>
          </w:tcPr>
          <w:p>
            <w:pPr>
              <w:ind w:left="300"/>
              <w:spacing w:after="0"/>
              <w:rPr>
                <w:sz w:val="20"/>
                <w:szCs w:val="20"/>
                <w:color w:val="auto"/>
              </w:rPr>
            </w:pPr>
            <w:r>
              <w:rPr>
                <w:rFonts w:ascii="Arial" w:cs="Arial" w:eastAsia="Arial" w:hAnsi="Arial"/>
                <w:sz w:val="15"/>
                <w:szCs w:val="15"/>
                <w:color w:val="auto"/>
              </w:rPr>
              <w:t>addition  to  the  competitive  market  analysis,  that  the  Committee  uses  to  set  total  compensation</w:t>
            </w:r>
          </w:p>
        </w:tc>
      </w:tr>
      <w:tr>
        <w:trPr>
          <w:trHeight w:val="222"/>
        </w:trPr>
        <w:tc>
          <w:tcPr>
            <w:tcW w:w="200" w:type="dxa"/>
            <w:vAlign w:val="bottom"/>
            <w:shd w:val="clear" w:color="auto" w:fill="1414D2"/>
          </w:tcPr>
          <w:p>
            <w:pPr>
              <w:spacing w:after="0"/>
              <w:rPr>
                <w:sz w:val="19"/>
                <w:szCs w:val="19"/>
                <w:color w:val="auto"/>
              </w:rPr>
            </w:pPr>
          </w:p>
        </w:tc>
        <w:tc>
          <w:tcPr>
            <w:tcW w:w="2040" w:type="dxa"/>
            <w:vAlign w:val="bottom"/>
          </w:tcPr>
          <w:p>
            <w:pPr>
              <w:spacing w:after="0"/>
              <w:rPr>
                <w:sz w:val="19"/>
                <w:szCs w:val="19"/>
                <w:color w:val="auto"/>
              </w:rPr>
            </w:pPr>
          </w:p>
        </w:tc>
        <w:tc>
          <w:tcPr>
            <w:tcW w:w="7480" w:type="dxa"/>
            <w:vAlign w:val="bottom"/>
          </w:tcPr>
          <w:p>
            <w:pPr>
              <w:ind w:left="300"/>
              <w:spacing w:after="0"/>
              <w:rPr>
                <w:sz w:val="20"/>
                <w:szCs w:val="20"/>
                <w:color w:val="auto"/>
              </w:rPr>
            </w:pPr>
            <w:r>
              <w:rPr>
                <w:rFonts w:ascii="Arial" w:cs="Arial" w:eastAsia="Arial" w:hAnsi="Arial"/>
                <w:sz w:val="15"/>
                <w:szCs w:val="15"/>
                <w:color w:val="auto"/>
              </w:rPr>
              <w:t>for  our  executives.</w:t>
            </w:r>
          </w:p>
        </w:tc>
      </w:tr>
      <w:tr>
        <w:trPr>
          <w:trHeight w:val="50"/>
        </w:trPr>
        <w:tc>
          <w:tcPr>
            <w:tcW w:w="200" w:type="dxa"/>
            <w:vAlign w:val="bottom"/>
            <w:tcBorders>
              <w:bottom w:val="single" w:sz="8" w:color="1414D2"/>
            </w:tcBorders>
            <w:shd w:val="clear" w:color="auto" w:fill="1414D2"/>
          </w:tcPr>
          <w:p>
            <w:pPr>
              <w:spacing w:after="0"/>
              <w:rPr>
                <w:sz w:val="4"/>
                <w:szCs w:val="4"/>
                <w:color w:val="auto"/>
              </w:rPr>
            </w:pPr>
          </w:p>
        </w:tc>
        <w:tc>
          <w:tcPr>
            <w:tcW w:w="2040" w:type="dxa"/>
            <w:vAlign w:val="bottom"/>
            <w:tcBorders>
              <w:bottom w:val="single" w:sz="8" w:color="1414D2"/>
            </w:tcBorders>
          </w:tcPr>
          <w:p>
            <w:pPr>
              <w:spacing w:after="0"/>
              <w:rPr>
                <w:sz w:val="4"/>
                <w:szCs w:val="4"/>
                <w:color w:val="auto"/>
              </w:rPr>
            </w:pPr>
          </w:p>
        </w:tc>
        <w:tc>
          <w:tcPr>
            <w:tcW w:w="7480" w:type="dxa"/>
            <w:vAlign w:val="bottom"/>
            <w:tcBorders>
              <w:bottom w:val="single" w:sz="8" w:color="1414D2"/>
            </w:tcBorders>
          </w:tcPr>
          <w:p>
            <w:pPr>
              <w:spacing w:after="0"/>
              <w:rPr>
                <w:sz w:val="4"/>
                <w:szCs w:val="4"/>
                <w:color w:val="auto"/>
              </w:rPr>
            </w:pPr>
          </w:p>
        </w:tc>
      </w:tr>
    </w:tbl>
    <w:p>
      <w:pPr>
        <w:spacing w:after="0" w:line="200" w:lineRule="exact"/>
        <w:rPr>
          <w:sz w:val="20"/>
          <w:szCs w:val="20"/>
          <w:color w:val="auto"/>
        </w:rPr>
      </w:pPr>
    </w:p>
    <w:p>
      <w:pPr>
        <w:sectPr>
          <w:pgSz w:w="11900" w:h="16838" w:orient="portrait"/>
          <w:cols w:equalWidth="0" w:num="1">
            <w:col w:w="9720"/>
          </w:cols>
          <w:pgMar w:left="1080" w:top="695"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right"/>
        <w:ind w:right="7720"/>
        <w:spacing w:after="0"/>
        <w:rPr>
          <w:sz w:val="20"/>
          <w:szCs w:val="20"/>
          <w:color w:val="auto"/>
        </w:rPr>
      </w:pPr>
      <w:r>
        <w:rPr>
          <w:rFonts w:ascii="Arial" w:cs="Arial" w:eastAsia="Arial" w:hAnsi="Arial"/>
          <w:sz w:val="16"/>
          <w:szCs w:val="16"/>
          <w:color w:val="auto"/>
        </w:rPr>
        <w:t>​​2026​  Proxy</w:t>
      </w:r>
    </w:p>
    <w:p>
      <w:pPr>
        <w:spacing w:after="0" w:line="5" w:lineRule="exact"/>
        <w:rPr>
          <w:sz w:val="20"/>
          <w:szCs w:val="20"/>
          <w:color w:val="auto"/>
        </w:rPr>
      </w:pPr>
    </w:p>
    <w:p>
      <w:pPr>
        <w:ind w:left="660" w:hanging="656"/>
        <w:spacing w:after="0"/>
        <w:tabs>
          <w:tab w:leader="none" w:pos="660" w:val="left"/>
        </w:tabs>
        <w:numPr>
          <w:ilvl w:val="0"/>
          <w:numId w:val="90"/>
        </w:numPr>
        <w:rPr>
          <w:rFonts w:ascii="Arial" w:cs="Arial" w:eastAsia="Arial" w:hAnsi="Arial"/>
          <w:sz w:val="16"/>
          <w:szCs w:val="16"/>
          <w:b w:val="1"/>
          <w:bCs w:val="1"/>
          <w:color w:val="1414D2"/>
        </w:rPr>
      </w:pPr>
      <w:r>
        <w:rPr>
          <w:rFonts w:ascii="Arial" w:cs="Arial" w:eastAsia="Arial" w:hAnsi="Arial"/>
          <w:sz w:val="16"/>
          <w:szCs w:val="16"/>
          <w:color w:val="auto"/>
        </w:rPr>
        <w:t>Statement</w:t>
      </w:r>
    </w:p>
    <w:p>
      <w:pPr>
        <w:sectPr>
          <w:pgSz w:w="11900" w:h="16838" w:orient="portrait"/>
          <w:cols w:equalWidth="0" w:num="1">
            <w:col w:w="9720"/>
          </w:cols>
          <w:pgMar w:left="1080" w:top="695" w:right="1099" w:bottom="1440" w:gutter="0" w:footer="0" w:header="0"/>
          <w:type w:val="continuous"/>
        </w:sectPr>
      </w:pPr>
    </w:p>
    <w:bookmarkStart w:id="95" w:name="page96"/>
    <w:bookmarkEnd w:id="95"/>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27" w:lineRule="exact"/>
        <w:rPr>
          <w:sz w:val="20"/>
          <w:szCs w:val="20"/>
          <w:color w:val="auto"/>
        </w:rPr>
      </w:pPr>
    </w:p>
    <w:p>
      <w:pPr>
        <w:jc w:val="right"/>
        <w:spacing w:after="0"/>
        <w:rPr>
          <w:sz w:val="20"/>
          <w:szCs w:val="20"/>
          <w:color w:val="auto"/>
        </w:rPr>
      </w:pPr>
      <w:r>
        <w:rPr>
          <w:rFonts w:ascii="Arial" w:cs="Arial" w:eastAsia="Arial" w:hAnsi="Arial"/>
          <w:sz w:val="14"/>
          <w:szCs w:val="14"/>
          <w:color w:val="6D6F71"/>
        </w:rPr>
        <w:t>Compensation  Discussion  and  Analysis</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Below  is  a  summary  of  our  key  compensation  and  corporate  governance  practices.</w:t>
      </w:r>
    </w:p>
    <w:p>
      <w:pPr>
        <w:sectPr>
          <w:pgSz w:w="11900" w:h="16838" w:orient="portrait"/>
          <w:cols w:equalWidth="0" w:num="1">
            <w:col w:w="9720"/>
          </w:cols>
          <w:pgMar w:left="1080" w:top="695" w:right="1099" w:bottom="1440" w:gutter="0" w:footer="0" w:header="0"/>
        </w:sectPr>
      </w:pPr>
    </w:p>
    <w:p>
      <w:pPr>
        <w:spacing w:after="0" w:line="302" w:lineRule="exact"/>
        <w:rPr>
          <w:sz w:val="20"/>
          <w:szCs w:val="20"/>
          <w:color w:val="auto"/>
        </w:rPr>
      </w:pPr>
    </w:p>
    <w:p>
      <w:pPr>
        <w:ind w:left="2220"/>
        <w:spacing w:after="0"/>
        <w:rPr>
          <w:sz w:val="20"/>
          <w:szCs w:val="20"/>
          <w:color w:val="auto"/>
        </w:rPr>
      </w:pPr>
      <w:r>
        <w:rPr>
          <w:rFonts w:ascii="Arial" w:cs="Arial" w:eastAsia="Arial" w:hAnsi="Arial"/>
          <w:sz w:val="16"/>
          <w:szCs w:val="16"/>
          <w:b w:val="1"/>
          <w:bCs w:val="1"/>
          <w:color w:val="FFFFFF"/>
        </w:rPr>
        <w:t>WHAT WE DO</w:t>
      </w:r>
    </w:p>
    <w:p>
      <w:pPr>
        <w:spacing w:after="0" w:line="167" w:lineRule="exact"/>
        <w:rPr>
          <w:sz w:val="20"/>
          <w:szCs w:val="20"/>
          <w:color w:val="auto"/>
        </w:rPr>
      </w:pPr>
    </w:p>
    <w:p>
      <w:pPr>
        <w:ind w:left="900" w:right="410" w:hanging="316"/>
        <w:spacing w:after="0" w:line="274" w:lineRule="auto"/>
        <w:tabs>
          <w:tab w:leader="none" w:pos="900" w:val="left"/>
        </w:tabs>
        <w:numPr>
          <w:ilvl w:val="0"/>
          <w:numId w:val="91"/>
        </w:numPr>
        <w:rPr>
          <w:rFonts w:ascii="Times New Roman" w:cs="Times New Roman" w:eastAsia="Times New Roman" w:hAnsi="Times New Roman"/>
          <w:sz w:val="16"/>
          <w:szCs w:val="16"/>
          <w:color w:val="FFFFFF"/>
        </w:rPr>
      </w:pPr>
      <w:r>
        <w:rPr>
          <w:rFonts w:ascii="Arial" w:cs="Arial" w:eastAsia="Arial" w:hAnsi="Arial"/>
          <w:sz w:val="16"/>
          <w:szCs w:val="16"/>
          <w:color w:val="FFFFFF"/>
        </w:rPr>
        <w:t>Maintain stock ownership guidelines that reinforce the alignment of executive ofcer and stockholder interests (including requiring stock ownership of 6x base salary for the Chief Executive Ofcer)</w:t>
      </w:r>
    </w:p>
    <w:p>
      <w:pPr>
        <w:spacing w:after="0" w:line="36" w:lineRule="exact"/>
        <w:rPr>
          <w:rFonts w:ascii="Times New Roman" w:cs="Times New Roman" w:eastAsia="Times New Roman" w:hAnsi="Times New Roman"/>
          <w:sz w:val="16"/>
          <w:szCs w:val="16"/>
          <w:color w:val="FFFFFF"/>
        </w:rPr>
      </w:pPr>
    </w:p>
    <w:p>
      <w:pPr>
        <w:ind w:left="900" w:right="910" w:hanging="316"/>
        <w:spacing w:after="0" w:line="312" w:lineRule="auto"/>
        <w:tabs>
          <w:tab w:leader="none" w:pos="900" w:val="left"/>
        </w:tabs>
        <w:numPr>
          <w:ilvl w:val="0"/>
          <w:numId w:val="91"/>
        </w:numPr>
        <w:rPr>
          <w:rFonts w:ascii="Times New Roman" w:cs="Times New Roman" w:eastAsia="Times New Roman" w:hAnsi="Times New Roman"/>
          <w:sz w:val="16"/>
          <w:szCs w:val="16"/>
          <w:color w:val="FFFFFF"/>
        </w:rPr>
      </w:pPr>
      <w:r>
        <w:rPr>
          <w:rFonts w:ascii="Arial" w:cs="Arial" w:eastAsia="Arial" w:hAnsi="Arial"/>
          <w:sz w:val="16"/>
          <w:szCs w:val="16"/>
          <w:color w:val="FFFFFF"/>
        </w:rPr>
        <w:t>Promote long-term focus through multi-year vesting requirements</w:t>
      </w:r>
    </w:p>
    <w:p>
      <w:pPr>
        <w:spacing w:after="0" w:line="20" w:lineRule="exact"/>
        <w:rPr>
          <w:rFonts w:ascii="Times New Roman" w:cs="Times New Roman" w:eastAsia="Times New Roman" w:hAnsi="Times New Roman"/>
          <w:sz w:val="16"/>
          <w:szCs w:val="16"/>
          <w:color w:val="FFFFFF"/>
        </w:rPr>
      </w:pPr>
    </w:p>
    <w:p>
      <w:pPr>
        <w:ind w:left="900" w:right="670" w:hanging="316"/>
        <w:spacing w:after="0" w:line="278" w:lineRule="auto"/>
        <w:tabs>
          <w:tab w:leader="none" w:pos="900" w:val="left"/>
        </w:tabs>
        <w:numPr>
          <w:ilvl w:val="0"/>
          <w:numId w:val="91"/>
        </w:numPr>
        <w:rPr>
          <w:rFonts w:ascii="Times New Roman" w:cs="Times New Roman" w:eastAsia="Times New Roman" w:hAnsi="Times New Roman"/>
          <w:sz w:val="16"/>
          <w:szCs w:val="16"/>
          <w:color w:val="FFFFFF"/>
        </w:rPr>
      </w:pPr>
      <w:r>
        <w:rPr>
          <w:rFonts w:ascii="Arial" w:cs="Arial" w:eastAsia="Arial" w:hAnsi="Arial"/>
          <w:sz w:val="16"/>
          <w:szCs w:val="16"/>
          <w:color w:val="FFFFFF"/>
        </w:rPr>
        <w:t>Link pay to performance with multiple performance measures aimed at supporting stockholder value creation and promoting long-term focus</w:t>
      </w:r>
    </w:p>
    <w:p>
      <w:pPr>
        <w:spacing w:after="0" w:line="237" w:lineRule="exact"/>
        <w:rPr>
          <w:rFonts w:ascii="Times New Roman" w:cs="Times New Roman" w:eastAsia="Times New Roman" w:hAnsi="Times New Roman"/>
          <w:sz w:val="16"/>
          <w:szCs w:val="16"/>
          <w:color w:val="FFFFFF"/>
        </w:rPr>
      </w:pPr>
    </w:p>
    <w:p>
      <w:pPr>
        <w:ind w:left="900" w:right="510" w:hanging="316"/>
        <w:spacing w:after="0" w:line="279" w:lineRule="auto"/>
        <w:tabs>
          <w:tab w:leader="none" w:pos="900" w:val="left"/>
        </w:tabs>
        <w:numPr>
          <w:ilvl w:val="0"/>
          <w:numId w:val="91"/>
        </w:numPr>
        <w:rPr>
          <w:rFonts w:ascii="Times New Roman" w:cs="Times New Roman" w:eastAsia="Times New Roman" w:hAnsi="Times New Roman"/>
          <w:sz w:val="16"/>
          <w:szCs w:val="16"/>
          <w:color w:val="FFFFFF"/>
        </w:rPr>
      </w:pPr>
      <w:r>
        <w:rPr>
          <w:rFonts w:ascii="Arial" w:cs="Arial" w:eastAsia="Arial" w:hAnsi="Arial"/>
          <w:sz w:val="16"/>
          <w:szCs w:val="16"/>
          <w:color w:val="FFFFFF"/>
        </w:rPr>
        <w:t>Deliver a signifcant majority of our target pay opportunities for our NEOs in the form of variable and at-risk pay tied to strong performance</w:t>
      </w:r>
    </w:p>
    <w:p>
      <w:pPr>
        <w:spacing w:after="0" w:line="46" w:lineRule="exact"/>
        <w:rPr>
          <w:rFonts w:ascii="Times New Roman" w:cs="Times New Roman" w:eastAsia="Times New Roman" w:hAnsi="Times New Roman"/>
          <w:sz w:val="16"/>
          <w:szCs w:val="16"/>
          <w:color w:val="FFFFFF"/>
        </w:rPr>
      </w:pPr>
    </w:p>
    <w:p>
      <w:pPr>
        <w:ind w:left="900" w:right="650" w:hanging="316"/>
        <w:spacing w:after="0" w:line="312" w:lineRule="auto"/>
        <w:tabs>
          <w:tab w:leader="none" w:pos="900" w:val="left"/>
        </w:tabs>
        <w:numPr>
          <w:ilvl w:val="0"/>
          <w:numId w:val="91"/>
        </w:numPr>
        <w:rPr>
          <w:rFonts w:ascii="Times New Roman" w:cs="Times New Roman" w:eastAsia="Times New Roman" w:hAnsi="Times New Roman"/>
          <w:sz w:val="16"/>
          <w:szCs w:val="16"/>
          <w:color w:val="FFFFFF"/>
        </w:rPr>
      </w:pPr>
      <w:r>
        <w:rPr>
          <w:rFonts w:ascii="Arial" w:cs="Arial" w:eastAsia="Arial" w:hAnsi="Arial"/>
          <w:sz w:val="16"/>
          <w:szCs w:val="16"/>
          <w:color w:val="FFFFFF"/>
        </w:rPr>
        <w:t>Target pay with reference to peer group median levels</w:t>
      </w:r>
    </w:p>
    <w:p>
      <w:pPr>
        <w:spacing w:after="0" w:line="20" w:lineRule="exact"/>
        <w:rPr>
          <w:rFonts w:ascii="Times New Roman" w:cs="Times New Roman" w:eastAsia="Times New Roman" w:hAnsi="Times New Roman"/>
          <w:sz w:val="16"/>
          <w:szCs w:val="16"/>
          <w:color w:val="FFFFFF"/>
        </w:rPr>
      </w:pPr>
    </w:p>
    <w:p>
      <w:pPr>
        <w:ind w:left="900" w:right="430" w:hanging="316"/>
        <w:spacing w:after="0" w:line="274" w:lineRule="auto"/>
        <w:tabs>
          <w:tab w:leader="none" w:pos="900" w:val="left"/>
        </w:tabs>
        <w:numPr>
          <w:ilvl w:val="0"/>
          <w:numId w:val="91"/>
        </w:numPr>
        <w:rPr>
          <w:rFonts w:ascii="Times New Roman" w:cs="Times New Roman" w:eastAsia="Times New Roman" w:hAnsi="Times New Roman"/>
          <w:sz w:val="16"/>
          <w:szCs w:val="16"/>
          <w:color w:val="FFFFFF"/>
        </w:rPr>
      </w:pPr>
      <w:r>
        <w:rPr>
          <w:rFonts w:ascii="Arial" w:cs="Arial" w:eastAsia="Arial" w:hAnsi="Arial"/>
          <w:sz w:val="16"/>
          <w:szCs w:val="16"/>
          <w:color w:val="FFFFFF"/>
        </w:rPr>
        <w:t>Have trading blackout periods under our securities trading policy and require ofcers to pre-clear trades in Company securities with our Corporate Secretary’s Ofce</w:t>
      </w:r>
    </w:p>
    <w:p>
      <w:pPr>
        <w:spacing w:after="0" w:line="36" w:lineRule="exact"/>
        <w:rPr>
          <w:rFonts w:ascii="Times New Roman" w:cs="Times New Roman" w:eastAsia="Times New Roman" w:hAnsi="Times New Roman"/>
          <w:sz w:val="16"/>
          <w:szCs w:val="16"/>
          <w:color w:val="FFFFFF"/>
        </w:rPr>
      </w:pPr>
    </w:p>
    <w:p>
      <w:pPr>
        <w:ind w:left="900" w:hanging="316"/>
        <w:spacing w:after="0"/>
        <w:tabs>
          <w:tab w:leader="none" w:pos="900" w:val="left"/>
        </w:tabs>
        <w:numPr>
          <w:ilvl w:val="0"/>
          <w:numId w:val="91"/>
        </w:numPr>
        <w:rPr>
          <w:rFonts w:ascii="Times New Roman" w:cs="Times New Roman" w:eastAsia="Times New Roman" w:hAnsi="Times New Roman"/>
          <w:sz w:val="16"/>
          <w:szCs w:val="16"/>
          <w:color w:val="FFFFFF"/>
        </w:rPr>
      </w:pPr>
      <w:r>
        <w:rPr>
          <w:rFonts w:ascii="Arial" w:cs="Arial" w:eastAsia="Arial" w:hAnsi="Arial"/>
          <w:sz w:val="16"/>
          <w:szCs w:val="16"/>
          <w:color w:val="FFFFFF"/>
        </w:rPr>
        <w:t>Retain  an  independent  compensation  consultant</w:t>
      </w:r>
    </w:p>
    <w:p>
      <w:pPr>
        <w:spacing w:after="0" w:line="112" w:lineRule="exact"/>
        <w:rPr>
          <w:rFonts w:ascii="Times New Roman" w:cs="Times New Roman" w:eastAsia="Times New Roman" w:hAnsi="Times New Roman"/>
          <w:sz w:val="16"/>
          <w:szCs w:val="16"/>
          <w:color w:val="FFFFFF"/>
        </w:rPr>
      </w:pPr>
    </w:p>
    <w:p>
      <w:pPr>
        <w:ind w:left="900" w:right="870" w:hanging="316"/>
        <w:spacing w:after="0" w:line="274" w:lineRule="auto"/>
        <w:tabs>
          <w:tab w:leader="none" w:pos="900" w:val="left"/>
        </w:tabs>
        <w:numPr>
          <w:ilvl w:val="0"/>
          <w:numId w:val="91"/>
        </w:numPr>
        <w:rPr>
          <w:rFonts w:ascii="Times New Roman" w:cs="Times New Roman" w:eastAsia="Times New Roman" w:hAnsi="Times New Roman"/>
          <w:sz w:val="16"/>
          <w:szCs w:val="16"/>
          <w:color w:val="FFFFFF"/>
        </w:rPr>
      </w:pPr>
      <w:r>
        <w:rPr>
          <w:rFonts w:ascii="Arial" w:cs="Arial" w:eastAsia="Arial" w:hAnsi="Arial"/>
          <w:sz w:val="16"/>
          <w:szCs w:val="16"/>
          <w:color w:val="FFFFFF"/>
        </w:rPr>
        <w:t>Have a Committee comprised solely of independent directors, which considers and approves all compensation for our Section 16 reporting ofcers</w:t>
      </w:r>
    </w:p>
    <w:p>
      <w:pPr>
        <w:spacing w:after="0" w:line="36" w:lineRule="exact"/>
        <w:rPr>
          <w:rFonts w:ascii="Times New Roman" w:cs="Times New Roman" w:eastAsia="Times New Roman" w:hAnsi="Times New Roman"/>
          <w:sz w:val="16"/>
          <w:szCs w:val="16"/>
          <w:color w:val="FFFFFF"/>
        </w:rPr>
      </w:pPr>
    </w:p>
    <w:p>
      <w:pPr>
        <w:ind w:left="900" w:right="510" w:hanging="316"/>
        <w:spacing w:after="0" w:line="279" w:lineRule="auto"/>
        <w:tabs>
          <w:tab w:leader="none" w:pos="900" w:val="left"/>
        </w:tabs>
        <w:numPr>
          <w:ilvl w:val="0"/>
          <w:numId w:val="91"/>
        </w:numPr>
        <w:rPr>
          <w:rFonts w:ascii="Times New Roman" w:cs="Times New Roman" w:eastAsia="Times New Roman" w:hAnsi="Times New Roman"/>
          <w:sz w:val="16"/>
          <w:szCs w:val="16"/>
          <w:color w:val="FFFFFF"/>
        </w:rPr>
      </w:pPr>
      <w:r>
        <w:rPr>
          <w:rFonts w:ascii="Arial" w:cs="Arial" w:eastAsia="Arial" w:hAnsi="Arial"/>
          <w:sz w:val="16"/>
          <w:szCs w:val="16"/>
          <w:color w:val="FFFFFF"/>
        </w:rPr>
        <w:t>Solicit investor feedback on our compensation program and potential enhancements through an extensive stockholder engagement program</w:t>
      </w:r>
    </w:p>
    <w:p>
      <w:pPr>
        <w:spacing w:after="0" w:line="46" w:lineRule="exact"/>
        <w:rPr>
          <w:rFonts w:ascii="Times New Roman" w:cs="Times New Roman" w:eastAsia="Times New Roman" w:hAnsi="Times New Roman"/>
          <w:sz w:val="16"/>
          <w:szCs w:val="16"/>
          <w:color w:val="FFFFFF"/>
        </w:rPr>
      </w:pPr>
    </w:p>
    <w:p>
      <w:pPr>
        <w:ind w:left="900" w:hanging="316"/>
        <w:spacing w:after="0"/>
        <w:tabs>
          <w:tab w:leader="none" w:pos="900" w:val="left"/>
        </w:tabs>
        <w:numPr>
          <w:ilvl w:val="0"/>
          <w:numId w:val="91"/>
        </w:numPr>
        <w:rPr>
          <w:rFonts w:ascii="Times New Roman" w:cs="Times New Roman" w:eastAsia="Times New Roman" w:hAnsi="Times New Roman"/>
          <w:sz w:val="16"/>
          <w:szCs w:val="16"/>
          <w:color w:val="FFFFFF"/>
        </w:rPr>
      </w:pPr>
      <w:r>
        <w:rPr>
          <w:rFonts w:ascii="Arial" w:cs="Arial" w:eastAsia="Arial" w:hAnsi="Arial"/>
          <w:sz w:val="16"/>
          <w:szCs w:val="16"/>
          <w:color w:val="FFFFFF"/>
        </w:rPr>
        <w:t>Hold  an  annual  Say-on-Pay  vote</w:t>
      </w:r>
    </w:p>
    <w:p>
      <w:pPr>
        <w:spacing w:after="0" w:line="112" w:lineRule="exact"/>
        <w:rPr>
          <w:rFonts w:ascii="Times New Roman" w:cs="Times New Roman" w:eastAsia="Times New Roman" w:hAnsi="Times New Roman"/>
          <w:sz w:val="16"/>
          <w:szCs w:val="16"/>
          <w:color w:val="FFFFFF"/>
        </w:rPr>
      </w:pPr>
    </w:p>
    <w:p>
      <w:pPr>
        <w:ind w:left="900" w:right="410" w:hanging="316"/>
        <w:spacing w:after="0" w:line="263" w:lineRule="auto"/>
        <w:tabs>
          <w:tab w:leader="none" w:pos="900" w:val="left"/>
        </w:tabs>
        <w:numPr>
          <w:ilvl w:val="0"/>
          <w:numId w:val="91"/>
        </w:numPr>
        <w:rPr>
          <w:rFonts w:ascii="Times New Roman" w:cs="Times New Roman" w:eastAsia="Times New Roman" w:hAnsi="Times New Roman"/>
          <w:sz w:val="16"/>
          <w:szCs w:val="16"/>
          <w:color w:val="FFFFFF"/>
        </w:rPr>
      </w:pPr>
      <w:r>
        <w:rPr>
          <w:rFonts w:ascii="Arial" w:cs="Arial" w:eastAsia="Arial" w:hAnsi="Arial"/>
          <w:sz w:val="16"/>
          <w:szCs w:val="16"/>
          <w:color w:val="FFFFFF"/>
        </w:rPr>
        <w:t>Have a strong compensation clawback policy that includes a mandatory recovery element to comply with the incentive-based compensation recovery provisions of the Dodd-Frank Act and Nasdaq listing standards and a discretionary element that permits United to seek recovery of compensation if a covered executive commits certain misconduct</w:t>
      </w:r>
    </w:p>
    <w:p>
      <w:pPr>
        <w:spacing w:after="0" w:line="45" w:lineRule="exact"/>
        <w:rPr>
          <w:rFonts w:ascii="Times New Roman" w:cs="Times New Roman" w:eastAsia="Times New Roman" w:hAnsi="Times New Roman"/>
          <w:sz w:val="16"/>
          <w:szCs w:val="16"/>
          <w:color w:val="FFFFFF"/>
        </w:rPr>
      </w:pPr>
    </w:p>
    <w:p>
      <w:pPr>
        <w:ind w:left="900" w:right="530" w:hanging="316"/>
        <w:spacing w:after="0" w:line="279" w:lineRule="auto"/>
        <w:tabs>
          <w:tab w:leader="none" w:pos="900" w:val="left"/>
        </w:tabs>
        <w:numPr>
          <w:ilvl w:val="0"/>
          <w:numId w:val="91"/>
        </w:numPr>
        <w:rPr>
          <w:rFonts w:ascii="Times New Roman" w:cs="Times New Roman" w:eastAsia="Times New Roman" w:hAnsi="Times New Roman"/>
          <w:sz w:val="16"/>
          <w:szCs w:val="16"/>
          <w:color w:val="FFFFFF"/>
        </w:rPr>
      </w:pPr>
      <w:r>
        <w:rPr>
          <w:rFonts w:ascii="Arial" w:cs="Arial" w:eastAsia="Arial" w:hAnsi="Arial"/>
          <w:sz w:val="16"/>
          <w:szCs w:val="16"/>
          <w:color w:val="FFFFFF"/>
        </w:rPr>
        <w:t>Maintain standardized severance benefts for our ofcers, as set forth in severance plans applicable by ofcer level</w:t>
      </w:r>
    </w:p>
    <w:p>
      <w:pPr>
        <w:spacing w:after="0" w:line="46" w:lineRule="exact"/>
        <w:rPr>
          <w:rFonts w:ascii="Times New Roman" w:cs="Times New Roman" w:eastAsia="Times New Roman" w:hAnsi="Times New Roman"/>
          <w:sz w:val="16"/>
          <w:szCs w:val="16"/>
          <w:color w:val="FFFFFF"/>
        </w:rPr>
      </w:pPr>
    </w:p>
    <w:p>
      <w:pPr>
        <w:ind w:left="900" w:right="530" w:hanging="316"/>
        <w:spacing w:after="0" w:line="312" w:lineRule="auto"/>
        <w:tabs>
          <w:tab w:leader="none" w:pos="900" w:val="left"/>
        </w:tabs>
        <w:numPr>
          <w:ilvl w:val="0"/>
          <w:numId w:val="91"/>
        </w:numPr>
        <w:rPr>
          <w:rFonts w:ascii="Times New Roman" w:cs="Times New Roman" w:eastAsia="Times New Roman" w:hAnsi="Times New Roman"/>
          <w:sz w:val="16"/>
          <w:szCs w:val="16"/>
          <w:color w:val="FFFFFF"/>
        </w:rPr>
      </w:pPr>
      <w:r>
        <w:rPr>
          <w:rFonts w:ascii="Arial" w:cs="Arial" w:eastAsia="Arial" w:hAnsi="Arial"/>
          <w:sz w:val="16"/>
          <w:szCs w:val="16"/>
          <w:color w:val="FFFFFF"/>
        </w:rPr>
        <w:t>Have “double-trigger” acceleration on a change in control for LTI awards</w:t>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ind w:left="1050"/>
        <w:spacing w:after="0"/>
        <w:rPr>
          <w:sz w:val="20"/>
          <w:szCs w:val="20"/>
          <w:color w:val="auto"/>
        </w:rPr>
      </w:pPr>
      <w:r>
        <w:rPr>
          <w:rFonts w:ascii="Arial" w:cs="Arial" w:eastAsia="Arial" w:hAnsi="Arial"/>
          <w:sz w:val="16"/>
          <w:szCs w:val="16"/>
          <w:b w:val="1"/>
          <w:bCs w:val="1"/>
          <w:color w:val="FFFFFF"/>
        </w:rPr>
        <w:t>WHAT WE DO NOT DO</w:t>
      </w:r>
    </w:p>
    <w:p>
      <w:pPr>
        <w:spacing w:after="0" w:line="167" w:lineRule="exact"/>
        <w:rPr>
          <w:sz w:val="20"/>
          <w:szCs w:val="20"/>
          <w:color w:val="auto"/>
        </w:rPr>
      </w:pPr>
    </w:p>
    <w:p>
      <w:pPr>
        <w:ind w:left="330" w:right="120" w:hanging="330"/>
        <w:spacing w:after="0" w:line="312" w:lineRule="auto"/>
        <w:tabs>
          <w:tab w:leader="none" w:pos="330" w:val="left"/>
        </w:tabs>
        <w:numPr>
          <w:ilvl w:val="0"/>
          <w:numId w:val="92"/>
        </w:numPr>
        <w:rPr>
          <w:rFonts w:ascii="Times New Roman" w:cs="Times New Roman" w:eastAsia="Times New Roman" w:hAnsi="Times New Roman"/>
          <w:sz w:val="16"/>
          <w:szCs w:val="16"/>
          <w:color w:val="FFFFFF"/>
        </w:rPr>
      </w:pPr>
      <w:r>
        <w:rPr>
          <w:rFonts w:ascii="Arial" w:cs="Arial" w:eastAsia="Arial" w:hAnsi="Arial"/>
          <w:sz w:val="16"/>
          <w:szCs w:val="16"/>
          <w:color w:val="FFFFFF"/>
        </w:rPr>
        <w:t>No excise tax gross-ups related to change in control transactions</w:t>
      </w:r>
    </w:p>
    <w:p>
      <w:pPr>
        <w:spacing w:after="0" w:line="20" w:lineRule="exact"/>
        <w:rPr>
          <w:rFonts w:ascii="Times New Roman" w:cs="Times New Roman" w:eastAsia="Times New Roman" w:hAnsi="Times New Roman"/>
          <w:sz w:val="16"/>
          <w:szCs w:val="16"/>
          <w:color w:val="FFFFFF"/>
        </w:rPr>
      </w:pPr>
    </w:p>
    <w:p>
      <w:pPr>
        <w:ind w:left="330" w:right="660" w:hanging="330"/>
        <w:spacing w:after="0" w:line="312" w:lineRule="auto"/>
        <w:tabs>
          <w:tab w:leader="none" w:pos="330" w:val="left"/>
        </w:tabs>
        <w:numPr>
          <w:ilvl w:val="0"/>
          <w:numId w:val="92"/>
        </w:numPr>
        <w:rPr>
          <w:rFonts w:ascii="Times New Roman" w:cs="Times New Roman" w:eastAsia="Times New Roman" w:hAnsi="Times New Roman"/>
          <w:sz w:val="16"/>
          <w:szCs w:val="16"/>
          <w:color w:val="FFFFFF"/>
        </w:rPr>
      </w:pPr>
      <w:r>
        <w:rPr>
          <w:rFonts w:ascii="Arial" w:cs="Arial" w:eastAsia="Arial" w:hAnsi="Arial"/>
          <w:sz w:val="16"/>
          <w:szCs w:val="16"/>
          <w:color w:val="FFFFFF"/>
        </w:rPr>
        <w:t>No employment agreements or fxed employment terms</w:t>
      </w:r>
    </w:p>
    <w:p>
      <w:pPr>
        <w:spacing w:after="0" w:line="20" w:lineRule="exact"/>
        <w:rPr>
          <w:rFonts w:ascii="Times New Roman" w:cs="Times New Roman" w:eastAsia="Times New Roman" w:hAnsi="Times New Roman"/>
          <w:sz w:val="16"/>
          <w:szCs w:val="16"/>
          <w:color w:val="FFFFFF"/>
        </w:rPr>
      </w:pPr>
    </w:p>
    <w:p>
      <w:pPr>
        <w:ind w:left="330" w:right="400" w:hanging="330"/>
        <w:spacing w:after="0" w:line="312" w:lineRule="auto"/>
        <w:tabs>
          <w:tab w:leader="none" w:pos="330" w:val="left"/>
        </w:tabs>
        <w:numPr>
          <w:ilvl w:val="0"/>
          <w:numId w:val="92"/>
        </w:numPr>
        <w:rPr>
          <w:rFonts w:ascii="Times New Roman" w:cs="Times New Roman" w:eastAsia="Times New Roman" w:hAnsi="Times New Roman"/>
          <w:sz w:val="16"/>
          <w:szCs w:val="16"/>
          <w:color w:val="FFFFFF"/>
        </w:rPr>
      </w:pPr>
      <w:r>
        <w:rPr>
          <w:rFonts w:ascii="Arial" w:cs="Arial" w:eastAsia="Arial" w:hAnsi="Arial"/>
          <w:sz w:val="16"/>
          <w:szCs w:val="16"/>
          <w:color w:val="FFFFFF"/>
        </w:rPr>
        <w:t>No enhanced severance multiple upon a change in control</w:t>
      </w:r>
    </w:p>
    <w:p>
      <w:pPr>
        <w:spacing w:after="0" w:line="20" w:lineRule="exact"/>
        <w:rPr>
          <w:rFonts w:ascii="Times New Roman" w:cs="Times New Roman" w:eastAsia="Times New Roman" w:hAnsi="Times New Roman"/>
          <w:sz w:val="16"/>
          <w:szCs w:val="16"/>
          <w:color w:val="FFFFFF"/>
        </w:rPr>
      </w:pPr>
    </w:p>
    <w:p>
      <w:pPr>
        <w:ind w:left="330" w:right="460" w:hanging="330"/>
        <w:spacing w:after="0" w:line="279" w:lineRule="auto"/>
        <w:tabs>
          <w:tab w:leader="none" w:pos="330" w:val="left"/>
        </w:tabs>
        <w:numPr>
          <w:ilvl w:val="0"/>
          <w:numId w:val="92"/>
        </w:numPr>
        <w:rPr>
          <w:rFonts w:ascii="Times New Roman" w:cs="Times New Roman" w:eastAsia="Times New Roman" w:hAnsi="Times New Roman"/>
          <w:sz w:val="16"/>
          <w:szCs w:val="16"/>
          <w:color w:val="FFFFFF"/>
        </w:rPr>
      </w:pPr>
      <w:r>
        <w:rPr>
          <w:rFonts w:ascii="Arial" w:cs="Arial" w:eastAsia="Arial" w:hAnsi="Arial"/>
          <w:sz w:val="16"/>
          <w:szCs w:val="16"/>
          <w:color w:val="FFFFFF"/>
        </w:rPr>
        <w:t>No payment of dividends or dividend equivalents on unearned equity awards under our LTI plan</w:t>
      </w:r>
    </w:p>
    <w:p>
      <w:pPr>
        <w:spacing w:after="0" w:line="46" w:lineRule="exact"/>
        <w:rPr>
          <w:rFonts w:ascii="Times New Roman" w:cs="Times New Roman" w:eastAsia="Times New Roman" w:hAnsi="Times New Roman"/>
          <w:sz w:val="16"/>
          <w:szCs w:val="16"/>
          <w:color w:val="FFFFFF"/>
        </w:rPr>
      </w:pPr>
    </w:p>
    <w:p>
      <w:pPr>
        <w:ind w:left="330" w:right="340" w:hanging="330"/>
        <w:spacing w:after="0" w:line="279" w:lineRule="auto"/>
        <w:tabs>
          <w:tab w:leader="none" w:pos="330" w:val="left"/>
        </w:tabs>
        <w:numPr>
          <w:ilvl w:val="0"/>
          <w:numId w:val="92"/>
        </w:numPr>
        <w:rPr>
          <w:rFonts w:ascii="Times New Roman" w:cs="Times New Roman" w:eastAsia="Times New Roman" w:hAnsi="Times New Roman"/>
          <w:sz w:val="16"/>
          <w:szCs w:val="16"/>
          <w:color w:val="FFFFFF"/>
        </w:rPr>
      </w:pPr>
      <w:r>
        <w:rPr>
          <w:rFonts w:ascii="Arial" w:cs="Arial" w:eastAsia="Arial" w:hAnsi="Arial"/>
          <w:sz w:val="16"/>
          <w:szCs w:val="16"/>
          <w:color w:val="FFFFFF"/>
        </w:rPr>
        <w:t>No repricing of underwater stock options under our LTI plan without stockholder approval</w:t>
      </w:r>
    </w:p>
    <w:p>
      <w:pPr>
        <w:spacing w:after="0" w:line="46" w:lineRule="exact"/>
        <w:rPr>
          <w:rFonts w:ascii="Times New Roman" w:cs="Times New Roman" w:eastAsia="Times New Roman" w:hAnsi="Times New Roman"/>
          <w:sz w:val="16"/>
          <w:szCs w:val="16"/>
          <w:color w:val="FFFFFF"/>
        </w:rPr>
      </w:pPr>
    </w:p>
    <w:p>
      <w:pPr>
        <w:ind w:left="330" w:right="160" w:hanging="330"/>
        <w:spacing w:after="0" w:line="312" w:lineRule="auto"/>
        <w:tabs>
          <w:tab w:leader="none" w:pos="330" w:val="left"/>
        </w:tabs>
        <w:numPr>
          <w:ilvl w:val="0"/>
          <w:numId w:val="92"/>
        </w:numPr>
        <w:rPr>
          <w:rFonts w:ascii="Times New Roman" w:cs="Times New Roman" w:eastAsia="Times New Roman" w:hAnsi="Times New Roman"/>
          <w:sz w:val="16"/>
          <w:szCs w:val="16"/>
          <w:color w:val="FFFFFF"/>
        </w:rPr>
      </w:pPr>
      <w:r>
        <w:rPr>
          <w:rFonts w:ascii="Arial" w:cs="Arial" w:eastAsia="Arial" w:hAnsi="Arial"/>
          <w:sz w:val="16"/>
          <w:szCs w:val="16"/>
          <w:color w:val="FFFFFF"/>
        </w:rPr>
        <w:t>No hedging or pledging of our securities by our ofcers or directors</w:t>
      </w:r>
    </w:p>
    <w:p>
      <w:pPr>
        <w:spacing w:after="0" w:line="20" w:lineRule="exact"/>
        <w:rPr>
          <w:rFonts w:ascii="Times New Roman" w:cs="Times New Roman" w:eastAsia="Times New Roman" w:hAnsi="Times New Roman"/>
          <w:sz w:val="16"/>
          <w:szCs w:val="16"/>
          <w:color w:val="FFFFFF"/>
        </w:rPr>
      </w:pPr>
    </w:p>
    <w:p>
      <w:pPr>
        <w:ind w:left="330" w:right="280" w:hanging="330"/>
        <w:spacing w:after="0" w:line="312" w:lineRule="auto"/>
        <w:tabs>
          <w:tab w:leader="none" w:pos="330" w:val="left"/>
        </w:tabs>
        <w:numPr>
          <w:ilvl w:val="0"/>
          <w:numId w:val="92"/>
        </w:numPr>
        <w:rPr>
          <w:rFonts w:ascii="Times New Roman" w:cs="Times New Roman" w:eastAsia="Times New Roman" w:hAnsi="Times New Roman"/>
          <w:sz w:val="16"/>
          <w:szCs w:val="16"/>
          <w:color w:val="FFFFFF"/>
        </w:rPr>
      </w:pPr>
      <w:r>
        <w:rPr>
          <w:rFonts w:ascii="Arial" w:cs="Arial" w:eastAsia="Arial" w:hAnsi="Arial"/>
          <w:sz w:val="16"/>
          <w:szCs w:val="16"/>
          <w:color w:val="FFFFFF"/>
        </w:rPr>
        <w:t>No design elements in our incentive plans that encourage excessive risk-taking</w:t>
      </w:r>
    </w:p>
    <w:p>
      <w:pPr>
        <w:spacing w:after="0" w:line="20" w:lineRule="exact"/>
        <w:rPr>
          <w:rFonts w:ascii="Times New Roman" w:cs="Times New Roman" w:eastAsia="Times New Roman" w:hAnsi="Times New Roman"/>
          <w:sz w:val="16"/>
          <w:szCs w:val="16"/>
          <w:color w:val="FFFFFF"/>
        </w:rPr>
      </w:pPr>
    </w:p>
    <w:p>
      <w:pPr>
        <w:ind w:left="330" w:right="680" w:hanging="330"/>
        <w:spacing w:after="0" w:line="312" w:lineRule="auto"/>
        <w:tabs>
          <w:tab w:leader="none" w:pos="330" w:val="left"/>
        </w:tabs>
        <w:numPr>
          <w:ilvl w:val="0"/>
          <w:numId w:val="92"/>
        </w:numPr>
        <w:rPr>
          <w:rFonts w:ascii="Times New Roman" w:cs="Times New Roman" w:eastAsia="Times New Roman" w:hAnsi="Times New Roman"/>
          <w:sz w:val="16"/>
          <w:szCs w:val="16"/>
          <w:color w:val="FFFFFF"/>
        </w:rPr>
      </w:pPr>
      <w:r>
        <w:rPr>
          <w:rFonts w:ascii="Arial" w:cs="Arial" w:eastAsia="Arial" w:hAnsi="Arial"/>
          <w:sz w:val="16"/>
          <w:szCs w:val="16"/>
          <w:color w:val="FFFFFF"/>
        </w:rPr>
        <w:t>No “single-trigger” change in control payments</w:t>
      </w:r>
    </w:p>
    <w:p>
      <w:pPr>
        <w:spacing w:after="0" w:line="4951" w:lineRule="exact"/>
        <w:rPr>
          <w:sz w:val="20"/>
          <w:szCs w:val="20"/>
          <w:color w:val="auto"/>
        </w:rPr>
      </w:pPr>
    </w:p>
    <w:p>
      <w:pPr>
        <w:sectPr>
          <w:pgSz w:w="11900" w:h="16838" w:orient="portrait"/>
          <w:cols w:equalWidth="0" w:num="2">
            <w:col w:w="5210" w:space="720"/>
            <w:col w:w="3790"/>
          </w:cols>
          <w:pgMar w:left="1080" w:top="695" w:right="10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2026  Proxy  Statement</w:t>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1414D2"/>
        </w:rPr>
        <w:t>85</w:t>
      </w:r>
    </w:p>
    <w:p>
      <w:pPr>
        <w:sectPr>
          <w:pgSz w:w="11900" w:h="16838" w:orient="portrait"/>
          <w:cols w:equalWidth="0" w:num="1">
            <w:col w:w="9720"/>
          </w:cols>
          <w:pgMar w:left="1080" w:top="695" w:right="1099" w:bottom="1440" w:gutter="0" w:footer="0" w:header="0"/>
          <w:type w:val="continuous"/>
        </w:sectPr>
      </w:pPr>
    </w:p>
    <w:bookmarkStart w:id="96" w:name="page97"/>
    <w:bookmarkEnd w:id="96"/>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6D6F71"/>
        </w:rPr>
        <w:t>Compensation  Discussion  and  Analysis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2025 TARGET COMPENSATION BENCHMARKS</w:t>
      </w:r>
    </w:p>
    <w:p>
      <w:pPr>
        <w:spacing w:after="0" w:line="113" w:lineRule="exact"/>
        <w:rPr>
          <w:sz w:val="20"/>
          <w:szCs w:val="20"/>
          <w:color w:val="auto"/>
        </w:rPr>
      </w:pPr>
    </w:p>
    <w:p>
      <w:pPr>
        <w:ind w:right="20"/>
        <w:spacing w:after="0" w:line="330" w:lineRule="auto"/>
        <w:rPr>
          <w:sz w:val="20"/>
          <w:szCs w:val="20"/>
          <w:color w:val="auto"/>
        </w:rPr>
      </w:pPr>
      <w:r>
        <w:rPr>
          <w:rFonts w:ascii="Arial" w:cs="Arial" w:eastAsia="Arial" w:hAnsi="Arial"/>
          <w:sz w:val="16"/>
          <w:szCs w:val="16"/>
          <w:color w:val="auto"/>
        </w:rPr>
        <w:t>The following charts provide an overview of the 2025 target executive compensation components for the Chief Executive Ofcer and other NEOs and highlights the percentage of total target compensation that is variable and at risk.</w:t>
      </w:r>
    </w:p>
    <w:p>
      <w:pPr>
        <w:spacing w:after="0" w:line="75" w:lineRule="exact"/>
        <w:rPr>
          <w:sz w:val="20"/>
          <w:szCs w:val="20"/>
          <w:color w:val="auto"/>
        </w:rPr>
      </w:pPr>
    </w:p>
    <w:p>
      <w:pPr>
        <w:jc w:val="center"/>
        <w:ind w:right="3740"/>
        <w:spacing w:after="0"/>
        <w:rPr>
          <w:sz w:val="20"/>
          <w:szCs w:val="20"/>
          <w:color w:val="auto"/>
        </w:rPr>
      </w:pPr>
      <w:r>
        <w:rPr>
          <w:rFonts w:ascii="Arial" w:cs="Arial" w:eastAsia="Arial" w:hAnsi="Arial"/>
          <w:sz w:val="16"/>
          <w:szCs w:val="16"/>
          <w:b w:val="1"/>
          <w:bCs w:val="1"/>
          <w:color w:val="1414D2"/>
        </w:rPr>
        <w:t>2025 CHIEF EXECUTIVE OFFICER TARGET PAY TOTAL TARGET</w:t>
      </w:r>
    </w:p>
    <w:p>
      <w:pPr>
        <w:spacing w:after="0" w:line="5" w:lineRule="exact"/>
        <w:rPr>
          <w:sz w:val="20"/>
          <w:szCs w:val="20"/>
          <w:color w:val="auto"/>
        </w:rPr>
      </w:pPr>
    </w:p>
    <w:p>
      <w:pPr>
        <w:jc w:val="center"/>
        <w:ind w:right="3740"/>
        <w:spacing w:after="0"/>
        <w:rPr>
          <w:sz w:val="20"/>
          <w:szCs w:val="20"/>
          <w:color w:val="auto"/>
        </w:rPr>
      </w:pPr>
      <w:r>
        <w:rPr>
          <w:rFonts w:ascii="Arial" w:cs="Arial" w:eastAsia="Arial" w:hAnsi="Arial"/>
          <w:sz w:val="16"/>
          <w:szCs w:val="16"/>
          <w:b w:val="1"/>
          <w:bCs w:val="1"/>
          <w:color w:val="1414D2"/>
        </w:rPr>
        <w:t>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180" w:right="180" w:hanging="319"/>
        <w:spacing w:after="0" w:line="292" w:lineRule="auto"/>
        <w:tabs>
          <w:tab w:leader="none" w:pos="616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Arial" w:cs="Arial" w:eastAsia="Arial" w:hAnsi="Arial"/>
          <w:sz w:val="16"/>
          <w:szCs w:val="16"/>
          <w:b w:val="1"/>
          <w:bCs w:val="1"/>
          <w:color w:val="auto"/>
        </w:rPr>
        <w:t xml:space="preserve">94% </w:t>
      </w:r>
      <w:r>
        <w:rPr>
          <w:rFonts w:ascii="Arial" w:cs="Arial" w:eastAsia="Arial" w:hAnsi="Arial"/>
          <w:sz w:val="16"/>
          <w:szCs w:val="16"/>
          <w:color w:val="auto"/>
        </w:rPr>
        <w:t>of target pay at-risk and fuctuating</w:t>
      </w:r>
      <w:r>
        <w:rPr>
          <w:rFonts w:ascii="Arial" w:cs="Arial" w:eastAsia="Arial" w:hAnsi="Arial"/>
          <w:sz w:val="16"/>
          <w:szCs w:val="16"/>
          <w:b w:val="1"/>
          <w:bCs w:val="1"/>
          <w:color w:val="auto"/>
        </w:rPr>
        <w:t xml:space="preserve"> </w:t>
      </w:r>
      <w:r>
        <w:rPr>
          <w:rFonts w:ascii="Arial" w:cs="Arial" w:eastAsia="Arial" w:hAnsi="Arial"/>
          <w:sz w:val="16"/>
          <w:szCs w:val="16"/>
          <w:color w:val="auto"/>
        </w:rPr>
        <w:t>based on our performance and/or our stock price</w:t>
      </w:r>
    </w:p>
    <w:p>
      <w:pPr>
        <w:spacing w:after="0" w:line="240" w:lineRule="exact"/>
        <w:rPr>
          <w:sz w:val="20"/>
          <w:szCs w:val="20"/>
          <w:color w:val="auto"/>
        </w:rPr>
      </w:pPr>
    </w:p>
    <w:p>
      <w:pPr>
        <w:ind w:left="6180" w:right="460" w:hanging="319"/>
        <w:spacing w:after="0" w:line="312" w:lineRule="auto"/>
        <w:tabs>
          <w:tab w:leader="none" w:pos="616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Arial" w:cs="Arial" w:eastAsia="Arial" w:hAnsi="Arial"/>
          <w:sz w:val="16"/>
          <w:szCs w:val="16"/>
          <w:b w:val="1"/>
          <w:bCs w:val="1"/>
          <w:color w:val="auto"/>
        </w:rPr>
        <w:t xml:space="preserve">80% </w:t>
      </w:r>
      <w:r>
        <w:rPr>
          <w:rFonts w:ascii="Arial" w:cs="Arial" w:eastAsia="Arial" w:hAnsi="Arial"/>
          <w:sz w:val="16"/>
          <w:szCs w:val="16"/>
          <w:color w:val="auto"/>
        </w:rPr>
        <w:t>of target pay delivered in LTI equity</w:t>
      </w:r>
      <w:r>
        <w:rPr>
          <w:rFonts w:ascii="Arial" w:cs="Arial" w:eastAsia="Arial" w:hAnsi="Arial"/>
          <w:sz w:val="16"/>
          <w:szCs w:val="16"/>
          <w:b w:val="1"/>
          <w:bCs w:val="1"/>
          <w:color w:val="auto"/>
        </w:rPr>
        <w:t xml:space="preserve"> </w:t>
      </w:r>
      <w:r>
        <w:rPr>
          <w:rFonts w:ascii="Arial" w:cs="Arial" w:eastAsia="Arial" w:hAnsi="Arial"/>
          <w:sz w:val="16"/>
          <w:szCs w:val="16"/>
          <w:color w:val="auto"/>
        </w:rPr>
        <w:t>incentives with multi-year vesting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1414D2"/>
        </w:rPr>
        <w:t>2025 AVERAGE OTHER NEO TOTAL TARGET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6180" w:right="180" w:hanging="319"/>
        <w:spacing w:after="0" w:line="254" w:lineRule="auto"/>
        <w:tabs>
          <w:tab w:leader="none" w:pos="616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Arial" w:cs="Arial" w:eastAsia="Arial" w:hAnsi="Arial"/>
          <w:sz w:val="16"/>
          <w:szCs w:val="16"/>
          <w:b w:val="1"/>
          <w:bCs w:val="1"/>
          <w:color w:val="auto"/>
        </w:rPr>
        <w:t xml:space="preserve">89% </w:t>
      </w:r>
      <w:r>
        <w:rPr>
          <w:rFonts w:ascii="Arial" w:cs="Arial" w:eastAsia="Arial" w:hAnsi="Arial"/>
          <w:sz w:val="16"/>
          <w:szCs w:val="16"/>
          <w:color w:val="auto"/>
        </w:rPr>
        <w:t>of target pay at-risk and fuctuating</w:t>
      </w:r>
      <w:r>
        <w:rPr>
          <w:rFonts w:ascii="Arial" w:cs="Arial" w:eastAsia="Arial" w:hAnsi="Arial"/>
          <w:sz w:val="16"/>
          <w:szCs w:val="16"/>
          <w:b w:val="1"/>
          <w:bCs w:val="1"/>
          <w:color w:val="auto"/>
        </w:rPr>
        <w:t xml:space="preserve"> </w:t>
      </w:r>
      <w:r>
        <w:rPr>
          <w:rFonts w:ascii="Arial" w:cs="Arial" w:eastAsia="Arial" w:hAnsi="Arial"/>
          <w:sz w:val="16"/>
          <w:szCs w:val="16"/>
          <w:color w:val="auto"/>
        </w:rPr>
        <w:t>based on our performance and/or our stock</w:t>
      </w:r>
    </w:p>
    <w:p>
      <w:pPr>
        <w:spacing w:after="0" w:line="1" w:lineRule="exact"/>
        <w:rPr>
          <w:sz w:val="20"/>
          <w:szCs w:val="20"/>
          <w:color w:val="auto"/>
        </w:rPr>
      </w:pPr>
    </w:p>
    <w:p>
      <w:pPr>
        <w:ind w:left="6180"/>
        <w:spacing w:after="0"/>
        <w:rPr>
          <w:sz w:val="20"/>
          <w:szCs w:val="20"/>
          <w:color w:val="auto"/>
        </w:rPr>
      </w:pPr>
      <w:r>
        <w:rPr>
          <w:rFonts w:ascii="Arial" w:cs="Arial" w:eastAsia="Arial" w:hAnsi="Arial"/>
          <w:sz w:val="16"/>
          <w:szCs w:val="16"/>
          <w:color w:val="auto"/>
        </w:rPr>
        <w:t>price</w:t>
      </w:r>
    </w:p>
    <w:p>
      <w:pPr>
        <w:spacing w:after="0" w:line="113" w:lineRule="exact"/>
        <w:rPr>
          <w:sz w:val="20"/>
          <w:szCs w:val="20"/>
          <w:color w:val="auto"/>
        </w:rPr>
      </w:pPr>
    </w:p>
    <w:p>
      <w:pPr>
        <w:ind w:left="6180" w:right="460" w:hanging="319"/>
        <w:spacing w:after="0" w:line="312" w:lineRule="auto"/>
        <w:tabs>
          <w:tab w:leader="none" w:pos="616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Arial" w:cs="Arial" w:eastAsia="Arial" w:hAnsi="Arial"/>
          <w:sz w:val="16"/>
          <w:szCs w:val="16"/>
          <w:b w:val="1"/>
          <w:bCs w:val="1"/>
          <w:color w:val="auto"/>
        </w:rPr>
        <w:t xml:space="preserve">73% </w:t>
      </w:r>
      <w:r>
        <w:rPr>
          <w:rFonts w:ascii="Arial" w:cs="Arial" w:eastAsia="Arial" w:hAnsi="Arial"/>
          <w:sz w:val="16"/>
          <w:szCs w:val="16"/>
          <w:color w:val="auto"/>
        </w:rPr>
        <w:t>of target pay delivered in LTI equity</w:t>
      </w:r>
      <w:r>
        <w:rPr>
          <w:rFonts w:ascii="Arial" w:cs="Arial" w:eastAsia="Arial" w:hAnsi="Arial"/>
          <w:sz w:val="16"/>
          <w:szCs w:val="16"/>
          <w:b w:val="1"/>
          <w:bCs w:val="1"/>
          <w:color w:val="auto"/>
        </w:rPr>
        <w:t xml:space="preserve"> </w:t>
      </w:r>
      <w:r>
        <w:rPr>
          <w:rFonts w:ascii="Arial" w:cs="Arial" w:eastAsia="Arial" w:hAnsi="Arial"/>
          <w:sz w:val="16"/>
          <w:szCs w:val="16"/>
          <w:color w:val="auto"/>
        </w:rPr>
        <w:t>incentives with multi-year vesting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This target pay mix supports the core elements of our executive compensation philosophy by emphasizing long-term, stock-based incentives while providing competitive annual cash components, thus aligning our executive compensation program with</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our  business  strategy  and  the  creation  of  stockholder  value.</w:t>
      </w:r>
    </w:p>
    <w:p>
      <w:pPr>
        <w:spacing w:after="0" w:line="113" w:lineRule="exact"/>
        <w:rPr>
          <w:sz w:val="20"/>
          <w:szCs w:val="20"/>
          <w:color w:val="auto"/>
        </w:rPr>
      </w:pPr>
    </w:p>
    <w:p>
      <w:pPr>
        <w:ind w:right="220"/>
        <w:spacing w:after="0" w:line="313" w:lineRule="auto"/>
        <w:rPr>
          <w:sz w:val="20"/>
          <w:szCs w:val="20"/>
          <w:color w:val="auto"/>
        </w:rPr>
      </w:pPr>
      <w:r>
        <w:rPr>
          <w:rFonts w:ascii="Arial" w:cs="Arial" w:eastAsia="Arial" w:hAnsi="Arial"/>
          <w:sz w:val="16"/>
          <w:szCs w:val="16"/>
          <w:color w:val="auto"/>
          <w:highlight w:val="white"/>
        </w:rPr>
        <w:t>The target compensation levels described above refect the regular foundation of our 2025 executive pay program (including, for the long-term incentive levels, the target values associated with the annual 2025 award of PBRSUs only).</w:t>
      </w:r>
    </w:p>
    <w:p>
      <w:pPr>
        <w:sectPr>
          <w:pgSz w:w="11900" w:h="16838" w:orient="portrait"/>
          <w:cols w:equalWidth="0" w:num="1">
            <w:col w:w="9720"/>
          </w:cols>
          <w:pgMar w:left="1080" w:top="695"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ind w:right="7720"/>
        <w:spacing w:after="0"/>
        <w:rPr>
          <w:sz w:val="20"/>
          <w:szCs w:val="20"/>
          <w:color w:val="auto"/>
        </w:rPr>
      </w:pPr>
      <w:r>
        <w:rPr>
          <w:rFonts w:ascii="Arial" w:cs="Arial" w:eastAsia="Arial" w:hAnsi="Arial"/>
          <w:sz w:val="16"/>
          <w:szCs w:val="16"/>
          <w:color w:val="auto"/>
        </w:rPr>
        <w:t>​​2026​  Proxy</w:t>
      </w:r>
    </w:p>
    <w:p>
      <w:pPr>
        <w:spacing w:after="0" w:line="5" w:lineRule="exact"/>
        <w:rPr>
          <w:sz w:val="20"/>
          <w:szCs w:val="20"/>
          <w:color w:val="auto"/>
        </w:rPr>
      </w:pPr>
    </w:p>
    <w:p>
      <w:pPr>
        <w:ind w:left="660" w:hanging="656"/>
        <w:spacing w:after="0"/>
        <w:tabs>
          <w:tab w:leader="none" w:pos="660" w:val="left"/>
        </w:tabs>
        <w:numPr>
          <w:ilvl w:val="0"/>
          <w:numId w:val="93"/>
        </w:numPr>
        <w:rPr>
          <w:rFonts w:ascii="Arial" w:cs="Arial" w:eastAsia="Arial" w:hAnsi="Arial"/>
          <w:sz w:val="16"/>
          <w:szCs w:val="16"/>
          <w:b w:val="1"/>
          <w:bCs w:val="1"/>
          <w:color w:val="1414D2"/>
        </w:rPr>
      </w:pPr>
      <w:r>
        <w:rPr>
          <w:rFonts w:ascii="Arial" w:cs="Arial" w:eastAsia="Arial" w:hAnsi="Arial"/>
          <w:sz w:val="16"/>
          <w:szCs w:val="16"/>
          <w:color w:val="auto"/>
        </w:rPr>
        <w:t>Statement</w:t>
      </w:r>
    </w:p>
    <w:p>
      <w:pPr>
        <w:sectPr>
          <w:pgSz w:w="11900" w:h="16838" w:orient="portrait"/>
          <w:cols w:equalWidth="0" w:num="1">
            <w:col w:w="9720"/>
          </w:cols>
          <w:pgMar w:left="1080" w:top="695" w:right="1099" w:bottom="1440" w:gutter="0" w:footer="0" w:header="0"/>
          <w:type w:val="continuous"/>
        </w:sectPr>
      </w:pPr>
    </w:p>
    <w:bookmarkStart w:id="97" w:name="page98"/>
    <w:bookmarkEnd w:id="97"/>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27" w:lineRule="exact"/>
        <w:rPr>
          <w:sz w:val="20"/>
          <w:szCs w:val="20"/>
          <w:color w:val="auto"/>
        </w:rPr>
      </w:pPr>
    </w:p>
    <w:p>
      <w:pPr>
        <w:ind w:left="7100"/>
        <w:spacing w:after="0"/>
        <w:rPr>
          <w:sz w:val="20"/>
          <w:szCs w:val="20"/>
          <w:color w:val="auto"/>
        </w:rPr>
      </w:pPr>
      <w:r>
        <w:rPr>
          <w:rFonts w:ascii="Arial" w:cs="Arial" w:eastAsia="Arial" w:hAnsi="Arial"/>
          <w:sz w:val="14"/>
          <w:szCs w:val="14"/>
          <w:color w:val="6D6F71"/>
        </w:rPr>
        <w:t>Compensation  Discussion  and  Analysis</w:t>
      </w:r>
    </w:p>
    <w:p>
      <w:pPr>
        <w:spacing w:after="0" w:line="223" w:lineRule="exact"/>
        <w:rPr>
          <w:sz w:val="20"/>
          <w:szCs w:val="20"/>
          <w:color w:val="auto"/>
        </w:rPr>
      </w:pPr>
    </w:p>
    <w:p>
      <w:pPr>
        <w:spacing w:after="0"/>
        <w:rPr>
          <w:sz w:val="20"/>
          <w:szCs w:val="20"/>
          <w:color w:val="auto"/>
        </w:rPr>
      </w:pPr>
      <w:r>
        <w:rPr>
          <w:rFonts w:ascii="Arial" w:cs="Arial" w:eastAsia="Arial" w:hAnsi="Arial"/>
          <w:sz w:val="25"/>
          <w:szCs w:val="25"/>
          <w:b w:val="1"/>
          <w:bCs w:val="1"/>
          <w:color w:val="1414D2"/>
        </w:rPr>
        <w:t>Executive Compensation Setting Governance and Process</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SETTING PERFORMANCE MEASURES AND MAKING COMPENSATION DETERMINATIONS</w:t>
      </w:r>
    </w:p>
    <w:p>
      <w:pPr>
        <w:spacing w:after="0" w:line="127" w:lineRule="exact"/>
        <w:rPr>
          <w:sz w:val="20"/>
          <w:szCs w:val="20"/>
          <w:color w:val="auto"/>
        </w:rPr>
      </w:pPr>
    </w:p>
    <w:p>
      <w:pPr>
        <w:ind w:right="100"/>
        <w:spacing w:after="0" w:line="268" w:lineRule="auto"/>
        <w:rPr>
          <w:sz w:val="20"/>
          <w:szCs w:val="20"/>
          <w:color w:val="auto"/>
        </w:rPr>
      </w:pPr>
      <w:r>
        <w:rPr>
          <w:rFonts w:ascii="Arial" w:cs="Arial" w:eastAsia="Arial" w:hAnsi="Arial"/>
          <w:sz w:val="16"/>
          <w:szCs w:val="16"/>
          <w:color w:val="auto"/>
        </w:rPr>
        <w:t xml:space="preserve">The Committee establishes the design of our executive compensation program in accordance with its charter, which can be viewed on our investor relations website at </w:t>
      </w:r>
      <w:r>
        <w:rPr>
          <w:rFonts w:ascii="Arial" w:cs="Arial" w:eastAsia="Arial" w:hAnsi="Arial"/>
          <w:sz w:val="16"/>
          <w:szCs w:val="16"/>
          <w:b w:val="1"/>
          <w:bCs w:val="1"/>
          <w:color w:val="1414D2"/>
        </w:rPr>
        <w:t>ir.united.com</w:t>
      </w:r>
      <w:r>
        <w:rPr>
          <w:rFonts w:ascii="Arial" w:cs="Arial" w:eastAsia="Arial" w:hAnsi="Arial"/>
          <w:sz w:val="16"/>
          <w:szCs w:val="16"/>
          <w:color w:val="auto"/>
        </w:rPr>
        <w:t>, and also approves cash compensation (base salary levels and target annual short-term incentive levels), target annual long-term incentive award size as well as perquisites, life insurance and certain other benefts of each of our executive ofcers.</w:t>
      </w:r>
    </w:p>
    <w:p>
      <w:pPr>
        <w:sectPr>
          <w:pgSz w:w="11900" w:h="16838" w:orient="portrait"/>
          <w:cols w:equalWidth="0" w:num="1">
            <w:col w:w="9720"/>
          </w:cols>
          <w:pgMar w:left="1080" w:top="695" w:right="1099" w:bottom="1440" w:gutter="0" w:footer="0" w:header="0"/>
        </w:sectPr>
      </w:pPr>
    </w:p>
    <w:p>
      <w:pPr>
        <w:spacing w:after="0" w:line="123"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FFFFFF"/>
        </w:rPr>
        <w:t>AFTER END OF YEAR</w:t>
      </w:r>
    </w:p>
    <w:p>
      <w:pPr>
        <w:spacing w:after="0" w:line="290" w:lineRule="exact"/>
        <w:rPr>
          <w:sz w:val="20"/>
          <w:szCs w:val="20"/>
          <w:color w:val="auto"/>
        </w:rPr>
      </w:pPr>
    </w:p>
    <w:p>
      <w:pPr>
        <w:ind w:left="140" w:right="40"/>
        <w:spacing w:after="0" w:line="290" w:lineRule="auto"/>
        <w:rPr>
          <w:sz w:val="20"/>
          <w:szCs w:val="20"/>
          <w:color w:val="auto"/>
        </w:rPr>
      </w:pPr>
      <w:r>
        <w:rPr>
          <w:rFonts w:ascii="Arial" w:cs="Arial" w:eastAsia="Arial" w:hAnsi="Arial"/>
          <w:sz w:val="13"/>
          <w:szCs w:val="13"/>
          <w:color w:val="auto"/>
        </w:rPr>
        <w:t>The Committee certifes performance results under the STI program for the prior year and performance results for Performance-Based RSU performance periods scheduled to vest at the end of the prior year.</w:t>
      </w:r>
    </w:p>
    <w:p>
      <w:pPr>
        <w:spacing w:after="0" w:line="174" w:lineRule="exact"/>
        <w:rPr>
          <w:sz w:val="20"/>
          <w:szCs w:val="20"/>
          <w:color w:val="auto"/>
        </w:rPr>
      </w:pPr>
    </w:p>
    <w:p>
      <w:pPr>
        <w:ind w:left="140" w:right="60"/>
        <w:spacing w:after="0" w:line="260" w:lineRule="auto"/>
        <w:rPr>
          <w:sz w:val="20"/>
          <w:szCs w:val="20"/>
          <w:color w:val="auto"/>
        </w:rPr>
      </w:pPr>
      <w:r>
        <w:rPr>
          <w:rFonts w:ascii="Arial" w:cs="Arial" w:eastAsia="Arial" w:hAnsi="Arial"/>
          <w:sz w:val="13"/>
          <w:szCs w:val="13"/>
          <w:color w:val="auto"/>
        </w:rPr>
        <w:t>The Committee also determines the design and components of current compensation programs, including setting the performance</w:t>
      </w:r>
    </w:p>
    <w:p>
      <w:pPr>
        <w:ind w:left="140" w:right="140"/>
        <w:spacing w:after="0" w:line="249" w:lineRule="auto"/>
        <w:rPr>
          <w:sz w:val="20"/>
          <w:szCs w:val="20"/>
          <w:color w:val="auto"/>
        </w:rPr>
      </w:pPr>
      <w:r>
        <w:rPr>
          <w:rFonts w:ascii="Arial" w:cs="Arial" w:eastAsia="Arial" w:hAnsi="Arial"/>
          <w:sz w:val="13"/>
          <w:szCs w:val="13"/>
          <w:color w:val="auto"/>
        </w:rPr>
        <w:t>measures for each performance-based compensation component, which we believe is consistent with “best practices” in corporate</w:t>
      </w:r>
    </w:p>
    <w:p>
      <w:pPr>
        <w:ind w:left="140" w:right="20"/>
        <w:spacing w:after="0" w:line="297" w:lineRule="auto"/>
        <w:rPr>
          <w:sz w:val="20"/>
          <w:szCs w:val="20"/>
          <w:color w:val="auto"/>
        </w:rPr>
      </w:pPr>
      <w:r>
        <w:rPr>
          <w:rFonts w:ascii="Arial" w:cs="Arial" w:eastAsia="Arial" w:hAnsi="Arial"/>
          <w:sz w:val="13"/>
          <w:szCs w:val="13"/>
          <w:color w:val="auto"/>
        </w:rPr>
        <w:t>governance, reduces the risk of selecting a grant date with a preferential stock price and positions the Committee to consider the full results for the prior year in determining equity grants.</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BEGINNING OF YEAR</w:t>
      </w:r>
    </w:p>
    <w:p>
      <w:pPr>
        <w:spacing w:after="0" w:line="290" w:lineRule="exact"/>
        <w:rPr>
          <w:sz w:val="20"/>
          <w:szCs w:val="20"/>
          <w:color w:val="auto"/>
        </w:rPr>
      </w:pPr>
    </w:p>
    <w:p>
      <w:pPr>
        <w:ind w:right="280"/>
        <w:spacing w:after="0" w:line="285" w:lineRule="auto"/>
        <w:rPr>
          <w:sz w:val="20"/>
          <w:szCs w:val="20"/>
          <w:color w:val="auto"/>
        </w:rPr>
      </w:pPr>
      <w:r>
        <w:rPr>
          <w:rFonts w:ascii="Arial" w:cs="Arial" w:eastAsia="Arial" w:hAnsi="Arial"/>
          <w:sz w:val="13"/>
          <w:szCs w:val="13"/>
          <w:color w:val="auto"/>
        </w:rPr>
        <w:t>The Committee makes annual compensation determinations for Section 16 ofcers. The Committee’s objective is to ofer the opportunity for earned compensation at a level consistent with the level of performance delivered.</w:t>
      </w:r>
    </w:p>
    <w:p>
      <w:pPr>
        <w:spacing w:after="0" w:line="1394" w:lineRule="exact"/>
        <w:rPr>
          <w:sz w:val="20"/>
          <w:szCs w:val="20"/>
          <w:color w:val="auto"/>
        </w:rPr>
      </w:pPr>
    </w:p>
    <w:p>
      <w:pPr>
        <w:sectPr>
          <w:pgSz w:w="11900" w:h="16838" w:orient="portrait"/>
          <w:cols w:equalWidth="0" w:num="2">
            <w:col w:w="4480" w:space="720"/>
            <w:col w:w="4520"/>
          </w:cols>
          <w:pgMar w:left="1080" w:top="695" w:right="1099" w:bottom="1440" w:gutter="0" w:footer="0" w:header="0"/>
          <w:type w:val="continuous"/>
        </w:sectPr>
      </w:pPr>
    </w:p>
    <w:p>
      <w:pPr>
        <w:spacing w:after="0" w:line="229"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FFFFFF"/>
        </w:rPr>
        <w:t>BEFORE END OF YEAR</w:t>
      </w:r>
    </w:p>
    <w:p>
      <w:pPr>
        <w:spacing w:after="0" w:line="290" w:lineRule="exact"/>
        <w:rPr>
          <w:sz w:val="20"/>
          <w:szCs w:val="20"/>
          <w:color w:val="auto"/>
        </w:rPr>
      </w:pPr>
    </w:p>
    <w:p>
      <w:pPr>
        <w:ind w:left="140" w:right="160"/>
        <w:spacing w:after="0" w:line="260" w:lineRule="auto"/>
        <w:rPr>
          <w:sz w:val="20"/>
          <w:szCs w:val="20"/>
          <w:color w:val="auto"/>
        </w:rPr>
      </w:pPr>
      <w:r>
        <w:rPr>
          <w:rFonts w:ascii="Arial" w:cs="Arial" w:eastAsia="Arial" w:hAnsi="Arial"/>
          <w:sz w:val="13"/>
          <w:szCs w:val="13"/>
          <w:color w:val="auto"/>
        </w:rPr>
        <w:t>The Committee reviews the existing compensation program, including its design and components, to determine if any changes should be made to the program for the next fscal year. The</w:t>
      </w:r>
    </w:p>
    <w:p>
      <w:pPr>
        <w:ind w:left="140" w:right="100"/>
        <w:spacing w:after="0" w:line="249" w:lineRule="auto"/>
        <w:rPr>
          <w:sz w:val="20"/>
          <w:szCs w:val="20"/>
          <w:color w:val="auto"/>
        </w:rPr>
      </w:pPr>
      <w:r>
        <w:rPr>
          <w:rFonts w:ascii="Arial" w:cs="Arial" w:eastAsia="Arial" w:hAnsi="Arial"/>
          <w:sz w:val="13"/>
          <w:szCs w:val="13"/>
          <w:color w:val="auto"/>
        </w:rPr>
        <w:t>Committee also reviews market data to provide insight on compensation for our Section 16 ofcers. Before reviewing market</w:t>
      </w:r>
    </w:p>
    <w:p>
      <w:pPr>
        <w:ind w:left="140" w:right="20"/>
        <w:spacing w:after="0" w:line="335" w:lineRule="auto"/>
        <w:rPr>
          <w:sz w:val="20"/>
          <w:szCs w:val="20"/>
          <w:color w:val="auto"/>
        </w:rPr>
      </w:pPr>
      <w:r>
        <w:rPr>
          <w:rFonts w:ascii="Arial" w:cs="Arial" w:eastAsia="Arial" w:hAnsi="Arial"/>
          <w:sz w:val="13"/>
          <w:szCs w:val="13"/>
          <w:color w:val="auto"/>
        </w:rPr>
        <w:t>data, the Committee reviews and approves our compensation peer group used by our independent consultant to generate market data.</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DURING THE YEAR</w:t>
      </w:r>
    </w:p>
    <w:p>
      <w:pPr>
        <w:spacing w:after="0" w:line="290" w:lineRule="exact"/>
        <w:rPr>
          <w:sz w:val="20"/>
          <w:szCs w:val="20"/>
          <w:color w:val="auto"/>
        </w:rPr>
      </w:pPr>
    </w:p>
    <w:p>
      <w:pPr>
        <w:ind w:right="260"/>
        <w:spacing w:after="0" w:line="285" w:lineRule="auto"/>
        <w:rPr>
          <w:sz w:val="20"/>
          <w:szCs w:val="20"/>
          <w:color w:val="auto"/>
        </w:rPr>
      </w:pPr>
      <w:r>
        <w:rPr>
          <w:rFonts w:ascii="Arial" w:cs="Arial" w:eastAsia="Arial" w:hAnsi="Arial"/>
          <w:sz w:val="13"/>
          <w:szCs w:val="13"/>
          <w:color w:val="auto"/>
        </w:rPr>
        <w:t>The Committee meets regularly throughout the year, with management and in executive session, and reviews United’s performance results to date against the performance measures set forth in our executive compensation program.</w:t>
      </w:r>
    </w:p>
    <w:p>
      <w:pPr>
        <w:spacing w:after="0" w:line="5" w:lineRule="exact"/>
        <w:rPr>
          <w:sz w:val="20"/>
          <w:szCs w:val="20"/>
          <w:color w:val="auto"/>
        </w:rPr>
      </w:pPr>
    </w:p>
    <w:p>
      <w:pPr>
        <w:ind w:right="160"/>
        <w:spacing w:after="0" w:line="260" w:lineRule="auto"/>
        <w:rPr>
          <w:sz w:val="20"/>
          <w:szCs w:val="20"/>
          <w:color w:val="auto"/>
        </w:rPr>
      </w:pPr>
      <w:r>
        <w:rPr>
          <w:rFonts w:ascii="Arial" w:cs="Arial" w:eastAsia="Arial" w:hAnsi="Arial"/>
          <w:sz w:val="13"/>
          <w:szCs w:val="13"/>
          <w:color w:val="auto"/>
        </w:rPr>
        <w:t>The Committee also reviews the executive compensation program to assess whether it remains appropriate, competitive and aligned with</w:t>
      </w:r>
    </w:p>
    <w:p>
      <w:pPr>
        <w:ind w:right="240"/>
        <w:spacing w:after="0" w:line="249" w:lineRule="auto"/>
        <w:rPr>
          <w:sz w:val="20"/>
          <w:szCs w:val="20"/>
          <w:color w:val="auto"/>
        </w:rPr>
      </w:pPr>
      <w:r>
        <w:rPr>
          <w:rFonts w:ascii="Arial" w:cs="Arial" w:eastAsia="Arial" w:hAnsi="Arial"/>
          <w:sz w:val="13"/>
          <w:szCs w:val="13"/>
          <w:color w:val="auto"/>
        </w:rPr>
        <w:t>our stockholders’ interests and the other principles of the program. The Committee’s independent consultant attends Committee</w:t>
      </w:r>
    </w:p>
    <w:p>
      <w:pPr>
        <w:spacing w:after="0"/>
        <w:rPr>
          <w:sz w:val="20"/>
          <w:szCs w:val="20"/>
          <w:color w:val="auto"/>
        </w:rPr>
      </w:pPr>
      <w:r>
        <w:rPr>
          <w:rFonts w:ascii="Arial" w:cs="Arial" w:eastAsia="Arial" w:hAnsi="Arial"/>
          <w:sz w:val="13"/>
          <w:szCs w:val="13"/>
          <w:color w:val="auto"/>
        </w:rPr>
        <w:t>meetings  at  the  invitation  of  the  Committee.</w:t>
      </w:r>
    </w:p>
    <w:p>
      <w:pPr>
        <w:spacing w:after="0" w:line="200" w:lineRule="exact"/>
        <w:rPr>
          <w:sz w:val="20"/>
          <w:szCs w:val="20"/>
          <w:color w:val="auto"/>
        </w:rPr>
      </w:pPr>
    </w:p>
    <w:p>
      <w:pPr>
        <w:sectPr>
          <w:pgSz w:w="11900" w:h="16838" w:orient="portrait"/>
          <w:cols w:equalWidth="0" w:num="2">
            <w:col w:w="4480" w:space="720"/>
            <w:col w:w="4520"/>
          </w:cols>
          <w:pgMar w:left="1080" w:top="695" w:right="1099" w:bottom="1440" w:gutter="0" w:footer="0" w:header="0"/>
          <w:type w:val="continuous"/>
        </w:sectPr>
      </w:pPr>
    </w:p>
    <w:p>
      <w:pPr>
        <w:spacing w:after="0" w:line="81" w:lineRule="exact"/>
        <w:rPr>
          <w:sz w:val="20"/>
          <w:szCs w:val="20"/>
          <w:color w:val="auto"/>
        </w:rPr>
      </w:pPr>
    </w:p>
    <w:p>
      <w:pPr>
        <w:ind w:right="220"/>
        <w:spacing w:after="0" w:line="252" w:lineRule="auto"/>
        <w:rPr>
          <w:sz w:val="20"/>
          <w:szCs w:val="20"/>
          <w:color w:val="auto"/>
        </w:rPr>
      </w:pPr>
      <w:r>
        <w:rPr>
          <w:rFonts w:ascii="Arial" w:cs="Arial" w:eastAsia="Arial" w:hAnsi="Arial"/>
          <w:sz w:val="16"/>
          <w:szCs w:val="16"/>
          <w:color w:val="auto"/>
        </w:rPr>
        <w:t>Annual LTI awards are typically approved in or near the frst quarter of the fscal year. We do not grant any form of equity compensation in anticipation of the release of material, non-public information. Similarly, we do not time the release of material, non-public information based on equity award grant dates for the purpose of afecting the value of any NEO award.</w:t>
      </w:r>
    </w:p>
    <w:p>
      <w:pPr>
        <w:spacing w:after="0" w:line="1" w:lineRule="exact"/>
        <w:rPr>
          <w:sz w:val="20"/>
          <w:szCs w:val="20"/>
          <w:color w:val="auto"/>
        </w:rPr>
      </w:pPr>
    </w:p>
    <w:p>
      <w:pPr>
        <w:ind w:right="320"/>
        <w:spacing w:after="0" w:line="313" w:lineRule="auto"/>
        <w:rPr>
          <w:sz w:val="20"/>
          <w:szCs w:val="20"/>
          <w:color w:val="auto"/>
        </w:rPr>
      </w:pPr>
      <w:r>
        <w:rPr>
          <w:rFonts w:ascii="Arial" w:cs="Arial" w:eastAsia="Arial" w:hAnsi="Arial"/>
          <w:sz w:val="16"/>
          <w:szCs w:val="16"/>
          <w:color w:val="auto"/>
        </w:rPr>
        <w:t>The Committee also does not take material, non-public information into account when determining the timing and terms of equity award grants. During 2025, none of our NEOs were granted any options to purchase shares of Common Stock.</w:t>
      </w:r>
    </w:p>
    <w:p>
      <w:pPr>
        <w:spacing w:after="0" w:line="6" w:lineRule="exact"/>
        <w:rPr>
          <w:sz w:val="20"/>
          <w:szCs w:val="20"/>
          <w:color w:val="auto"/>
        </w:rPr>
      </w:pPr>
    </w:p>
    <w:p>
      <w:pPr>
        <w:ind w:right="140"/>
        <w:spacing w:after="0" w:line="255" w:lineRule="auto"/>
        <w:rPr>
          <w:sz w:val="20"/>
          <w:szCs w:val="20"/>
          <w:color w:val="auto"/>
        </w:rPr>
      </w:pPr>
      <w:r>
        <w:rPr>
          <w:rFonts w:ascii="Arial" w:cs="Arial" w:eastAsia="Arial" w:hAnsi="Arial"/>
          <w:sz w:val="16"/>
          <w:szCs w:val="16"/>
          <w:color w:val="auto"/>
        </w:rPr>
        <w:t>To help achieve its design objectives and align the executive compensation program with our overall pay philosophy, the Committee considers a variety of inputs, including stockholder feedback from our engagement sessions, results of our annual</w:t>
      </w:r>
    </w:p>
    <w:p>
      <w:pPr>
        <w:spacing w:after="0" w:line="1" w:lineRule="exact"/>
        <w:rPr>
          <w:sz w:val="20"/>
          <w:szCs w:val="20"/>
          <w:color w:val="auto"/>
        </w:rPr>
      </w:pPr>
    </w:p>
    <w:p>
      <w:pPr>
        <w:ind w:right="80"/>
        <w:spacing w:after="0" w:line="252" w:lineRule="auto"/>
        <w:rPr>
          <w:sz w:val="20"/>
          <w:szCs w:val="20"/>
          <w:color w:val="auto"/>
        </w:rPr>
      </w:pPr>
      <w:r>
        <w:rPr>
          <w:rFonts w:ascii="Arial" w:cs="Arial" w:eastAsia="Arial" w:hAnsi="Arial"/>
          <w:sz w:val="16"/>
          <w:szCs w:val="16"/>
          <w:color w:val="auto"/>
        </w:rPr>
        <w:t>“Say-on-Pay” vote, the advice of the Committee’s independent compensation consultant, market considerations and the compensation programs of our peer group, Company and NEO-focused considerations, the input of our Chief Executive Ofcer and President (except with respect to compensation for themselves), internal pay parity and management and risk mitigation</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considerations.  We  address  each  of  these  inputs  here.</w:t>
      </w:r>
    </w:p>
    <w:p>
      <w:pPr>
        <w:spacing w:after="0" w:line="113" w:lineRule="exact"/>
        <w:rPr>
          <w:sz w:val="20"/>
          <w:szCs w:val="20"/>
          <w:color w:val="auto"/>
        </w:rPr>
      </w:pPr>
    </w:p>
    <w:p>
      <w:pPr>
        <w:ind w:right="540"/>
        <w:spacing w:after="0" w:line="279" w:lineRule="auto"/>
        <w:rPr>
          <w:sz w:val="20"/>
          <w:szCs w:val="20"/>
          <w:color w:val="auto"/>
        </w:rPr>
      </w:pPr>
      <w:r>
        <w:rPr>
          <w:rFonts w:ascii="Arial" w:cs="Arial" w:eastAsia="Arial" w:hAnsi="Arial"/>
          <w:sz w:val="16"/>
          <w:szCs w:val="16"/>
          <w:color w:val="auto"/>
        </w:rPr>
        <w:t>Ultimately, the Committee makes all fnal decisions regarding the executive compensation program design, performance measures and the compensation levels of United’s executive ofcers following its review and consideration of all recommendations and data it deems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2026  Proxy  Statement</w:t>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1414D2"/>
        </w:rPr>
        <w:t>87</w:t>
      </w:r>
    </w:p>
    <w:p>
      <w:pPr>
        <w:sectPr>
          <w:pgSz w:w="11900" w:h="16838" w:orient="portrait"/>
          <w:cols w:equalWidth="0" w:num="1">
            <w:col w:w="9720"/>
          </w:cols>
          <w:pgMar w:left="1080" w:top="695" w:right="1099" w:bottom="1440" w:gutter="0" w:footer="0" w:header="0"/>
          <w:type w:val="continuous"/>
        </w:sectPr>
      </w:pPr>
    </w:p>
    <w:bookmarkStart w:id="98" w:name="page99"/>
    <w:bookmarkEnd w:id="98"/>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6D6F71"/>
        </w:rPr>
        <w:t>Compensation  Discussion  and  Analysis</w:t>
      </w:r>
    </w:p>
    <w:p>
      <w:pPr>
        <w:sectPr>
          <w:pgSz w:w="11900" w:h="16838" w:orient="portrait"/>
          <w:cols w:equalWidth="0" w:num="1">
            <w:col w:w="9680"/>
          </w:cols>
          <w:pgMar w:left="1080" w:top="695" w:right="11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STOCKHOLDER ENGAGEMENT</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Our  Board  and  the  Committee  deeply  value  the  continued  interest  of  and</w:t>
      </w:r>
    </w:p>
    <w:p>
      <w:pPr>
        <w:spacing w:after="0" w:line="19"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feedback from our stockholders on our executive compensation program and are committed to maintaining an active dialogue with our stockholders to allow us to take into account their perspectives.</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Feedback  received  from  our  stockholders  through  ongoing  engagement</w:t>
      </w:r>
    </w:p>
    <w:p>
      <w:pPr>
        <w:spacing w:after="0" w:line="19" w:lineRule="exact"/>
        <w:rPr>
          <w:sz w:val="20"/>
          <w:szCs w:val="20"/>
          <w:color w:val="auto"/>
        </w:rPr>
      </w:pPr>
    </w:p>
    <w:p>
      <w:pPr>
        <w:ind w:right="240"/>
        <w:spacing w:after="0" w:line="313" w:lineRule="auto"/>
        <w:rPr>
          <w:sz w:val="20"/>
          <w:szCs w:val="20"/>
          <w:color w:val="auto"/>
        </w:rPr>
      </w:pPr>
      <w:r>
        <w:rPr>
          <w:rFonts w:ascii="Arial" w:cs="Arial" w:eastAsia="Arial" w:hAnsi="Arial"/>
          <w:sz w:val="16"/>
          <w:szCs w:val="16"/>
          <w:color w:val="auto"/>
        </w:rPr>
        <w:t>discussions informs the Committee’s deliberations as it reviews the incentive structures in place on an ongoing basis.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1" w:lineRule="exact"/>
        <w:rPr>
          <w:sz w:val="20"/>
          <w:szCs w:val="20"/>
          <w:color w:val="auto"/>
        </w:rPr>
      </w:pPr>
    </w:p>
    <w:p>
      <w:pPr>
        <w:jc w:val="center"/>
        <w:ind w:right="220"/>
        <w:spacing w:after="0"/>
        <w:rPr>
          <w:sz w:val="20"/>
          <w:szCs w:val="20"/>
          <w:color w:val="auto"/>
        </w:rPr>
      </w:pPr>
      <w:r>
        <w:rPr>
          <w:rFonts w:ascii="Arial" w:cs="Arial" w:eastAsia="Arial" w:hAnsi="Arial"/>
          <w:sz w:val="25"/>
          <w:szCs w:val="25"/>
          <w:b w:val="1"/>
          <w:bCs w:val="1"/>
          <w:color w:val="FFFFFF"/>
        </w:rPr>
        <w:t>Contacted</w:t>
      </w:r>
    </w:p>
    <w:p>
      <w:pPr>
        <w:spacing w:after="0" w:line="104" w:lineRule="exact"/>
        <w:rPr>
          <w:sz w:val="20"/>
          <w:szCs w:val="20"/>
          <w:color w:val="auto"/>
        </w:rPr>
      </w:pPr>
    </w:p>
    <w:p>
      <w:pPr>
        <w:jc w:val="center"/>
        <w:ind w:right="220"/>
        <w:spacing w:after="0"/>
        <w:rPr>
          <w:sz w:val="20"/>
          <w:szCs w:val="20"/>
          <w:color w:val="auto"/>
        </w:rPr>
      </w:pPr>
      <w:r>
        <w:rPr>
          <w:rFonts w:ascii="Arial" w:cs="Arial" w:eastAsia="Arial" w:hAnsi="Arial"/>
          <w:sz w:val="25"/>
          <w:szCs w:val="25"/>
          <w:b w:val="1"/>
          <w:bCs w:val="1"/>
          <w:color w:val="FFFFFF"/>
        </w:rPr>
        <w:t>approximately 61%</w:t>
      </w:r>
    </w:p>
    <w:p>
      <w:pPr>
        <w:spacing w:after="0" w:line="104" w:lineRule="exact"/>
        <w:rPr>
          <w:sz w:val="20"/>
          <w:szCs w:val="20"/>
          <w:color w:val="auto"/>
        </w:rPr>
      </w:pPr>
    </w:p>
    <w:p>
      <w:pPr>
        <w:jc w:val="center"/>
        <w:ind w:right="220"/>
        <w:spacing w:after="0"/>
        <w:rPr>
          <w:sz w:val="20"/>
          <w:szCs w:val="20"/>
          <w:color w:val="auto"/>
        </w:rPr>
      </w:pPr>
      <w:r>
        <w:rPr>
          <w:rFonts w:ascii="Arial" w:cs="Arial" w:eastAsia="Arial" w:hAnsi="Arial"/>
          <w:sz w:val="25"/>
          <w:szCs w:val="25"/>
          <w:b w:val="1"/>
          <w:bCs w:val="1"/>
          <w:color w:val="FFFFFF"/>
        </w:rPr>
        <w:t>of our top stockholders</w:t>
      </w:r>
    </w:p>
    <w:p>
      <w:pPr>
        <w:spacing w:after="0" w:line="456" w:lineRule="exact"/>
        <w:rPr>
          <w:sz w:val="20"/>
          <w:szCs w:val="20"/>
          <w:color w:val="auto"/>
        </w:rPr>
      </w:pPr>
    </w:p>
    <w:p>
      <w:pPr>
        <w:sectPr>
          <w:pgSz w:w="11900" w:h="16838" w:orient="portrait"/>
          <w:cols w:equalWidth="0" w:num="2">
            <w:col w:w="6040" w:space="480"/>
            <w:col w:w="3160"/>
          </w:cols>
          <w:pgMar w:left="1080" w:top="695" w:right="1139" w:bottom="1440" w:gutter="0" w:footer="0" w:header="0"/>
          <w:type w:val="continuous"/>
        </w:sectPr>
      </w:pPr>
    </w:p>
    <w:p>
      <w:pPr>
        <w:spacing w:after="0" w:line="255" w:lineRule="auto"/>
        <w:rPr>
          <w:sz w:val="20"/>
          <w:szCs w:val="20"/>
          <w:color w:val="auto"/>
        </w:rPr>
      </w:pPr>
      <w:r>
        <w:rPr>
          <w:rFonts w:ascii="Arial" w:cs="Arial" w:eastAsia="Arial" w:hAnsi="Arial"/>
          <w:sz w:val="16"/>
          <w:szCs w:val="16"/>
          <w:color w:val="auto"/>
        </w:rPr>
        <w:t>As in prior years, we have continued our active stockholder engagement program, discussing compensation and a broad range of corporate governance topics with stockholders representing approximately 61% of our outstanding shares of Common Stock</w:t>
      </w:r>
    </w:p>
    <w:p>
      <w:pPr>
        <w:spacing w:after="0" w:line="1" w:lineRule="exact"/>
        <w:rPr>
          <w:sz w:val="20"/>
          <w:szCs w:val="20"/>
          <w:color w:val="auto"/>
        </w:rPr>
      </w:pPr>
    </w:p>
    <w:p>
      <w:pPr>
        <w:jc w:val="both"/>
        <w:ind w:right="140"/>
        <w:spacing w:after="0" w:line="250" w:lineRule="auto"/>
        <w:rPr>
          <w:sz w:val="20"/>
          <w:szCs w:val="20"/>
          <w:color w:val="auto"/>
        </w:rPr>
      </w:pPr>
      <w:r>
        <w:rPr>
          <w:rFonts w:ascii="Arial" w:cs="Arial" w:eastAsia="Arial" w:hAnsi="Arial"/>
          <w:sz w:val="16"/>
          <w:szCs w:val="16"/>
          <w:color w:val="auto"/>
        </w:rPr>
        <w:t>since our 2025 annual meeting of stockholders. During our stockholder engagement program, we learned that certain of our stockholders expressed concerns related to the special retention LTI awards that we granted in July 2024, which were deemed critical to incentivizing our executive team to maintain their employment with the Company given the intense competition for the talented executives in the aviation industry and were awarded as a motivational vehicle to drive key fnancial metrics. In</w:t>
      </w:r>
    </w:p>
    <w:p>
      <w:pPr>
        <w:spacing w:after="0" w:line="3" w:lineRule="exact"/>
        <w:rPr>
          <w:sz w:val="20"/>
          <w:szCs w:val="20"/>
          <w:color w:val="auto"/>
        </w:rPr>
      </w:pPr>
    </w:p>
    <w:p>
      <w:pPr>
        <w:ind w:right="40"/>
        <w:spacing w:after="0" w:line="246" w:lineRule="auto"/>
        <w:rPr>
          <w:sz w:val="20"/>
          <w:szCs w:val="20"/>
          <w:color w:val="auto"/>
        </w:rPr>
      </w:pPr>
      <w:r>
        <w:rPr>
          <w:rFonts w:ascii="Arial" w:cs="Arial" w:eastAsia="Arial" w:hAnsi="Arial"/>
          <w:sz w:val="16"/>
          <w:szCs w:val="16"/>
          <w:color w:val="auto"/>
        </w:rPr>
        <w:t>2025 we did not grant any retention or special awards outside of our regular annual STI or LTI program to any of our NEOs and further, we do not currently intend to grant any retention or special awards outside of our regular annual STI or LTI program to</w:t>
      </w:r>
    </w:p>
    <w:p>
      <w:pPr>
        <w:spacing w:after="0" w:line="1" w:lineRule="exact"/>
        <w:rPr>
          <w:sz w:val="20"/>
          <w:szCs w:val="20"/>
          <w:color w:val="auto"/>
        </w:rPr>
      </w:pPr>
    </w:p>
    <w:p>
      <w:pPr>
        <w:ind w:right="100"/>
        <w:spacing w:after="0" w:line="255" w:lineRule="auto"/>
        <w:rPr>
          <w:sz w:val="20"/>
          <w:szCs w:val="20"/>
          <w:color w:val="auto"/>
        </w:rPr>
      </w:pPr>
      <w:r>
        <w:rPr>
          <w:rFonts w:ascii="Arial" w:cs="Arial" w:eastAsia="Arial" w:hAnsi="Arial"/>
          <w:sz w:val="16"/>
          <w:szCs w:val="16"/>
          <w:color w:val="auto"/>
        </w:rPr>
        <w:t>any of our NEOs in 2026 except in the case of extraordinary circumstances. The Committee, however, continues to review the design and performance measures of our incentive programs as part of its regular annual process and may make refnements</w:t>
      </w:r>
    </w:p>
    <w:p>
      <w:pPr>
        <w:spacing w:after="0" w:line="1" w:lineRule="exact"/>
        <w:rPr>
          <w:sz w:val="20"/>
          <w:szCs w:val="20"/>
          <w:color w:val="auto"/>
        </w:rPr>
      </w:pPr>
    </w:p>
    <w:p>
      <w:pPr>
        <w:ind w:right="360"/>
        <w:spacing w:after="0" w:line="313" w:lineRule="auto"/>
        <w:rPr>
          <w:sz w:val="20"/>
          <w:szCs w:val="20"/>
          <w:color w:val="auto"/>
        </w:rPr>
      </w:pPr>
      <w:r>
        <w:rPr>
          <w:rFonts w:ascii="Arial" w:cs="Arial" w:eastAsia="Arial" w:hAnsi="Arial"/>
          <w:sz w:val="16"/>
          <w:szCs w:val="16"/>
          <w:color w:val="auto"/>
        </w:rPr>
        <w:t>to the structure or performance measures of our ongoing STI and LTI programs from time to time to further align pay with performance and stockholder interests.</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The  Committee  was  otherwise  mindful  of  the  support  our  stockholders  expressed  for  our  philosophy  and  our  practice  of</w:t>
      </w:r>
    </w:p>
    <w:p>
      <w:pPr>
        <w:spacing w:after="0" w:line="19" w:lineRule="exact"/>
        <w:rPr>
          <w:sz w:val="20"/>
          <w:szCs w:val="20"/>
          <w:color w:val="auto"/>
        </w:rPr>
      </w:pPr>
    </w:p>
    <w:p>
      <w:pPr>
        <w:ind w:right="60"/>
        <w:spacing w:after="0" w:line="272" w:lineRule="auto"/>
        <w:rPr>
          <w:sz w:val="20"/>
          <w:szCs w:val="20"/>
          <w:color w:val="auto"/>
        </w:rPr>
      </w:pPr>
      <w:r>
        <w:rPr>
          <w:rFonts w:ascii="Arial" w:cs="Arial" w:eastAsia="Arial" w:hAnsi="Arial"/>
          <w:sz w:val="16"/>
          <w:szCs w:val="16"/>
          <w:color w:val="auto"/>
        </w:rPr>
        <w:t>aligning pay with performance and, as a result, in evaluating our compensation practices in fscal year 2025, the Committee determined to keep our 2025 executive compensation program generally consistent with the 2024 program with the exception of certain refnements to our STI and LTI program, each as described in the “Key Executive Compensation Program Changes in 2025” section above.</w:t>
      </w:r>
    </w:p>
    <w:p>
      <w:pPr>
        <w:sectPr>
          <w:pgSz w:w="11900" w:h="16838" w:orient="portrait"/>
          <w:cols w:equalWidth="0" w:num="1">
            <w:col w:w="9680"/>
          </w:cols>
          <w:pgMar w:left="1080" w:top="695" w:right="11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ind w:right="7680"/>
        <w:spacing w:after="0"/>
        <w:rPr>
          <w:sz w:val="20"/>
          <w:szCs w:val="20"/>
          <w:color w:val="auto"/>
        </w:rPr>
      </w:pPr>
      <w:r>
        <w:rPr>
          <w:rFonts w:ascii="Arial" w:cs="Arial" w:eastAsia="Arial" w:hAnsi="Arial"/>
          <w:sz w:val="16"/>
          <w:szCs w:val="16"/>
          <w:color w:val="auto"/>
        </w:rPr>
        <w:t>​​2026​  Proxy</w:t>
      </w:r>
    </w:p>
    <w:p>
      <w:pPr>
        <w:spacing w:after="0" w:line="5" w:lineRule="exact"/>
        <w:rPr>
          <w:sz w:val="20"/>
          <w:szCs w:val="20"/>
          <w:color w:val="auto"/>
        </w:rPr>
      </w:pPr>
    </w:p>
    <w:p>
      <w:pPr>
        <w:ind w:left="660" w:hanging="656"/>
        <w:spacing w:after="0"/>
        <w:tabs>
          <w:tab w:leader="none" w:pos="660" w:val="left"/>
        </w:tabs>
        <w:numPr>
          <w:ilvl w:val="0"/>
          <w:numId w:val="94"/>
        </w:numPr>
        <w:rPr>
          <w:rFonts w:ascii="Arial" w:cs="Arial" w:eastAsia="Arial" w:hAnsi="Arial"/>
          <w:sz w:val="16"/>
          <w:szCs w:val="16"/>
          <w:b w:val="1"/>
          <w:bCs w:val="1"/>
          <w:color w:val="1414D2"/>
        </w:rPr>
      </w:pPr>
      <w:r>
        <w:rPr>
          <w:rFonts w:ascii="Arial" w:cs="Arial" w:eastAsia="Arial" w:hAnsi="Arial"/>
          <w:sz w:val="16"/>
          <w:szCs w:val="16"/>
          <w:color w:val="auto"/>
        </w:rPr>
        <w:t>Statement</w:t>
      </w:r>
    </w:p>
    <w:p>
      <w:pPr>
        <w:sectPr>
          <w:pgSz w:w="11900" w:h="16838" w:orient="portrait"/>
          <w:cols w:equalWidth="0" w:num="1">
            <w:col w:w="9680"/>
          </w:cols>
          <w:pgMar w:left="1080" w:top="695" w:right="1139" w:bottom="1440" w:gutter="0" w:footer="0" w:header="0"/>
          <w:type w:val="continuous"/>
        </w:sectPr>
      </w:pPr>
    </w:p>
    <w:bookmarkStart w:id="99" w:name="page100"/>
    <w:bookmarkEnd w:id="99"/>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27" w:lineRule="exact"/>
        <w:rPr>
          <w:sz w:val="20"/>
          <w:szCs w:val="20"/>
          <w:color w:val="auto"/>
        </w:rPr>
      </w:pPr>
    </w:p>
    <w:p>
      <w:pPr>
        <w:jc w:val="right"/>
        <w:spacing w:after="0"/>
        <w:rPr>
          <w:sz w:val="20"/>
          <w:szCs w:val="20"/>
          <w:color w:val="auto"/>
        </w:rPr>
      </w:pPr>
      <w:r>
        <w:rPr>
          <w:rFonts w:ascii="Arial" w:cs="Arial" w:eastAsia="Arial" w:hAnsi="Arial"/>
          <w:sz w:val="14"/>
          <w:szCs w:val="14"/>
          <w:color w:val="6D6F71"/>
        </w:rPr>
        <w:t>Compensation  Discussion  and  Analysis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CONSIDERATION OF ANNUAL SAY-ON-PAY VOTE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In  2025,  stockholders  continued  their  strong  support  for  our  executive  compensation  program</w:t>
      </w:r>
    </w:p>
    <w:p>
      <w:pPr>
        <w:spacing w:after="0" w:line="19" w:lineRule="exact"/>
        <w:rPr>
          <w:sz w:val="20"/>
          <w:szCs w:val="20"/>
          <w:color w:val="auto"/>
        </w:rPr>
      </w:pPr>
    </w:p>
    <w:p>
      <w:pPr>
        <w:ind w:right="2340"/>
        <w:spacing w:after="0" w:line="250" w:lineRule="auto"/>
        <w:rPr>
          <w:sz w:val="20"/>
          <w:szCs w:val="20"/>
          <w:color w:val="auto"/>
        </w:rPr>
      </w:pPr>
      <w:r>
        <w:rPr>
          <w:rFonts w:ascii="Arial" w:cs="Arial" w:eastAsia="Arial" w:hAnsi="Arial"/>
          <w:sz w:val="16"/>
          <w:szCs w:val="16"/>
          <w:color w:val="auto"/>
        </w:rPr>
        <w:t>with approximately 86.3% of the votes cast in favor of the Say-on-Pay proposal. However, as discussed above, certain stockholders, including certain of those who opposed our Say-on-Pay proposal in 2025, expressed concerns regarding the special retention LTI awards that we granted in July 2024. In 2025 we did not grant any retention or special awards outside of our regular</w:t>
      </w:r>
    </w:p>
    <w:p>
      <w:pPr>
        <w:spacing w:after="0" w:line="3" w:lineRule="exact"/>
        <w:rPr>
          <w:sz w:val="20"/>
          <w:szCs w:val="20"/>
          <w:color w:val="auto"/>
        </w:rPr>
      </w:pPr>
    </w:p>
    <w:p>
      <w:pPr>
        <w:ind w:right="2580"/>
        <w:spacing w:after="0" w:line="250" w:lineRule="auto"/>
        <w:rPr>
          <w:sz w:val="20"/>
          <w:szCs w:val="20"/>
          <w:color w:val="auto"/>
        </w:rPr>
      </w:pPr>
      <w:r>
        <w:rPr>
          <w:rFonts w:ascii="Arial" w:cs="Arial" w:eastAsia="Arial" w:hAnsi="Arial"/>
          <w:sz w:val="16"/>
          <w:szCs w:val="16"/>
          <w:color w:val="auto"/>
        </w:rPr>
        <w:t>annual STI or LTI program to any of our NEOs and further, we do not currently intend to grant any retention or special awards outside of our regular annual STI or LTI program to any of our NEOs in 2026 except in the case of extraordinary circumstances. The Committee continues to review the design and performance measures of our incentive programs as part of its regular</w:t>
      </w:r>
    </w:p>
    <w:p>
      <w:pPr>
        <w:spacing w:after="0" w:line="3" w:lineRule="exact"/>
        <w:rPr>
          <w:sz w:val="20"/>
          <w:szCs w:val="20"/>
          <w:color w:val="auto"/>
        </w:rPr>
      </w:pPr>
    </w:p>
    <w:p>
      <w:pPr>
        <w:ind w:right="3200"/>
        <w:spacing w:after="0" w:line="313" w:lineRule="auto"/>
        <w:rPr>
          <w:sz w:val="20"/>
          <w:szCs w:val="20"/>
          <w:color w:val="auto"/>
        </w:rPr>
      </w:pPr>
      <w:r>
        <w:rPr>
          <w:rFonts w:ascii="Arial" w:cs="Arial" w:eastAsia="Arial" w:hAnsi="Arial"/>
          <w:sz w:val="16"/>
          <w:szCs w:val="16"/>
          <w:color w:val="auto"/>
        </w:rPr>
        <w:t>annual process and may make refnements to further align pay with performance and stockholder interests or otherwise in consideration of stockholder feedback.</w:t>
      </w:r>
    </w:p>
    <w:p>
      <w:pPr>
        <w:spacing w:after="0" w:line="6" w:lineRule="exact"/>
        <w:rPr>
          <w:sz w:val="20"/>
          <w:szCs w:val="20"/>
          <w:color w:val="auto"/>
        </w:rPr>
      </w:pPr>
    </w:p>
    <w:p>
      <w:pPr>
        <w:ind w:right="2960"/>
        <w:spacing w:after="0" w:line="255" w:lineRule="auto"/>
        <w:rPr>
          <w:sz w:val="20"/>
          <w:szCs w:val="20"/>
          <w:color w:val="auto"/>
        </w:rPr>
      </w:pPr>
      <w:r>
        <w:rPr>
          <w:rFonts w:ascii="Arial" w:cs="Arial" w:eastAsia="Arial" w:hAnsi="Arial"/>
          <w:sz w:val="16"/>
          <w:szCs w:val="16"/>
          <w:color w:val="auto"/>
        </w:rPr>
        <w:t>Given the outcome of the 2025 Say-on-Pay Vote indicated relatively strong support of our executive compensation program and the Committee’s ongoing analysis of the executive</w:t>
      </w:r>
    </w:p>
    <w:p>
      <w:pPr>
        <w:spacing w:after="0" w:line="1" w:lineRule="exact"/>
        <w:rPr>
          <w:sz w:val="20"/>
          <w:szCs w:val="20"/>
          <w:color w:val="auto"/>
        </w:rPr>
      </w:pPr>
    </w:p>
    <w:p>
      <w:pPr>
        <w:ind w:right="2340"/>
        <w:spacing w:after="0" w:line="250" w:lineRule="auto"/>
        <w:rPr>
          <w:sz w:val="20"/>
          <w:szCs w:val="20"/>
          <w:color w:val="auto"/>
        </w:rPr>
      </w:pPr>
      <w:r>
        <w:rPr>
          <w:rFonts w:ascii="Arial" w:cs="Arial" w:eastAsia="Arial" w:hAnsi="Arial"/>
          <w:sz w:val="16"/>
          <w:szCs w:val="16"/>
          <w:color w:val="auto"/>
        </w:rPr>
        <w:t>compensation program’s ability to support our compensation objectives and the execution of our business strategy, we did not make any changes to the structure of our executive compensation program in 2025 in response to the 2025 Say-on-Pay vote. We did, however, refne our program to further align the program with our compensation philosophy and business strategy. See “Key</w:t>
      </w:r>
    </w:p>
    <w:p>
      <w:pPr>
        <w:spacing w:after="0" w:line="3" w:lineRule="exact"/>
        <w:rPr>
          <w:sz w:val="20"/>
          <w:szCs w:val="20"/>
          <w:color w:val="auto"/>
        </w:rPr>
      </w:pPr>
    </w:p>
    <w:p>
      <w:pPr>
        <w:ind w:right="2540"/>
        <w:spacing w:after="0" w:line="252" w:lineRule="auto"/>
        <w:rPr>
          <w:sz w:val="20"/>
          <w:szCs w:val="20"/>
          <w:color w:val="auto"/>
        </w:rPr>
      </w:pPr>
      <w:r>
        <w:rPr>
          <w:rFonts w:ascii="Arial" w:cs="Arial" w:eastAsia="Arial" w:hAnsi="Arial"/>
          <w:sz w:val="16"/>
          <w:szCs w:val="16"/>
          <w:color w:val="auto"/>
        </w:rPr>
        <w:t>Executive Compensation Program Changes in 2025” and “Elements of 2025 Executive Compensation” for a further discussion of this refnement. Consistent with United’s strong interest in stockholder engagement and the importance of aligning pay with performance, the</w:t>
      </w:r>
    </w:p>
    <w:p>
      <w:pPr>
        <w:spacing w:after="0" w:line="1" w:lineRule="exact"/>
        <w:rPr>
          <w:sz w:val="20"/>
          <w:szCs w:val="20"/>
          <w:color w:val="auto"/>
        </w:rPr>
      </w:pPr>
    </w:p>
    <w:p>
      <w:pPr>
        <w:ind w:right="2520"/>
        <w:spacing w:after="0" w:line="313" w:lineRule="auto"/>
        <w:rPr>
          <w:sz w:val="20"/>
          <w:szCs w:val="20"/>
          <w:color w:val="auto"/>
        </w:rPr>
      </w:pPr>
      <w:r>
        <w:rPr>
          <w:rFonts w:ascii="Arial" w:cs="Arial" w:eastAsia="Arial" w:hAnsi="Arial"/>
          <w:sz w:val="16"/>
          <w:szCs w:val="16"/>
          <w:color w:val="auto"/>
        </w:rPr>
        <w:t>Committee continues to evaluate our executive compensation program to assess and refne its alignment between executive and stockholder interests.</w:t>
      </w:r>
    </w:p>
    <w:p>
      <w:pPr>
        <w:spacing w:after="0" w:line="6" w:lineRule="exact"/>
        <w:rPr>
          <w:sz w:val="20"/>
          <w:szCs w:val="20"/>
          <w:color w:val="auto"/>
        </w:rPr>
      </w:pPr>
    </w:p>
    <w:p>
      <w:pPr>
        <w:ind w:right="2660"/>
        <w:spacing w:after="0" w:line="255" w:lineRule="auto"/>
        <w:rPr>
          <w:sz w:val="20"/>
          <w:szCs w:val="20"/>
          <w:color w:val="auto"/>
        </w:rPr>
      </w:pPr>
      <w:r>
        <w:rPr>
          <w:rFonts w:ascii="Arial" w:cs="Arial" w:eastAsia="Arial" w:hAnsi="Arial"/>
          <w:sz w:val="16"/>
          <w:szCs w:val="16"/>
          <w:color w:val="auto"/>
        </w:rPr>
        <w:t>In addition, as noted above, we actively solicited feedback from stockholders and other stakeholders throughout the year to understand their perspectives on corporate governance</w:t>
      </w:r>
    </w:p>
    <w:p>
      <w:pPr>
        <w:spacing w:after="0" w:line="1" w:lineRule="exact"/>
        <w:rPr>
          <w:sz w:val="20"/>
          <w:szCs w:val="20"/>
          <w:color w:val="auto"/>
        </w:rPr>
      </w:pPr>
    </w:p>
    <w:p>
      <w:pPr>
        <w:ind w:right="2500"/>
        <w:spacing w:after="0" w:line="250" w:lineRule="auto"/>
        <w:rPr>
          <w:sz w:val="20"/>
          <w:szCs w:val="20"/>
          <w:color w:val="auto"/>
        </w:rPr>
      </w:pPr>
      <w:r>
        <w:rPr>
          <w:rFonts w:ascii="Arial" w:cs="Arial" w:eastAsia="Arial" w:hAnsi="Arial"/>
          <w:sz w:val="16"/>
          <w:szCs w:val="16"/>
          <w:color w:val="auto"/>
        </w:rPr>
        <w:t>and other topics and ofered additional insights on a wide range of topics, including our executive compensation program. We take feedback and insights from our engagement with stockholders and other stakeholders into consideration as we review and evolve our executive compensation practices and disclosures and further share them with our Board as appropriate,</w:t>
      </w:r>
    </w:p>
    <w:p>
      <w:pPr>
        <w:spacing w:after="0" w:line="3" w:lineRule="exact"/>
        <w:rPr>
          <w:sz w:val="20"/>
          <w:szCs w:val="20"/>
          <w:color w:val="auto"/>
        </w:rPr>
      </w:pPr>
    </w:p>
    <w:p>
      <w:pPr>
        <w:ind w:right="2400"/>
        <w:spacing w:after="0" w:line="250" w:lineRule="auto"/>
        <w:rPr>
          <w:sz w:val="20"/>
          <w:szCs w:val="20"/>
          <w:color w:val="auto"/>
        </w:rPr>
      </w:pPr>
      <w:r>
        <w:rPr>
          <w:rFonts w:ascii="Arial" w:cs="Arial" w:eastAsia="Arial" w:hAnsi="Arial"/>
          <w:sz w:val="16"/>
          <w:szCs w:val="16"/>
          <w:color w:val="auto"/>
        </w:rPr>
        <w:t>including when considering potential changes to the design or performance measures used in our incentive compensation programs. The results of these discussions are noted in the “Board and Corporate Governance Matters—Communications with Directors and Stockholder Engagement—Stockholder Engagement and Responsiveness” section of the Proxy Statement on</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pages  58-59.</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ADVICE FROM INDEPENDENT COMPENSATION CONSULTANT</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During  2025,  fnal  executive  compensation  decisions  with  respect  to  the  NEOs  were  made  by  the  Committee,  after  considering</w:t>
      </w:r>
    </w:p>
    <w:p>
      <w:pPr>
        <w:spacing w:after="0" w:line="19"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input from Exequity, the Committee’s independent compensation consultant. Exequity provides the Committee with background materials, including preparation of reports to inform our compensation peer group composition and participates in Committee meetings to support the Committee’s executive compensation decision-making process. Exequity services also include consultation regarding the targeted levels of executive pay, the design of incentives, technical issues (such as tax and</w:t>
      </w:r>
    </w:p>
    <w:p>
      <w:pPr>
        <w:spacing w:after="0" w:line="3"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accounting implications of pay) and assisting the Committee in performing an annual compensation risk assessment of United’s compensation programs. Exequity reports directly to the Committee and the Committee has the authority to retain and terminate Exequity and to review and approve Exequity’s fees and other retention terms.</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The  Committee  has  adopted  an  “Independent  Executive  Compensation  Consultant  Confict  of  Interest  Policy”  pursuant  to  which</w:t>
      </w:r>
    </w:p>
    <w:p>
      <w:pPr>
        <w:spacing w:after="0" w:line="19"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Exequity is required to provide the Committee with regular reports on any work that it performs for United. During 2025, Exequity did not perform any work on behalf of United other than the executive compensation services provided to the Committee and director compensation advice provided to the Nominating/Governance Committee. The Committee has assessed the independence of Exequity pursuant to SEC rules and the Nasdaq Listing Rules and concluded that Exequity’s work</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for  the  Committee  does  not  raise  any  conficts  of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2026  Proxy  Statement</w:t>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1414D2"/>
        </w:rPr>
        <w:t>89</w:t>
      </w:r>
    </w:p>
    <w:p>
      <w:pPr>
        <w:sectPr>
          <w:pgSz w:w="11900" w:h="16838" w:orient="portrait"/>
          <w:cols w:equalWidth="0" w:num="1">
            <w:col w:w="9720"/>
          </w:cols>
          <w:pgMar w:left="1080" w:top="695" w:right="1099" w:bottom="1440" w:gutter="0" w:footer="0" w:header="0"/>
        </w:sectPr>
      </w:pPr>
    </w:p>
    <w:bookmarkStart w:id="100" w:name="page101"/>
    <w:bookmarkEnd w:id="100"/>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6D6F71"/>
        </w:rPr>
        <w:t>Compensation  Discussion  and  Analysis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MARKET CONSIDERATIONS AND PEER GROUP USED FOR 2025 PAY ANALYSIS</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414D2"/>
        </w:rPr>
        <w:t>Market Considerations</w:t>
      </w:r>
    </w:p>
    <w:p>
      <w:pPr>
        <w:spacing w:after="0" w:line="75" w:lineRule="exact"/>
        <w:rPr>
          <w:sz w:val="20"/>
          <w:szCs w:val="20"/>
          <w:color w:val="auto"/>
        </w:rPr>
      </w:pPr>
    </w:p>
    <w:p>
      <w:pPr>
        <w:spacing w:after="0"/>
        <w:rPr>
          <w:sz w:val="20"/>
          <w:szCs w:val="20"/>
          <w:color w:val="auto"/>
        </w:rPr>
      </w:pPr>
      <w:r>
        <w:rPr>
          <w:rFonts w:ascii="Arial" w:cs="Arial" w:eastAsia="Arial" w:hAnsi="Arial"/>
          <w:sz w:val="15"/>
          <w:szCs w:val="15"/>
          <w:color w:val="auto"/>
        </w:rPr>
        <w:t>As  part  of  its  annual  compensation  review  process,  the  Committee  considers  pay  levels  of  our  peers,  among  other  factors,  as  a</w:t>
      </w:r>
    </w:p>
    <w:p>
      <w:pPr>
        <w:spacing w:after="0" w:line="30" w:lineRule="exact"/>
        <w:rPr>
          <w:sz w:val="20"/>
          <w:szCs w:val="20"/>
          <w:color w:val="auto"/>
        </w:rPr>
      </w:pPr>
    </w:p>
    <w:p>
      <w:pPr>
        <w:ind w:right="120"/>
        <w:spacing w:after="0" w:line="250" w:lineRule="auto"/>
        <w:rPr>
          <w:sz w:val="20"/>
          <w:szCs w:val="20"/>
          <w:color w:val="auto"/>
        </w:rPr>
      </w:pPr>
      <w:r>
        <w:rPr>
          <w:rFonts w:ascii="Arial" w:cs="Arial" w:eastAsia="Arial" w:hAnsi="Arial"/>
          <w:sz w:val="16"/>
          <w:szCs w:val="16"/>
          <w:color w:val="auto"/>
        </w:rPr>
        <w:t>reference point when determining individual pay decisions and assessing the overall competitiveness and reasonableness of the Company’s compensation program. Exequity annually conducts and shares with the Committee a review of compensation for our NEOs by reference to the range of compensation paid to similarly-situated executives of our compensation peer group, including compensation information compiled from publicly fled disclosures of our primary peer group. We supplement this</w:t>
      </w:r>
    </w:p>
    <w:p>
      <w:pPr>
        <w:spacing w:after="0" w:line="3"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market data with information gleaned from our experience recruiting for executive positions at United. While this market data and supplemental data inform the decisions of the Committee on the range of compensation opportunities, the actual level of our NEOs’ total direct compensation is determined based on both individual and corporate performance and can vary based on such factors as performance, breadth, scope and complexity of the NEO’s role, expertise, skill set, experience, retention</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considerations  and  advancement  potential.</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414D2"/>
        </w:rPr>
        <w:t>United’s Peer Group</w:t>
      </w:r>
    </w:p>
    <w:p>
      <w:pPr>
        <w:spacing w:after="0" w:line="88"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The Committee annually reviews the appropriateness of the compensation peer group used by Exequity to generate competitive executive pay data for the Committee’s review in connection with compensation decisions. Based on this review, the Committee periodically updates our peer group as our business and market environment continues to evolve. The peer group</w:t>
      </w:r>
    </w:p>
    <w:p>
      <w:pPr>
        <w:spacing w:after="0" w:line="1" w:lineRule="exact"/>
        <w:rPr>
          <w:sz w:val="20"/>
          <w:szCs w:val="20"/>
          <w:color w:val="auto"/>
        </w:rPr>
      </w:pPr>
    </w:p>
    <w:p>
      <w:pPr>
        <w:ind w:right="520"/>
        <w:spacing w:after="0" w:line="290" w:lineRule="auto"/>
        <w:rPr>
          <w:sz w:val="20"/>
          <w:szCs w:val="20"/>
          <w:color w:val="auto"/>
        </w:rPr>
      </w:pPr>
      <w:r>
        <w:rPr>
          <w:rFonts w:ascii="Arial" w:cs="Arial" w:eastAsia="Arial" w:hAnsi="Arial"/>
          <w:sz w:val="16"/>
          <w:szCs w:val="16"/>
          <w:color w:val="auto"/>
        </w:rPr>
        <w:t>during 2025 was composed of relevant airline peers and other comparably sized companies in general industry that have similar business attributes and that are considered to be representative of the competitive talent market for United.</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the  peer  group  used  for  2025  compensation,  the  following  primary  factors  were  considered  in  identifying  the  most</w:t>
      </w:r>
    </w:p>
    <w:p>
      <w:pPr>
        <w:spacing w:after="0" w:line="19" w:lineRule="exact"/>
        <w:rPr>
          <w:sz w:val="20"/>
          <w:szCs w:val="20"/>
          <w:color w:val="auto"/>
        </w:rPr>
      </w:pPr>
    </w:p>
    <w:p>
      <w:pPr>
        <w:ind w:right="260"/>
        <w:spacing w:after="0" w:line="252" w:lineRule="auto"/>
        <w:rPr>
          <w:sz w:val="20"/>
          <w:szCs w:val="20"/>
          <w:color w:val="auto"/>
        </w:rPr>
      </w:pPr>
      <w:r>
        <w:rPr>
          <w:rFonts w:ascii="Arial" w:cs="Arial" w:eastAsia="Arial" w:hAnsi="Arial"/>
          <w:sz w:val="16"/>
          <w:szCs w:val="16"/>
          <w:color w:val="auto"/>
        </w:rPr>
        <w:t>appropriate peer companies that are size-relevant (generally 0.5x-2.0x the Company’s revenue) for compensation benchmarking purposes: the labor market for United’s executive talent, including a focus on geographic proximity; the three most size-relevant U.S.-based airline peers (American, Delta and Southwest); and well-run companies in the general industry,</w:t>
      </w:r>
    </w:p>
    <w:p>
      <w:pPr>
        <w:spacing w:after="0" w:line="1" w:lineRule="exact"/>
        <w:rPr>
          <w:sz w:val="20"/>
          <w:szCs w:val="20"/>
          <w:color w:val="auto"/>
        </w:rPr>
      </w:pPr>
    </w:p>
    <w:p>
      <w:pPr>
        <w:ind w:right="620"/>
        <w:spacing w:after="0" w:line="290" w:lineRule="auto"/>
        <w:rPr>
          <w:sz w:val="20"/>
          <w:szCs w:val="20"/>
          <w:color w:val="auto"/>
        </w:rPr>
      </w:pPr>
      <w:r>
        <w:rPr>
          <w:rFonts w:ascii="Arial" w:cs="Arial" w:eastAsia="Arial" w:hAnsi="Arial"/>
          <w:sz w:val="16"/>
          <w:szCs w:val="16"/>
          <w:color w:val="auto"/>
        </w:rPr>
        <w:t>with a primary focus on travel, transportation and other customer-centric companies with a leading specialty brand and sophisticated digital technology platform.</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Using  these  factors  as  a  guide,  the  Committee  removed  3M  Company,  Cummins  Inc.  and  Northrop  Grumman  from  our  peer</w:t>
      </w:r>
    </w:p>
    <w:p>
      <w:pPr>
        <w:spacing w:after="0" w:line="19"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group to accommodate the addition of several new peers viewed as better aligned with United’s prospective strategic positioning, and added American Express Company, Booking Holdings Inc., NIKE, Inc., PayPal Holdings, Inc., Starbucks Corporation and Uber Technologies, Inc. to better refect United’s evolving business model that relies more heavily on specialty branding and competitive advantages ofered by a leading digital technology platform. Accordingly, the composition of the</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benchmarking  peer  group  for  2025  compensation  decisions  includes  the  19  comparator  companies  noted  below.</w:t>
      </w:r>
    </w:p>
    <w:p>
      <w:pPr>
        <w:spacing w:after="0" w:line="167" w:lineRule="exact"/>
        <w:rPr>
          <w:sz w:val="20"/>
          <w:szCs w:val="20"/>
          <w:color w:val="auto"/>
        </w:rPr>
      </w:pPr>
    </w:p>
    <w:tbl>
      <w:tblPr>
        <w:tblLayout w:type="fixed"/>
        <w:tblInd w:w="1000" w:type="dxa"/>
        <w:tblCellMar>
          <w:top w:w="0" w:type="dxa"/>
          <w:left w:w="0" w:type="dxa"/>
          <w:bottom w:w="0" w:type="dxa"/>
          <w:right w:w="0" w:type="dxa"/>
        </w:tblCellMar>
      </w:tblPr>
      <w:tr>
        <w:trPr>
          <w:trHeight w:val="235"/>
        </w:trPr>
        <w:tc>
          <w:tcPr>
            <w:tcW w:w="3120" w:type="dxa"/>
            <w:vAlign w:val="bottom"/>
            <w:gridSpan w:val="2"/>
          </w:tcPr>
          <w:p>
            <w:pPr>
              <w:spacing w:after="0"/>
              <w:rPr>
                <w:sz w:val="20"/>
                <w:szCs w:val="20"/>
                <w:color w:val="auto"/>
              </w:rPr>
            </w:pPr>
            <w:r>
              <w:rPr>
                <w:rFonts w:ascii="Arial" w:cs="Arial" w:eastAsia="Arial" w:hAnsi="Arial"/>
                <w:sz w:val="16"/>
                <w:szCs w:val="16"/>
                <w:b w:val="1"/>
                <w:bCs w:val="1"/>
                <w:color w:val="1414D2"/>
              </w:rPr>
              <w:t>PEER GROUP COMPANIES</w:t>
            </w:r>
          </w:p>
        </w:tc>
        <w:tc>
          <w:tcPr>
            <w:tcW w:w="76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257"/>
        </w:trPr>
        <w:tc>
          <w:tcPr>
            <w:tcW w:w="3120" w:type="dxa"/>
            <w:vAlign w:val="bottom"/>
            <w:gridSpan w:val="2"/>
          </w:tcPr>
          <w:p>
            <w:pPr>
              <w:spacing w:after="0"/>
              <w:rPr>
                <w:sz w:val="20"/>
                <w:szCs w:val="20"/>
                <w:color w:val="auto"/>
              </w:rPr>
            </w:pPr>
            <w:r>
              <w:rPr>
                <w:rFonts w:ascii="Times New Roman" w:cs="Times New Roman" w:eastAsia="Times New Roman" w:hAnsi="Times New Roman"/>
                <w:sz w:val="16"/>
                <w:szCs w:val="16"/>
                <w:color w:val="auto"/>
                <w:w w:val="99"/>
              </w:rPr>
              <w:t>●</w:t>
            </w:r>
            <w:r>
              <w:rPr>
                <w:rFonts w:ascii="Arial" w:cs="Arial" w:eastAsia="Arial" w:hAnsi="Arial"/>
                <w:sz w:val="16"/>
                <w:szCs w:val="16"/>
                <w:color w:val="auto"/>
                <w:w w:val="99"/>
              </w:rPr>
              <w:t>American  Airlines  Group,  Inc.</w:t>
            </w:r>
          </w:p>
        </w:tc>
        <w:tc>
          <w:tcPr>
            <w:tcW w:w="7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2220" w:type="dxa"/>
            <w:vAlign w:val="bottom"/>
          </w:tcPr>
          <w:p>
            <w:pPr>
              <w:ind w:left="60"/>
              <w:spacing w:after="0"/>
              <w:rPr>
                <w:sz w:val="20"/>
                <w:szCs w:val="20"/>
                <w:color w:val="auto"/>
              </w:rPr>
            </w:pPr>
            <w:r>
              <w:rPr>
                <w:rFonts w:ascii="Arial" w:cs="Arial" w:eastAsia="Arial" w:hAnsi="Arial"/>
                <w:sz w:val="16"/>
                <w:szCs w:val="16"/>
                <w:color w:val="auto"/>
              </w:rPr>
              <w:t>Honeywell  International  Inc.</w:t>
            </w:r>
          </w:p>
        </w:tc>
      </w:tr>
      <w:tr>
        <w:trPr>
          <w:trHeight w:val="251"/>
        </w:trPr>
        <w:tc>
          <w:tcPr>
            <w:tcW w:w="2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2900" w:type="dxa"/>
            <w:vAlign w:val="bottom"/>
          </w:tcPr>
          <w:p>
            <w:pPr>
              <w:ind w:left="120"/>
              <w:spacing w:after="0"/>
              <w:rPr>
                <w:sz w:val="20"/>
                <w:szCs w:val="20"/>
                <w:color w:val="auto"/>
              </w:rPr>
            </w:pPr>
            <w:r>
              <w:rPr>
                <w:rFonts w:ascii="Arial" w:cs="Arial" w:eastAsia="Arial" w:hAnsi="Arial"/>
                <w:sz w:val="16"/>
                <w:szCs w:val="16"/>
                <w:color w:val="auto"/>
              </w:rPr>
              <w:t>American  Express  Company</w:t>
            </w:r>
          </w:p>
        </w:tc>
        <w:tc>
          <w:tcPr>
            <w:tcW w:w="7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2220" w:type="dxa"/>
            <w:vAlign w:val="bottom"/>
          </w:tcPr>
          <w:p>
            <w:pPr>
              <w:ind w:left="60"/>
              <w:spacing w:after="0"/>
              <w:rPr>
                <w:sz w:val="20"/>
                <w:szCs w:val="20"/>
                <w:color w:val="auto"/>
              </w:rPr>
            </w:pPr>
            <w:r>
              <w:rPr>
                <w:rFonts w:ascii="Arial" w:cs="Arial" w:eastAsia="Arial" w:hAnsi="Arial"/>
                <w:sz w:val="16"/>
                <w:szCs w:val="16"/>
                <w:color w:val="auto"/>
              </w:rPr>
              <w:t>Marriott  International,  Inc.</w:t>
            </w:r>
          </w:p>
        </w:tc>
      </w:tr>
      <w:tr>
        <w:trPr>
          <w:trHeight w:val="243"/>
        </w:trPr>
        <w:tc>
          <w:tcPr>
            <w:tcW w:w="2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2900" w:type="dxa"/>
            <w:vAlign w:val="bottom"/>
          </w:tcPr>
          <w:p>
            <w:pPr>
              <w:ind w:left="120"/>
              <w:spacing w:after="0"/>
              <w:rPr>
                <w:sz w:val="20"/>
                <w:szCs w:val="20"/>
                <w:color w:val="auto"/>
              </w:rPr>
            </w:pPr>
            <w:r>
              <w:rPr>
                <w:rFonts w:ascii="Arial" w:cs="Arial" w:eastAsia="Arial" w:hAnsi="Arial"/>
                <w:sz w:val="16"/>
                <w:szCs w:val="16"/>
                <w:color w:val="auto"/>
              </w:rPr>
              <w:t>The  Boeing  Company</w:t>
            </w:r>
          </w:p>
        </w:tc>
        <w:tc>
          <w:tcPr>
            <w:tcW w:w="7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2220" w:type="dxa"/>
            <w:vAlign w:val="bottom"/>
          </w:tcPr>
          <w:p>
            <w:pPr>
              <w:ind w:left="60"/>
              <w:spacing w:after="0"/>
              <w:rPr>
                <w:sz w:val="20"/>
                <w:szCs w:val="20"/>
                <w:color w:val="auto"/>
              </w:rPr>
            </w:pPr>
            <w:r>
              <w:rPr>
                <w:rFonts w:ascii="Arial" w:cs="Arial" w:eastAsia="Arial" w:hAnsi="Arial"/>
                <w:sz w:val="16"/>
                <w:szCs w:val="16"/>
                <w:color w:val="auto"/>
              </w:rPr>
              <w:t>NIKE,  Inc.</w:t>
            </w:r>
          </w:p>
        </w:tc>
      </w:tr>
      <w:tr>
        <w:trPr>
          <w:trHeight w:val="243"/>
        </w:trPr>
        <w:tc>
          <w:tcPr>
            <w:tcW w:w="2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2900" w:type="dxa"/>
            <w:vAlign w:val="bottom"/>
          </w:tcPr>
          <w:p>
            <w:pPr>
              <w:ind w:left="120"/>
              <w:spacing w:after="0"/>
              <w:rPr>
                <w:sz w:val="20"/>
                <w:szCs w:val="20"/>
                <w:color w:val="auto"/>
              </w:rPr>
            </w:pPr>
            <w:r>
              <w:rPr>
                <w:rFonts w:ascii="Arial" w:cs="Arial" w:eastAsia="Arial" w:hAnsi="Arial"/>
                <w:sz w:val="16"/>
                <w:szCs w:val="16"/>
                <w:color w:val="auto"/>
              </w:rPr>
              <w:t>Booking  Holdings  Inc.</w:t>
            </w:r>
          </w:p>
        </w:tc>
        <w:tc>
          <w:tcPr>
            <w:tcW w:w="7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2220" w:type="dxa"/>
            <w:vAlign w:val="bottom"/>
          </w:tcPr>
          <w:p>
            <w:pPr>
              <w:ind w:left="60"/>
              <w:spacing w:after="0"/>
              <w:rPr>
                <w:sz w:val="20"/>
                <w:szCs w:val="20"/>
                <w:color w:val="auto"/>
              </w:rPr>
            </w:pPr>
            <w:r>
              <w:rPr>
                <w:rFonts w:ascii="Arial" w:cs="Arial" w:eastAsia="Arial" w:hAnsi="Arial"/>
                <w:sz w:val="16"/>
                <w:szCs w:val="16"/>
                <w:color w:val="auto"/>
              </w:rPr>
              <w:t>PayPal  Holdings,  Inc.,</w:t>
            </w:r>
          </w:p>
        </w:tc>
      </w:tr>
      <w:tr>
        <w:trPr>
          <w:trHeight w:val="243"/>
        </w:trPr>
        <w:tc>
          <w:tcPr>
            <w:tcW w:w="2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2900" w:type="dxa"/>
            <w:vAlign w:val="bottom"/>
          </w:tcPr>
          <w:p>
            <w:pPr>
              <w:ind w:left="120"/>
              <w:spacing w:after="0"/>
              <w:rPr>
                <w:sz w:val="20"/>
                <w:szCs w:val="20"/>
                <w:color w:val="auto"/>
              </w:rPr>
            </w:pPr>
            <w:r>
              <w:rPr>
                <w:rFonts w:ascii="Arial" w:cs="Arial" w:eastAsia="Arial" w:hAnsi="Arial"/>
                <w:sz w:val="16"/>
                <w:szCs w:val="16"/>
                <w:color w:val="auto"/>
              </w:rPr>
              <w:t>Carnival  Corporation</w:t>
            </w:r>
          </w:p>
        </w:tc>
        <w:tc>
          <w:tcPr>
            <w:tcW w:w="7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2220" w:type="dxa"/>
            <w:vAlign w:val="bottom"/>
          </w:tcPr>
          <w:p>
            <w:pPr>
              <w:ind w:left="60"/>
              <w:spacing w:after="0"/>
              <w:rPr>
                <w:sz w:val="20"/>
                <w:szCs w:val="20"/>
                <w:color w:val="auto"/>
              </w:rPr>
            </w:pPr>
            <w:r>
              <w:rPr>
                <w:rFonts w:ascii="Arial" w:cs="Arial" w:eastAsia="Arial" w:hAnsi="Arial"/>
                <w:sz w:val="16"/>
                <w:szCs w:val="16"/>
                <w:color w:val="auto"/>
              </w:rPr>
              <w:t>Southwest  Airlines  Co.</w:t>
            </w:r>
          </w:p>
        </w:tc>
      </w:tr>
      <w:tr>
        <w:trPr>
          <w:trHeight w:val="243"/>
        </w:trPr>
        <w:tc>
          <w:tcPr>
            <w:tcW w:w="2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2900" w:type="dxa"/>
            <w:vAlign w:val="bottom"/>
          </w:tcPr>
          <w:p>
            <w:pPr>
              <w:ind w:left="120"/>
              <w:spacing w:after="0"/>
              <w:rPr>
                <w:sz w:val="20"/>
                <w:szCs w:val="20"/>
                <w:color w:val="auto"/>
              </w:rPr>
            </w:pPr>
            <w:r>
              <w:rPr>
                <w:rFonts w:ascii="Arial" w:cs="Arial" w:eastAsia="Arial" w:hAnsi="Arial"/>
                <w:sz w:val="16"/>
                <w:szCs w:val="16"/>
                <w:color w:val="auto"/>
              </w:rPr>
              <w:t>Caterpillar  Inc.</w:t>
            </w:r>
          </w:p>
        </w:tc>
        <w:tc>
          <w:tcPr>
            <w:tcW w:w="7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2220" w:type="dxa"/>
            <w:vAlign w:val="bottom"/>
          </w:tcPr>
          <w:p>
            <w:pPr>
              <w:ind w:left="60"/>
              <w:spacing w:after="0"/>
              <w:rPr>
                <w:sz w:val="20"/>
                <w:szCs w:val="20"/>
                <w:color w:val="auto"/>
              </w:rPr>
            </w:pPr>
            <w:r>
              <w:rPr>
                <w:rFonts w:ascii="Arial" w:cs="Arial" w:eastAsia="Arial" w:hAnsi="Arial"/>
                <w:sz w:val="16"/>
                <w:szCs w:val="16"/>
                <w:color w:val="auto"/>
              </w:rPr>
              <w:t>Starbucks  Corporation</w:t>
            </w:r>
          </w:p>
        </w:tc>
      </w:tr>
      <w:tr>
        <w:trPr>
          <w:trHeight w:val="243"/>
        </w:trPr>
        <w:tc>
          <w:tcPr>
            <w:tcW w:w="2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2900" w:type="dxa"/>
            <w:vAlign w:val="bottom"/>
          </w:tcPr>
          <w:p>
            <w:pPr>
              <w:ind w:left="120"/>
              <w:spacing w:after="0"/>
              <w:rPr>
                <w:sz w:val="20"/>
                <w:szCs w:val="20"/>
                <w:color w:val="auto"/>
              </w:rPr>
            </w:pPr>
            <w:r>
              <w:rPr>
                <w:rFonts w:ascii="Arial" w:cs="Arial" w:eastAsia="Arial" w:hAnsi="Arial"/>
                <w:sz w:val="16"/>
                <w:szCs w:val="16"/>
                <w:color w:val="auto"/>
              </w:rPr>
              <w:t>Deere  &amp;  Company</w:t>
            </w:r>
          </w:p>
        </w:tc>
        <w:tc>
          <w:tcPr>
            <w:tcW w:w="7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2220" w:type="dxa"/>
            <w:vAlign w:val="bottom"/>
          </w:tcPr>
          <w:p>
            <w:pPr>
              <w:ind w:left="60"/>
              <w:spacing w:after="0"/>
              <w:rPr>
                <w:sz w:val="20"/>
                <w:szCs w:val="20"/>
                <w:color w:val="auto"/>
              </w:rPr>
            </w:pPr>
            <w:r>
              <w:rPr>
                <w:rFonts w:ascii="Arial" w:cs="Arial" w:eastAsia="Arial" w:hAnsi="Arial"/>
                <w:sz w:val="16"/>
                <w:szCs w:val="16"/>
                <w:color w:val="auto"/>
              </w:rPr>
              <w:t>Uber  Technologies,  Inc.</w:t>
            </w:r>
          </w:p>
        </w:tc>
      </w:tr>
      <w:tr>
        <w:trPr>
          <w:trHeight w:val="243"/>
        </w:trPr>
        <w:tc>
          <w:tcPr>
            <w:tcW w:w="3120" w:type="dxa"/>
            <w:vAlign w:val="bottom"/>
            <w:gridSpan w:val="2"/>
          </w:tcPr>
          <w:p>
            <w:pPr>
              <w:spacing w:after="0"/>
              <w:rPr>
                <w:sz w:val="20"/>
                <w:szCs w:val="20"/>
                <w:color w:val="auto"/>
              </w:rPr>
            </w:pPr>
            <w:r>
              <w:rPr>
                <w:rFonts w:ascii="Times New Roman" w:cs="Times New Roman" w:eastAsia="Times New Roman" w:hAnsi="Times New Roman"/>
                <w:sz w:val="16"/>
                <w:szCs w:val="16"/>
                <w:color w:val="auto"/>
                <w:w w:val="94"/>
              </w:rPr>
              <w:t>●</w:t>
            </w:r>
            <w:r>
              <w:rPr>
                <w:rFonts w:ascii="Arial" w:cs="Arial" w:eastAsia="Arial" w:hAnsi="Arial"/>
                <w:sz w:val="16"/>
                <w:szCs w:val="16"/>
                <w:color w:val="auto"/>
                <w:w w:val="94"/>
              </w:rPr>
              <w:t>Delta  Air  Lines,  Inc.</w:t>
            </w:r>
          </w:p>
        </w:tc>
        <w:tc>
          <w:tcPr>
            <w:tcW w:w="7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2220" w:type="dxa"/>
            <w:vAlign w:val="bottom"/>
          </w:tcPr>
          <w:p>
            <w:pPr>
              <w:ind w:left="60"/>
              <w:spacing w:after="0"/>
              <w:rPr>
                <w:sz w:val="20"/>
                <w:szCs w:val="20"/>
                <w:color w:val="auto"/>
              </w:rPr>
            </w:pPr>
            <w:r>
              <w:rPr>
                <w:rFonts w:ascii="Arial" w:cs="Arial" w:eastAsia="Arial" w:hAnsi="Arial"/>
                <w:sz w:val="16"/>
                <w:szCs w:val="16"/>
                <w:color w:val="auto"/>
              </w:rPr>
              <w:t>Union  Pacifc  Corporation</w:t>
            </w:r>
          </w:p>
        </w:tc>
      </w:tr>
      <w:tr>
        <w:trPr>
          <w:trHeight w:val="243"/>
        </w:trPr>
        <w:tc>
          <w:tcPr>
            <w:tcW w:w="2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2900" w:type="dxa"/>
            <w:vAlign w:val="bottom"/>
          </w:tcPr>
          <w:p>
            <w:pPr>
              <w:ind w:left="120"/>
              <w:spacing w:after="0"/>
              <w:rPr>
                <w:sz w:val="20"/>
                <w:szCs w:val="20"/>
                <w:color w:val="auto"/>
              </w:rPr>
            </w:pPr>
            <w:r>
              <w:rPr>
                <w:rFonts w:ascii="Arial" w:cs="Arial" w:eastAsia="Arial" w:hAnsi="Arial"/>
                <w:sz w:val="16"/>
                <w:szCs w:val="16"/>
                <w:color w:val="auto"/>
              </w:rPr>
              <w:t>FedEx  Corporation</w:t>
            </w:r>
          </w:p>
        </w:tc>
        <w:tc>
          <w:tcPr>
            <w:tcW w:w="298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United  Parcel  Service,  Inc.</w:t>
            </w:r>
          </w:p>
        </w:tc>
      </w:tr>
    </w:tbl>
    <w:p>
      <w:pPr>
        <w:ind w:left="1340" w:hanging="332"/>
        <w:spacing w:after="0"/>
        <w:tabs>
          <w:tab w:leader="none" w:pos="1340" w:val="left"/>
        </w:tabs>
        <w:numPr>
          <w:ilvl w:val="0"/>
          <w:numId w:val="95"/>
        </w:numPr>
        <w:rPr>
          <w:rFonts w:ascii="Times New Roman" w:cs="Times New Roman" w:eastAsia="Times New Roman" w:hAnsi="Times New Roman"/>
          <w:sz w:val="16"/>
          <w:szCs w:val="16"/>
          <w:color w:val="auto"/>
        </w:rPr>
      </w:pPr>
      <w:r>
        <w:rPr>
          <w:rFonts w:ascii="Arial" w:cs="Arial" w:eastAsia="Arial" w:hAnsi="Arial"/>
          <w:sz w:val="16"/>
          <w:szCs w:val="16"/>
          <w:color w:val="auto"/>
        </w:rPr>
        <w:t>General  Dynamics  Corporation</w:t>
      </w:r>
    </w:p>
    <w:p>
      <w:pPr>
        <w:sectPr>
          <w:pgSz w:w="11900" w:h="16838" w:orient="portrait"/>
          <w:cols w:equalWidth="0" w:num="1">
            <w:col w:w="9720"/>
          </w:cols>
          <w:pgMar w:left="1080" w:top="695"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right"/>
        <w:ind w:right="7720"/>
        <w:spacing w:after="0"/>
        <w:rPr>
          <w:sz w:val="20"/>
          <w:szCs w:val="20"/>
          <w:color w:val="auto"/>
        </w:rPr>
      </w:pPr>
      <w:r>
        <w:rPr>
          <w:rFonts w:ascii="Arial" w:cs="Arial" w:eastAsia="Arial" w:hAnsi="Arial"/>
          <w:sz w:val="16"/>
          <w:szCs w:val="16"/>
          <w:color w:val="auto"/>
        </w:rPr>
        <w:t>​​2026​  Proxy</w:t>
      </w:r>
    </w:p>
    <w:p>
      <w:pPr>
        <w:spacing w:after="0" w:line="5" w:lineRule="exact"/>
        <w:rPr>
          <w:sz w:val="20"/>
          <w:szCs w:val="20"/>
          <w:color w:val="auto"/>
        </w:rPr>
      </w:pPr>
    </w:p>
    <w:p>
      <w:pPr>
        <w:ind w:left="660" w:hanging="656"/>
        <w:spacing w:after="0"/>
        <w:tabs>
          <w:tab w:leader="none" w:pos="660" w:val="left"/>
        </w:tabs>
        <w:numPr>
          <w:ilvl w:val="0"/>
          <w:numId w:val="96"/>
        </w:numPr>
        <w:rPr>
          <w:rFonts w:ascii="Arial" w:cs="Arial" w:eastAsia="Arial" w:hAnsi="Arial"/>
          <w:sz w:val="16"/>
          <w:szCs w:val="16"/>
          <w:b w:val="1"/>
          <w:bCs w:val="1"/>
          <w:color w:val="1414D2"/>
        </w:rPr>
      </w:pPr>
      <w:r>
        <w:rPr>
          <w:rFonts w:ascii="Arial" w:cs="Arial" w:eastAsia="Arial" w:hAnsi="Arial"/>
          <w:sz w:val="16"/>
          <w:szCs w:val="16"/>
          <w:color w:val="auto"/>
        </w:rPr>
        <w:t>Statement</w:t>
      </w:r>
    </w:p>
    <w:p>
      <w:pPr>
        <w:sectPr>
          <w:pgSz w:w="11900" w:h="16838" w:orient="portrait"/>
          <w:cols w:equalWidth="0" w:num="1">
            <w:col w:w="9720"/>
          </w:cols>
          <w:pgMar w:left="1080" w:top="695" w:right="1099" w:bottom="1440" w:gutter="0" w:footer="0" w:header="0"/>
          <w:type w:val="continuous"/>
        </w:sectPr>
      </w:pPr>
    </w:p>
    <w:bookmarkStart w:id="101" w:name="page102"/>
    <w:bookmarkEnd w:id="101"/>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27" w:lineRule="exact"/>
        <w:rPr>
          <w:sz w:val="20"/>
          <w:szCs w:val="20"/>
          <w:color w:val="auto"/>
        </w:rPr>
      </w:pPr>
    </w:p>
    <w:p>
      <w:pPr>
        <w:jc w:val="right"/>
        <w:spacing w:after="0"/>
        <w:rPr>
          <w:sz w:val="20"/>
          <w:szCs w:val="20"/>
          <w:color w:val="auto"/>
        </w:rPr>
      </w:pPr>
      <w:r>
        <w:rPr>
          <w:rFonts w:ascii="Arial" w:cs="Arial" w:eastAsia="Arial" w:hAnsi="Arial"/>
          <w:sz w:val="14"/>
          <w:szCs w:val="14"/>
          <w:color w:val="6D6F71"/>
        </w:rPr>
        <w:t>Compensation  Discussion  and  Analysis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COMPANY AND NEO FOCUSED MATTERS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Committee  also  generally  considered  the  following  Company  and  NEO  focused  matters  in  making  fscal  year  2025</w:t>
      </w:r>
    </w:p>
    <w:p>
      <w:pPr>
        <w:sectPr>
          <w:pgSz w:w="11900" w:h="16838" w:orient="portrait"/>
          <w:cols w:equalWidth="0" w:num="1">
            <w:col w:w="9720"/>
          </w:cols>
          <w:pgMar w:left="1080" w:top="695" w:right="1099" w:bottom="1440" w:gutter="0" w:footer="0" w:header="0"/>
        </w:sectPr>
      </w:pP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compensation  decisions,  among  other  factors:</w:t>
      </w:r>
    </w:p>
    <w:p>
      <w:pPr>
        <w:spacing w:after="0" w:line="154"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FFFFFF"/>
        </w:rPr>
        <w:t>Company-Focused Matters</w:t>
      </w:r>
    </w:p>
    <w:p>
      <w:pPr>
        <w:spacing w:after="0" w:line="154" w:lineRule="exact"/>
        <w:rPr>
          <w:sz w:val="20"/>
          <w:szCs w:val="20"/>
          <w:color w:val="auto"/>
        </w:rPr>
      </w:pPr>
    </w:p>
    <w:p>
      <w:pPr>
        <w:ind w:left="460" w:right="60" w:hanging="318"/>
        <w:spacing w:after="0" w:line="312" w:lineRule="auto"/>
        <w:tabs>
          <w:tab w:leader="none" w:pos="460" w:val="left"/>
        </w:tabs>
        <w:numPr>
          <w:ilvl w:val="0"/>
          <w:numId w:val="97"/>
        </w:numPr>
        <w:rPr>
          <w:rFonts w:ascii="Times New Roman" w:cs="Times New Roman" w:eastAsia="Times New Roman" w:hAnsi="Times New Roman"/>
          <w:sz w:val="16"/>
          <w:szCs w:val="16"/>
          <w:color w:val="auto"/>
        </w:rPr>
      </w:pPr>
      <w:r>
        <w:rPr>
          <w:rFonts w:ascii="Arial" w:cs="Arial" w:eastAsia="Arial" w:hAnsi="Arial"/>
          <w:sz w:val="16"/>
          <w:szCs w:val="16"/>
          <w:color w:val="auto"/>
        </w:rPr>
        <w:t>Company performance in prior years and expectations for the future;</w:t>
      </w:r>
    </w:p>
    <w:p>
      <w:pPr>
        <w:spacing w:after="0" w:line="20" w:lineRule="exact"/>
        <w:rPr>
          <w:rFonts w:ascii="Times New Roman" w:cs="Times New Roman" w:eastAsia="Times New Roman" w:hAnsi="Times New Roman"/>
          <w:sz w:val="16"/>
          <w:szCs w:val="16"/>
          <w:color w:val="auto"/>
        </w:rPr>
      </w:pPr>
    </w:p>
    <w:p>
      <w:pPr>
        <w:ind w:left="460" w:right="400" w:hanging="318"/>
        <w:spacing w:after="0" w:line="312" w:lineRule="auto"/>
        <w:tabs>
          <w:tab w:leader="none" w:pos="460" w:val="left"/>
        </w:tabs>
        <w:numPr>
          <w:ilvl w:val="0"/>
          <w:numId w:val="97"/>
        </w:numPr>
        <w:rPr>
          <w:rFonts w:ascii="Times New Roman" w:cs="Times New Roman" w:eastAsia="Times New Roman" w:hAnsi="Times New Roman"/>
          <w:sz w:val="16"/>
          <w:szCs w:val="16"/>
          <w:color w:val="auto"/>
        </w:rPr>
      </w:pPr>
      <w:r>
        <w:rPr>
          <w:rFonts w:ascii="Arial" w:cs="Arial" w:eastAsia="Arial" w:hAnsi="Arial"/>
          <w:sz w:val="16"/>
          <w:szCs w:val="16"/>
          <w:color w:val="auto"/>
        </w:rPr>
        <w:t>The anticipated degree of difculty inherent in the targeted incentive performance measures;</w:t>
      </w:r>
    </w:p>
    <w:p>
      <w:pPr>
        <w:spacing w:after="0" w:line="20" w:lineRule="exact"/>
        <w:rPr>
          <w:rFonts w:ascii="Times New Roman" w:cs="Times New Roman" w:eastAsia="Times New Roman" w:hAnsi="Times New Roman"/>
          <w:sz w:val="16"/>
          <w:szCs w:val="16"/>
          <w:color w:val="auto"/>
        </w:rPr>
      </w:pPr>
    </w:p>
    <w:p>
      <w:pPr>
        <w:ind w:left="460" w:hanging="318"/>
        <w:spacing w:after="0"/>
        <w:tabs>
          <w:tab w:leader="none" w:pos="460" w:val="left"/>
        </w:tabs>
        <w:numPr>
          <w:ilvl w:val="0"/>
          <w:numId w:val="97"/>
        </w:numPr>
        <w:rPr>
          <w:rFonts w:ascii="Times New Roman" w:cs="Times New Roman" w:eastAsia="Times New Roman" w:hAnsi="Times New Roman"/>
          <w:sz w:val="16"/>
          <w:szCs w:val="16"/>
          <w:color w:val="auto"/>
        </w:rPr>
      </w:pPr>
      <w:r>
        <w:rPr>
          <w:rFonts w:ascii="Arial" w:cs="Arial" w:eastAsia="Arial" w:hAnsi="Arial"/>
          <w:sz w:val="16"/>
          <w:szCs w:val="16"/>
          <w:color w:val="auto"/>
        </w:rPr>
        <w:t>The  level  of  risk-taking  the  program  would  reward;</w:t>
      </w:r>
    </w:p>
    <w:p>
      <w:pPr>
        <w:spacing w:after="0" w:line="112" w:lineRule="exact"/>
        <w:rPr>
          <w:rFonts w:ascii="Times New Roman" w:cs="Times New Roman" w:eastAsia="Times New Roman" w:hAnsi="Times New Roman"/>
          <w:sz w:val="16"/>
          <w:szCs w:val="16"/>
          <w:color w:val="auto"/>
        </w:rPr>
      </w:pPr>
    </w:p>
    <w:p>
      <w:pPr>
        <w:ind w:left="460" w:hanging="318"/>
        <w:spacing w:after="0"/>
        <w:tabs>
          <w:tab w:leader="none" w:pos="460" w:val="left"/>
        </w:tabs>
        <w:numPr>
          <w:ilvl w:val="0"/>
          <w:numId w:val="97"/>
        </w:numPr>
        <w:rPr>
          <w:rFonts w:ascii="Times New Roman" w:cs="Times New Roman" w:eastAsia="Times New Roman" w:hAnsi="Times New Roman"/>
          <w:sz w:val="16"/>
          <w:szCs w:val="16"/>
          <w:color w:val="auto"/>
        </w:rPr>
      </w:pPr>
      <w:r>
        <w:rPr>
          <w:rFonts w:ascii="Arial" w:cs="Arial" w:eastAsia="Arial" w:hAnsi="Arial"/>
          <w:sz w:val="16"/>
          <w:szCs w:val="16"/>
          <w:color w:val="auto"/>
        </w:rPr>
        <w:t>The  general  business  environment;  and</w:t>
      </w:r>
    </w:p>
    <w:p>
      <w:pPr>
        <w:spacing w:after="0" w:line="112" w:lineRule="exact"/>
        <w:rPr>
          <w:rFonts w:ascii="Times New Roman" w:cs="Times New Roman" w:eastAsia="Times New Roman" w:hAnsi="Times New Roman"/>
          <w:sz w:val="16"/>
          <w:szCs w:val="16"/>
          <w:color w:val="auto"/>
        </w:rPr>
      </w:pPr>
    </w:p>
    <w:p>
      <w:pPr>
        <w:ind w:left="460" w:hanging="318"/>
        <w:spacing w:after="0" w:line="279" w:lineRule="auto"/>
        <w:tabs>
          <w:tab w:leader="none" w:pos="460" w:val="left"/>
        </w:tabs>
        <w:numPr>
          <w:ilvl w:val="0"/>
          <w:numId w:val="97"/>
        </w:numPr>
        <w:rPr>
          <w:rFonts w:ascii="Times New Roman" w:cs="Times New Roman" w:eastAsia="Times New Roman" w:hAnsi="Times New Roman"/>
          <w:sz w:val="16"/>
          <w:szCs w:val="16"/>
          <w:color w:val="auto"/>
        </w:rPr>
      </w:pPr>
      <w:r>
        <w:rPr>
          <w:rFonts w:ascii="Arial" w:cs="Arial" w:eastAsia="Arial" w:hAnsi="Arial"/>
          <w:sz w:val="16"/>
          <w:szCs w:val="16"/>
          <w:color w:val="auto"/>
        </w:rPr>
        <w:t>Practices and developments in compensation design and governance among our peers and more broadly, in general industry.</w:t>
      </w:r>
    </w:p>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FFFFFF"/>
        </w:rPr>
        <w:t>Key NEO-Focused Matters</w:t>
      </w:r>
    </w:p>
    <w:p>
      <w:pPr>
        <w:spacing w:after="0" w:line="154" w:lineRule="exact"/>
        <w:rPr>
          <w:sz w:val="20"/>
          <w:szCs w:val="20"/>
          <w:color w:val="auto"/>
        </w:rPr>
      </w:pPr>
    </w:p>
    <w:p>
      <w:pPr>
        <w:ind w:left="323" w:right="740" w:hanging="323"/>
        <w:spacing w:after="0" w:line="312" w:lineRule="auto"/>
        <w:tabs>
          <w:tab w:leader="none" w:pos="323" w:val="left"/>
        </w:tabs>
        <w:numPr>
          <w:ilvl w:val="0"/>
          <w:numId w:val="98"/>
        </w:numPr>
        <w:rPr>
          <w:rFonts w:ascii="Times New Roman" w:cs="Times New Roman" w:eastAsia="Times New Roman" w:hAnsi="Times New Roman"/>
          <w:sz w:val="16"/>
          <w:szCs w:val="16"/>
          <w:color w:val="auto"/>
        </w:rPr>
      </w:pPr>
      <w:r>
        <w:rPr>
          <w:rFonts w:ascii="Arial" w:cs="Arial" w:eastAsia="Arial" w:hAnsi="Arial"/>
          <w:sz w:val="16"/>
          <w:szCs w:val="16"/>
          <w:color w:val="auto"/>
        </w:rPr>
        <w:t>Individual performance history and long-term leadership potential;</w:t>
      </w:r>
    </w:p>
    <w:p>
      <w:pPr>
        <w:spacing w:after="0" w:line="20" w:lineRule="exact"/>
        <w:rPr>
          <w:rFonts w:ascii="Times New Roman" w:cs="Times New Roman" w:eastAsia="Times New Roman" w:hAnsi="Times New Roman"/>
          <w:sz w:val="16"/>
          <w:szCs w:val="16"/>
          <w:color w:val="auto"/>
        </w:rPr>
      </w:pPr>
    </w:p>
    <w:p>
      <w:pPr>
        <w:ind w:left="323" w:right="140" w:hanging="323"/>
        <w:spacing w:after="0" w:line="279" w:lineRule="auto"/>
        <w:tabs>
          <w:tab w:leader="none" w:pos="323" w:val="left"/>
        </w:tabs>
        <w:numPr>
          <w:ilvl w:val="0"/>
          <w:numId w:val="98"/>
        </w:numPr>
        <w:rPr>
          <w:rFonts w:ascii="Times New Roman" w:cs="Times New Roman" w:eastAsia="Times New Roman" w:hAnsi="Times New Roman"/>
          <w:sz w:val="16"/>
          <w:szCs w:val="16"/>
          <w:color w:val="auto"/>
        </w:rPr>
      </w:pPr>
      <w:r>
        <w:rPr>
          <w:rFonts w:ascii="Arial" w:cs="Arial" w:eastAsia="Arial" w:hAnsi="Arial"/>
          <w:sz w:val="16"/>
          <w:szCs w:val="16"/>
          <w:color w:val="auto"/>
        </w:rPr>
        <w:t>Changes in an NEO’s tenure, roles and responsibilities since the NEO’s total target compensation was last increased;</w:t>
      </w:r>
    </w:p>
    <w:p>
      <w:pPr>
        <w:spacing w:after="0" w:line="46" w:lineRule="exact"/>
        <w:rPr>
          <w:rFonts w:ascii="Times New Roman" w:cs="Times New Roman" w:eastAsia="Times New Roman" w:hAnsi="Times New Roman"/>
          <w:sz w:val="16"/>
          <w:szCs w:val="16"/>
          <w:color w:val="auto"/>
        </w:rPr>
      </w:pPr>
    </w:p>
    <w:p>
      <w:pPr>
        <w:ind w:left="323" w:hanging="323"/>
        <w:spacing w:after="0"/>
        <w:tabs>
          <w:tab w:leader="none" w:pos="323" w:val="left"/>
        </w:tabs>
        <w:numPr>
          <w:ilvl w:val="0"/>
          <w:numId w:val="98"/>
        </w:numPr>
        <w:rPr>
          <w:rFonts w:ascii="Times New Roman" w:cs="Times New Roman" w:eastAsia="Times New Roman" w:hAnsi="Times New Roman"/>
          <w:sz w:val="16"/>
          <w:szCs w:val="16"/>
          <w:color w:val="auto"/>
        </w:rPr>
      </w:pPr>
      <w:r>
        <w:rPr>
          <w:rFonts w:ascii="Arial" w:cs="Arial" w:eastAsia="Arial" w:hAnsi="Arial"/>
          <w:sz w:val="16"/>
          <w:szCs w:val="16"/>
          <w:color w:val="auto"/>
        </w:rPr>
        <w:t>Internal  pay  parity;  and</w:t>
      </w:r>
    </w:p>
    <w:p>
      <w:pPr>
        <w:spacing w:after="0" w:line="112" w:lineRule="exact"/>
        <w:rPr>
          <w:rFonts w:ascii="Times New Roman" w:cs="Times New Roman" w:eastAsia="Times New Roman" w:hAnsi="Times New Roman"/>
          <w:sz w:val="16"/>
          <w:szCs w:val="16"/>
          <w:color w:val="auto"/>
        </w:rPr>
      </w:pPr>
    </w:p>
    <w:p>
      <w:pPr>
        <w:ind w:left="323" w:right="240" w:hanging="323"/>
        <w:spacing w:after="0" w:line="312" w:lineRule="auto"/>
        <w:tabs>
          <w:tab w:leader="none" w:pos="323" w:val="left"/>
        </w:tabs>
        <w:numPr>
          <w:ilvl w:val="0"/>
          <w:numId w:val="98"/>
        </w:numPr>
        <w:rPr>
          <w:rFonts w:ascii="Times New Roman" w:cs="Times New Roman" w:eastAsia="Times New Roman" w:hAnsi="Times New Roman"/>
          <w:sz w:val="16"/>
          <w:szCs w:val="16"/>
          <w:color w:val="auto"/>
        </w:rPr>
      </w:pPr>
      <w:r>
        <w:rPr>
          <w:rFonts w:ascii="Arial" w:cs="Arial" w:eastAsia="Arial" w:hAnsi="Arial"/>
          <w:sz w:val="16"/>
          <w:szCs w:val="16"/>
          <w:color w:val="auto"/>
        </w:rPr>
        <w:t>Retention risks related to the competitive market for talent.</w:t>
      </w:r>
    </w:p>
    <w:p>
      <w:pPr>
        <w:spacing w:after="0" w:line="471" w:lineRule="exact"/>
        <w:rPr>
          <w:sz w:val="20"/>
          <w:szCs w:val="20"/>
          <w:color w:val="auto"/>
        </w:rPr>
      </w:pPr>
    </w:p>
    <w:p>
      <w:pPr>
        <w:sectPr>
          <w:pgSz w:w="11900" w:h="16838" w:orient="portrait"/>
          <w:cols w:equalWidth="0" w:num="2">
            <w:col w:w="4680" w:space="497"/>
            <w:col w:w="4543"/>
          </w:cols>
          <w:pgMar w:left="1080" w:top="695" w:right="1099" w:bottom="1440" w:gutter="0" w:footer="0" w:header="0"/>
          <w:type w:val="continuous"/>
        </w:sectPr>
      </w:pP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INPUT FROM OUR CHIEF EXECUTIVE OFFICER AND OTHER MANAGEMENT</w:t>
      </w:r>
    </w:p>
    <w:p>
      <w:pPr>
        <w:spacing w:after="0" w:line="113" w:lineRule="exact"/>
        <w:rPr>
          <w:sz w:val="20"/>
          <w:szCs w:val="20"/>
          <w:color w:val="auto"/>
        </w:rPr>
      </w:pPr>
    </w:p>
    <w:p>
      <w:pPr>
        <w:ind w:right="60"/>
        <w:spacing w:after="0" w:line="255" w:lineRule="auto"/>
        <w:rPr>
          <w:sz w:val="20"/>
          <w:szCs w:val="20"/>
          <w:color w:val="auto"/>
        </w:rPr>
      </w:pPr>
      <w:r>
        <w:rPr>
          <w:rFonts w:ascii="Arial" w:cs="Arial" w:eastAsia="Arial" w:hAnsi="Arial"/>
          <w:sz w:val="16"/>
          <w:szCs w:val="16"/>
          <w:color w:val="auto"/>
        </w:rPr>
        <w:t>Mr. Kirby, our Chief Executive Ofcer and Mr. Hart, our President, attend Committee meetings and provide input to the Committee with respect to the compensation of the management team other than themselves. Management also supports the</w:t>
      </w:r>
    </w:p>
    <w:p>
      <w:pPr>
        <w:spacing w:after="0" w:line="1" w:lineRule="exact"/>
        <w:rPr>
          <w:sz w:val="20"/>
          <w:szCs w:val="20"/>
          <w:color w:val="auto"/>
        </w:rPr>
      </w:pPr>
    </w:p>
    <w:p>
      <w:pPr>
        <w:ind w:right="640"/>
        <w:spacing w:after="0" w:line="313" w:lineRule="auto"/>
        <w:rPr>
          <w:sz w:val="20"/>
          <w:szCs w:val="20"/>
          <w:color w:val="auto"/>
        </w:rPr>
      </w:pPr>
      <w:r>
        <w:rPr>
          <w:rFonts w:ascii="Arial" w:cs="Arial" w:eastAsia="Arial" w:hAnsi="Arial"/>
          <w:sz w:val="16"/>
          <w:szCs w:val="16"/>
          <w:color w:val="auto"/>
        </w:rPr>
        <w:t>Committee in making executive compensation decisions as needed. Mr. Kirby and Mr. Hart do not attend portions of the meetings relating to their compensation.</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200" w:type="dxa"/>
            <w:vAlign w:val="bottom"/>
            <w:tcBorders>
              <w:top w:val="single" w:sz="8" w:color="1414D2"/>
            </w:tcBorders>
            <w:shd w:val="clear" w:color="auto" w:fill="1414D2"/>
          </w:tcPr>
          <w:p>
            <w:pPr>
              <w:spacing w:after="0"/>
              <w:rPr>
                <w:sz w:val="22"/>
                <w:szCs w:val="22"/>
                <w:color w:val="auto"/>
              </w:rPr>
            </w:pPr>
          </w:p>
        </w:tc>
        <w:tc>
          <w:tcPr>
            <w:tcW w:w="1700" w:type="dxa"/>
            <w:vAlign w:val="bottom"/>
            <w:tcBorders>
              <w:top w:val="single" w:sz="8" w:color="1414D2"/>
            </w:tcBorders>
          </w:tcPr>
          <w:p>
            <w:pPr>
              <w:ind w:left="240"/>
              <w:spacing w:after="0"/>
              <w:rPr>
                <w:sz w:val="20"/>
                <w:szCs w:val="20"/>
                <w:color w:val="auto"/>
              </w:rPr>
            </w:pPr>
            <w:r>
              <w:rPr>
                <w:rFonts w:ascii="Arial" w:cs="Arial" w:eastAsia="Arial" w:hAnsi="Arial"/>
                <w:sz w:val="16"/>
                <w:szCs w:val="16"/>
                <w:b w:val="1"/>
                <w:bCs w:val="1"/>
                <w:color w:val="1414D2"/>
              </w:rPr>
              <w:t>SELECTING</w:t>
            </w:r>
          </w:p>
        </w:tc>
        <w:tc>
          <w:tcPr>
            <w:tcW w:w="7820" w:type="dxa"/>
            <w:vAlign w:val="bottom"/>
            <w:tcBorders>
              <w:top w:val="single" w:sz="8" w:color="1414D2"/>
            </w:tcBorders>
          </w:tcPr>
          <w:p>
            <w:pPr>
              <w:ind w:left="220"/>
              <w:spacing w:after="0"/>
              <w:rPr>
                <w:sz w:val="20"/>
                <w:szCs w:val="20"/>
                <w:color w:val="auto"/>
              </w:rPr>
            </w:pPr>
            <w:r>
              <w:rPr>
                <w:rFonts w:ascii="Arial" w:cs="Arial" w:eastAsia="Arial" w:hAnsi="Arial"/>
                <w:sz w:val="16"/>
                <w:szCs w:val="16"/>
                <w:color w:val="auto"/>
              </w:rPr>
              <w:t>An  important  part  of  designing  incentive  compensation  programs  is  the  selection  of</w:t>
            </w:r>
          </w:p>
        </w:tc>
      </w:tr>
      <w:tr>
        <w:trPr>
          <w:trHeight w:val="189"/>
        </w:trPr>
        <w:tc>
          <w:tcPr>
            <w:tcW w:w="200" w:type="dxa"/>
            <w:vAlign w:val="bottom"/>
            <w:shd w:val="clear" w:color="auto" w:fill="1414D2"/>
          </w:tcPr>
          <w:p>
            <w:pPr>
              <w:spacing w:after="0"/>
              <w:rPr>
                <w:sz w:val="16"/>
                <w:szCs w:val="16"/>
                <w:color w:val="auto"/>
              </w:rPr>
            </w:pPr>
          </w:p>
        </w:tc>
        <w:tc>
          <w:tcPr>
            <w:tcW w:w="1700" w:type="dxa"/>
            <w:vAlign w:val="bottom"/>
          </w:tcPr>
          <w:p>
            <w:pPr>
              <w:ind w:left="240"/>
              <w:spacing w:after="0"/>
              <w:rPr>
                <w:sz w:val="20"/>
                <w:szCs w:val="20"/>
                <w:color w:val="auto"/>
              </w:rPr>
            </w:pPr>
            <w:r>
              <w:rPr>
                <w:rFonts w:ascii="Arial" w:cs="Arial" w:eastAsia="Arial" w:hAnsi="Arial"/>
                <w:sz w:val="16"/>
                <w:szCs w:val="16"/>
                <w:b w:val="1"/>
                <w:bCs w:val="1"/>
                <w:color w:val="1414D2"/>
              </w:rPr>
              <w:t>PERFORMANCE</w:t>
            </w:r>
          </w:p>
        </w:tc>
        <w:tc>
          <w:tcPr>
            <w:tcW w:w="7820" w:type="dxa"/>
            <w:vAlign w:val="bottom"/>
          </w:tcPr>
          <w:p>
            <w:pPr>
              <w:ind w:left="220"/>
              <w:spacing w:after="0"/>
              <w:rPr>
                <w:sz w:val="20"/>
                <w:szCs w:val="20"/>
                <w:color w:val="auto"/>
              </w:rPr>
            </w:pPr>
            <w:r>
              <w:rPr>
                <w:rFonts w:ascii="Arial" w:cs="Arial" w:eastAsia="Arial" w:hAnsi="Arial"/>
                <w:sz w:val="16"/>
                <w:szCs w:val="16"/>
                <w:color w:val="auto"/>
              </w:rPr>
              <w:t>performance  measures  and  targets.   To  support  the  Committee’s  pay-for-performance</w:t>
            </w:r>
          </w:p>
        </w:tc>
      </w:tr>
      <w:tr>
        <w:trPr>
          <w:trHeight w:val="189"/>
        </w:trPr>
        <w:tc>
          <w:tcPr>
            <w:tcW w:w="200" w:type="dxa"/>
            <w:vAlign w:val="bottom"/>
            <w:shd w:val="clear" w:color="auto" w:fill="1414D2"/>
          </w:tcPr>
          <w:p>
            <w:pPr>
              <w:spacing w:after="0"/>
              <w:rPr>
                <w:sz w:val="16"/>
                <w:szCs w:val="16"/>
                <w:color w:val="auto"/>
              </w:rPr>
            </w:pPr>
          </w:p>
        </w:tc>
        <w:tc>
          <w:tcPr>
            <w:tcW w:w="1700" w:type="dxa"/>
            <w:vAlign w:val="bottom"/>
          </w:tcPr>
          <w:p>
            <w:pPr>
              <w:ind w:left="240"/>
              <w:spacing w:after="0"/>
              <w:rPr>
                <w:sz w:val="20"/>
                <w:szCs w:val="20"/>
                <w:color w:val="auto"/>
              </w:rPr>
            </w:pPr>
            <w:r>
              <w:rPr>
                <w:rFonts w:ascii="Arial" w:cs="Arial" w:eastAsia="Arial" w:hAnsi="Arial"/>
                <w:sz w:val="16"/>
                <w:szCs w:val="16"/>
                <w:b w:val="1"/>
                <w:bCs w:val="1"/>
                <w:color w:val="1414D2"/>
              </w:rPr>
              <w:t>MEASURES AND</w:t>
            </w:r>
          </w:p>
        </w:tc>
        <w:tc>
          <w:tcPr>
            <w:tcW w:w="7820" w:type="dxa"/>
            <w:vAlign w:val="bottom"/>
          </w:tcPr>
          <w:p>
            <w:pPr>
              <w:ind w:left="220"/>
              <w:spacing w:after="0"/>
              <w:rPr>
                <w:sz w:val="20"/>
                <w:szCs w:val="20"/>
                <w:color w:val="auto"/>
              </w:rPr>
            </w:pPr>
            <w:r>
              <w:rPr>
                <w:rFonts w:ascii="Arial" w:cs="Arial" w:eastAsia="Arial" w:hAnsi="Arial"/>
                <w:sz w:val="16"/>
                <w:szCs w:val="16"/>
                <w:color w:val="auto"/>
              </w:rPr>
              <w:t>philosophy,  selected  performance  measures  are  tied  to  our  business  strategy  and  stockholder</w:t>
            </w:r>
          </w:p>
        </w:tc>
      </w:tr>
      <w:tr>
        <w:trPr>
          <w:trHeight w:val="203"/>
        </w:trPr>
        <w:tc>
          <w:tcPr>
            <w:tcW w:w="200" w:type="dxa"/>
            <w:vAlign w:val="bottom"/>
            <w:shd w:val="clear" w:color="auto" w:fill="1414D2"/>
          </w:tcPr>
          <w:p>
            <w:pPr>
              <w:spacing w:after="0"/>
              <w:rPr>
                <w:sz w:val="17"/>
                <w:szCs w:val="17"/>
                <w:color w:val="auto"/>
              </w:rPr>
            </w:pPr>
          </w:p>
        </w:tc>
        <w:tc>
          <w:tcPr>
            <w:tcW w:w="1700" w:type="dxa"/>
            <w:vAlign w:val="bottom"/>
          </w:tcPr>
          <w:p>
            <w:pPr>
              <w:ind w:left="240"/>
              <w:spacing w:after="0"/>
              <w:rPr>
                <w:sz w:val="20"/>
                <w:szCs w:val="20"/>
                <w:color w:val="auto"/>
              </w:rPr>
            </w:pPr>
            <w:r>
              <w:rPr>
                <w:rFonts w:ascii="Arial" w:cs="Arial" w:eastAsia="Arial" w:hAnsi="Arial"/>
                <w:sz w:val="16"/>
                <w:szCs w:val="16"/>
                <w:b w:val="1"/>
                <w:bCs w:val="1"/>
                <w:color w:val="1414D2"/>
              </w:rPr>
              <w:t>TARGETED</w:t>
            </w:r>
          </w:p>
        </w:tc>
        <w:tc>
          <w:tcPr>
            <w:tcW w:w="7820" w:type="dxa"/>
            <w:vAlign w:val="bottom"/>
          </w:tcPr>
          <w:p>
            <w:pPr>
              <w:ind w:left="220"/>
              <w:spacing w:after="0"/>
              <w:rPr>
                <w:sz w:val="20"/>
                <w:szCs w:val="20"/>
                <w:color w:val="auto"/>
              </w:rPr>
            </w:pPr>
            <w:r>
              <w:rPr>
                <w:rFonts w:ascii="Arial" w:cs="Arial" w:eastAsia="Arial" w:hAnsi="Arial"/>
                <w:sz w:val="16"/>
                <w:szCs w:val="16"/>
                <w:color w:val="auto"/>
              </w:rPr>
              <w:t>value  creation.  In  addition,  performance  targets  are  set  at  levels  designed  to  balance  investor</w:t>
            </w:r>
          </w:p>
        </w:tc>
      </w:tr>
      <w:tr>
        <w:trPr>
          <w:trHeight w:val="189"/>
        </w:trPr>
        <w:tc>
          <w:tcPr>
            <w:tcW w:w="200" w:type="dxa"/>
            <w:vAlign w:val="bottom"/>
            <w:shd w:val="clear" w:color="auto" w:fill="1414D2"/>
          </w:tcPr>
          <w:p>
            <w:pPr>
              <w:spacing w:after="0"/>
              <w:rPr>
                <w:sz w:val="16"/>
                <w:szCs w:val="16"/>
                <w:color w:val="auto"/>
              </w:rPr>
            </w:pPr>
          </w:p>
        </w:tc>
        <w:tc>
          <w:tcPr>
            <w:tcW w:w="1700" w:type="dxa"/>
            <w:vAlign w:val="bottom"/>
          </w:tcPr>
          <w:p>
            <w:pPr>
              <w:ind w:left="240"/>
              <w:spacing w:after="0"/>
              <w:rPr>
                <w:sz w:val="20"/>
                <w:szCs w:val="20"/>
                <w:color w:val="auto"/>
              </w:rPr>
            </w:pPr>
            <w:r>
              <w:rPr>
                <w:rFonts w:ascii="Arial" w:cs="Arial" w:eastAsia="Arial" w:hAnsi="Arial"/>
                <w:sz w:val="16"/>
                <w:szCs w:val="16"/>
                <w:b w:val="1"/>
                <w:bCs w:val="1"/>
                <w:color w:val="1414D2"/>
              </w:rPr>
              <w:t>PERFORMANCE</w:t>
            </w:r>
          </w:p>
        </w:tc>
        <w:tc>
          <w:tcPr>
            <w:tcW w:w="7820" w:type="dxa"/>
            <w:vAlign w:val="bottom"/>
          </w:tcPr>
          <w:p>
            <w:pPr>
              <w:ind w:left="220"/>
              <w:spacing w:after="0"/>
              <w:rPr>
                <w:sz w:val="20"/>
                <w:szCs w:val="20"/>
                <w:color w:val="auto"/>
              </w:rPr>
            </w:pPr>
            <w:r>
              <w:rPr>
                <w:rFonts w:ascii="Arial" w:cs="Arial" w:eastAsia="Arial" w:hAnsi="Arial"/>
                <w:sz w:val="16"/>
                <w:szCs w:val="16"/>
                <w:color w:val="auto"/>
              </w:rPr>
              <w:t>expectations  against  achievability,  without  incentivizing  undue  risk-taking.  As  appropriate,</w:t>
            </w:r>
          </w:p>
        </w:tc>
      </w:tr>
      <w:tr>
        <w:trPr>
          <w:trHeight w:val="189"/>
        </w:trPr>
        <w:tc>
          <w:tcPr>
            <w:tcW w:w="200" w:type="dxa"/>
            <w:vAlign w:val="bottom"/>
            <w:shd w:val="clear" w:color="auto" w:fill="1414D2"/>
          </w:tcPr>
          <w:p>
            <w:pPr>
              <w:spacing w:after="0"/>
              <w:rPr>
                <w:sz w:val="16"/>
                <w:szCs w:val="16"/>
                <w:color w:val="auto"/>
              </w:rPr>
            </w:pPr>
          </w:p>
        </w:tc>
        <w:tc>
          <w:tcPr>
            <w:tcW w:w="1700" w:type="dxa"/>
            <w:vAlign w:val="bottom"/>
          </w:tcPr>
          <w:p>
            <w:pPr>
              <w:ind w:left="240"/>
              <w:spacing w:after="0"/>
              <w:rPr>
                <w:sz w:val="20"/>
                <w:szCs w:val="20"/>
                <w:color w:val="auto"/>
              </w:rPr>
            </w:pPr>
            <w:r>
              <w:rPr>
                <w:rFonts w:ascii="Arial" w:cs="Arial" w:eastAsia="Arial" w:hAnsi="Arial"/>
                <w:sz w:val="16"/>
                <w:szCs w:val="16"/>
                <w:b w:val="1"/>
                <w:bCs w:val="1"/>
                <w:color w:val="1414D2"/>
              </w:rPr>
              <w:t>LEVELS</w:t>
            </w:r>
          </w:p>
        </w:tc>
        <w:tc>
          <w:tcPr>
            <w:tcW w:w="7820" w:type="dxa"/>
            <w:vAlign w:val="bottom"/>
          </w:tcPr>
          <w:p>
            <w:pPr>
              <w:ind w:left="220"/>
              <w:spacing w:after="0"/>
              <w:rPr>
                <w:sz w:val="20"/>
                <w:szCs w:val="20"/>
                <w:color w:val="auto"/>
              </w:rPr>
            </w:pPr>
            <w:r>
              <w:rPr>
                <w:rFonts w:ascii="Arial" w:cs="Arial" w:eastAsia="Arial" w:hAnsi="Arial"/>
                <w:sz w:val="16"/>
                <w:szCs w:val="16"/>
                <w:color w:val="auto"/>
              </w:rPr>
              <w:t>members  of  our  management  team  prepare  background  materials  and  participate  in</w:t>
            </w:r>
          </w:p>
        </w:tc>
      </w:tr>
      <w:tr>
        <w:trPr>
          <w:trHeight w:val="189"/>
        </w:trPr>
        <w:tc>
          <w:tcPr>
            <w:tcW w:w="200" w:type="dxa"/>
            <w:vAlign w:val="bottom"/>
            <w:shd w:val="clear" w:color="auto" w:fill="1414D2"/>
          </w:tcPr>
          <w:p>
            <w:pPr>
              <w:spacing w:after="0"/>
              <w:rPr>
                <w:sz w:val="16"/>
                <w:szCs w:val="16"/>
                <w:color w:val="auto"/>
              </w:rPr>
            </w:pPr>
          </w:p>
        </w:tc>
        <w:tc>
          <w:tcPr>
            <w:tcW w:w="1700" w:type="dxa"/>
            <w:vAlign w:val="bottom"/>
          </w:tcPr>
          <w:p>
            <w:pPr>
              <w:spacing w:after="0"/>
              <w:rPr>
                <w:sz w:val="16"/>
                <w:szCs w:val="16"/>
                <w:color w:val="auto"/>
              </w:rPr>
            </w:pPr>
          </w:p>
        </w:tc>
        <w:tc>
          <w:tcPr>
            <w:tcW w:w="7820" w:type="dxa"/>
            <w:vAlign w:val="bottom"/>
          </w:tcPr>
          <w:p>
            <w:pPr>
              <w:ind w:left="220"/>
              <w:spacing w:after="0"/>
              <w:rPr>
                <w:sz w:val="20"/>
                <w:szCs w:val="20"/>
                <w:color w:val="auto"/>
              </w:rPr>
            </w:pPr>
            <w:r>
              <w:rPr>
                <w:rFonts w:ascii="Arial" w:cs="Arial" w:eastAsia="Arial" w:hAnsi="Arial"/>
                <w:sz w:val="16"/>
                <w:szCs w:val="16"/>
                <w:color w:val="auto"/>
              </w:rPr>
              <w:t>discussions  with  the  Committee  relating  to  the  Company’s  fnancial  plan,  customer-centered</w:t>
            </w:r>
          </w:p>
        </w:tc>
      </w:tr>
      <w:tr>
        <w:trPr>
          <w:trHeight w:val="203"/>
        </w:trPr>
        <w:tc>
          <w:tcPr>
            <w:tcW w:w="200" w:type="dxa"/>
            <w:vAlign w:val="bottom"/>
            <w:shd w:val="clear" w:color="auto" w:fill="1414D2"/>
          </w:tcPr>
          <w:p>
            <w:pPr>
              <w:spacing w:after="0"/>
              <w:rPr>
                <w:sz w:val="17"/>
                <w:szCs w:val="17"/>
                <w:color w:val="auto"/>
              </w:rPr>
            </w:pPr>
          </w:p>
        </w:tc>
        <w:tc>
          <w:tcPr>
            <w:tcW w:w="1700" w:type="dxa"/>
            <w:vAlign w:val="bottom"/>
          </w:tcPr>
          <w:p>
            <w:pPr>
              <w:spacing w:after="0"/>
              <w:rPr>
                <w:sz w:val="17"/>
                <w:szCs w:val="17"/>
                <w:color w:val="auto"/>
              </w:rPr>
            </w:pPr>
          </w:p>
        </w:tc>
        <w:tc>
          <w:tcPr>
            <w:tcW w:w="7820" w:type="dxa"/>
            <w:vAlign w:val="bottom"/>
          </w:tcPr>
          <w:p>
            <w:pPr>
              <w:ind w:left="220"/>
              <w:spacing w:after="0"/>
              <w:rPr>
                <w:sz w:val="20"/>
                <w:szCs w:val="20"/>
                <w:color w:val="auto"/>
              </w:rPr>
            </w:pPr>
            <w:r>
              <w:rPr>
                <w:rFonts w:ascii="Arial" w:cs="Arial" w:eastAsia="Arial" w:hAnsi="Arial"/>
                <w:sz w:val="16"/>
                <w:szCs w:val="16"/>
                <w:color w:val="auto"/>
              </w:rPr>
              <w:t>initiatives  and  results,  operational  excellence,  strategic  initiatives  and  proposed  performance</w:t>
            </w:r>
          </w:p>
        </w:tc>
      </w:tr>
      <w:tr>
        <w:trPr>
          <w:trHeight w:val="235"/>
        </w:trPr>
        <w:tc>
          <w:tcPr>
            <w:tcW w:w="200" w:type="dxa"/>
            <w:vAlign w:val="bottom"/>
            <w:shd w:val="clear" w:color="auto" w:fill="1414D2"/>
          </w:tcPr>
          <w:p>
            <w:pPr>
              <w:spacing w:after="0"/>
              <w:rPr>
                <w:sz w:val="20"/>
                <w:szCs w:val="20"/>
                <w:color w:val="auto"/>
              </w:rPr>
            </w:pPr>
          </w:p>
        </w:tc>
        <w:tc>
          <w:tcPr>
            <w:tcW w:w="1700" w:type="dxa"/>
            <w:vAlign w:val="bottom"/>
          </w:tcPr>
          <w:p>
            <w:pPr>
              <w:spacing w:after="0"/>
              <w:rPr>
                <w:sz w:val="20"/>
                <w:szCs w:val="20"/>
                <w:color w:val="auto"/>
              </w:rPr>
            </w:pPr>
          </w:p>
        </w:tc>
        <w:tc>
          <w:tcPr>
            <w:tcW w:w="7820" w:type="dxa"/>
            <w:vAlign w:val="bottom"/>
          </w:tcPr>
          <w:p>
            <w:pPr>
              <w:ind w:left="220"/>
              <w:spacing w:after="0"/>
              <w:rPr>
                <w:sz w:val="20"/>
                <w:szCs w:val="20"/>
                <w:color w:val="auto"/>
              </w:rPr>
            </w:pPr>
            <w:r>
              <w:rPr>
                <w:rFonts w:ascii="Arial" w:cs="Arial" w:eastAsia="Arial" w:hAnsi="Arial"/>
                <w:sz w:val="16"/>
                <w:szCs w:val="16"/>
                <w:color w:val="auto"/>
              </w:rPr>
              <w:t>measures  under  the  executive  compensation  program.</w:t>
            </w:r>
          </w:p>
        </w:tc>
      </w:tr>
      <w:tr>
        <w:trPr>
          <w:trHeight w:val="46"/>
        </w:trPr>
        <w:tc>
          <w:tcPr>
            <w:tcW w:w="200" w:type="dxa"/>
            <w:vAlign w:val="bottom"/>
            <w:tcBorders>
              <w:bottom w:val="single" w:sz="8" w:color="1414D2"/>
            </w:tcBorders>
            <w:shd w:val="clear" w:color="auto" w:fill="1414D2"/>
          </w:tcPr>
          <w:p>
            <w:pPr>
              <w:spacing w:after="0"/>
              <w:rPr>
                <w:sz w:val="4"/>
                <w:szCs w:val="4"/>
                <w:color w:val="auto"/>
              </w:rPr>
            </w:pPr>
          </w:p>
        </w:tc>
        <w:tc>
          <w:tcPr>
            <w:tcW w:w="1700" w:type="dxa"/>
            <w:vAlign w:val="bottom"/>
            <w:tcBorders>
              <w:bottom w:val="single" w:sz="8" w:color="1414D2"/>
            </w:tcBorders>
          </w:tcPr>
          <w:p>
            <w:pPr>
              <w:spacing w:after="0"/>
              <w:rPr>
                <w:sz w:val="4"/>
                <w:szCs w:val="4"/>
                <w:color w:val="auto"/>
              </w:rPr>
            </w:pPr>
          </w:p>
        </w:tc>
        <w:tc>
          <w:tcPr>
            <w:tcW w:w="7820" w:type="dxa"/>
            <w:vAlign w:val="bottom"/>
            <w:tcBorders>
              <w:bottom w:val="single" w:sz="8" w:color="1414D2"/>
            </w:tcBorders>
          </w:tcPr>
          <w:p>
            <w:pPr>
              <w:spacing w:after="0"/>
              <w:rPr>
                <w:sz w:val="4"/>
                <w:szCs w:val="4"/>
                <w:color w:val="auto"/>
              </w:rPr>
            </w:pPr>
          </w:p>
        </w:tc>
      </w:tr>
      <w:tr>
        <w:trPr>
          <w:trHeight w:val="128"/>
        </w:trPr>
        <w:tc>
          <w:tcPr>
            <w:tcW w:w="200" w:type="dxa"/>
            <w:vAlign w:val="bottom"/>
            <w:tcBorders>
              <w:bottom w:val="single" w:sz="8" w:color="1414D2"/>
            </w:tcBorders>
          </w:tcPr>
          <w:p>
            <w:pPr>
              <w:spacing w:after="0"/>
              <w:rPr>
                <w:sz w:val="11"/>
                <w:szCs w:val="11"/>
                <w:color w:val="auto"/>
              </w:rPr>
            </w:pPr>
          </w:p>
        </w:tc>
        <w:tc>
          <w:tcPr>
            <w:tcW w:w="1700" w:type="dxa"/>
            <w:vAlign w:val="bottom"/>
            <w:tcBorders>
              <w:bottom w:val="single" w:sz="8" w:color="1414D2"/>
            </w:tcBorders>
          </w:tcPr>
          <w:p>
            <w:pPr>
              <w:spacing w:after="0"/>
              <w:rPr>
                <w:sz w:val="11"/>
                <w:szCs w:val="11"/>
                <w:color w:val="auto"/>
              </w:rPr>
            </w:pPr>
          </w:p>
        </w:tc>
        <w:tc>
          <w:tcPr>
            <w:tcW w:w="7820" w:type="dxa"/>
            <w:vAlign w:val="bottom"/>
            <w:tcBorders>
              <w:bottom w:val="single" w:sz="8" w:color="1414D2"/>
            </w:tcBorders>
          </w:tcPr>
          <w:p>
            <w:pPr>
              <w:spacing w:after="0"/>
              <w:rPr>
                <w:sz w:val="11"/>
                <w:szCs w:val="11"/>
                <w:color w:val="auto"/>
              </w:rPr>
            </w:pPr>
          </w:p>
        </w:tc>
      </w:tr>
      <w:tr>
        <w:trPr>
          <w:trHeight w:val="225"/>
        </w:trPr>
        <w:tc>
          <w:tcPr>
            <w:tcW w:w="200" w:type="dxa"/>
            <w:vAlign w:val="bottom"/>
            <w:shd w:val="clear" w:color="auto" w:fill="1414D2"/>
          </w:tcPr>
          <w:p>
            <w:pPr>
              <w:spacing w:after="0"/>
              <w:rPr>
                <w:sz w:val="19"/>
                <w:szCs w:val="19"/>
                <w:color w:val="auto"/>
              </w:rPr>
            </w:pPr>
          </w:p>
        </w:tc>
        <w:tc>
          <w:tcPr>
            <w:tcW w:w="1700" w:type="dxa"/>
            <w:vAlign w:val="bottom"/>
          </w:tcPr>
          <w:p>
            <w:pPr>
              <w:ind w:left="240"/>
              <w:spacing w:after="0"/>
              <w:rPr>
                <w:sz w:val="20"/>
                <w:szCs w:val="20"/>
                <w:color w:val="auto"/>
              </w:rPr>
            </w:pPr>
            <w:r>
              <w:rPr>
                <w:rFonts w:ascii="Arial" w:cs="Arial" w:eastAsia="Arial" w:hAnsi="Arial"/>
                <w:sz w:val="16"/>
                <w:szCs w:val="16"/>
                <w:b w:val="1"/>
                <w:bCs w:val="1"/>
                <w:color w:val="1414D2"/>
              </w:rPr>
              <w:t>ASSESSING</w:t>
            </w:r>
          </w:p>
        </w:tc>
        <w:tc>
          <w:tcPr>
            <w:tcW w:w="7820" w:type="dxa"/>
            <w:vAlign w:val="bottom"/>
          </w:tcPr>
          <w:p>
            <w:pPr>
              <w:ind w:left="220"/>
              <w:spacing w:after="0"/>
              <w:rPr>
                <w:sz w:val="20"/>
                <w:szCs w:val="20"/>
                <w:color w:val="auto"/>
              </w:rPr>
            </w:pPr>
            <w:r>
              <w:rPr>
                <w:rFonts w:ascii="Arial" w:cs="Arial" w:eastAsia="Arial" w:hAnsi="Arial"/>
                <w:sz w:val="16"/>
                <w:szCs w:val="16"/>
                <w:color w:val="auto"/>
              </w:rPr>
              <w:t>Financial  performance  is  a  signifcant  component  of  our  incentive  programs.  Members  of  our</w:t>
            </w:r>
          </w:p>
        </w:tc>
      </w:tr>
      <w:tr>
        <w:trPr>
          <w:trHeight w:val="203"/>
        </w:trPr>
        <w:tc>
          <w:tcPr>
            <w:tcW w:w="200" w:type="dxa"/>
            <w:vAlign w:val="bottom"/>
            <w:shd w:val="clear" w:color="auto" w:fill="1414D2"/>
          </w:tcPr>
          <w:p>
            <w:pPr>
              <w:spacing w:after="0"/>
              <w:rPr>
                <w:sz w:val="17"/>
                <w:szCs w:val="17"/>
                <w:color w:val="auto"/>
              </w:rPr>
            </w:pPr>
          </w:p>
        </w:tc>
        <w:tc>
          <w:tcPr>
            <w:tcW w:w="1700" w:type="dxa"/>
            <w:vAlign w:val="bottom"/>
          </w:tcPr>
          <w:p>
            <w:pPr>
              <w:ind w:left="240"/>
              <w:spacing w:after="0"/>
              <w:rPr>
                <w:sz w:val="20"/>
                <w:szCs w:val="20"/>
                <w:color w:val="auto"/>
              </w:rPr>
            </w:pPr>
            <w:r>
              <w:rPr>
                <w:rFonts w:ascii="Arial" w:cs="Arial" w:eastAsia="Arial" w:hAnsi="Arial"/>
                <w:sz w:val="16"/>
                <w:szCs w:val="16"/>
                <w:b w:val="1"/>
                <w:bCs w:val="1"/>
                <w:color w:val="1414D2"/>
              </w:rPr>
              <w:t>COMPANY</w:t>
            </w:r>
          </w:p>
        </w:tc>
        <w:tc>
          <w:tcPr>
            <w:tcW w:w="7820" w:type="dxa"/>
            <w:vAlign w:val="bottom"/>
          </w:tcPr>
          <w:p>
            <w:pPr>
              <w:ind w:left="220"/>
              <w:spacing w:after="0"/>
              <w:rPr>
                <w:sz w:val="20"/>
                <w:szCs w:val="20"/>
                <w:color w:val="auto"/>
              </w:rPr>
            </w:pPr>
            <w:r>
              <w:rPr>
                <w:rFonts w:ascii="Arial" w:cs="Arial" w:eastAsia="Arial" w:hAnsi="Arial"/>
                <w:sz w:val="16"/>
                <w:szCs w:val="16"/>
                <w:color w:val="auto"/>
              </w:rPr>
              <w:t>internal  audit  group  provide  special  reports  to  the  Committee  outlining  the  review  of  procedures</w:t>
            </w:r>
          </w:p>
        </w:tc>
      </w:tr>
      <w:tr>
        <w:trPr>
          <w:trHeight w:val="189"/>
        </w:trPr>
        <w:tc>
          <w:tcPr>
            <w:tcW w:w="200" w:type="dxa"/>
            <w:vAlign w:val="bottom"/>
            <w:shd w:val="clear" w:color="auto" w:fill="1414D2"/>
          </w:tcPr>
          <w:p>
            <w:pPr>
              <w:spacing w:after="0"/>
              <w:rPr>
                <w:sz w:val="16"/>
                <w:szCs w:val="16"/>
                <w:color w:val="auto"/>
              </w:rPr>
            </w:pPr>
          </w:p>
        </w:tc>
        <w:tc>
          <w:tcPr>
            <w:tcW w:w="1700" w:type="dxa"/>
            <w:vAlign w:val="bottom"/>
          </w:tcPr>
          <w:p>
            <w:pPr>
              <w:ind w:left="240"/>
              <w:spacing w:after="0"/>
              <w:rPr>
                <w:sz w:val="20"/>
                <w:szCs w:val="20"/>
                <w:color w:val="auto"/>
              </w:rPr>
            </w:pPr>
            <w:r>
              <w:rPr>
                <w:rFonts w:ascii="Arial" w:cs="Arial" w:eastAsia="Arial" w:hAnsi="Arial"/>
                <w:sz w:val="16"/>
                <w:szCs w:val="16"/>
                <w:b w:val="1"/>
                <w:bCs w:val="1"/>
                <w:color w:val="1414D2"/>
              </w:rPr>
              <w:t>PERFORMANCE</w:t>
            </w:r>
          </w:p>
        </w:tc>
        <w:tc>
          <w:tcPr>
            <w:tcW w:w="7820" w:type="dxa"/>
            <w:vAlign w:val="bottom"/>
          </w:tcPr>
          <w:p>
            <w:pPr>
              <w:ind w:left="220"/>
              <w:spacing w:after="0"/>
              <w:rPr>
                <w:sz w:val="20"/>
                <w:szCs w:val="20"/>
                <w:color w:val="auto"/>
              </w:rPr>
            </w:pPr>
            <w:r>
              <w:rPr>
                <w:rFonts w:ascii="Arial" w:cs="Arial" w:eastAsia="Arial" w:hAnsi="Arial"/>
                <w:sz w:val="16"/>
                <w:szCs w:val="16"/>
                <w:color w:val="auto"/>
              </w:rPr>
              <w:t>and  calculations  relating  to  the  degree  of  achievement  of  performance  measures  and  payout  of</w:t>
            </w:r>
          </w:p>
        </w:tc>
      </w:tr>
      <w:tr>
        <w:trPr>
          <w:trHeight w:val="235"/>
        </w:trPr>
        <w:tc>
          <w:tcPr>
            <w:tcW w:w="200" w:type="dxa"/>
            <w:vAlign w:val="bottom"/>
            <w:shd w:val="clear" w:color="auto" w:fill="1414D2"/>
          </w:tcPr>
          <w:p>
            <w:pPr>
              <w:spacing w:after="0"/>
              <w:rPr>
                <w:sz w:val="20"/>
                <w:szCs w:val="20"/>
                <w:color w:val="auto"/>
              </w:rPr>
            </w:pPr>
          </w:p>
        </w:tc>
        <w:tc>
          <w:tcPr>
            <w:tcW w:w="1700" w:type="dxa"/>
            <w:vAlign w:val="bottom"/>
          </w:tcPr>
          <w:p>
            <w:pPr>
              <w:spacing w:after="0"/>
              <w:rPr>
                <w:sz w:val="20"/>
                <w:szCs w:val="20"/>
                <w:color w:val="auto"/>
              </w:rPr>
            </w:pPr>
          </w:p>
        </w:tc>
        <w:tc>
          <w:tcPr>
            <w:tcW w:w="7820" w:type="dxa"/>
            <w:vAlign w:val="bottom"/>
          </w:tcPr>
          <w:p>
            <w:pPr>
              <w:ind w:left="220"/>
              <w:spacing w:after="0"/>
              <w:rPr>
                <w:sz w:val="20"/>
                <w:szCs w:val="20"/>
                <w:color w:val="auto"/>
              </w:rPr>
            </w:pPr>
            <w:r>
              <w:rPr>
                <w:rFonts w:ascii="Arial" w:cs="Arial" w:eastAsia="Arial" w:hAnsi="Arial"/>
                <w:sz w:val="16"/>
                <w:szCs w:val="16"/>
                <w:color w:val="auto"/>
              </w:rPr>
              <w:t>incentives  for  completed  performance  periods.</w:t>
            </w:r>
          </w:p>
        </w:tc>
      </w:tr>
      <w:tr>
        <w:trPr>
          <w:trHeight w:val="59"/>
        </w:trPr>
        <w:tc>
          <w:tcPr>
            <w:tcW w:w="200" w:type="dxa"/>
            <w:vAlign w:val="bottom"/>
            <w:tcBorders>
              <w:bottom w:val="single" w:sz="8" w:color="1414D2"/>
            </w:tcBorders>
            <w:shd w:val="clear" w:color="auto" w:fill="1414D2"/>
          </w:tcPr>
          <w:p>
            <w:pPr>
              <w:spacing w:after="0"/>
              <w:rPr>
                <w:sz w:val="5"/>
                <w:szCs w:val="5"/>
                <w:color w:val="auto"/>
              </w:rPr>
            </w:pPr>
          </w:p>
        </w:tc>
        <w:tc>
          <w:tcPr>
            <w:tcW w:w="1700" w:type="dxa"/>
            <w:vAlign w:val="bottom"/>
            <w:tcBorders>
              <w:bottom w:val="single" w:sz="8" w:color="1414D2"/>
            </w:tcBorders>
          </w:tcPr>
          <w:p>
            <w:pPr>
              <w:spacing w:after="0"/>
              <w:rPr>
                <w:sz w:val="5"/>
                <w:szCs w:val="5"/>
                <w:color w:val="auto"/>
              </w:rPr>
            </w:pPr>
          </w:p>
        </w:tc>
        <w:tc>
          <w:tcPr>
            <w:tcW w:w="7820" w:type="dxa"/>
            <w:vAlign w:val="bottom"/>
            <w:tcBorders>
              <w:bottom w:val="single" w:sz="8" w:color="1414D2"/>
            </w:tcBorders>
          </w:tcPr>
          <w:p>
            <w:pPr>
              <w:spacing w:after="0"/>
              <w:rPr>
                <w:sz w:val="5"/>
                <w:szCs w:val="5"/>
                <w:color w:val="auto"/>
              </w:rPr>
            </w:pPr>
          </w:p>
        </w:tc>
      </w:tr>
      <w:tr>
        <w:trPr>
          <w:trHeight w:val="115"/>
        </w:trPr>
        <w:tc>
          <w:tcPr>
            <w:tcW w:w="200" w:type="dxa"/>
            <w:vAlign w:val="bottom"/>
            <w:tcBorders>
              <w:bottom w:val="single" w:sz="8" w:color="1414D2"/>
            </w:tcBorders>
          </w:tcPr>
          <w:p>
            <w:pPr>
              <w:spacing w:after="0"/>
              <w:rPr>
                <w:sz w:val="10"/>
                <w:szCs w:val="10"/>
                <w:color w:val="auto"/>
              </w:rPr>
            </w:pPr>
          </w:p>
        </w:tc>
        <w:tc>
          <w:tcPr>
            <w:tcW w:w="1700" w:type="dxa"/>
            <w:vAlign w:val="bottom"/>
            <w:tcBorders>
              <w:bottom w:val="single" w:sz="8" w:color="1414D2"/>
            </w:tcBorders>
          </w:tcPr>
          <w:p>
            <w:pPr>
              <w:spacing w:after="0"/>
              <w:rPr>
                <w:sz w:val="10"/>
                <w:szCs w:val="10"/>
                <w:color w:val="auto"/>
              </w:rPr>
            </w:pPr>
          </w:p>
        </w:tc>
        <w:tc>
          <w:tcPr>
            <w:tcW w:w="7820" w:type="dxa"/>
            <w:vAlign w:val="bottom"/>
            <w:tcBorders>
              <w:bottom w:val="single" w:sz="8" w:color="1414D2"/>
            </w:tcBorders>
          </w:tcPr>
          <w:p>
            <w:pPr>
              <w:spacing w:after="0"/>
              <w:rPr>
                <w:sz w:val="10"/>
                <w:szCs w:val="10"/>
                <w:color w:val="auto"/>
              </w:rPr>
            </w:pPr>
          </w:p>
        </w:tc>
      </w:tr>
      <w:tr>
        <w:trPr>
          <w:trHeight w:val="239"/>
        </w:trPr>
        <w:tc>
          <w:tcPr>
            <w:tcW w:w="200" w:type="dxa"/>
            <w:vAlign w:val="bottom"/>
            <w:shd w:val="clear" w:color="auto" w:fill="1414D2"/>
          </w:tcPr>
          <w:p>
            <w:pPr>
              <w:spacing w:after="0"/>
              <w:rPr>
                <w:sz w:val="20"/>
                <w:szCs w:val="20"/>
                <w:color w:val="auto"/>
              </w:rPr>
            </w:pPr>
          </w:p>
        </w:tc>
        <w:tc>
          <w:tcPr>
            <w:tcW w:w="1700" w:type="dxa"/>
            <w:vAlign w:val="bottom"/>
          </w:tcPr>
          <w:p>
            <w:pPr>
              <w:ind w:left="240"/>
              <w:spacing w:after="0"/>
              <w:rPr>
                <w:sz w:val="20"/>
                <w:szCs w:val="20"/>
                <w:color w:val="auto"/>
              </w:rPr>
            </w:pPr>
            <w:r>
              <w:rPr>
                <w:rFonts w:ascii="Arial" w:cs="Arial" w:eastAsia="Arial" w:hAnsi="Arial"/>
                <w:sz w:val="16"/>
                <w:szCs w:val="16"/>
                <w:b w:val="1"/>
                <w:bCs w:val="1"/>
                <w:color w:val="1414D2"/>
              </w:rPr>
              <w:t>ASSESSING</w:t>
            </w:r>
          </w:p>
        </w:tc>
        <w:tc>
          <w:tcPr>
            <w:tcW w:w="7820" w:type="dxa"/>
            <w:vAlign w:val="bottom"/>
          </w:tcPr>
          <w:p>
            <w:pPr>
              <w:ind w:left="220"/>
              <w:spacing w:after="0"/>
              <w:rPr>
                <w:sz w:val="20"/>
                <w:szCs w:val="20"/>
                <w:color w:val="auto"/>
              </w:rPr>
            </w:pPr>
            <w:r>
              <w:rPr>
                <w:rFonts w:ascii="Arial" w:cs="Arial" w:eastAsia="Arial" w:hAnsi="Arial"/>
                <w:sz w:val="16"/>
                <w:szCs w:val="16"/>
                <w:color w:val="auto"/>
              </w:rPr>
              <w:t>During  2025,  Mr.  Kirby  and  Mr.  Hart  attended  Committee  meetings  and  had  opportunities  to</w:t>
            </w:r>
          </w:p>
        </w:tc>
      </w:tr>
      <w:tr>
        <w:trPr>
          <w:trHeight w:val="189"/>
        </w:trPr>
        <w:tc>
          <w:tcPr>
            <w:tcW w:w="200" w:type="dxa"/>
            <w:vAlign w:val="bottom"/>
            <w:shd w:val="clear" w:color="auto" w:fill="1414D2"/>
          </w:tcPr>
          <w:p>
            <w:pPr>
              <w:spacing w:after="0"/>
              <w:rPr>
                <w:sz w:val="16"/>
                <w:szCs w:val="16"/>
                <w:color w:val="auto"/>
              </w:rPr>
            </w:pPr>
          </w:p>
        </w:tc>
        <w:tc>
          <w:tcPr>
            <w:tcW w:w="1700" w:type="dxa"/>
            <w:vAlign w:val="bottom"/>
          </w:tcPr>
          <w:p>
            <w:pPr>
              <w:ind w:left="240"/>
              <w:spacing w:after="0"/>
              <w:rPr>
                <w:sz w:val="20"/>
                <w:szCs w:val="20"/>
                <w:color w:val="auto"/>
              </w:rPr>
            </w:pPr>
            <w:r>
              <w:rPr>
                <w:rFonts w:ascii="Arial" w:cs="Arial" w:eastAsia="Arial" w:hAnsi="Arial"/>
                <w:sz w:val="16"/>
                <w:szCs w:val="16"/>
                <w:b w:val="1"/>
                <w:bCs w:val="1"/>
                <w:color w:val="1414D2"/>
              </w:rPr>
              <w:t>INDIVIDUAL</w:t>
            </w:r>
          </w:p>
        </w:tc>
        <w:tc>
          <w:tcPr>
            <w:tcW w:w="7820" w:type="dxa"/>
            <w:vAlign w:val="bottom"/>
          </w:tcPr>
          <w:p>
            <w:pPr>
              <w:ind w:left="220"/>
              <w:spacing w:after="0"/>
              <w:rPr>
                <w:sz w:val="20"/>
                <w:szCs w:val="20"/>
                <w:color w:val="auto"/>
              </w:rPr>
            </w:pPr>
            <w:r>
              <w:rPr>
                <w:rFonts w:ascii="Arial" w:cs="Arial" w:eastAsia="Arial" w:hAnsi="Arial"/>
                <w:sz w:val="16"/>
                <w:szCs w:val="16"/>
                <w:color w:val="auto"/>
              </w:rPr>
              <w:t>provide  input  regarding  individual  performance  assessments  during  the  Committee’s  executive</w:t>
            </w:r>
          </w:p>
        </w:tc>
      </w:tr>
      <w:tr>
        <w:trPr>
          <w:trHeight w:val="235"/>
        </w:trPr>
        <w:tc>
          <w:tcPr>
            <w:tcW w:w="200" w:type="dxa"/>
            <w:vAlign w:val="bottom"/>
            <w:shd w:val="clear" w:color="auto" w:fill="1414D2"/>
          </w:tcPr>
          <w:p>
            <w:pPr>
              <w:spacing w:after="0"/>
              <w:rPr>
                <w:sz w:val="20"/>
                <w:szCs w:val="20"/>
                <w:color w:val="auto"/>
              </w:rPr>
            </w:pPr>
          </w:p>
        </w:tc>
        <w:tc>
          <w:tcPr>
            <w:tcW w:w="1700" w:type="dxa"/>
            <w:vAlign w:val="bottom"/>
          </w:tcPr>
          <w:p>
            <w:pPr>
              <w:ind w:left="240"/>
              <w:spacing w:after="0"/>
              <w:rPr>
                <w:sz w:val="20"/>
                <w:szCs w:val="20"/>
                <w:color w:val="auto"/>
              </w:rPr>
            </w:pPr>
            <w:r>
              <w:rPr>
                <w:rFonts w:ascii="Arial" w:cs="Arial" w:eastAsia="Arial" w:hAnsi="Arial"/>
                <w:sz w:val="16"/>
                <w:szCs w:val="16"/>
                <w:b w:val="1"/>
                <w:bCs w:val="1"/>
                <w:color w:val="1414D2"/>
              </w:rPr>
              <w:t>PERFORMANCE</w:t>
            </w:r>
          </w:p>
        </w:tc>
        <w:tc>
          <w:tcPr>
            <w:tcW w:w="7820" w:type="dxa"/>
            <w:vAlign w:val="bottom"/>
          </w:tcPr>
          <w:p>
            <w:pPr>
              <w:ind w:left="220"/>
              <w:spacing w:after="0"/>
              <w:rPr>
                <w:sz w:val="20"/>
                <w:szCs w:val="20"/>
                <w:color w:val="auto"/>
              </w:rPr>
            </w:pPr>
            <w:r>
              <w:rPr>
                <w:rFonts w:ascii="Arial" w:cs="Arial" w:eastAsia="Arial" w:hAnsi="Arial"/>
                <w:sz w:val="16"/>
                <w:szCs w:val="16"/>
                <w:color w:val="auto"/>
              </w:rPr>
              <w:t>sessions  with  respect  to  NEOs  other  than  themselves.</w:t>
            </w:r>
          </w:p>
        </w:tc>
      </w:tr>
      <w:tr>
        <w:trPr>
          <w:trHeight w:val="46"/>
        </w:trPr>
        <w:tc>
          <w:tcPr>
            <w:tcW w:w="200" w:type="dxa"/>
            <w:vAlign w:val="bottom"/>
            <w:tcBorders>
              <w:bottom w:val="single" w:sz="8" w:color="1414D2"/>
            </w:tcBorders>
            <w:shd w:val="clear" w:color="auto" w:fill="1414D2"/>
          </w:tcPr>
          <w:p>
            <w:pPr>
              <w:spacing w:after="0"/>
              <w:rPr>
                <w:sz w:val="4"/>
                <w:szCs w:val="4"/>
                <w:color w:val="auto"/>
              </w:rPr>
            </w:pPr>
          </w:p>
        </w:tc>
        <w:tc>
          <w:tcPr>
            <w:tcW w:w="1700" w:type="dxa"/>
            <w:vAlign w:val="bottom"/>
            <w:tcBorders>
              <w:bottom w:val="single" w:sz="8" w:color="1414D2"/>
            </w:tcBorders>
          </w:tcPr>
          <w:p>
            <w:pPr>
              <w:spacing w:after="0"/>
              <w:rPr>
                <w:sz w:val="4"/>
                <w:szCs w:val="4"/>
                <w:color w:val="auto"/>
              </w:rPr>
            </w:pPr>
          </w:p>
        </w:tc>
        <w:tc>
          <w:tcPr>
            <w:tcW w:w="7820" w:type="dxa"/>
            <w:vAlign w:val="bottom"/>
            <w:tcBorders>
              <w:bottom w:val="single" w:sz="8" w:color="1414D2"/>
            </w:tcBorders>
          </w:tcPr>
          <w:p>
            <w:pPr>
              <w:spacing w:after="0"/>
              <w:rPr>
                <w:sz w:val="4"/>
                <w:szCs w:val="4"/>
                <w:color w:val="auto"/>
              </w:rPr>
            </w:pPr>
          </w:p>
        </w:tc>
      </w:tr>
    </w:tbl>
    <w:p>
      <w:pPr>
        <w:spacing w:after="0" w:line="83" w:lineRule="exact"/>
        <w:rPr>
          <w:sz w:val="20"/>
          <w:szCs w:val="20"/>
          <w:color w:val="auto"/>
        </w:rPr>
      </w:pPr>
    </w:p>
    <w:p>
      <w:pPr>
        <w:ind w:right="940"/>
        <w:spacing w:after="0" w:line="313" w:lineRule="auto"/>
        <w:rPr>
          <w:sz w:val="20"/>
          <w:szCs w:val="20"/>
          <w:color w:val="auto"/>
        </w:rPr>
      </w:pPr>
      <w:r>
        <w:rPr>
          <w:rFonts w:ascii="Arial" w:cs="Arial" w:eastAsia="Arial" w:hAnsi="Arial"/>
          <w:sz w:val="16"/>
          <w:szCs w:val="16"/>
          <w:color w:val="auto"/>
        </w:rPr>
        <w:t>The Committee regularly holds executive sessions to discuss executive compensation practices without members of management present. No NEO plays a direct role in his or her own compensation determination.</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INTERNAL PAY PARITY</w:t>
      </w:r>
    </w:p>
    <w:p>
      <w:pPr>
        <w:spacing w:after="0" w:line="113" w:lineRule="exact"/>
        <w:rPr>
          <w:sz w:val="20"/>
          <w:szCs w:val="20"/>
          <w:color w:val="auto"/>
        </w:rPr>
      </w:pPr>
    </w:p>
    <w:p>
      <w:pPr>
        <w:ind w:right="200"/>
        <w:spacing w:after="0" w:line="255" w:lineRule="auto"/>
        <w:rPr>
          <w:sz w:val="20"/>
          <w:szCs w:val="20"/>
          <w:color w:val="auto"/>
        </w:rPr>
      </w:pPr>
      <w:r>
        <w:rPr>
          <w:rFonts w:ascii="Arial" w:cs="Arial" w:eastAsia="Arial" w:hAnsi="Arial"/>
          <w:sz w:val="16"/>
          <w:szCs w:val="16"/>
          <w:color w:val="auto"/>
        </w:rPr>
        <w:t>The Committee also reviews our NEOs’ target annual compensation levels to maintain relative parity of pay levels among the executive team and to provide an executive compensation program that is viewed as competitive, equitable and performance</w:t>
      </w:r>
    </w:p>
    <w:p>
      <w:pPr>
        <w:spacing w:after="0" w:line="1" w:lineRule="exact"/>
        <w:rPr>
          <w:sz w:val="20"/>
          <w:szCs w:val="20"/>
          <w:color w:val="auto"/>
        </w:rPr>
      </w:pPr>
    </w:p>
    <w:p>
      <w:pPr>
        <w:ind w:right="40"/>
        <w:spacing w:after="0" w:line="313" w:lineRule="auto"/>
        <w:rPr>
          <w:sz w:val="20"/>
          <w:szCs w:val="20"/>
          <w:color w:val="auto"/>
        </w:rPr>
      </w:pPr>
      <w:r>
        <w:rPr>
          <w:rFonts w:ascii="Arial" w:cs="Arial" w:eastAsia="Arial" w:hAnsi="Arial"/>
          <w:sz w:val="16"/>
          <w:szCs w:val="16"/>
          <w:color w:val="auto"/>
        </w:rPr>
        <w:t>based. In addition, as circumstances warrant, we may provide compensation to executives outside of our regular compensation structure in connection with their hiring, promotion or retention.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2026  Proxy  Statement</w:t>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1414D2"/>
        </w:rPr>
        <w:t>91</w:t>
      </w:r>
    </w:p>
    <w:p>
      <w:pPr>
        <w:sectPr>
          <w:pgSz w:w="11900" w:h="16838" w:orient="portrait"/>
          <w:cols w:equalWidth="0" w:num="1">
            <w:col w:w="9720"/>
          </w:cols>
          <w:pgMar w:left="1080" w:top="695" w:right="1099" w:bottom="1440" w:gutter="0" w:footer="0" w:header="0"/>
          <w:type w:val="continuous"/>
        </w:sectPr>
      </w:pPr>
    </w:p>
    <w:bookmarkStart w:id="102" w:name="page103"/>
    <w:bookmarkEnd w:id="102"/>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6D6F71"/>
        </w:rPr>
        <w:t>Compensation  Discussion  and  Analysis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RISK OVERSIGHT</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In  September  2025,  the  Committee  retained  Exequity  to  conduct  a  risk  review  of  our  compensation  policies,  practices  and</w:t>
      </w:r>
    </w:p>
    <w:p>
      <w:pPr>
        <w:spacing w:after="0" w:line="19"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programs and assess whether any of such policies, practices and programs, either individually or in the aggregate, would encourage our executives or employees to undertake unnecessary or inappropriate risks that were reasonably likely to have a material adverse impact on us. The Committee reviewed this external risk assessment and considered several factors, including the various design elements of our compensation plans, the impact of our leadership and culture and the presence of risk-</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mitigating  controls.</w:t>
      </w:r>
    </w:p>
    <w:p>
      <w:pPr>
        <w:spacing w:after="0" w:line="113" w:lineRule="exact"/>
        <w:rPr>
          <w:sz w:val="20"/>
          <w:szCs w:val="20"/>
          <w:color w:val="auto"/>
        </w:rPr>
      </w:pPr>
    </w:p>
    <w:p>
      <w:pPr>
        <w:jc w:val="both"/>
        <w:ind w:right="220"/>
        <w:spacing w:after="0" w:line="279" w:lineRule="auto"/>
        <w:rPr>
          <w:sz w:val="20"/>
          <w:szCs w:val="20"/>
          <w:color w:val="auto"/>
        </w:rPr>
      </w:pPr>
      <w:r>
        <w:rPr>
          <w:rFonts w:ascii="Arial" w:cs="Arial" w:eastAsia="Arial" w:hAnsi="Arial"/>
          <w:sz w:val="16"/>
          <w:szCs w:val="16"/>
          <w:color w:val="auto"/>
        </w:rPr>
        <w:t>In agreement with the overall fndings of the 2025 risk assessment conducted by Exequity, the Committee concluded that the structure of United’s compensation policies, practices and programs currently in place do not create risks that are reasonably likely to have a material adverse efect on United.</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color w:val="auto"/>
        </w:rPr>
        <w:t>Notably  in  this  regard:</w:t>
      </w:r>
    </w:p>
    <w:p>
      <w:pPr>
        <w:spacing w:after="0" w:line="113" w:lineRule="exact"/>
        <w:rPr>
          <w:sz w:val="20"/>
          <w:szCs w:val="20"/>
          <w:color w:val="auto"/>
        </w:rPr>
      </w:pPr>
    </w:p>
    <w:p>
      <w:pPr>
        <w:ind w:left="320" w:hanging="316"/>
        <w:spacing w:after="0"/>
        <w:tabs>
          <w:tab w:leader="none" w:pos="320" w:val="left"/>
        </w:tabs>
        <w:numPr>
          <w:ilvl w:val="0"/>
          <w:numId w:val="99"/>
        </w:numPr>
        <w:rPr>
          <w:rFonts w:ascii="Times New Roman" w:cs="Times New Roman" w:eastAsia="Times New Roman" w:hAnsi="Times New Roman"/>
          <w:sz w:val="16"/>
          <w:szCs w:val="16"/>
          <w:color w:val="auto"/>
        </w:rPr>
      </w:pPr>
      <w:r>
        <w:rPr>
          <w:rFonts w:ascii="Arial" w:cs="Arial" w:eastAsia="Arial" w:hAnsi="Arial"/>
          <w:sz w:val="16"/>
          <w:szCs w:val="16"/>
          <w:color w:val="auto"/>
        </w:rPr>
        <w:t>the  establishment  of  United’s  executive  compensation  opportunities  references  median  market  levels;</w:t>
      </w:r>
    </w:p>
    <w:p>
      <w:pPr>
        <w:spacing w:after="0" w:line="112" w:lineRule="exact"/>
        <w:rPr>
          <w:rFonts w:ascii="Times New Roman" w:cs="Times New Roman" w:eastAsia="Times New Roman" w:hAnsi="Times New Roman"/>
          <w:sz w:val="16"/>
          <w:szCs w:val="16"/>
          <w:color w:val="auto"/>
        </w:rPr>
      </w:pPr>
    </w:p>
    <w:p>
      <w:pPr>
        <w:ind w:left="320" w:right="40" w:hanging="316"/>
        <w:spacing w:after="0" w:line="274" w:lineRule="auto"/>
        <w:tabs>
          <w:tab w:leader="none" w:pos="320" w:val="left"/>
        </w:tabs>
        <w:numPr>
          <w:ilvl w:val="0"/>
          <w:numId w:val="99"/>
        </w:numPr>
        <w:rPr>
          <w:rFonts w:ascii="Times New Roman" w:cs="Times New Roman" w:eastAsia="Times New Roman" w:hAnsi="Times New Roman"/>
          <w:sz w:val="16"/>
          <w:szCs w:val="16"/>
          <w:color w:val="auto"/>
        </w:rPr>
      </w:pPr>
      <w:r>
        <w:rPr>
          <w:rFonts w:ascii="Arial" w:cs="Arial" w:eastAsia="Arial" w:hAnsi="Arial"/>
          <w:sz w:val="16"/>
          <w:szCs w:val="16"/>
          <w:color w:val="auto"/>
        </w:rPr>
        <w:t>current and other outstanding awards employ an array of fnancial and non-fnancial performance measures, which help to create a “portfolio” of incentive opportunities, because this design structure reduces motivation to manipulate a single measure to generate a big payout, and goals apply equally to all participants to encourage a unifed and responsible approach to achieving fnancial and non-fnancial performance measures;</w:t>
      </w:r>
    </w:p>
    <w:p>
      <w:pPr>
        <w:spacing w:after="0" w:line="36" w:lineRule="exact"/>
        <w:rPr>
          <w:rFonts w:ascii="Times New Roman" w:cs="Times New Roman" w:eastAsia="Times New Roman" w:hAnsi="Times New Roman"/>
          <w:sz w:val="16"/>
          <w:szCs w:val="16"/>
          <w:color w:val="auto"/>
        </w:rPr>
      </w:pPr>
    </w:p>
    <w:p>
      <w:pPr>
        <w:ind w:left="320" w:hanging="316"/>
        <w:spacing w:after="0" w:line="312" w:lineRule="auto"/>
        <w:tabs>
          <w:tab w:leader="none" w:pos="320" w:val="left"/>
        </w:tabs>
        <w:numPr>
          <w:ilvl w:val="0"/>
          <w:numId w:val="99"/>
        </w:numPr>
        <w:rPr>
          <w:rFonts w:ascii="Times New Roman" w:cs="Times New Roman" w:eastAsia="Times New Roman" w:hAnsi="Times New Roman"/>
          <w:sz w:val="16"/>
          <w:szCs w:val="16"/>
          <w:color w:val="auto"/>
        </w:rPr>
      </w:pPr>
      <w:r>
        <w:rPr>
          <w:rFonts w:ascii="Arial" w:cs="Arial" w:eastAsia="Arial" w:hAnsi="Arial"/>
          <w:sz w:val="16"/>
          <w:szCs w:val="16"/>
          <w:color w:val="auto"/>
        </w:rPr>
        <w:t>we allocate compensation among base salary, annual short-term cash incentive and long-term incentives, such as RSUs and Performance-Based RSUs that include both time-based and performance-based criteria;</w:t>
      </w:r>
    </w:p>
    <w:p>
      <w:pPr>
        <w:spacing w:after="0" w:line="20" w:lineRule="exact"/>
        <w:rPr>
          <w:rFonts w:ascii="Times New Roman" w:cs="Times New Roman" w:eastAsia="Times New Roman" w:hAnsi="Times New Roman"/>
          <w:sz w:val="16"/>
          <w:szCs w:val="16"/>
          <w:color w:val="auto"/>
        </w:rPr>
      </w:pPr>
    </w:p>
    <w:p>
      <w:pPr>
        <w:ind w:left="320" w:right="180" w:hanging="316"/>
        <w:spacing w:after="0" w:line="312" w:lineRule="auto"/>
        <w:tabs>
          <w:tab w:leader="none" w:pos="320" w:val="left"/>
        </w:tabs>
        <w:numPr>
          <w:ilvl w:val="0"/>
          <w:numId w:val="99"/>
        </w:numPr>
        <w:rPr>
          <w:rFonts w:ascii="Times New Roman" w:cs="Times New Roman" w:eastAsia="Times New Roman" w:hAnsi="Times New Roman"/>
          <w:sz w:val="16"/>
          <w:szCs w:val="16"/>
          <w:color w:val="auto"/>
        </w:rPr>
      </w:pPr>
      <w:r>
        <w:rPr>
          <w:rFonts w:ascii="Arial" w:cs="Arial" w:eastAsia="Arial" w:hAnsi="Arial"/>
          <w:sz w:val="16"/>
          <w:szCs w:val="16"/>
          <w:color w:val="auto"/>
        </w:rPr>
        <w:t>targets for performance-based awards are set based on United’s Board-approved budgets, updated forecast information, current business strategy and expectations regarding the evolution of business conditions;</w:t>
      </w:r>
    </w:p>
    <w:p>
      <w:pPr>
        <w:spacing w:after="0" w:line="20" w:lineRule="exact"/>
        <w:rPr>
          <w:rFonts w:ascii="Times New Roman" w:cs="Times New Roman" w:eastAsia="Times New Roman" w:hAnsi="Times New Roman"/>
          <w:sz w:val="16"/>
          <w:szCs w:val="16"/>
          <w:color w:val="auto"/>
        </w:rPr>
      </w:pPr>
    </w:p>
    <w:p>
      <w:pPr>
        <w:ind w:left="320" w:right="880" w:hanging="316"/>
        <w:spacing w:after="0" w:line="312" w:lineRule="auto"/>
        <w:tabs>
          <w:tab w:leader="none" w:pos="320" w:val="left"/>
        </w:tabs>
        <w:numPr>
          <w:ilvl w:val="0"/>
          <w:numId w:val="99"/>
        </w:numPr>
        <w:rPr>
          <w:rFonts w:ascii="Times New Roman" w:cs="Times New Roman" w:eastAsia="Times New Roman" w:hAnsi="Times New Roman"/>
          <w:sz w:val="16"/>
          <w:szCs w:val="16"/>
          <w:color w:val="auto"/>
        </w:rPr>
      </w:pPr>
      <w:r>
        <w:rPr>
          <w:rFonts w:ascii="Arial" w:cs="Arial" w:eastAsia="Arial" w:hAnsi="Arial"/>
          <w:sz w:val="16"/>
          <w:szCs w:val="16"/>
          <w:color w:val="auto"/>
        </w:rPr>
        <w:t>our program incorporates a focus on the customer experience in the incentive programs, helping to balance the safeguards against fnancial risk and behaviors that could contribute to reputational risk;</w:t>
      </w:r>
    </w:p>
    <w:p>
      <w:pPr>
        <w:spacing w:after="0" w:line="20" w:lineRule="exact"/>
        <w:rPr>
          <w:rFonts w:ascii="Times New Roman" w:cs="Times New Roman" w:eastAsia="Times New Roman" w:hAnsi="Times New Roman"/>
          <w:sz w:val="16"/>
          <w:szCs w:val="16"/>
          <w:color w:val="auto"/>
        </w:rPr>
      </w:pPr>
    </w:p>
    <w:p>
      <w:pPr>
        <w:ind w:left="320" w:right="120" w:hanging="316"/>
        <w:spacing w:after="0" w:line="312" w:lineRule="auto"/>
        <w:tabs>
          <w:tab w:leader="none" w:pos="320" w:val="left"/>
        </w:tabs>
        <w:numPr>
          <w:ilvl w:val="0"/>
          <w:numId w:val="99"/>
        </w:numPr>
        <w:rPr>
          <w:rFonts w:ascii="Times New Roman" w:cs="Times New Roman" w:eastAsia="Times New Roman" w:hAnsi="Times New Roman"/>
          <w:sz w:val="16"/>
          <w:szCs w:val="16"/>
          <w:color w:val="auto"/>
        </w:rPr>
      </w:pPr>
      <w:r>
        <w:rPr>
          <w:rFonts w:ascii="Arial" w:cs="Arial" w:eastAsia="Arial" w:hAnsi="Arial"/>
          <w:sz w:val="16"/>
          <w:szCs w:val="16"/>
          <w:color w:val="auto"/>
        </w:rPr>
        <w:t>for performance-based awards, the Committee provides written certifcation of performance based on results reviewed by internal audit before payments are made;</w:t>
      </w:r>
    </w:p>
    <w:p>
      <w:pPr>
        <w:spacing w:after="0" w:line="20" w:lineRule="exact"/>
        <w:rPr>
          <w:rFonts w:ascii="Times New Roman" w:cs="Times New Roman" w:eastAsia="Times New Roman" w:hAnsi="Times New Roman"/>
          <w:sz w:val="16"/>
          <w:szCs w:val="16"/>
          <w:color w:val="auto"/>
        </w:rPr>
      </w:pPr>
    </w:p>
    <w:p>
      <w:pPr>
        <w:ind w:left="320" w:right="120" w:hanging="316"/>
        <w:spacing w:after="0" w:line="312" w:lineRule="auto"/>
        <w:tabs>
          <w:tab w:leader="none" w:pos="320" w:val="left"/>
        </w:tabs>
        <w:numPr>
          <w:ilvl w:val="0"/>
          <w:numId w:val="99"/>
        </w:numPr>
        <w:rPr>
          <w:rFonts w:ascii="Times New Roman" w:cs="Times New Roman" w:eastAsia="Times New Roman" w:hAnsi="Times New Roman"/>
          <w:sz w:val="16"/>
          <w:szCs w:val="16"/>
          <w:color w:val="auto"/>
        </w:rPr>
      </w:pPr>
      <w:r>
        <w:rPr>
          <w:rFonts w:ascii="Arial" w:cs="Arial" w:eastAsia="Arial" w:hAnsi="Arial"/>
          <w:sz w:val="16"/>
          <w:szCs w:val="16"/>
          <w:color w:val="auto"/>
        </w:rPr>
        <w:t>the annual short-term cash incentive component includes cash-based awards with payouts tied to the achievement of pre-established performance objectives;</w:t>
      </w:r>
    </w:p>
    <w:p>
      <w:pPr>
        <w:spacing w:after="0" w:line="20" w:lineRule="exact"/>
        <w:rPr>
          <w:rFonts w:ascii="Times New Roman" w:cs="Times New Roman" w:eastAsia="Times New Roman" w:hAnsi="Times New Roman"/>
          <w:sz w:val="16"/>
          <w:szCs w:val="16"/>
          <w:color w:val="auto"/>
        </w:rPr>
      </w:pPr>
    </w:p>
    <w:p>
      <w:pPr>
        <w:ind w:left="320" w:right="600" w:hanging="316"/>
        <w:spacing w:after="0" w:line="312" w:lineRule="auto"/>
        <w:tabs>
          <w:tab w:leader="none" w:pos="320" w:val="left"/>
        </w:tabs>
        <w:numPr>
          <w:ilvl w:val="0"/>
          <w:numId w:val="99"/>
        </w:numPr>
        <w:rPr>
          <w:rFonts w:ascii="Times New Roman" w:cs="Times New Roman" w:eastAsia="Times New Roman" w:hAnsi="Times New Roman"/>
          <w:sz w:val="16"/>
          <w:szCs w:val="16"/>
          <w:color w:val="auto"/>
        </w:rPr>
      </w:pPr>
      <w:r>
        <w:rPr>
          <w:rFonts w:ascii="Arial" w:cs="Arial" w:eastAsia="Arial" w:hAnsi="Arial"/>
          <w:sz w:val="16"/>
          <w:szCs w:val="16"/>
          <w:color w:val="auto"/>
        </w:rPr>
        <w:t>Performance-Based RSUs vest over multiple years for a long-term performance horizon, which mitigates short-term behavioral incentives and reinforces retention;</w:t>
      </w:r>
    </w:p>
    <w:p>
      <w:pPr>
        <w:spacing w:after="0" w:line="20" w:lineRule="exact"/>
        <w:rPr>
          <w:rFonts w:ascii="Times New Roman" w:cs="Times New Roman" w:eastAsia="Times New Roman" w:hAnsi="Times New Roman"/>
          <w:sz w:val="16"/>
          <w:szCs w:val="16"/>
          <w:color w:val="auto"/>
        </w:rPr>
      </w:pPr>
    </w:p>
    <w:p>
      <w:pPr>
        <w:ind w:left="320" w:right="20" w:hanging="316"/>
        <w:spacing w:after="0" w:line="312" w:lineRule="auto"/>
        <w:tabs>
          <w:tab w:leader="none" w:pos="320" w:val="left"/>
        </w:tabs>
        <w:numPr>
          <w:ilvl w:val="0"/>
          <w:numId w:val="99"/>
        </w:numPr>
        <w:rPr>
          <w:rFonts w:ascii="Times New Roman" w:cs="Times New Roman" w:eastAsia="Times New Roman" w:hAnsi="Times New Roman"/>
          <w:sz w:val="16"/>
          <w:szCs w:val="16"/>
          <w:color w:val="auto"/>
        </w:rPr>
      </w:pPr>
      <w:r>
        <w:rPr>
          <w:rFonts w:ascii="Arial" w:cs="Arial" w:eastAsia="Arial" w:hAnsi="Arial"/>
          <w:sz w:val="16"/>
          <w:szCs w:val="16"/>
          <w:color w:val="auto"/>
        </w:rPr>
        <w:t>all short-term and long-term performance-based awards include a cap on maximum payout opportunities, as this mitigates against the possibility of excessively high earn-out potentials that could motivate inappropriate behavior;</w:t>
      </w:r>
    </w:p>
    <w:p>
      <w:pPr>
        <w:spacing w:after="0" w:line="20" w:lineRule="exact"/>
        <w:rPr>
          <w:rFonts w:ascii="Times New Roman" w:cs="Times New Roman" w:eastAsia="Times New Roman" w:hAnsi="Times New Roman"/>
          <w:sz w:val="16"/>
          <w:szCs w:val="16"/>
          <w:color w:val="auto"/>
        </w:rPr>
      </w:pPr>
    </w:p>
    <w:p>
      <w:pPr>
        <w:ind w:left="320" w:right="380" w:hanging="316"/>
        <w:spacing w:after="0" w:line="312" w:lineRule="auto"/>
        <w:tabs>
          <w:tab w:leader="none" w:pos="320" w:val="left"/>
        </w:tabs>
        <w:numPr>
          <w:ilvl w:val="0"/>
          <w:numId w:val="99"/>
        </w:numPr>
        <w:rPr>
          <w:rFonts w:ascii="Times New Roman" w:cs="Times New Roman" w:eastAsia="Times New Roman" w:hAnsi="Times New Roman"/>
          <w:sz w:val="16"/>
          <w:szCs w:val="16"/>
          <w:color w:val="auto"/>
        </w:rPr>
      </w:pPr>
      <w:r>
        <w:rPr>
          <w:rFonts w:ascii="Arial" w:cs="Arial" w:eastAsia="Arial" w:hAnsi="Arial"/>
          <w:sz w:val="16"/>
          <w:szCs w:val="16"/>
          <w:color w:val="auto"/>
        </w:rPr>
        <w:t>the annual Performance-Based RSU awards include a liquidity condition requiring achievement of a cash hurdle for the awards to be paid;</w:t>
      </w:r>
    </w:p>
    <w:p>
      <w:pPr>
        <w:spacing w:after="0" w:line="20" w:lineRule="exact"/>
        <w:rPr>
          <w:rFonts w:ascii="Times New Roman" w:cs="Times New Roman" w:eastAsia="Times New Roman" w:hAnsi="Times New Roman"/>
          <w:sz w:val="16"/>
          <w:szCs w:val="16"/>
          <w:color w:val="auto"/>
        </w:rPr>
      </w:pPr>
    </w:p>
    <w:p>
      <w:pPr>
        <w:ind w:left="320" w:right="200" w:hanging="316"/>
        <w:spacing w:after="0" w:line="288" w:lineRule="auto"/>
        <w:tabs>
          <w:tab w:leader="none" w:pos="320" w:val="left"/>
        </w:tabs>
        <w:numPr>
          <w:ilvl w:val="0"/>
          <w:numId w:val="99"/>
        </w:numPr>
        <w:rPr>
          <w:rFonts w:ascii="Times New Roman" w:cs="Times New Roman" w:eastAsia="Times New Roman" w:hAnsi="Times New Roman"/>
          <w:sz w:val="16"/>
          <w:szCs w:val="16"/>
          <w:color w:val="auto"/>
        </w:rPr>
      </w:pPr>
      <w:r>
        <w:rPr>
          <w:rFonts w:ascii="Arial" w:cs="Arial" w:eastAsia="Arial" w:hAnsi="Arial"/>
          <w:sz w:val="16"/>
          <w:szCs w:val="16"/>
          <w:color w:val="auto"/>
        </w:rPr>
        <w:t>executives are required to own a specifed level of shares of Common Stock in order to comply with the stock ownership guidelines described in “Robust Stock Ownership Guidelines” below, which discourage short-term risks that disadvantage the long-term stock price;</w:t>
      </w:r>
    </w:p>
    <w:p>
      <w:pPr>
        <w:spacing w:after="0" w:line="25" w:lineRule="exact"/>
        <w:rPr>
          <w:rFonts w:ascii="Times New Roman" w:cs="Times New Roman" w:eastAsia="Times New Roman" w:hAnsi="Times New Roman"/>
          <w:sz w:val="16"/>
          <w:szCs w:val="16"/>
          <w:color w:val="auto"/>
        </w:rPr>
      </w:pPr>
    </w:p>
    <w:p>
      <w:pPr>
        <w:ind w:left="320" w:right="240" w:hanging="316"/>
        <w:spacing w:after="0" w:line="274" w:lineRule="auto"/>
        <w:tabs>
          <w:tab w:leader="none" w:pos="320" w:val="left"/>
        </w:tabs>
        <w:numPr>
          <w:ilvl w:val="0"/>
          <w:numId w:val="99"/>
        </w:numPr>
        <w:rPr>
          <w:rFonts w:ascii="Times New Roman" w:cs="Times New Roman" w:eastAsia="Times New Roman" w:hAnsi="Times New Roman"/>
          <w:sz w:val="16"/>
          <w:szCs w:val="16"/>
          <w:color w:val="auto"/>
        </w:rPr>
      </w:pPr>
      <w:r>
        <w:rPr>
          <w:rFonts w:ascii="Arial" w:cs="Arial" w:eastAsia="Arial" w:hAnsi="Arial"/>
          <w:sz w:val="16"/>
          <w:szCs w:val="16"/>
          <w:color w:val="auto"/>
        </w:rPr>
        <w:t>as described below under “Compensation Clawback Policy,” we have a clawback policy applicable to all Company ofcers that is designed to allow us to recover compensation in the event of certain misconduct and also provides for mandatory recoupment under certain circumstances to comply with the Dodd-Frank requirements and the Nasdaq listing standards regarding recovery of erroneously awarded incentive-based compensation in the event of an accounting restatement;</w:t>
      </w:r>
    </w:p>
    <w:p>
      <w:pPr>
        <w:spacing w:after="0" w:line="36" w:lineRule="exact"/>
        <w:rPr>
          <w:rFonts w:ascii="Times New Roman" w:cs="Times New Roman" w:eastAsia="Times New Roman" w:hAnsi="Times New Roman"/>
          <w:sz w:val="16"/>
          <w:szCs w:val="16"/>
          <w:color w:val="auto"/>
        </w:rPr>
      </w:pPr>
    </w:p>
    <w:p>
      <w:pPr>
        <w:ind w:left="320" w:right="140" w:hanging="316"/>
        <w:spacing w:after="0" w:line="304" w:lineRule="auto"/>
        <w:tabs>
          <w:tab w:leader="none" w:pos="320" w:val="left"/>
        </w:tabs>
        <w:numPr>
          <w:ilvl w:val="0"/>
          <w:numId w:val="99"/>
        </w:numPr>
        <w:rPr>
          <w:rFonts w:ascii="Times New Roman" w:cs="Times New Roman" w:eastAsia="Times New Roman" w:hAnsi="Times New Roman"/>
          <w:sz w:val="16"/>
          <w:szCs w:val="16"/>
          <w:color w:val="auto"/>
        </w:rPr>
      </w:pPr>
      <w:r>
        <w:rPr>
          <w:rFonts w:ascii="Arial" w:cs="Arial" w:eastAsia="Arial" w:hAnsi="Arial"/>
          <w:sz w:val="16"/>
          <w:szCs w:val="16"/>
          <w:color w:val="auto"/>
        </w:rPr>
        <w:t>as described below under “Policy Prohibiting Hedging and Pledging,” we have a policy that prohibits our ofcers, directors and management and administrative employees from hedging, pledging or short sale transactions involving Company stock; and</w:t>
      </w:r>
    </w:p>
    <w:p>
      <w:pPr>
        <w:spacing w:after="0" w:line="221" w:lineRule="exact"/>
        <w:rPr>
          <w:rFonts w:ascii="Times New Roman" w:cs="Times New Roman" w:eastAsia="Times New Roman" w:hAnsi="Times New Roman"/>
          <w:sz w:val="16"/>
          <w:szCs w:val="16"/>
          <w:color w:val="auto"/>
        </w:rPr>
      </w:pPr>
    </w:p>
    <w:p>
      <w:pPr>
        <w:ind w:left="320" w:hanging="316"/>
        <w:spacing w:after="0"/>
        <w:tabs>
          <w:tab w:leader="none" w:pos="320" w:val="left"/>
        </w:tabs>
        <w:numPr>
          <w:ilvl w:val="0"/>
          <w:numId w:val="99"/>
        </w:numPr>
        <w:rPr>
          <w:rFonts w:ascii="Times New Roman" w:cs="Times New Roman" w:eastAsia="Times New Roman" w:hAnsi="Times New Roman"/>
          <w:sz w:val="16"/>
          <w:szCs w:val="16"/>
          <w:color w:val="auto"/>
        </w:rPr>
      </w:pPr>
      <w:r>
        <w:rPr>
          <w:rFonts w:ascii="Arial" w:cs="Arial" w:eastAsia="Arial" w:hAnsi="Arial"/>
          <w:sz w:val="16"/>
          <w:szCs w:val="16"/>
          <w:color w:val="auto"/>
        </w:rPr>
        <w:t>the  Committee  retains  discretion  to  reduce  short-term  incentive  payouts  below  the  formulaic  operational  results.</w:t>
      </w:r>
    </w:p>
    <w:p>
      <w:pPr>
        <w:sectPr>
          <w:pgSz w:w="11900" w:h="16838" w:orient="portrait"/>
          <w:cols w:equalWidth="0" w:num="1">
            <w:col w:w="9720"/>
          </w:cols>
          <w:pgMar w:left="1080" w:top="695"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right"/>
        <w:ind w:right="7720"/>
        <w:spacing w:after="0"/>
        <w:rPr>
          <w:sz w:val="20"/>
          <w:szCs w:val="20"/>
          <w:color w:val="auto"/>
        </w:rPr>
      </w:pPr>
      <w:r>
        <w:rPr>
          <w:rFonts w:ascii="Arial" w:cs="Arial" w:eastAsia="Arial" w:hAnsi="Arial"/>
          <w:sz w:val="16"/>
          <w:szCs w:val="16"/>
          <w:color w:val="auto"/>
        </w:rPr>
        <w:t>​​2026​  Proxy</w:t>
      </w:r>
    </w:p>
    <w:p>
      <w:pPr>
        <w:spacing w:after="0" w:line="5" w:lineRule="exact"/>
        <w:rPr>
          <w:sz w:val="20"/>
          <w:szCs w:val="20"/>
          <w:color w:val="auto"/>
        </w:rPr>
      </w:pPr>
    </w:p>
    <w:p>
      <w:pPr>
        <w:ind w:left="660" w:hanging="656"/>
        <w:spacing w:after="0"/>
        <w:tabs>
          <w:tab w:leader="none" w:pos="660" w:val="left"/>
        </w:tabs>
        <w:numPr>
          <w:ilvl w:val="0"/>
          <w:numId w:val="100"/>
        </w:numPr>
        <w:rPr>
          <w:rFonts w:ascii="Arial" w:cs="Arial" w:eastAsia="Arial" w:hAnsi="Arial"/>
          <w:sz w:val="16"/>
          <w:szCs w:val="16"/>
          <w:b w:val="1"/>
          <w:bCs w:val="1"/>
          <w:color w:val="1414D2"/>
        </w:rPr>
      </w:pPr>
      <w:r>
        <w:rPr>
          <w:rFonts w:ascii="Arial" w:cs="Arial" w:eastAsia="Arial" w:hAnsi="Arial"/>
          <w:sz w:val="16"/>
          <w:szCs w:val="16"/>
          <w:color w:val="auto"/>
        </w:rPr>
        <w:t>Statement</w:t>
      </w:r>
    </w:p>
    <w:p>
      <w:pPr>
        <w:sectPr>
          <w:pgSz w:w="11900" w:h="16838" w:orient="portrait"/>
          <w:cols w:equalWidth="0" w:num="1">
            <w:col w:w="9720"/>
          </w:cols>
          <w:pgMar w:left="1080" w:top="695" w:right="1099" w:bottom="1440" w:gutter="0" w:footer="0" w:header="0"/>
          <w:type w:val="continuous"/>
        </w:sectPr>
      </w:pPr>
    </w:p>
    <w:bookmarkStart w:id="103" w:name="page104"/>
    <w:bookmarkEnd w:id="103"/>
    <w:p>
      <w:pPr>
        <w:ind w:left="93"/>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27" w:lineRule="exact"/>
        <w:rPr>
          <w:sz w:val="20"/>
          <w:szCs w:val="20"/>
          <w:color w:val="auto"/>
        </w:rPr>
      </w:pPr>
    </w:p>
    <w:p>
      <w:pPr>
        <w:jc w:val="right"/>
        <w:spacing w:after="0"/>
        <w:rPr>
          <w:sz w:val="20"/>
          <w:szCs w:val="20"/>
          <w:color w:val="auto"/>
        </w:rPr>
      </w:pPr>
      <w:r>
        <w:rPr>
          <w:rFonts w:ascii="Arial" w:cs="Arial" w:eastAsia="Arial" w:hAnsi="Arial"/>
          <w:sz w:val="14"/>
          <w:szCs w:val="14"/>
          <w:color w:val="6D6F71"/>
        </w:rPr>
        <w:t>Compensation  Discussion  and  Analysis</w:t>
      </w:r>
    </w:p>
    <w:p>
      <w:pPr>
        <w:spacing w:after="0" w:line="223" w:lineRule="exact"/>
        <w:rPr>
          <w:sz w:val="20"/>
          <w:szCs w:val="20"/>
          <w:color w:val="auto"/>
        </w:rPr>
      </w:pPr>
    </w:p>
    <w:p>
      <w:pPr>
        <w:ind w:left="93"/>
        <w:spacing w:after="0"/>
        <w:rPr>
          <w:sz w:val="20"/>
          <w:szCs w:val="20"/>
          <w:color w:val="auto"/>
        </w:rPr>
      </w:pPr>
      <w:r>
        <w:rPr>
          <w:rFonts w:ascii="Arial" w:cs="Arial" w:eastAsia="Arial" w:hAnsi="Arial"/>
          <w:sz w:val="25"/>
          <w:szCs w:val="25"/>
          <w:b w:val="1"/>
          <w:bCs w:val="1"/>
          <w:color w:val="1414D2"/>
        </w:rPr>
        <w:t>2025 Compensation Program Design</w:t>
      </w:r>
    </w:p>
    <w:p>
      <w:pPr>
        <w:spacing w:after="0" w:line="227" w:lineRule="exact"/>
        <w:rPr>
          <w:sz w:val="20"/>
          <w:szCs w:val="20"/>
          <w:color w:val="auto"/>
        </w:rPr>
      </w:pPr>
    </w:p>
    <w:p>
      <w:pPr>
        <w:ind w:left="93"/>
        <w:spacing w:after="0"/>
        <w:rPr>
          <w:sz w:val="20"/>
          <w:szCs w:val="20"/>
          <w:color w:val="auto"/>
        </w:rPr>
      </w:pPr>
      <w:r>
        <w:rPr>
          <w:rFonts w:ascii="Arial" w:cs="Arial" w:eastAsia="Arial" w:hAnsi="Arial"/>
          <w:sz w:val="16"/>
          <w:szCs w:val="16"/>
          <w:b w:val="1"/>
          <w:bCs w:val="1"/>
          <w:color w:val="auto"/>
        </w:rPr>
        <w:t>2025 EXECUTIVE COMPENSATION OVERVIEW</w:t>
      </w:r>
    </w:p>
    <w:p>
      <w:pPr>
        <w:spacing w:after="0" w:line="127" w:lineRule="exact"/>
        <w:rPr>
          <w:sz w:val="20"/>
          <w:szCs w:val="20"/>
          <w:color w:val="auto"/>
        </w:rPr>
      </w:pPr>
    </w:p>
    <w:p>
      <w:pPr>
        <w:ind w:left="93"/>
        <w:spacing w:after="0"/>
        <w:rPr>
          <w:sz w:val="20"/>
          <w:szCs w:val="20"/>
          <w:color w:val="auto"/>
        </w:rPr>
      </w:pPr>
      <w:r>
        <w:rPr>
          <w:rFonts w:ascii="Arial" w:cs="Arial" w:eastAsia="Arial" w:hAnsi="Arial"/>
          <w:sz w:val="16"/>
          <w:szCs w:val="16"/>
          <w:color w:val="auto"/>
        </w:rPr>
        <w:t>The  following  table  provides  information  regarding  the  elements  of  our  fscal  year  2025  executive  compensation  program.</w:t>
      </w:r>
    </w:p>
    <w:p>
      <w:pPr>
        <w:sectPr>
          <w:pgSz w:w="11900" w:h="16838" w:orient="portrait"/>
          <w:cols w:equalWidth="0" w:num="1">
            <w:col w:w="9813"/>
          </w:cols>
          <w:pgMar w:left="987" w:top="695"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197" w:type="dxa"/>
        <w:tblCellMar>
          <w:top w:w="0" w:type="dxa"/>
          <w:left w:w="0" w:type="dxa"/>
          <w:bottom w:w="0" w:type="dxa"/>
          <w:right w:w="0" w:type="dxa"/>
        </w:tblCellMar>
      </w:tblPr>
      <w:tr>
        <w:trPr>
          <w:trHeight w:val="520"/>
        </w:trPr>
        <w:tc>
          <w:tcPr>
            <w:tcW w:w="184" w:type="dxa"/>
            <w:vAlign w:val="bottom"/>
            <w:textDirection w:val="btLr"/>
          </w:tcPr>
          <w:p>
            <w:pPr>
              <w:spacing w:after="0"/>
              <w:rPr>
                <w:sz w:val="20"/>
                <w:szCs w:val="20"/>
                <w:color w:val="auto"/>
              </w:rPr>
            </w:pPr>
            <w:r>
              <w:rPr>
                <w:rFonts w:ascii="Arial" w:cs="Arial" w:eastAsia="Arial" w:hAnsi="Arial"/>
                <w:sz w:val="16"/>
                <w:szCs w:val="16"/>
                <w:b w:val="1"/>
                <w:bCs w:val="1"/>
                <w:color w:val="FFFFFF"/>
              </w:rPr>
              <w:t>FIXED</w:t>
            </w:r>
          </w:p>
        </w:tc>
      </w:tr>
    </w:tbl>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44"/>
        </w:trPr>
        <w:tc>
          <w:tcPr>
            <w:tcW w:w="1320" w:type="dxa"/>
            <w:vAlign w:val="bottom"/>
            <w:tcBorders>
              <w:top w:val="single" w:sz="8" w:color="1414D2"/>
              <w:bottom w:val="single" w:sz="8" w:color="F2F2F2"/>
            </w:tcBorders>
            <w:shd w:val="clear" w:color="auto" w:fill="F2F2F2"/>
          </w:tcPr>
          <w:p>
            <w:pPr>
              <w:ind w:left="100"/>
              <w:spacing w:after="0"/>
              <w:rPr>
                <w:sz w:val="20"/>
                <w:szCs w:val="20"/>
                <w:color w:val="auto"/>
              </w:rPr>
            </w:pPr>
            <w:r>
              <w:rPr>
                <w:rFonts w:ascii="Arial" w:cs="Arial" w:eastAsia="Arial" w:hAnsi="Arial"/>
                <w:sz w:val="16"/>
                <w:szCs w:val="16"/>
                <w:b w:val="1"/>
                <w:bCs w:val="1"/>
                <w:color w:val="auto"/>
              </w:rPr>
              <w:t>Pay Element</w:t>
            </w:r>
          </w:p>
        </w:tc>
        <w:tc>
          <w:tcPr>
            <w:tcW w:w="1440" w:type="dxa"/>
            <w:vAlign w:val="bottom"/>
            <w:tcBorders>
              <w:top w:val="single" w:sz="8" w:color="1414D2"/>
              <w:bottom w:val="single" w:sz="8" w:color="F2F2F2"/>
            </w:tcBorders>
            <w:shd w:val="clear" w:color="auto" w:fill="F2F2F2"/>
          </w:tcPr>
          <w:p>
            <w:pPr>
              <w:ind w:left="240"/>
              <w:spacing w:after="0"/>
              <w:rPr>
                <w:sz w:val="20"/>
                <w:szCs w:val="20"/>
                <w:color w:val="auto"/>
              </w:rPr>
            </w:pPr>
            <w:r>
              <w:rPr>
                <w:rFonts w:ascii="Arial" w:cs="Arial" w:eastAsia="Arial" w:hAnsi="Arial"/>
                <w:sz w:val="16"/>
                <w:szCs w:val="16"/>
                <w:b w:val="1"/>
                <w:bCs w:val="1"/>
                <w:color w:val="auto"/>
              </w:rPr>
              <w:t>Vehicle</w:t>
            </w:r>
          </w:p>
        </w:tc>
        <w:tc>
          <w:tcPr>
            <w:tcW w:w="6520" w:type="dxa"/>
            <w:vAlign w:val="bottom"/>
            <w:tcBorders>
              <w:top w:val="single" w:sz="8" w:color="1414D2"/>
              <w:bottom w:val="single" w:sz="8" w:color="F2F2F2"/>
            </w:tcBorders>
            <w:shd w:val="clear" w:color="auto" w:fill="F2F2F2"/>
          </w:tcPr>
          <w:p>
            <w:pPr>
              <w:ind w:left="640"/>
              <w:spacing w:after="0"/>
              <w:rPr>
                <w:sz w:val="20"/>
                <w:szCs w:val="20"/>
                <w:color w:val="auto"/>
              </w:rPr>
            </w:pPr>
            <w:r>
              <w:rPr>
                <w:rFonts w:ascii="Arial" w:cs="Arial" w:eastAsia="Arial" w:hAnsi="Arial"/>
                <w:sz w:val="16"/>
                <w:szCs w:val="16"/>
                <w:b w:val="1"/>
                <w:bCs w:val="1"/>
                <w:color w:val="auto"/>
              </w:rPr>
              <w:t>Rationale and Link to Stockholder Value</w:t>
            </w:r>
          </w:p>
        </w:tc>
      </w:tr>
      <w:tr>
        <w:trPr>
          <w:trHeight w:val="251"/>
        </w:trPr>
        <w:tc>
          <w:tcPr>
            <w:tcW w:w="1320" w:type="dxa"/>
            <w:vAlign w:val="bottom"/>
          </w:tcPr>
          <w:p>
            <w:pPr>
              <w:ind w:left="100"/>
              <w:spacing w:after="0"/>
              <w:rPr>
                <w:sz w:val="20"/>
                <w:szCs w:val="20"/>
                <w:color w:val="auto"/>
              </w:rPr>
            </w:pPr>
            <w:r>
              <w:rPr>
                <w:rFonts w:ascii="Arial" w:cs="Arial" w:eastAsia="Arial" w:hAnsi="Arial"/>
                <w:sz w:val="14"/>
                <w:szCs w:val="14"/>
                <w:b w:val="1"/>
                <w:bCs w:val="1"/>
                <w:color w:val="auto"/>
              </w:rPr>
              <w:t>BASE SALARY</w:t>
            </w:r>
          </w:p>
        </w:tc>
        <w:tc>
          <w:tcPr>
            <w:tcW w:w="1440" w:type="dxa"/>
            <w:vAlign w:val="bottom"/>
          </w:tcPr>
          <w:p>
            <w:pPr>
              <w:ind w:left="240"/>
              <w:spacing w:after="0"/>
              <w:rPr>
                <w:sz w:val="20"/>
                <w:szCs w:val="20"/>
                <w:color w:val="auto"/>
              </w:rPr>
            </w:pPr>
            <w:r>
              <w:rPr>
                <w:rFonts w:ascii="Arial" w:cs="Arial" w:eastAsia="Arial" w:hAnsi="Arial"/>
                <w:sz w:val="14"/>
                <w:szCs w:val="14"/>
                <w:color w:val="auto"/>
              </w:rPr>
              <w:t>Cash</w:t>
            </w:r>
          </w:p>
        </w:tc>
        <w:tc>
          <w:tcPr>
            <w:tcW w:w="6520" w:type="dxa"/>
            <w:vAlign w:val="bottom"/>
          </w:tcPr>
          <w:p>
            <w:pPr>
              <w:ind w:left="640"/>
              <w:spacing w:after="0"/>
              <w:rPr>
                <w:sz w:val="20"/>
                <w:szCs w:val="20"/>
                <w:color w:val="auto"/>
              </w:rPr>
            </w:pPr>
            <w:r>
              <w:rPr>
                <w:rFonts w:ascii="Arial" w:cs="Arial" w:eastAsia="Arial" w:hAnsi="Arial"/>
                <w:sz w:val="14"/>
                <w:szCs w:val="14"/>
                <w:color w:val="auto"/>
              </w:rPr>
              <w:t>Fixed  cash  compensation  rewards  individual  performance  and  scope  of  responsibility</w:t>
            </w:r>
          </w:p>
        </w:tc>
      </w:tr>
      <w:tr>
        <w:trPr>
          <w:trHeight w:val="208"/>
        </w:trPr>
        <w:tc>
          <w:tcPr>
            <w:tcW w:w="1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520" w:type="dxa"/>
            <w:vAlign w:val="bottom"/>
          </w:tcPr>
          <w:p>
            <w:pPr>
              <w:ind w:left="640"/>
              <w:spacing w:after="0"/>
              <w:rPr>
                <w:sz w:val="20"/>
                <w:szCs w:val="20"/>
                <w:color w:val="auto"/>
              </w:rPr>
            </w:pPr>
            <w:r>
              <w:rPr>
                <w:rFonts w:ascii="Arial" w:cs="Arial" w:eastAsia="Arial" w:hAnsi="Arial"/>
                <w:sz w:val="14"/>
                <w:szCs w:val="14"/>
                <w:color w:val="auto"/>
              </w:rPr>
              <w:t>to  attract  and  retain  top  talent.</w:t>
            </w:r>
          </w:p>
        </w:tc>
      </w:tr>
    </w:tbl>
    <w:p>
      <w:pPr>
        <w:spacing w:after="0" w:line="517" w:lineRule="exact"/>
        <w:rPr>
          <w:sz w:val="20"/>
          <w:szCs w:val="20"/>
          <w:color w:val="auto"/>
        </w:rPr>
      </w:pPr>
    </w:p>
    <w:p>
      <w:pPr>
        <w:sectPr>
          <w:pgSz w:w="11900" w:h="16838" w:orient="portrait"/>
          <w:cols w:equalWidth="0" w:num="2">
            <w:col w:w="381" w:space="152"/>
            <w:col w:w="9280"/>
          </w:cols>
          <w:pgMar w:left="987" w:top="695" w:right="1099" w:bottom="1440" w:gutter="0" w:footer="0" w:header="0"/>
          <w:type w:val="continuous"/>
        </w:sect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600"/>
        </w:trPr>
        <w:tc>
          <w:tcPr>
            <w:tcW w:w="184" w:type="dxa"/>
            <w:vAlign w:val="bottom"/>
            <w:textDirection w:val="btLr"/>
          </w:tcPr>
          <w:p>
            <w:pPr>
              <w:spacing w:after="0"/>
              <w:rPr>
                <w:sz w:val="20"/>
                <w:szCs w:val="20"/>
                <w:color w:val="auto"/>
              </w:rPr>
            </w:pPr>
            <w:r>
              <w:rPr>
                <w:rFonts w:ascii="Arial" w:cs="Arial" w:eastAsia="Arial" w:hAnsi="Arial"/>
                <w:sz w:val="16"/>
                <w:szCs w:val="16"/>
                <w:b w:val="1"/>
                <w:bCs w:val="1"/>
                <w:color w:val="FFFFFF"/>
              </w:rPr>
              <w:t>ATRISK/PERFORMANCE-BASED</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197" w:type="dxa"/>
        <w:tblCellMar>
          <w:top w:w="0" w:type="dxa"/>
          <w:left w:w="0" w:type="dxa"/>
          <w:bottom w:w="0" w:type="dxa"/>
          <w:right w:w="0" w:type="dxa"/>
        </w:tblCellMar>
      </w:tblPr>
      <w:tr>
        <w:trPr>
          <w:trHeight w:val="620"/>
        </w:trPr>
        <w:tc>
          <w:tcPr>
            <w:tcW w:w="184" w:type="dxa"/>
            <w:vAlign w:val="bottom"/>
            <w:textDirection w:val="btLr"/>
          </w:tcPr>
          <w:p>
            <w:pPr>
              <w:spacing w:after="0"/>
              <w:rPr>
                <w:sz w:val="20"/>
                <w:szCs w:val="20"/>
                <w:color w:val="auto"/>
              </w:rPr>
            </w:pPr>
            <w:r>
              <w:rPr>
                <w:rFonts w:ascii="Arial" w:cs="Arial" w:eastAsia="Arial" w:hAnsi="Arial"/>
                <w:sz w:val="16"/>
                <w:szCs w:val="16"/>
                <w:b w:val="1"/>
                <w:bCs w:val="1"/>
                <w:color w:val="auto"/>
              </w:rPr>
              <w:t>OTHER</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280" w:type="dxa"/>
            <w:vAlign w:val="bottom"/>
          </w:tcPr>
          <w:p>
            <w:pPr>
              <w:ind w:left="100"/>
              <w:spacing w:after="0"/>
              <w:rPr>
                <w:sz w:val="20"/>
                <w:szCs w:val="20"/>
                <w:color w:val="auto"/>
              </w:rPr>
            </w:pPr>
            <w:r>
              <w:rPr>
                <w:rFonts w:ascii="Arial" w:cs="Arial" w:eastAsia="Arial" w:hAnsi="Arial"/>
                <w:sz w:val="14"/>
                <w:szCs w:val="14"/>
                <w:b w:val="1"/>
                <w:bCs w:val="1"/>
                <w:color w:val="auto"/>
              </w:rPr>
              <w:t>SHORT-TERM</w:t>
            </w:r>
          </w:p>
        </w:tc>
        <w:tc>
          <w:tcPr>
            <w:tcW w:w="2000" w:type="dxa"/>
            <w:vAlign w:val="bottom"/>
          </w:tcPr>
          <w:p>
            <w:pPr>
              <w:ind w:left="280"/>
              <w:spacing w:after="0"/>
              <w:rPr>
                <w:sz w:val="20"/>
                <w:szCs w:val="20"/>
                <w:color w:val="auto"/>
              </w:rPr>
            </w:pPr>
            <w:r>
              <w:rPr>
                <w:rFonts w:ascii="Arial" w:cs="Arial" w:eastAsia="Arial" w:hAnsi="Arial"/>
                <w:sz w:val="14"/>
                <w:szCs w:val="14"/>
                <w:color w:val="auto"/>
              </w:rPr>
              <w:t>Cash</w:t>
            </w:r>
          </w:p>
        </w:tc>
        <w:tc>
          <w:tcPr>
            <w:tcW w:w="6000" w:type="dxa"/>
            <w:vAlign w:val="bottom"/>
          </w:tcPr>
          <w:p>
            <w:pPr>
              <w:ind w:left="120"/>
              <w:spacing w:after="0"/>
              <w:rPr>
                <w:sz w:val="20"/>
                <w:szCs w:val="20"/>
                <w:color w:val="auto"/>
              </w:rPr>
            </w:pPr>
            <w:r>
              <w:rPr>
                <w:rFonts w:ascii="Arial" w:cs="Arial" w:eastAsia="Arial" w:hAnsi="Arial"/>
                <w:sz w:val="14"/>
                <w:szCs w:val="14"/>
                <w:color w:val="auto"/>
              </w:rPr>
              <w:t>Promotes  strong  short-term  business  results  by  rewarding  key  value  drivers  without</w:t>
            </w:r>
          </w:p>
        </w:tc>
        <w:tc>
          <w:tcPr>
            <w:tcW w:w="0" w:type="dxa"/>
            <w:vAlign w:val="bottom"/>
          </w:tcPr>
          <w:p>
            <w:pPr>
              <w:spacing w:after="0"/>
              <w:rPr>
                <w:sz w:val="1"/>
                <w:szCs w:val="1"/>
                <w:color w:val="auto"/>
              </w:rPr>
            </w:pPr>
          </w:p>
        </w:tc>
      </w:tr>
      <w:tr>
        <w:trPr>
          <w:trHeight w:val="208"/>
        </w:trPr>
        <w:tc>
          <w:tcPr>
            <w:tcW w:w="128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INCENTIVES</w:t>
            </w:r>
          </w:p>
        </w:tc>
        <w:tc>
          <w:tcPr>
            <w:tcW w:w="2000" w:type="dxa"/>
            <w:vAlign w:val="bottom"/>
          </w:tcPr>
          <w:p>
            <w:pPr>
              <w:spacing w:after="0"/>
              <w:rPr>
                <w:sz w:val="18"/>
                <w:szCs w:val="18"/>
                <w:color w:val="auto"/>
              </w:rPr>
            </w:pPr>
          </w:p>
        </w:tc>
        <w:tc>
          <w:tcPr>
            <w:tcW w:w="6000" w:type="dxa"/>
            <w:vAlign w:val="bottom"/>
          </w:tcPr>
          <w:p>
            <w:pPr>
              <w:ind w:left="120"/>
              <w:spacing w:after="0"/>
              <w:rPr>
                <w:sz w:val="20"/>
                <w:szCs w:val="20"/>
                <w:color w:val="auto"/>
              </w:rPr>
            </w:pPr>
            <w:r>
              <w:rPr>
                <w:rFonts w:ascii="Arial" w:cs="Arial" w:eastAsia="Arial" w:hAnsi="Arial"/>
                <w:sz w:val="14"/>
                <w:szCs w:val="14"/>
                <w:color w:val="auto"/>
              </w:rPr>
              <w:t>creating  an  incentive  to  take  excessive  risk.</w:t>
            </w:r>
          </w:p>
        </w:tc>
        <w:tc>
          <w:tcPr>
            <w:tcW w:w="0" w:type="dxa"/>
            <w:vAlign w:val="bottom"/>
          </w:tcPr>
          <w:p>
            <w:pPr>
              <w:spacing w:after="0"/>
              <w:rPr>
                <w:sz w:val="1"/>
                <w:szCs w:val="1"/>
                <w:color w:val="auto"/>
              </w:rPr>
            </w:pPr>
          </w:p>
        </w:tc>
      </w:tr>
      <w:tr>
        <w:trPr>
          <w:trHeight w:val="108"/>
        </w:trPr>
        <w:tc>
          <w:tcPr>
            <w:tcW w:w="1280" w:type="dxa"/>
            <w:vAlign w:val="bottom"/>
            <w:vMerge w:val="continue"/>
          </w:tcPr>
          <w:p>
            <w:pPr>
              <w:spacing w:after="0"/>
              <w:rPr>
                <w:sz w:val="9"/>
                <w:szCs w:val="9"/>
                <w:color w:val="auto"/>
              </w:rPr>
            </w:pPr>
          </w:p>
        </w:tc>
        <w:tc>
          <w:tcPr>
            <w:tcW w:w="2000" w:type="dxa"/>
            <w:vAlign w:val="bottom"/>
          </w:tcPr>
          <w:p>
            <w:pPr>
              <w:spacing w:after="0"/>
              <w:rPr>
                <w:sz w:val="9"/>
                <w:szCs w:val="9"/>
                <w:color w:val="auto"/>
              </w:rPr>
            </w:pPr>
          </w:p>
        </w:tc>
        <w:tc>
          <w:tcPr>
            <w:tcW w:w="6000" w:type="dxa"/>
            <w:vAlign w:val="bottom"/>
            <w:vMerge w:val="restart"/>
          </w:tcPr>
          <w:p>
            <w:pPr>
              <w:ind w:left="120"/>
              <w:spacing w:after="0"/>
              <w:rPr>
                <w:sz w:val="20"/>
                <w:szCs w:val="20"/>
                <w:color w:val="auto"/>
              </w:rPr>
            </w:pPr>
            <w:r>
              <w:rPr>
                <w:rFonts w:ascii="Arial" w:cs="Arial" w:eastAsia="Arial" w:hAnsi="Arial"/>
                <w:sz w:val="14"/>
                <w:szCs w:val="14"/>
                <w:color w:val="auto"/>
              </w:rPr>
              <w:t>Serves  as  key  compensation  vehicle  for  rewarding  annual  results  based  upon  our</w:t>
            </w:r>
          </w:p>
        </w:tc>
        <w:tc>
          <w:tcPr>
            <w:tcW w:w="0" w:type="dxa"/>
            <w:vAlign w:val="bottom"/>
          </w:tcPr>
          <w:p>
            <w:pPr>
              <w:spacing w:after="0"/>
              <w:rPr>
                <w:sz w:val="1"/>
                <w:szCs w:val="1"/>
                <w:color w:val="auto"/>
              </w:rPr>
            </w:pPr>
          </w:p>
        </w:tc>
      </w:tr>
      <w:tr>
        <w:trPr>
          <w:trHeight w:val="143"/>
        </w:trPr>
        <w:tc>
          <w:tcPr>
            <w:tcW w:w="12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6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1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6000" w:type="dxa"/>
            <w:vAlign w:val="bottom"/>
          </w:tcPr>
          <w:p>
            <w:pPr>
              <w:ind w:left="120"/>
              <w:spacing w:after="0"/>
              <w:rPr>
                <w:sz w:val="20"/>
                <w:szCs w:val="20"/>
                <w:color w:val="auto"/>
              </w:rPr>
            </w:pPr>
            <w:r>
              <w:rPr>
                <w:rFonts w:ascii="Arial" w:cs="Arial" w:eastAsia="Arial" w:hAnsi="Arial"/>
                <w:sz w:val="14"/>
                <w:szCs w:val="14"/>
                <w:color w:val="auto"/>
              </w:rPr>
              <w:t>business  plan  for  the  fscal  year,  helping  to  align  pay  with  annual  performance.</w:t>
            </w:r>
          </w:p>
        </w:tc>
        <w:tc>
          <w:tcPr>
            <w:tcW w:w="0" w:type="dxa"/>
            <w:vAlign w:val="bottom"/>
          </w:tcPr>
          <w:p>
            <w:pPr>
              <w:spacing w:after="0"/>
              <w:rPr>
                <w:sz w:val="1"/>
                <w:szCs w:val="1"/>
                <w:color w:val="auto"/>
              </w:rPr>
            </w:pPr>
          </w:p>
        </w:tc>
      </w:tr>
      <w:tr>
        <w:trPr>
          <w:trHeight w:val="446"/>
        </w:trPr>
        <w:tc>
          <w:tcPr>
            <w:tcW w:w="1280" w:type="dxa"/>
            <w:vAlign w:val="bottom"/>
            <w:tcBorders>
              <w:bottom w:val="single" w:sz="8" w:color="808080"/>
            </w:tcBorders>
          </w:tcPr>
          <w:p>
            <w:pPr>
              <w:spacing w:after="0"/>
              <w:rPr>
                <w:sz w:val="24"/>
                <w:szCs w:val="24"/>
                <w:color w:val="auto"/>
              </w:rPr>
            </w:pPr>
          </w:p>
        </w:tc>
        <w:tc>
          <w:tcPr>
            <w:tcW w:w="2000" w:type="dxa"/>
            <w:vAlign w:val="bottom"/>
            <w:tcBorders>
              <w:bottom w:val="single" w:sz="8" w:color="808080"/>
            </w:tcBorders>
          </w:tcPr>
          <w:p>
            <w:pPr>
              <w:spacing w:after="0"/>
              <w:rPr>
                <w:sz w:val="24"/>
                <w:szCs w:val="24"/>
                <w:color w:val="auto"/>
              </w:rPr>
            </w:pPr>
          </w:p>
        </w:tc>
        <w:tc>
          <w:tcPr>
            <w:tcW w:w="60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1280" w:type="dxa"/>
            <w:vAlign w:val="bottom"/>
          </w:tcPr>
          <w:p>
            <w:pPr>
              <w:ind w:left="100"/>
              <w:spacing w:after="0"/>
              <w:rPr>
                <w:sz w:val="20"/>
                <w:szCs w:val="20"/>
                <w:color w:val="auto"/>
              </w:rPr>
            </w:pPr>
            <w:r>
              <w:rPr>
                <w:rFonts w:ascii="Arial" w:cs="Arial" w:eastAsia="Arial" w:hAnsi="Arial"/>
                <w:sz w:val="14"/>
                <w:szCs w:val="14"/>
                <w:b w:val="1"/>
                <w:bCs w:val="1"/>
                <w:color w:val="auto"/>
              </w:rPr>
              <w:t>LONG-TERM</w:t>
            </w:r>
          </w:p>
        </w:tc>
        <w:tc>
          <w:tcPr>
            <w:tcW w:w="2000" w:type="dxa"/>
            <w:vAlign w:val="bottom"/>
          </w:tcPr>
          <w:p>
            <w:pPr>
              <w:ind w:left="280"/>
              <w:spacing w:after="0"/>
              <w:rPr>
                <w:sz w:val="20"/>
                <w:szCs w:val="20"/>
                <w:color w:val="auto"/>
              </w:rPr>
            </w:pPr>
            <w:r>
              <w:rPr>
                <w:rFonts w:ascii="Arial" w:cs="Arial" w:eastAsia="Arial" w:hAnsi="Arial"/>
                <w:sz w:val="14"/>
                <w:szCs w:val="14"/>
                <w:color w:val="auto"/>
              </w:rPr>
              <w:t>Performance-Based</w:t>
            </w:r>
          </w:p>
        </w:tc>
        <w:tc>
          <w:tcPr>
            <w:tcW w:w="6000" w:type="dxa"/>
            <w:vAlign w:val="bottom"/>
          </w:tcPr>
          <w:p>
            <w:pPr>
              <w:ind w:left="120"/>
              <w:spacing w:after="0"/>
              <w:rPr>
                <w:sz w:val="20"/>
                <w:szCs w:val="20"/>
                <w:color w:val="auto"/>
              </w:rPr>
            </w:pPr>
            <w:r>
              <w:rPr>
                <w:rFonts w:ascii="Arial" w:cs="Arial" w:eastAsia="Arial" w:hAnsi="Arial"/>
                <w:sz w:val="14"/>
                <w:szCs w:val="14"/>
                <w:color w:val="auto"/>
              </w:rPr>
              <w:t>Performance-Based  RSUs  reward  achievement  of  fnancial  goals  and  other  business</w:t>
            </w:r>
          </w:p>
        </w:tc>
        <w:tc>
          <w:tcPr>
            <w:tcW w:w="0" w:type="dxa"/>
            <w:vAlign w:val="bottom"/>
          </w:tcPr>
          <w:p>
            <w:pPr>
              <w:spacing w:after="0"/>
              <w:rPr>
                <w:sz w:val="1"/>
                <w:szCs w:val="1"/>
                <w:color w:val="auto"/>
              </w:rPr>
            </w:pPr>
          </w:p>
        </w:tc>
      </w:tr>
      <w:tr>
        <w:trPr>
          <w:trHeight w:val="176"/>
        </w:trPr>
        <w:tc>
          <w:tcPr>
            <w:tcW w:w="1280" w:type="dxa"/>
            <w:vAlign w:val="bottom"/>
          </w:tcPr>
          <w:p>
            <w:pPr>
              <w:ind w:left="100"/>
              <w:spacing w:after="0"/>
              <w:rPr>
                <w:sz w:val="20"/>
                <w:szCs w:val="20"/>
                <w:color w:val="auto"/>
              </w:rPr>
            </w:pPr>
            <w:r>
              <w:rPr>
                <w:rFonts w:ascii="Arial" w:cs="Arial" w:eastAsia="Arial" w:hAnsi="Arial"/>
                <w:sz w:val="14"/>
                <w:szCs w:val="14"/>
                <w:b w:val="1"/>
                <w:bCs w:val="1"/>
                <w:color w:val="auto"/>
              </w:rPr>
              <w:t>INCENTIVES</w:t>
            </w:r>
          </w:p>
        </w:tc>
        <w:tc>
          <w:tcPr>
            <w:tcW w:w="2000" w:type="dxa"/>
            <w:vAlign w:val="bottom"/>
          </w:tcPr>
          <w:p>
            <w:pPr>
              <w:ind w:left="280"/>
              <w:spacing w:after="0"/>
              <w:rPr>
                <w:sz w:val="20"/>
                <w:szCs w:val="20"/>
                <w:color w:val="auto"/>
              </w:rPr>
            </w:pPr>
            <w:r>
              <w:rPr>
                <w:rFonts w:ascii="Arial" w:cs="Arial" w:eastAsia="Arial" w:hAnsi="Arial"/>
                <w:sz w:val="14"/>
                <w:szCs w:val="14"/>
                <w:color w:val="auto"/>
              </w:rPr>
              <w:t>RSUs  (paid  in  shares  of</w:t>
            </w:r>
          </w:p>
        </w:tc>
        <w:tc>
          <w:tcPr>
            <w:tcW w:w="6000" w:type="dxa"/>
            <w:vAlign w:val="bottom"/>
          </w:tcPr>
          <w:p>
            <w:pPr>
              <w:ind w:left="120"/>
              <w:spacing w:after="0"/>
              <w:rPr>
                <w:sz w:val="20"/>
                <w:szCs w:val="20"/>
                <w:color w:val="auto"/>
              </w:rPr>
            </w:pPr>
            <w:r>
              <w:rPr>
                <w:rFonts w:ascii="Arial" w:cs="Arial" w:eastAsia="Arial" w:hAnsi="Arial"/>
                <w:sz w:val="14"/>
                <w:szCs w:val="14"/>
                <w:color w:val="auto"/>
              </w:rPr>
              <w:t>objectives  as  well  as  retention  through  the  three-year  performance  period.</w:t>
            </w:r>
          </w:p>
        </w:tc>
        <w:tc>
          <w:tcPr>
            <w:tcW w:w="0" w:type="dxa"/>
            <w:vAlign w:val="bottom"/>
          </w:tcPr>
          <w:p>
            <w:pPr>
              <w:spacing w:after="0"/>
              <w:rPr>
                <w:sz w:val="1"/>
                <w:szCs w:val="1"/>
                <w:color w:val="auto"/>
              </w:rPr>
            </w:pPr>
          </w:p>
        </w:tc>
      </w:tr>
      <w:tr>
        <w:trPr>
          <w:trHeight w:val="208"/>
        </w:trPr>
        <w:tc>
          <w:tcPr>
            <w:tcW w:w="1280" w:type="dxa"/>
            <w:vAlign w:val="bottom"/>
          </w:tcPr>
          <w:p>
            <w:pPr>
              <w:spacing w:after="0"/>
              <w:rPr>
                <w:sz w:val="18"/>
                <w:szCs w:val="18"/>
                <w:color w:val="auto"/>
              </w:rPr>
            </w:pPr>
          </w:p>
        </w:tc>
        <w:tc>
          <w:tcPr>
            <w:tcW w:w="2000" w:type="dxa"/>
            <w:vAlign w:val="bottom"/>
          </w:tcPr>
          <w:p>
            <w:pPr>
              <w:ind w:left="280"/>
              <w:spacing w:after="0"/>
              <w:rPr>
                <w:sz w:val="20"/>
                <w:szCs w:val="20"/>
                <w:color w:val="auto"/>
              </w:rPr>
            </w:pPr>
            <w:r>
              <w:rPr>
                <w:rFonts w:ascii="Arial" w:cs="Arial" w:eastAsia="Arial" w:hAnsi="Arial"/>
                <w:sz w:val="14"/>
                <w:szCs w:val="14"/>
                <w:color w:val="auto"/>
              </w:rPr>
              <w:t>Common  Stock)</w:t>
            </w:r>
          </w:p>
        </w:tc>
        <w:tc>
          <w:tcPr>
            <w:tcW w:w="6000" w:type="dxa"/>
            <w:vAlign w:val="bottom"/>
            <w:vMerge w:val="restart"/>
          </w:tcPr>
          <w:p>
            <w:pPr>
              <w:ind w:left="120"/>
              <w:spacing w:after="0"/>
              <w:rPr>
                <w:sz w:val="20"/>
                <w:szCs w:val="20"/>
                <w:color w:val="auto"/>
              </w:rPr>
            </w:pPr>
            <w:r>
              <w:rPr>
                <w:rFonts w:ascii="Arial" w:cs="Arial" w:eastAsia="Arial" w:hAnsi="Arial"/>
                <w:sz w:val="14"/>
                <w:szCs w:val="14"/>
                <w:color w:val="auto"/>
              </w:rPr>
              <w:t>Equity  awards  provide  a  signifcant  stake  in  the  long-term  fnancial  success  of  United</w:t>
            </w:r>
          </w:p>
        </w:tc>
        <w:tc>
          <w:tcPr>
            <w:tcW w:w="0" w:type="dxa"/>
            <w:vAlign w:val="bottom"/>
          </w:tcPr>
          <w:p>
            <w:pPr>
              <w:spacing w:after="0"/>
              <w:rPr>
                <w:sz w:val="1"/>
                <w:szCs w:val="1"/>
                <w:color w:val="auto"/>
              </w:rPr>
            </w:pPr>
          </w:p>
        </w:tc>
      </w:tr>
      <w:tr>
        <w:trPr>
          <w:trHeight w:val="76"/>
        </w:trPr>
        <w:tc>
          <w:tcPr>
            <w:tcW w:w="1280" w:type="dxa"/>
            <w:vAlign w:val="bottom"/>
          </w:tcPr>
          <w:p>
            <w:pPr>
              <w:spacing w:after="0"/>
              <w:rPr>
                <w:sz w:val="6"/>
                <w:szCs w:val="6"/>
                <w:color w:val="auto"/>
              </w:rPr>
            </w:pPr>
          </w:p>
        </w:tc>
        <w:tc>
          <w:tcPr>
            <w:tcW w:w="2000" w:type="dxa"/>
            <w:vAlign w:val="bottom"/>
          </w:tcPr>
          <w:p>
            <w:pPr>
              <w:spacing w:after="0"/>
              <w:rPr>
                <w:sz w:val="6"/>
                <w:szCs w:val="6"/>
                <w:color w:val="auto"/>
              </w:rPr>
            </w:pPr>
          </w:p>
        </w:tc>
        <w:tc>
          <w:tcPr>
            <w:tcW w:w="6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1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6000" w:type="dxa"/>
            <w:vAlign w:val="bottom"/>
          </w:tcPr>
          <w:p>
            <w:pPr>
              <w:ind w:left="120"/>
              <w:spacing w:after="0"/>
              <w:rPr>
                <w:sz w:val="20"/>
                <w:szCs w:val="20"/>
                <w:color w:val="auto"/>
              </w:rPr>
            </w:pPr>
            <w:r>
              <w:rPr>
                <w:rFonts w:ascii="Arial" w:cs="Arial" w:eastAsia="Arial" w:hAnsi="Arial"/>
                <w:sz w:val="14"/>
                <w:szCs w:val="14"/>
                <w:color w:val="auto"/>
              </w:rPr>
              <w:t>that  is  aligned  with  stockholder  interests  and  promotes  employee  retention.</w:t>
            </w: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2000" w:type="dxa"/>
            <w:vAlign w:val="bottom"/>
          </w:tcPr>
          <w:p>
            <w:pPr>
              <w:ind w:left="280"/>
              <w:spacing w:after="0"/>
              <w:rPr>
                <w:sz w:val="20"/>
                <w:szCs w:val="20"/>
                <w:color w:val="auto"/>
              </w:rPr>
            </w:pPr>
            <w:r>
              <w:rPr>
                <w:rFonts w:ascii="Arial" w:cs="Arial" w:eastAsia="Arial" w:hAnsi="Arial"/>
                <w:sz w:val="14"/>
                <w:szCs w:val="14"/>
                <w:color w:val="auto"/>
              </w:rPr>
              <w:t>Time-based  RSUs  (paid</w:t>
            </w:r>
          </w:p>
        </w:tc>
        <w:tc>
          <w:tcPr>
            <w:tcW w:w="6000" w:type="dxa"/>
            <w:vAlign w:val="bottom"/>
          </w:tcPr>
          <w:p>
            <w:pPr>
              <w:ind w:left="120"/>
              <w:spacing w:after="0"/>
              <w:rPr>
                <w:sz w:val="20"/>
                <w:szCs w:val="20"/>
                <w:color w:val="auto"/>
              </w:rPr>
            </w:pPr>
            <w:r>
              <w:rPr>
                <w:rFonts w:ascii="Arial" w:cs="Arial" w:eastAsia="Arial" w:hAnsi="Arial"/>
                <w:sz w:val="14"/>
                <w:szCs w:val="14"/>
                <w:color w:val="auto"/>
              </w:rPr>
              <w:t>Time-based  RSUs  vest  one-third  per  year  over  a  three-year  period,  which  enhances</w:t>
            </w:r>
          </w:p>
        </w:tc>
        <w:tc>
          <w:tcPr>
            <w:tcW w:w="0" w:type="dxa"/>
            <w:vAlign w:val="bottom"/>
          </w:tcPr>
          <w:p>
            <w:pPr>
              <w:spacing w:after="0"/>
              <w:rPr>
                <w:sz w:val="1"/>
                <w:szCs w:val="1"/>
                <w:color w:val="auto"/>
              </w:rPr>
            </w:pPr>
          </w:p>
        </w:tc>
      </w:tr>
      <w:tr>
        <w:trPr>
          <w:trHeight w:val="175"/>
        </w:trPr>
        <w:tc>
          <w:tcPr>
            <w:tcW w:w="1280" w:type="dxa"/>
            <w:vAlign w:val="bottom"/>
          </w:tcPr>
          <w:p>
            <w:pPr>
              <w:spacing w:after="0"/>
              <w:rPr>
                <w:sz w:val="15"/>
                <w:szCs w:val="15"/>
                <w:color w:val="auto"/>
              </w:rPr>
            </w:pPr>
          </w:p>
        </w:tc>
        <w:tc>
          <w:tcPr>
            <w:tcW w:w="2000" w:type="dxa"/>
            <w:vAlign w:val="bottom"/>
          </w:tcPr>
          <w:p>
            <w:pPr>
              <w:ind w:left="280"/>
              <w:spacing w:after="0"/>
              <w:rPr>
                <w:sz w:val="20"/>
                <w:szCs w:val="20"/>
                <w:color w:val="auto"/>
              </w:rPr>
            </w:pPr>
            <w:r>
              <w:rPr>
                <w:rFonts w:ascii="Arial" w:cs="Arial" w:eastAsia="Arial" w:hAnsi="Arial"/>
                <w:sz w:val="14"/>
                <w:szCs w:val="14"/>
                <w:color w:val="auto"/>
              </w:rPr>
              <w:t>in  shares  of  Common</w:t>
            </w:r>
          </w:p>
        </w:tc>
        <w:tc>
          <w:tcPr>
            <w:tcW w:w="6000" w:type="dxa"/>
            <w:vAlign w:val="bottom"/>
          </w:tcPr>
          <w:p>
            <w:pPr>
              <w:ind w:left="120"/>
              <w:spacing w:after="0"/>
              <w:rPr>
                <w:sz w:val="20"/>
                <w:szCs w:val="20"/>
                <w:color w:val="auto"/>
              </w:rPr>
            </w:pPr>
            <w:r>
              <w:rPr>
                <w:rFonts w:ascii="Arial" w:cs="Arial" w:eastAsia="Arial" w:hAnsi="Arial"/>
                <w:sz w:val="14"/>
                <w:szCs w:val="14"/>
                <w:color w:val="auto"/>
              </w:rPr>
              <w:t>retention  of  our  NEOs,  aligns  with  compensation  practices  of  our  peers  and  supports</w:t>
            </w:r>
          </w:p>
        </w:tc>
        <w:tc>
          <w:tcPr>
            <w:tcW w:w="0" w:type="dxa"/>
            <w:vAlign w:val="bottom"/>
          </w:tcPr>
          <w:p>
            <w:pPr>
              <w:spacing w:after="0"/>
              <w:rPr>
                <w:sz w:val="1"/>
                <w:szCs w:val="1"/>
                <w:color w:val="auto"/>
              </w:rPr>
            </w:pPr>
          </w:p>
        </w:tc>
      </w:tr>
      <w:tr>
        <w:trPr>
          <w:trHeight w:val="208"/>
        </w:trPr>
        <w:tc>
          <w:tcPr>
            <w:tcW w:w="1280" w:type="dxa"/>
            <w:vAlign w:val="bottom"/>
          </w:tcPr>
          <w:p>
            <w:pPr>
              <w:spacing w:after="0"/>
              <w:rPr>
                <w:sz w:val="18"/>
                <w:szCs w:val="18"/>
                <w:color w:val="auto"/>
              </w:rPr>
            </w:pPr>
          </w:p>
        </w:tc>
        <w:tc>
          <w:tcPr>
            <w:tcW w:w="2000" w:type="dxa"/>
            <w:vAlign w:val="bottom"/>
          </w:tcPr>
          <w:p>
            <w:pPr>
              <w:ind w:left="280"/>
              <w:spacing w:after="0"/>
              <w:rPr>
                <w:sz w:val="20"/>
                <w:szCs w:val="20"/>
                <w:color w:val="auto"/>
              </w:rPr>
            </w:pPr>
            <w:r>
              <w:rPr>
                <w:rFonts w:ascii="Arial" w:cs="Arial" w:eastAsia="Arial" w:hAnsi="Arial"/>
                <w:sz w:val="14"/>
                <w:szCs w:val="14"/>
                <w:color w:val="auto"/>
              </w:rPr>
              <w:t>Stock)</w:t>
            </w:r>
          </w:p>
        </w:tc>
        <w:tc>
          <w:tcPr>
            <w:tcW w:w="6000" w:type="dxa"/>
            <w:vAlign w:val="bottom"/>
          </w:tcPr>
          <w:p>
            <w:pPr>
              <w:ind w:left="120"/>
              <w:spacing w:after="0"/>
              <w:rPr>
                <w:sz w:val="20"/>
                <w:szCs w:val="20"/>
                <w:color w:val="auto"/>
              </w:rPr>
            </w:pPr>
            <w:r>
              <w:rPr>
                <w:rFonts w:ascii="Arial" w:cs="Arial" w:eastAsia="Arial" w:hAnsi="Arial"/>
                <w:sz w:val="14"/>
                <w:szCs w:val="14"/>
                <w:color w:val="auto"/>
              </w:rPr>
              <w:t>stockholder  value  creation.</w:t>
            </w:r>
          </w:p>
        </w:tc>
        <w:tc>
          <w:tcPr>
            <w:tcW w:w="0" w:type="dxa"/>
            <w:vAlign w:val="bottom"/>
          </w:tcPr>
          <w:p>
            <w:pPr>
              <w:spacing w:after="0"/>
              <w:rPr>
                <w:sz w:val="1"/>
                <w:szCs w:val="1"/>
                <w:color w:val="auto"/>
              </w:rPr>
            </w:pPr>
          </w:p>
        </w:tc>
      </w:tr>
      <w:tr>
        <w:trPr>
          <w:trHeight w:val="94"/>
        </w:trPr>
        <w:tc>
          <w:tcPr>
            <w:tcW w:w="1280" w:type="dxa"/>
            <w:vAlign w:val="bottom"/>
            <w:tcBorders>
              <w:bottom w:val="single" w:sz="8" w:color="808080"/>
            </w:tcBorders>
          </w:tcPr>
          <w:p>
            <w:pPr>
              <w:spacing w:after="0"/>
              <w:rPr>
                <w:sz w:val="8"/>
                <w:szCs w:val="8"/>
                <w:color w:val="auto"/>
              </w:rPr>
            </w:pPr>
          </w:p>
        </w:tc>
        <w:tc>
          <w:tcPr>
            <w:tcW w:w="2000" w:type="dxa"/>
            <w:vAlign w:val="bottom"/>
            <w:tcBorders>
              <w:bottom w:val="single" w:sz="8" w:color="808080"/>
            </w:tcBorders>
          </w:tcPr>
          <w:p>
            <w:pPr>
              <w:spacing w:after="0"/>
              <w:rPr>
                <w:sz w:val="8"/>
                <w:szCs w:val="8"/>
                <w:color w:val="auto"/>
              </w:rPr>
            </w:pPr>
          </w:p>
        </w:tc>
        <w:tc>
          <w:tcPr>
            <w:tcW w:w="60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45"/>
        </w:trPr>
        <w:tc>
          <w:tcPr>
            <w:tcW w:w="1280" w:type="dxa"/>
            <w:vAlign w:val="bottom"/>
          </w:tcPr>
          <w:p>
            <w:pPr>
              <w:ind w:left="100"/>
              <w:spacing w:after="0"/>
              <w:rPr>
                <w:sz w:val="20"/>
                <w:szCs w:val="20"/>
                <w:color w:val="auto"/>
              </w:rPr>
            </w:pPr>
            <w:r>
              <w:rPr>
                <w:rFonts w:ascii="Arial" w:cs="Arial" w:eastAsia="Arial" w:hAnsi="Arial"/>
                <w:sz w:val="14"/>
                <w:szCs w:val="14"/>
                <w:b w:val="1"/>
                <w:bCs w:val="1"/>
                <w:color w:val="auto"/>
              </w:rPr>
              <w:t>RETIREMENT</w:t>
            </w:r>
          </w:p>
        </w:tc>
        <w:tc>
          <w:tcPr>
            <w:tcW w:w="2000" w:type="dxa"/>
            <w:vAlign w:val="bottom"/>
          </w:tcPr>
          <w:p>
            <w:pPr>
              <w:ind w:left="280"/>
              <w:spacing w:after="0"/>
              <w:rPr>
                <w:sz w:val="20"/>
                <w:szCs w:val="20"/>
                <w:color w:val="auto"/>
              </w:rPr>
            </w:pPr>
            <w:r>
              <w:rPr>
                <w:rFonts w:ascii="Arial" w:cs="Arial" w:eastAsia="Arial" w:hAnsi="Arial"/>
                <w:sz w:val="14"/>
                <w:szCs w:val="14"/>
                <w:color w:val="auto"/>
              </w:rPr>
              <w:t>401(k)  plan  and  excess</w:t>
            </w:r>
          </w:p>
        </w:tc>
        <w:tc>
          <w:tcPr>
            <w:tcW w:w="6000" w:type="dxa"/>
            <w:vAlign w:val="bottom"/>
          </w:tcPr>
          <w:p>
            <w:pPr>
              <w:ind w:left="120"/>
              <w:spacing w:after="0"/>
              <w:rPr>
                <w:sz w:val="20"/>
                <w:szCs w:val="20"/>
                <w:color w:val="auto"/>
              </w:rPr>
            </w:pPr>
            <w:r>
              <w:rPr>
                <w:rFonts w:ascii="Arial" w:cs="Arial" w:eastAsia="Arial" w:hAnsi="Arial"/>
                <w:sz w:val="14"/>
                <w:szCs w:val="14"/>
                <w:color w:val="auto"/>
              </w:rPr>
              <w:t>Creates  shared  responsibility  for  retirement  through  matching  contributions.</w:t>
            </w:r>
          </w:p>
        </w:tc>
        <w:tc>
          <w:tcPr>
            <w:tcW w:w="0" w:type="dxa"/>
            <w:vAlign w:val="bottom"/>
          </w:tcPr>
          <w:p>
            <w:pPr>
              <w:spacing w:after="0"/>
              <w:rPr>
                <w:sz w:val="1"/>
                <w:szCs w:val="1"/>
                <w:color w:val="auto"/>
              </w:rPr>
            </w:pPr>
          </w:p>
        </w:tc>
      </w:tr>
      <w:tr>
        <w:trPr>
          <w:trHeight w:val="176"/>
        </w:trPr>
        <w:tc>
          <w:tcPr>
            <w:tcW w:w="1280" w:type="dxa"/>
            <w:vAlign w:val="bottom"/>
          </w:tcPr>
          <w:p>
            <w:pPr>
              <w:ind w:left="100"/>
              <w:spacing w:after="0"/>
              <w:rPr>
                <w:sz w:val="20"/>
                <w:szCs w:val="20"/>
                <w:color w:val="auto"/>
              </w:rPr>
            </w:pPr>
            <w:r>
              <w:rPr>
                <w:rFonts w:ascii="Arial" w:cs="Arial" w:eastAsia="Arial" w:hAnsi="Arial"/>
                <w:sz w:val="14"/>
                <w:szCs w:val="14"/>
                <w:b w:val="1"/>
                <w:bCs w:val="1"/>
                <w:color w:val="auto"/>
              </w:rPr>
              <w:t>BENEFITS</w:t>
            </w:r>
          </w:p>
        </w:tc>
        <w:tc>
          <w:tcPr>
            <w:tcW w:w="2000" w:type="dxa"/>
            <w:vAlign w:val="bottom"/>
          </w:tcPr>
          <w:p>
            <w:pPr>
              <w:ind w:left="280"/>
              <w:spacing w:after="0"/>
              <w:rPr>
                <w:sz w:val="20"/>
                <w:szCs w:val="20"/>
                <w:color w:val="auto"/>
              </w:rPr>
            </w:pPr>
            <w:r>
              <w:rPr>
                <w:rFonts w:ascii="Arial" w:cs="Arial" w:eastAsia="Arial" w:hAnsi="Arial"/>
                <w:sz w:val="14"/>
                <w:szCs w:val="14"/>
                <w:color w:val="auto"/>
              </w:rPr>
              <w:t>401(k)  cash  direct  and</w:t>
            </w:r>
          </w:p>
        </w:tc>
        <w:tc>
          <w:tcPr>
            <w:tcW w:w="6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1280" w:type="dxa"/>
            <w:vAlign w:val="bottom"/>
          </w:tcPr>
          <w:p>
            <w:pPr>
              <w:spacing w:after="0"/>
              <w:rPr>
                <w:sz w:val="18"/>
                <w:szCs w:val="18"/>
                <w:color w:val="auto"/>
              </w:rPr>
            </w:pPr>
          </w:p>
        </w:tc>
        <w:tc>
          <w:tcPr>
            <w:tcW w:w="2000" w:type="dxa"/>
            <w:vAlign w:val="bottom"/>
          </w:tcPr>
          <w:p>
            <w:pPr>
              <w:ind w:left="280"/>
              <w:spacing w:after="0"/>
              <w:rPr>
                <w:sz w:val="20"/>
                <w:szCs w:val="20"/>
                <w:color w:val="auto"/>
              </w:rPr>
            </w:pPr>
            <w:r>
              <w:rPr>
                <w:rFonts w:ascii="Arial" w:cs="Arial" w:eastAsia="Arial" w:hAnsi="Arial"/>
                <w:sz w:val="14"/>
                <w:szCs w:val="14"/>
                <w:color w:val="auto"/>
              </w:rPr>
              <w:t>cash  match  program</w:t>
            </w:r>
          </w:p>
        </w:tc>
        <w:tc>
          <w:tcPr>
            <w:tcW w:w="6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1280" w:type="dxa"/>
            <w:vAlign w:val="bottom"/>
            <w:tcBorders>
              <w:bottom w:val="single" w:sz="8" w:color="808080"/>
            </w:tcBorders>
          </w:tcPr>
          <w:p>
            <w:pPr>
              <w:spacing w:after="0"/>
              <w:rPr>
                <w:sz w:val="8"/>
                <w:szCs w:val="8"/>
                <w:color w:val="auto"/>
              </w:rPr>
            </w:pPr>
          </w:p>
        </w:tc>
        <w:tc>
          <w:tcPr>
            <w:tcW w:w="2000" w:type="dxa"/>
            <w:vAlign w:val="bottom"/>
            <w:tcBorders>
              <w:bottom w:val="single" w:sz="8" w:color="808080"/>
            </w:tcBorders>
          </w:tcPr>
          <w:p>
            <w:pPr>
              <w:spacing w:after="0"/>
              <w:rPr>
                <w:sz w:val="8"/>
                <w:szCs w:val="8"/>
                <w:color w:val="auto"/>
              </w:rPr>
            </w:pPr>
          </w:p>
        </w:tc>
        <w:tc>
          <w:tcPr>
            <w:tcW w:w="60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45"/>
        </w:trPr>
        <w:tc>
          <w:tcPr>
            <w:tcW w:w="1280" w:type="dxa"/>
            <w:vAlign w:val="bottom"/>
          </w:tcPr>
          <w:p>
            <w:pPr>
              <w:ind w:left="100"/>
              <w:spacing w:after="0"/>
              <w:rPr>
                <w:sz w:val="20"/>
                <w:szCs w:val="20"/>
                <w:color w:val="auto"/>
              </w:rPr>
            </w:pPr>
            <w:r>
              <w:rPr>
                <w:rFonts w:ascii="Arial" w:cs="Arial" w:eastAsia="Arial" w:hAnsi="Arial"/>
                <w:sz w:val="14"/>
                <w:szCs w:val="14"/>
                <w:b w:val="1"/>
                <w:bCs w:val="1"/>
                <w:color w:val="auto"/>
              </w:rPr>
              <w:t>PERQUISITES</w:t>
            </w:r>
          </w:p>
        </w:tc>
        <w:tc>
          <w:tcPr>
            <w:tcW w:w="2000" w:type="dxa"/>
            <w:vAlign w:val="bottom"/>
          </w:tcPr>
          <w:p>
            <w:pPr>
              <w:ind w:left="280"/>
              <w:spacing w:after="0"/>
              <w:rPr>
                <w:sz w:val="20"/>
                <w:szCs w:val="20"/>
                <w:color w:val="auto"/>
              </w:rPr>
            </w:pPr>
            <w:r>
              <w:rPr>
                <w:rFonts w:ascii="Arial" w:cs="Arial" w:eastAsia="Arial" w:hAnsi="Arial"/>
                <w:sz w:val="14"/>
                <w:szCs w:val="14"/>
                <w:color w:val="auto"/>
              </w:rPr>
              <w:t>Non-cash  benefts,  such</w:t>
            </w:r>
          </w:p>
        </w:tc>
        <w:tc>
          <w:tcPr>
            <w:tcW w:w="6000" w:type="dxa"/>
            <w:vAlign w:val="bottom"/>
          </w:tcPr>
          <w:p>
            <w:pPr>
              <w:ind w:left="120"/>
              <w:spacing w:after="0"/>
              <w:rPr>
                <w:sz w:val="20"/>
                <w:szCs w:val="20"/>
                <w:color w:val="auto"/>
              </w:rPr>
            </w:pPr>
            <w:r>
              <w:rPr>
                <w:rFonts w:ascii="Arial" w:cs="Arial" w:eastAsia="Arial" w:hAnsi="Arial"/>
                <w:sz w:val="14"/>
                <w:szCs w:val="14"/>
                <w:color w:val="auto"/>
              </w:rPr>
              <w:t>Enhances  retention  and  strengthens  our  relationships  with  our  executives  and</w:t>
            </w:r>
          </w:p>
        </w:tc>
        <w:tc>
          <w:tcPr>
            <w:tcW w:w="0" w:type="dxa"/>
            <w:vAlign w:val="bottom"/>
          </w:tcPr>
          <w:p>
            <w:pPr>
              <w:spacing w:after="0"/>
              <w:rPr>
                <w:sz w:val="1"/>
                <w:szCs w:val="1"/>
                <w:color w:val="auto"/>
              </w:rPr>
            </w:pPr>
          </w:p>
        </w:tc>
      </w:tr>
      <w:tr>
        <w:trPr>
          <w:trHeight w:val="175"/>
        </w:trPr>
        <w:tc>
          <w:tcPr>
            <w:tcW w:w="1280" w:type="dxa"/>
            <w:vAlign w:val="bottom"/>
          </w:tcPr>
          <w:p>
            <w:pPr>
              <w:spacing w:after="0"/>
              <w:rPr>
                <w:sz w:val="15"/>
                <w:szCs w:val="15"/>
                <w:color w:val="auto"/>
              </w:rPr>
            </w:pPr>
          </w:p>
        </w:tc>
        <w:tc>
          <w:tcPr>
            <w:tcW w:w="2000" w:type="dxa"/>
            <w:vAlign w:val="bottom"/>
          </w:tcPr>
          <w:p>
            <w:pPr>
              <w:ind w:left="280"/>
              <w:spacing w:after="0"/>
              <w:rPr>
                <w:sz w:val="20"/>
                <w:szCs w:val="20"/>
                <w:color w:val="auto"/>
              </w:rPr>
            </w:pPr>
            <w:r>
              <w:rPr>
                <w:rFonts w:ascii="Arial" w:cs="Arial" w:eastAsia="Arial" w:hAnsi="Arial"/>
                <w:sz w:val="14"/>
                <w:szCs w:val="14"/>
                <w:color w:val="auto"/>
              </w:rPr>
              <w:t>as  active  fight  benefts,</w:t>
            </w:r>
          </w:p>
        </w:tc>
        <w:tc>
          <w:tcPr>
            <w:tcW w:w="6000" w:type="dxa"/>
            <w:vAlign w:val="bottom"/>
          </w:tcPr>
          <w:p>
            <w:pPr>
              <w:ind w:left="120"/>
              <w:spacing w:after="0"/>
              <w:rPr>
                <w:sz w:val="20"/>
                <w:szCs w:val="20"/>
                <w:color w:val="auto"/>
              </w:rPr>
            </w:pPr>
            <w:r>
              <w:rPr>
                <w:rFonts w:ascii="Arial" w:cs="Arial" w:eastAsia="Arial" w:hAnsi="Arial"/>
                <w:sz w:val="14"/>
                <w:szCs w:val="14"/>
                <w:color w:val="auto"/>
              </w:rPr>
              <w:t>generally  aligns  with  market  practice  for  perquisites  provided  to  executives  at  similar</w:t>
            </w:r>
          </w:p>
        </w:tc>
        <w:tc>
          <w:tcPr>
            <w:tcW w:w="0" w:type="dxa"/>
            <w:vAlign w:val="bottom"/>
          </w:tcPr>
          <w:p>
            <w:pPr>
              <w:spacing w:after="0"/>
              <w:rPr>
                <w:sz w:val="1"/>
                <w:szCs w:val="1"/>
                <w:color w:val="auto"/>
              </w:rPr>
            </w:pPr>
          </w:p>
        </w:tc>
      </w:tr>
      <w:tr>
        <w:trPr>
          <w:trHeight w:val="176"/>
        </w:trPr>
        <w:tc>
          <w:tcPr>
            <w:tcW w:w="1280" w:type="dxa"/>
            <w:vAlign w:val="bottom"/>
          </w:tcPr>
          <w:p>
            <w:pPr>
              <w:spacing w:after="0"/>
              <w:rPr>
                <w:sz w:val="15"/>
                <w:szCs w:val="15"/>
                <w:color w:val="auto"/>
              </w:rPr>
            </w:pPr>
          </w:p>
        </w:tc>
        <w:tc>
          <w:tcPr>
            <w:tcW w:w="2000" w:type="dxa"/>
            <w:vAlign w:val="bottom"/>
          </w:tcPr>
          <w:p>
            <w:pPr>
              <w:ind w:left="280"/>
              <w:spacing w:after="0"/>
              <w:rPr>
                <w:sz w:val="20"/>
                <w:szCs w:val="20"/>
                <w:color w:val="auto"/>
              </w:rPr>
            </w:pPr>
            <w:r>
              <w:rPr>
                <w:rFonts w:ascii="Arial" w:cs="Arial" w:eastAsia="Arial" w:hAnsi="Arial"/>
                <w:sz w:val="14"/>
                <w:szCs w:val="14"/>
                <w:color w:val="auto"/>
              </w:rPr>
              <w:t>health-related  benefts</w:t>
            </w:r>
          </w:p>
        </w:tc>
        <w:tc>
          <w:tcPr>
            <w:tcW w:w="6000" w:type="dxa"/>
            <w:vAlign w:val="bottom"/>
          </w:tcPr>
          <w:p>
            <w:pPr>
              <w:ind w:left="120"/>
              <w:spacing w:after="0"/>
              <w:rPr>
                <w:sz w:val="20"/>
                <w:szCs w:val="20"/>
                <w:color w:val="auto"/>
              </w:rPr>
            </w:pPr>
            <w:r>
              <w:rPr>
                <w:rFonts w:ascii="Arial" w:cs="Arial" w:eastAsia="Arial" w:hAnsi="Arial"/>
                <w:sz w:val="14"/>
                <w:szCs w:val="14"/>
                <w:color w:val="auto"/>
              </w:rPr>
              <w:t>levels  at  companies  within  the  airline  industry  and  general  industry  groups.</w:t>
            </w:r>
          </w:p>
        </w:tc>
        <w:tc>
          <w:tcPr>
            <w:tcW w:w="0" w:type="dxa"/>
            <w:vAlign w:val="bottom"/>
          </w:tcPr>
          <w:p>
            <w:pPr>
              <w:spacing w:after="0"/>
              <w:rPr>
                <w:sz w:val="1"/>
                <w:szCs w:val="1"/>
                <w:color w:val="auto"/>
              </w:rPr>
            </w:pPr>
          </w:p>
        </w:tc>
      </w:tr>
      <w:tr>
        <w:trPr>
          <w:trHeight w:val="162"/>
        </w:trPr>
        <w:tc>
          <w:tcPr>
            <w:tcW w:w="1280" w:type="dxa"/>
            <w:vAlign w:val="bottom"/>
          </w:tcPr>
          <w:p>
            <w:pPr>
              <w:spacing w:after="0"/>
              <w:rPr>
                <w:sz w:val="14"/>
                <w:szCs w:val="14"/>
                <w:color w:val="auto"/>
              </w:rPr>
            </w:pPr>
          </w:p>
        </w:tc>
        <w:tc>
          <w:tcPr>
            <w:tcW w:w="2000" w:type="dxa"/>
            <w:vAlign w:val="bottom"/>
          </w:tcPr>
          <w:p>
            <w:pPr>
              <w:ind w:left="280"/>
              <w:spacing w:after="0"/>
              <w:rPr>
                <w:sz w:val="20"/>
                <w:szCs w:val="20"/>
                <w:color w:val="auto"/>
              </w:rPr>
            </w:pPr>
            <w:r>
              <w:rPr>
                <w:rFonts w:ascii="Arial" w:cs="Arial" w:eastAsia="Arial" w:hAnsi="Arial"/>
                <w:sz w:val="14"/>
                <w:szCs w:val="14"/>
                <w:color w:val="auto"/>
              </w:rPr>
              <w:t>and  reimbursement  for</w:t>
            </w:r>
          </w:p>
        </w:tc>
        <w:tc>
          <w:tcPr>
            <w:tcW w:w="6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280" w:type="dxa"/>
            <w:vAlign w:val="bottom"/>
          </w:tcPr>
          <w:p>
            <w:pPr>
              <w:spacing w:after="0"/>
              <w:rPr>
                <w:sz w:val="15"/>
                <w:szCs w:val="15"/>
                <w:color w:val="auto"/>
              </w:rPr>
            </w:pPr>
          </w:p>
        </w:tc>
        <w:tc>
          <w:tcPr>
            <w:tcW w:w="2000" w:type="dxa"/>
            <w:vAlign w:val="bottom"/>
          </w:tcPr>
          <w:p>
            <w:pPr>
              <w:ind w:left="280"/>
              <w:spacing w:after="0"/>
              <w:rPr>
                <w:sz w:val="20"/>
                <w:szCs w:val="20"/>
                <w:color w:val="auto"/>
              </w:rPr>
            </w:pPr>
            <w:r>
              <w:rPr>
                <w:rFonts w:ascii="Arial" w:cs="Arial" w:eastAsia="Arial" w:hAnsi="Arial"/>
                <w:sz w:val="14"/>
                <w:szCs w:val="14"/>
                <w:color w:val="auto"/>
              </w:rPr>
              <w:t>certain  tax  and  fnancial</w:t>
            </w:r>
          </w:p>
        </w:tc>
        <w:tc>
          <w:tcPr>
            <w:tcW w:w="6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1280" w:type="dxa"/>
            <w:vAlign w:val="bottom"/>
          </w:tcPr>
          <w:p>
            <w:pPr>
              <w:spacing w:after="0"/>
              <w:rPr>
                <w:sz w:val="18"/>
                <w:szCs w:val="18"/>
                <w:color w:val="auto"/>
              </w:rPr>
            </w:pPr>
          </w:p>
        </w:tc>
        <w:tc>
          <w:tcPr>
            <w:tcW w:w="2000" w:type="dxa"/>
            <w:vAlign w:val="bottom"/>
          </w:tcPr>
          <w:p>
            <w:pPr>
              <w:ind w:left="280"/>
              <w:spacing w:after="0"/>
              <w:rPr>
                <w:sz w:val="20"/>
                <w:szCs w:val="20"/>
                <w:color w:val="auto"/>
              </w:rPr>
            </w:pPr>
            <w:r>
              <w:rPr>
                <w:rFonts w:ascii="Arial" w:cs="Arial" w:eastAsia="Arial" w:hAnsi="Arial"/>
                <w:sz w:val="14"/>
                <w:szCs w:val="14"/>
                <w:color w:val="auto"/>
              </w:rPr>
              <w:t>services</w:t>
            </w:r>
          </w:p>
        </w:tc>
        <w:tc>
          <w:tcPr>
            <w:tcW w:w="6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1280" w:type="dxa"/>
            <w:vAlign w:val="bottom"/>
            <w:tcBorders>
              <w:bottom w:val="single" w:sz="8" w:color="808080"/>
            </w:tcBorders>
          </w:tcPr>
          <w:p>
            <w:pPr>
              <w:spacing w:after="0"/>
              <w:rPr>
                <w:sz w:val="8"/>
                <w:szCs w:val="8"/>
                <w:color w:val="auto"/>
              </w:rPr>
            </w:pPr>
          </w:p>
        </w:tc>
        <w:tc>
          <w:tcPr>
            <w:tcW w:w="2000" w:type="dxa"/>
            <w:vAlign w:val="bottom"/>
            <w:tcBorders>
              <w:bottom w:val="single" w:sz="8" w:color="808080"/>
            </w:tcBorders>
          </w:tcPr>
          <w:p>
            <w:pPr>
              <w:spacing w:after="0"/>
              <w:rPr>
                <w:sz w:val="8"/>
                <w:szCs w:val="8"/>
                <w:color w:val="auto"/>
              </w:rPr>
            </w:pPr>
          </w:p>
        </w:tc>
        <w:tc>
          <w:tcPr>
            <w:tcW w:w="60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81" w:space="152"/>
            <w:col w:w="9280"/>
          </w:cols>
          <w:pgMar w:left="987" w:top="695" w:right="10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7333"/>
        <w:spacing w:after="0"/>
        <w:rPr>
          <w:sz w:val="20"/>
          <w:szCs w:val="20"/>
          <w:color w:val="auto"/>
        </w:rPr>
      </w:pPr>
      <w:r>
        <w:rPr>
          <w:rFonts w:ascii="Arial" w:cs="Arial" w:eastAsia="Arial" w:hAnsi="Arial"/>
          <w:sz w:val="15"/>
          <w:szCs w:val="15"/>
          <w:color w:val="auto"/>
        </w:rPr>
        <w:t>2026  Proxy  Statement</w:t>
      </w:r>
    </w:p>
    <w:p>
      <w:pPr>
        <w:sectPr>
          <w:pgSz w:w="11900" w:h="16838" w:orient="portrait"/>
          <w:cols w:equalWidth="0" w:num="1">
            <w:col w:w="9813"/>
          </w:cols>
          <w:pgMar w:left="987" w:top="695" w:right="1099" w:bottom="1440" w:gutter="0" w:footer="0" w:header="0"/>
          <w:type w:val="continuous"/>
        </w:sectPr>
      </w:pPr>
    </w:p>
    <w:p>
      <w:pPr>
        <w:spacing w:after="0" w:line="179" w:lineRule="exact"/>
        <w:rPr>
          <w:sz w:val="20"/>
          <w:szCs w:val="20"/>
          <w:color w:val="auto"/>
        </w:rPr>
      </w:pPr>
    </w:p>
    <w:p>
      <w:pPr>
        <w:ind w:left="9633"/>
        <w:spacing w:after="0"/>
        <w:rPr>
          <w:sz w:val="20"/>
          <w:szCs w:val="20"/>
          <w:color w:val="auto"/>
        </w:rPr>
      </w:pPr>
      <w:r>
        <w:rPr>
          <w:rFonts w:ascii="Arial" w:cs="Arial" w:eastAsia="Arial" w:hAnsi="Arial"/>
          <w:sz w:val="16"/>
          <w:szCs w:val="16"/>
          <w:b w:val="1"/>
          <w:bCs w:val="1"/>
          <w:color w:val="1414D2"/>
        </w:rPr>
        <w:t>93</w:t>
      </w:r>
    </w:p>
    <w:p>
      <w:pPr>
        <w:sectPr>
          <w:pgSz w:w="11900" w:h="16838" w:orient="portrait"/>
          <w:cols w:equalWidth="0" w:num="1">
            <w:col w:w="9813"/>
          </w:cols>
          <w:pgMar w:left="987" w:top="695" w:right="1099" w:bottom="1440" w:gutter="0" w:footer="0" w:header="0"/>
          <w:type w:val="continuous"/>
        </w:sectPr>
      </w:pPr>
    </w:p>
    <w:bookmarkStart w:id="104" w:name="page105"/>
    <w:bookmarkEnd w:id="104"/>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6D6F71"/>
        </w:rPr>
        <w:t>Compensation  Discussion  and  Analysis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ELEMENTS OF 2025 EXECUTIVE COMPENSATION</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414D2"/>
        </w:rPr>
        <w:t>Base Salary</w:t>
      </w:r>
    </w:p>
    <w:p>
      <w:pPr>
        <w:spacing w:after="0" w:line="129"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The Committee generally reviews and approves base salaries annually in February, with the new rates efective as of April 1, and makes periodic adjustments in connection with promotions, changes in roles and/or responsibilities or to reward individual performance and promote market competitiveness. In making any such adjustments, the Committee considers individual performance, the NEO’s experience, the breadth, scope and complexity of the NEO’s role, internal pay parity, whether the NEO’s</w:t>
      </w:r>
    </w:p>
    <w:p>
      <w:pPr>
        <w:spacing w:after="0" w:line="3" w:lineRule="exact"/>
        <w:rPr>
          <w:sz w:val="20"/>
          <w:szCs w:val="20"/>
          <w:color w:val="auto"/>
        </w:rPr>
      </w:pPr>
    </w:p>
    <w:p>
      <w:pPr>
        <w:ind w:right="340"/>
        <w:spacing w:after="0" w:line="279" w:lineRule="auto"/>
        <w:rPr>
          <w:sz w:val="20"/>
          <w:szCs w:val="20"/>
          <w:color w:val="auto"/>
        </w:rPr>
      </w:pPr>
      <w:r>
        <w:rPr>
          <w:rFonts w:ascii="Arial" w:cs="Arial" w:eastAsia="Arial" w:hAnsi="Arial"/>
          <w:sz w:val="16"/>
          <w:szCs w:val="16"/>
          <w:color w:val="auto"/>
        </w:rPr>
        <w:t>base salary is appropriately positioned relative to similarly-situated executives in our peer group, compensation tally sheets summarizing the NEO’s total target and expected actual compensation, recent compensation adjustments and the average compensation of similarly situated executives in the Company’s peer group, among other factors.</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Considering  these  factors,  the  Committee  determined  to  increase  Mr.  Leskinen’s  base  salary  in  order  to  reward  Mr.  Leskinen  for</w:t>
      </w:r>
    </w:p>
    <w:p>
      <w:pPr>
        <w:spacing w:after="0" w:line="30" w:lineRule="exact"/>
        <w:rPr>
          <w:sz w:val="20"/>
          <w:szCs w:val="20"/>
          <w:color w:val="auto"/>
        </w:rPr>
      </w:pPr>
    </w:p>
    <w:p>
      <w:pPr>
        <w:ind w:right="60"/>
        <w:spacing w:after="0" w:line="313" w:lineRule="auto"/>
        <w:rPr>
          <w:sz w:val="20"/>
          <w:szCs w:val="20"/>
          <w:color w:val="auto"/>
        </w:rPr>
      </w:pPr>
      <w:r>
        <w:rPr>
          <w:rFonts w:ascii="Arial" w:cs="Arial" w:eastAsia="Arial" w:hAnsi="Arial"/>
          <w:sz w:val="16"/>
          <w:szCs w:val="16"/>
          <w:color w:val="auto"/>
        </w:rPr>
        <w:t>his continued strong performance and contributions to the Company. Each other NEO’s 2025 base salary remained unchanged compared to the NEO’s 2024 base salary.</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980" w:type="dxa"/>
            <w:vAlign w:val="bottom"/>
            <w:tcBorders>
              <w:top w:val="single" w:sz="8" w:color="1414D2"/>
              <w:bottom w:val="single" w:sz="8" w:color="F2F2F2"/>
            </w:tcBorders>
            <w:shd w:val="clear" w:color="auto" w:fill="F2F2F2"/>
          </w:tcPr>
          <w:p>
            <w:pPr>
              <w:spacing w:after="0"/>
              <w:rPr>
                <w:sz w:val="18"/>
                <w:szCs w:val="18"/>
                <w:color w:val="auto"/>
              </w:rPr>
            </w:pPr>
          </w:p>
        </w:tc>
        <w:tc>
          <w:tcPr>
            <w:tcW w:w="280" w:type="dxa"/>
            <w:vAlign w:val="bottom"/>
            <w:tcBorders>
              <w:top w:val="single" w:sz="8" w:color="1414D2"/>
              <w:bottom w:val="single" w:sz="8" w:color="F2F2F2"/>
            </w:tcBorders>
            <w:shd w:val="clear" w:color="auto" w:fill="F2F2F2"/>
          </w:tcPr>
          <w:p>
            <w:pPr>
              <w:ind w:left="140"/>
              <w:spacing w:after="0"/>
              <w:rPr>
                <w:sz w:val="20"/>
                <w:szCs w:val="20"/>
                <w:color w:val="auto"/>
              </w:rPr>
            </w:pPr>
            <w:r>
              <w:rPr>
                <w:rFonts w:ascii="Arial" w:cs="Arial" w:eastAsia="Arial" w:hAnsi="Arial"/>
                <w:sz w:val="14"/>
                <w:szCs w:val="14"/>
                <w:b w:val="1"/>
                <w:bCs w:val="1"/>
                <w:color w:val="auto"/>
              </w:rPr>
              <w:t>​​​</w:t>
            </w:r>
          </w:p>
        </w:tc>
        <w:tc>
          <w:tcPr>
            <w:tcW w:w="280" w:type="dxa"/>
            <w:vAlign w:val="bottom"/>
            <w:tcBorders>
              <w:top w:val="single" w:sz="8" w:color="1414D2"/>
              <w:bottom w:val="single" w:sz="8" w:color="1414D2"/>
            </w:tcBorders>
            <w:shd w:val="clear" w:color="auto" w:fill="F2F2F2"/>
          </w:tcPr>
          <w:p>
            <w:pPr>
              <w:spacing w:after="0"/>
              <w:rPr>
                <w:sz w:val="18"/>
                <w:szCs w:val="18"/>
                <w:color w:val="auto"/>
              </w:rPr>
            </w:pPr>
          </w:p>
        </w:tc>
        <w:tc>
          <w:tcPr>
            <w:tcW w:w="3020" w:type="dxa"/>
            <w:vAlign w:val="bottom"/>
            <w:tcBorders>
              <w:top w:val="single" w:sz="8" w:color="1414D2"/>
              <w:bottom w:val="single" w:sz="8" w:color="1414D2"/>
            </w:tcBorders>
            <w:gridSpan w:val="3"/>
            <w:shd w:val="clear" w:color="auto" w:fill="F2F2F2"/>
          </w:tcPr>
          <w:p>
            <w:pPr>
              <w:jc w:val="right"/>
              <w:ind w:right="1"/>
              <w:spacing w:after="0"/>
              <w:rPr>
                <w:sz w:val="20"/>
                <w:szCs w:val="20"/>
                <w:color w:val="auto"/>
              </w:rPr>
            </w:pPr>
            <w:r>
              <w:rPr>
                <w:rFonts w:ascii="Arial" w:cs="Arial" w:eastAsia="Arial" w:hAnsi="Arial"/>
                <w:sz w:val="14"/>
                <w:szCs w:val="14"/>
                <w:b w:val="1"/>
                <w:bCs w:val="1"/>
                <w:color w:val="auto"/>
              </w:rPr>
              <w:t>Base Salary (Annualized Rate)</w:t>
            </w:r>
          </w:p>
        </w:tc>
        <w:tc>
          <w:tcPr>
            <w:tcW w:w="1160" w:type="dxa"/>
            <w:vAlign w:val="bottom"/>
            <w:tcBorders>
              <w:top w:val="single" w:sz="8" w:color="1414D2"/>
              <w:bottom w:val="single" w:sz="8" w:color="1414D2"/>
            </w:tcBorders>
            <w:shd w:val="clear" w:color="auto" w:fill="F2F2F2"/>
          </w:tcPr>
          <w:p>
            <w:pPr>
              <w:spacing w:after="0"/>
              <w:rPr>
                <w:sz w:val="18"/>
                <w:szCs w:val="18"/>
                <w:color w:val="auto"/>
              </w:rPr>
            </w:pPr>
          </w:p>
        </w:tc>
      </w:tr>
      <w:tr>
        <w:trPr>
          <w:trHeight w:val="392"/>
        </w:trPr>
        <w:tc>
          <w:tcPr>
            <w:tcW w:w="4980" w:type="dxa"/>
            <w:vAlign w:val="bottom"/>
            <w:shd w:val="clear" w:color="auto" w:fill="F2F2F2"/>
          </w:tcPr>
          <w:p>
            <w:pPr>
              <w:ind w:left="120"/>
              <w:spacing w:after="0"/>
              <w:rPr>
                <w:sz w:val="20"/>
                <w:szCs w:val="20"/>
                <w:color w:val="auto"/>
              </w:rPr>
            </w:pPr>
            <w:r>
              <w:rPr>
                <w:rFonts w:ascii="Arial" w:cs="Arial" w:eastAsia="Arial" w:hAnsi="Arial"/>
                <w:sz w:val="14"/>
                <w:szCs w:val="14"/>
                <w:b w:val="1"/>
                <w:bCs w:val="1"/>
                <w:color w:val="auto"/>
              </w:rPr>
              <w:t>Named Executive Ofcer</w:t>
            </w:r>
          </w:p>
        </w:tc>
        <w:tc>
          <w:tcPr>
            <w:tcW w:w="280" w:type="dxa"/>
            <w:vAlign w:val="bottom"/>
            <w:shd w:val="clear" w:color="auto" w:fill="F2F2F2"/>
          </w:tcPr>
          <w:p>
            <w:pPr>
              <w:spacing w:after="0"/>
              <w:rPr>
                <w:sz w:val="24"/>
                <w:szCs w:val="24"/>
                <w:color w:val="auto"/>
              </w:rPr>
            </w:pPr>
          </w:p>
        </w:tc>
        <w:tc>
          <w:tcPr>
            <w:tcW w:w="280" w:type="dxa"/>
            <w:vAlign w:val="bottom"/>
            <w:shd w:val="clear" w:color="auto" w:fill="F2F2F2"/>
          </w:tcPr>
          <w:p>
            <w:pPr>
              <w:spacing w:after="0"/>
              <w:rPr>
                <w:sz w:val="24"/>
                <w:szCs w:val="24"/>
                <w:color w:val="auto"/>
              </w:rPr>
            </w:pPr>
          </w:p>
        </w:tc>
        <w:tc>
          <w:tcPr>
            <w:tcW w:w="1160" w:type="dxa"/>
            <w:vAlign w:val="bottom"/>
            <w:shd w:val="clear" w:color="auto" w:fill="F2F2F2"/>
          </w:tcPr>
          <w:p>
            <w:pPr>
              <w:jc w:val="right"/>
              <w:ind w:right="462"/>
              <w:spacing w:after="0"/>
              <w:rPr>
                <w:sz w:val="20"/>
                <w:szCs w:val="20"/>
                <w:color w:val="auto"/>
              </w:rPr>
            </w:pPr>
            <w:r>
              <w:rPr>
                <w:rFonts w:ascii="Arial" w:cs="Arial" w:eastAsia="Arial" w:hAnsi="Arial"/>
                <w:sz w:val="14"/>
                <w:szCs w:val="14"/>
                <w:b w:val="1"/>
                <w:bCs w:val="1"/>
                <w:color w:val="auto"/>
              </w:rPr>
              <w:t>2024</w:t>
            </w:r>
            <w:r>
              <w:rPr>
                <w:rFonts w:ascii="Arial" w:cs="Arial" w:eastAsia="Arial" w:hAnsi="Arial"/>
                <w:sz w:val="21"/>
                <w:szCs w:val="21"/>
                <w:b w:val="1"/>
                <w:bCs w:val="1"/>
                <w:color w:val="auto"/>
                <w:vertAlign w:val="superscript"/>
              </w:rPr>
              <w:t>(1)</w:t>
            </w:r>
          </w:p>
        </w:tc>
        <w:tc>
          <w:tcPr>
            <w:tcW w:w="420" w:type="dxa"/>
            <w:vAlign w:val="bottom"/>
            <w:shd w:val="clear" w:color="auto" w:fill="F2F2F2"/>
          </w:tcPr>
          <w:p>
            <w:pPr>
              <w:spacing w:after="0"/>
              <w:rPr>
                <w:sz w:val="24"/>
                <w:szCs w:val="24"/>
                <w:color w:val="auto"/>
              </w:rPr>
            </w:pPr>
          </w:p>
        </w:tc>
        <w:tc>
          <w:tcPr>
            <w:tcW w:w="1440" w:type="dxa"/>
            <w:vAlign w:val="bottom"/>
            <w:shd w:val="clear" w:color="auto" w:fill="F2F2F2"/>
          </w:tcPr>
          <w:p>
            <w:pPr>
              <w:jc w:val="right"/>
              <w:ind w:right="741"/>
              <w:spacing w:after="0"/>
              <w:rPr>
                <w:sz w:val="20"/>
                <w:szCs w:val="20"/>
                <w:color w:val="auto"/>
              </w:rPr>
            </w:pPr>
            <w:r>
              <w:rPr>
                <w:rFonts w:ascii="Arial" w:cs="Arial" w:eastAsia="Arial" w:hAnsi="Arial"/>
                <w:sz w:val="14"/>
                <w:szCs w:val="14"/>
                <w:b w:val="1"/>
                <w:bCs w:val="1"/>
                <w:color w:val="auto"/>
              </w:rPr>
              <w:t>2025</w:t>
            </w:r>
            <w:r>
              <w:rPr>
                <w:rFonts w:ascii="Arial" w:cs="Arial" w:eastAsia="Arial" w:hAnsi="Arial"/>
                <w:sz w:val="21"/>
                <w:szCs w:val="21"/>
                <w:b w:val="1"/>
                <w:bCs w:val="1"/>
                <w:color w:val="auto"/>
                <w:vertAlign w:val="superscript"/>
              </w:rPr>
              <w:t>(2)</w:t>
            </w:r>
          </w:p>
        </w:tc>
        <w:tc>
          <w:tcPr>
            <w:tcW w:w="1160" w:type="dxa"/>
            <w:vAlign w:val="bottom"/>
            <w:shd w:val="clear" w:color="auto" w:fill="F2F2F2"/>
          </w:tcPr>
          <w:p>
            <w:pPr>
              <w:jc w:val="right"/>
              <w:ind w:right="281"/>
              <w:spacing w:after="0"/>
              <w:rPr>
                <w:sz w:val="20"/>
                <w:szCs w:val="20"/>
                <w:color w:val="auto"/>
              </w:rPr>
            </w:pPr>
            <w:r>
              <w:rPr>
                <w:rFonts w:ascii="Arial" w:cs="Arial" w:eastAsia="Arial" w:hAnsi="Arial"/>
                <w:sz w:val="14"/>
                <w:szCs w:val="14"/>
                <w:b w:val="1"/>
                <w:bCs w:val="1"/>
                <w:color w:val="auto"/>
              </w:rPr>
              <w:t>% Change</w:t>
            </w:r>
          </w:p>
        </w:tc>
      </w:tr>
      <w:tr>
        <w:trPr>
          <w:trHeight w:val="189"/>
        </w:trPr>
        <w:tc>
          <w:tcPr>
            <w:tcW w:w="4980" w:type="dxa"/>
            <w:vAlign w:val="bottom"/>
            <w:tcBorders>
              <w:bottom w:val="single" w:sz="8" w:color="808080"/>
            </w:tcBorders>
          </w:tcPr>
          <w:p>
            <w:pPr>
              <w:ind w:left="120"/>
              <w:spacing w:after="0"/>
              <w:rPr>
                <w:sz w:val="20"/>
                <w:szCs w:val="20"/>
                <w:color w:val="auto"/>
              </w:rPr>
            </w:pPr>
            <w:r>
              <w:rPr>
                <w:rFonts w:ascii="Arial" w:cs="Arial" w:eastAsia="Arial" w:hAnsi="Arial"/>
                <w:sz w:val="16"/>
                <w:szCs w:val="16"/>
                <w:b w:val="1"/>
                <w:bCs w:val="1"/>
                <w:color w:val="1414D2"/>
              </w:rPr>
              <w:t>Scott Kirby</w:t>
            </w:r>
          </w:p>
        </w:tc>
        <w:tc>
          <w:tcPr>
            <w:tcW w:w="280" w:type="dxa"/>
            <w:vAlign w:val="bottom"/>
            <w:tcBorders>
              <w:bottom w:val="single" w:sz="8" w:color="808080"/>
            </w:tcBorders>
          </w:tcPr>
          <w:p>
            <w:pPr>
              <w:spacing w:after="0"/>
              <w:rPr>
                <w:sz w:val="16"/>
                <w:szCs w:val="16"/>
                <w:color w:val="auto"/>
              </w:rPr>
            </w:pPr>
          </w:p>
        </w:tc>
        <w:tc>
          <w:tcPr>
            <w:tcW w:w="280" w:type="dxa"/>
            <w:vAlign w:val="bottom"/>
            <w:tcBorders>
              <w:bottom w:val="single" w:sz="8" w:color="808080"/>
            </w:tcBorders>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808080"/>
            </w:tcBorders>
          </w:tcPr>
          <w:p>
            <w:pPr>
              <w:jc w:val="right"/>
              <w:ind w:right="82"/>
              <w:spacing w:after="0"/>
              <w:rPr>
                <w:sz w:val="20"/>
                <w:szCs w:val="20"/>
                <w:color w:val="auto"/>
              </w:rPr>
            </w:pPr>
            <w:r>
              <w:rPr>
                <w:rFonts w:ascii="Arial" w:cs="Arial" w:eastAsia="Arial" w:hAnsi="Arial"/>
                <w:sz w:val="16"/>
                <w:szCs w:val="16"/>
                <w:color w:val="auto"/>
              </w:rPr>
              <w:t>1,200,000</w:t>
            </w:r>
          </w:p>
        </w:tc>
        <w:tc>
          <w:tcPr>
            <w:tcW w:w="420" w:type="dxa"/>
            <w:vAlign w:val="bottom"/>
            <w:tcBorders>
              <w:bottom w:val="single" w:sz="8" w:color="808080"/>
            </w:tcBorders>
          </w:tcPr>
          <w:p>
            <w:pPr>
              <w:jc w:val="right"/>
              <w:ind w:right="7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808080"/>
            </w:tcBorders>
          </w:tcPr>
          <w:p>
            <w:pPr>
              <w:jc w:val="right"/>
              <w:ind w:right="381"/>
              <w:spacing w:after="0"/>
              <w:rPr>
                <w:sz w:val="20"/>
                <w:szCs w:val="20"/>
                <w:color w:val="auto"/>
              </w:rPr>
            </w:pPr>
            <w:r>
              <w:rPr>
                <w:rFonts w:ascii="Arial" w:cs="Arial" w:eastAsia="Arial" w:hAnsi="Arial"/>
                <w:sz w:val="16"/>
                <w:szCs w:val="16"/>
                <w:color w:val="auto"/>
              </w:rPr>
              <w:t>1,200,000</w:t>
            </w:r>
          </w:p>
        </w:tc>
        <w:tc>
          <w:tcPr>
            <w:tcW w:w="1160" w:type="dxa"/>
            <w:vAlign w:val="bottom"/>
            <w:tcBorders>
              <w:bottom w:val="single" w:sz="8" w:color="808080"/>
            </w:tcBorders>
          </w:tcPr>
          <w:p>
            <w:pPr>
              <w:jc w:val="right"/>
              <w:spacing w:after="0"/>
              <w:rPr>
                <w:sz w:val="20"/>
                <w:szCs w:val="20"/>
                <w:color w:val="auto"/>
              </w:rPr>
            </w:pPr>
            <w:r>
              <w:rPr>
                <w:rFonts w:ascii="Arial" w:cs="Arial" w:eastAsia="Arial" w:hAnsi="Arial"/>
                <w:sz w:val="16"/>
                <w:szCs w:val="16"/>
                <w:color w:val="auto"/>
              </w:rPr>
              <w:t>-  %</w:t>
            </w:r>
          </w:p>
        </w:tc>
      </w:tr>
      <w:tr>
        <w:trPr>
          <w:trHeight w:val="183"/>
        </w:trPr>
        <w:tc>
          <w:tcPr>
            <w:tcW w:w="5260" w:type="dxa"/>
            <w:vAlign w:val="bottom"/>
            <w:tcBorders>
              <w:bottom w:val="single" w:sz="8" w:color="808080"/>
            </w:tcBorders>
            <w:gridSpan w:val="2"/>
          </w:tcPr>
          <w:p>
            <w:pPr>
              <w:ind w:left="120"/>
              <w:spacing w:after="0" w:line="183" w:lineRule="exact"/>
              <w:rPr>
                <w:sz w:val="20"/>
                <w:szCs w:val="20"/>
                <w:color w:val="auto"/>
              </w:rPr>
            </w:pPr>
            <w:r>
              <w:rPr>
                <w:rFonts w:ascii="Arial" w:cs="Arial" w:eastAsia="Arial" w:hAnsi="Arial"/>
                <w:sz w:val="16"/>
                <w:szCs w:val="16"/>
                <w:b w:val="1"/>
                <w:bCs w:val="1"/>
                <w:color w:val="1414D2"/>
              </w:rPr>
              <w:t>Brett Hart</w:t>
            </w:r>
          </w:p>
        </w:tc>
        <w:tc>
          <w:tcPr>
            <w:tcW w:w="280" w:type="dxa"/>
            <w:vAlign w:val="bottom"/>
            <w:tcBorders>
              <w:bottom w:val="single" w:sz="8" w:color="808080"/>
            </w:tcBorders>
          </w:tcPr>
          <w:p>
            <w:pPr>
              <w:jc w:val="right"/>
              <w:ind w:right="99"/>
              <w:spacing w:after="0" w:line="183" w:lineRule="exact"/>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808080"/>
            </w:tcBorders>
          </w:tcPr>
          <w:p>
            <w:pPr>
              <w:jc w:val="right"/>
              <w:ind w:right="82"/>
              <w:spacing w:after="0" w:line="183" w:lineRule="exact"/>
              <w:rPr>
                <w:sz w:val="20"/>
                <w:szCs w:val="20"/>
                <w:color w:val="auto"/>
              </w:rPr>
            </w:pPr>
            <w:r>
              <w:rPr>
                <w:rFonts w:ascii="Arial" w:cs="Arial" w:eastAsia="Arial" w:hAnsi="Arial"/>
                <w:sz w:val="16"/>
                <w:szCs w:val="16"/>
                <w:color w:val="auto"/>
              </w:rPr>
              <w:t>1,000,000</w:t>
            </w:r>
          </w:p>
        </w:tc>
        <w:tc>
          <w:tcPr>
            <w:tcW w:w="420" w:type="dxa"/>
            <w:vAlign w:val="bottom"/>
            <w:tcBorders>
              <w:bottom w:val="single" w:sz="8" w:color="808080"/>
            </w:tcBorders>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1440" w:type="dxa"/>
            <w:vAlign w:val="bottom"/>
            <w:tcBorders>
              <w:bottom w:val="single" w:sz="8" w:color="808080"/>
            </w:tcBorders>
          </w:tcPr>
          <w:p>
            <w:pPr>
              <w:jc w:val="right"/>
              <w:ind w:right="381"/>
              <w:spacing w:after="0" w:line="183" w:lineRule="exact"/>
              <w:rPr>
                <w:sz w:val="20"/>
                <w:szCs w:val="20"/>
                <w:color w:val="auto"/>
              </w:rPr>
            </w:pPr>
            <w:r>
              <w:rPr>
                <w:rFonts w:ascii="Arial" w:cs="Arial" w:eastAsia="Arial" w:hAnsi="Arial"/>
                <w:sz w:val="16"/>
                <w:szCs w:val="16"/>
                <w:color w:val="auto"/>
              </w:rPr>
              <w:t>1,000,000</w:t>
            </w:r>
          </w:p>
        </w:tc>
        <w:tc>
          <w:tcPr>
            <w:tcW w:w="1160" w:type="dxa"/>
            <w:vAlign w:val="bottom"/>
            <w:tcBorders>
              <w:bottom w:val="single" w:sz="8" w:color="808080"/>
            </w:tcBorders>
          </w:tcPr>
          <w:p>
            <w:pPr>
              <w:jc w:val="right"/>
              <w:spacing w:after="0" w:line="183" w:lineRule="exact"/>
              <w:rPr>
                <w:sz w:val="20"/>
                <w:szCs w:val="20"/>
                <w:color w:val="auto"/>
              </w:rPr>
            </w:pPr>
            <w:r>
              <w:rPr>
                <w:rFonts w:ascii="Arial" w:cs="Arial" w:eastAsia="Arial" w:hAnsi="Arial"/>
                <w:sz w:val="16"/>
                <w:szCs w:val="16"/>
                <w:color w:val="auto"/>
              </w:rPr>
              <w:t>-  %</w:t>
            </w:r>
          </w:p>
        </w:tc>
      </w:tr>
      <w:tr>
        <w:trPr>
          <w:trHeight w:val="183"/>
        </w:trPr>
        <w:tc>
          <w:tcPr>
            <w:tcW w:w="5260" w:type="dxa"/>
            <w:vAlign w:val="bottom"/>
            <w:tcBorders>
              <w:bottom w:val="single" w:sz="8" w:color="808080"/>
            </w:tcBorders>
            <w:gridSpan w:val="2"/>
          </w:tcPr>
          <w:p>
            <w:pPr>
              <w:ind w:left="120"/>
              <w:spacing w:after="0" w:line="183" w:lineRule="exact"/>
              <w:rPr>
                <w:sz w:val="20"/>
                <w:szCs w:val="20"/>
                <w:color w:val="auto"/>
              </w:rPr>
            </w:pPr>
            <w:r>
              <w:rPr>
                <w:rFonts w:ascii="Arial" w:cs="Arial" w:eastAsia="Arial" w:hAnsi="Arial"/>
                <w:sz w:val="16"/>
                <w:szCs w:val="16"/>
                <w:b w:val="1"/>
                <w:bCs w:val="1"/>
                <w:color w:val="1414D2"/>
              </w:rPr>
              <w:t>Torbjorn Enqvist</w:t>
            </w:r>
          </w:p>
        </w:tc>
        <w:tc>
          <w:tcPr>
            <w:tcW w:w="280" w:type="dxa"/>
            <w:vAlign w:val="bottom"/>
            <w:tcBorders>
              <w:bottom w:val="single" w:sz="8" w:color="808080"/>
            </w:tcBorders>
          </w:tcPr>
          <w:p>
            <w:pPr>
              <w:jc w:val="right"/>
              <w:ind w:right="99"/>
              <w:spacing w:after="0" w:line="183" w:lineRule="exact"/>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808080"/>
            </w:tcBorders>
          </w:tcPr>
          <w:p>
            <w:pPr>
              <w:jc w:val="right"/>
              <w:ind w:right="82"/>
              <w:spacing w:after="0" w:line="183" w:lineRule="exact"/>
              <w:rPr>
                <w:sz w:val="20"/>
                <w:szCs w:val="20"/>
                <w:color w:val="auto"/>
              </w:rPr>
            </w:pPr>
            <w:r>
              <w:rPr>
                <w:rFonts w:ascii="Arial" w:cs="Arial" w:eastAsia="Arial" w:hAnsi="Arial"/>
                <w:sz w:val="16"/>
                <w:szCs w:val="16"/>
                <w:color w:val="auto"/>
              </w:rPr>
              <w:t>880,000</w:t>
            </w:r>
          </w:p>
        </w:tc>
        <w:tc>
          <w:tcPr>
            <w:tcW w:w="420" w:type="dxa"/>
            <w:vAlign w:val="bottom"/>
            <w:tcBorders>
              <w:bottom w:val="single" w:sz="8" w:color="808080"/>
            </w:tcBorders>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1440" w:type="dxa"/>
            <w:vAlign w:val="bottom"/>
            <w:tcBorders>
              <w:bottom w:val="single" w:sz="8" w:color="808080"/>
            </w:tcBorders>
          </w:tcPr>
          <w:p>
            <w:pPr>
              <w:jc w:val="right"/>
              <w:ind w:right="381"/>
              <w:spacing w:after="0" w:line="183" w:lineRule="exact"/>
              <w:rPr>
                <w:sz w:val="20"/>
                <w:szCs w:val="20"/>
                <w:color w:val="auto"/>
              </w:rPr>
            </w:pPr>
            <w:r>
              <w:rPr>
                <w:rFonts w:ascii="Arial" w:cs="Arial" w:eastAsia="Arial" w:hAnsi="Arial"/>
                <w:sz w:val="16"/>
                <w:szCs w:val="16"/>
                <w:color w:val="auto"/>
              </w:rPr>
              <w:t>880,000</w:t>
            </w:r>
          </w:p>
        </w:tc>
        <w:tc>
          <w:tcPr>
            <w:tcW w:w="1160" w:type="dxa"/>
            <w:vAlign w:val="bottom"/>
            <w:tcBorders>
              <w:bottom w:val="single" w:sz="8" w:color="808080"/>
            </w:tcBorders>
          </w:tcPr>
          <w:p>
            <w:pPr>
              <w:jc w:val="right"/>
              <w:spacing w:after="0" w:line="183" w:lineRule="exact"/>
              <w:rPr>
                <w:sz w:val="20"/>
                <w:szCs w:val="20"/>
                <w:color w:val="auto"/>
              </w:rPr>
            </w:pPr>
            <w:r>
              <w:rPr>
                <w:rFonts w:ascii="Arial" w:cs="Arial" w:eastAsia="Arial" w:hAnsi="Arial"/>
                <w:sz w:val="16"/>
                <w:szCs w:val="16"/>
                <w:color w:val="auto"/>
              </w:rPr>
              <w:t>-  %</w:t>
            </w:r>
          </w:p>
        </w:tc>
      </w:tr>
      <w:tr>
        <w:trPr>
          <w:trHeight w:val="183"/>
        </w:trPr>
        <w:tc>
          <w:tcPr>
            <w:tcW w:w="5260" w:type="dxa"/>
            <w:vAlign w:val="bottom"/>
            <w:tcBorders>
              <w:bottom w:val="single" w:sz="8" w:color="808080"/>
            </w:tcBorders>
            <w:gridSpan w:val="2"/>
          </w:tcPr>
          <w:p>
            <w:pPr>
              <w:ind w:left="120"/>
              <w:spacing w:after="0" w:line="183" w:lineRule="exact"/>
              <w:rPr>
                <w:sz w:val="20"/>
                <w:szCs w:val="20"/>
                <w:color w:val="auto"/>
              </w:rPr>
            </w:pPr>
            <w:r>
              <w:rPr>
                <w:rFonts w:ascii="Arial" w:cs="Arial" w:eastAsia="Arial" w:hAnsi="Arial"/>
                <w:sz w:val="16"/>
                <w:szCs w:val="16"/>
                <w:b w:val="1"/>
                <w:bCs w:val="1"/>
                <w:color w:val="1414D2"/>
              </w:rPr>
              <w:t>Andrew Nocella</w:t>
            </w:r>
          </w:p>
        </w:tc>
        <w:tc>
          <w:tcPr>
            <w:tcW w:w="280" w:type="dxa"/>
            <w:vAlign w:val="bottom"/>
            <w:tcBorders>
              <w:bottom w:val="single" w:sz="8" w:color="808080"/>
            </w:tcBorders>
          </w:tcPr>
          <w:p>
            <w:pPr>
              <w:jc w:val="right"/>
              <w:ind w:right="99"/>
              <w:spacing w:after="0" w:line="183" w:lineRule="exact"/>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808080"/>
            </w:tcBorders>
          </w:tcPr>
          <w:p>
            <w:pPr>
              <w:jc w:val="right"/>
              <w:ind w:right="82"/>
              <w:spacing w:after="0" w:line="183" w:lineRule="exact"/>
              <w:rPr>
                <w:sz w:val="20"/>
                <w:szCs w:val="20"/>
                <w:color w:val="auto"/>
              </w:rPr>
            </w:pPr>
            <w:r>
              <w:rPr>
                <w:rFonts w:ascii="Arial" w:cs="Arial" w:eastAsia="Arial" w:hAnsi="Arial"/>
                <w:sz w:val="16"/>
                <w:szCs w:val="16"/>
                <w:color w:val="auto"/>
              </w:rPr>
              <w:t>808,500</w:t>
            </w:r>
          </w:p>
        </w:tc>
        <w:tc>
          <w:tcPr>
            <w:tcW w:w="420" w:type="dxa"/>
            <w:vAlign w:val="bottom"/>
            <w:tcBorders>
              <w:bottom w:val="single" w:sz="8" w:color="808080"/>
            </w:tcBorders>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1440" w:type="dxa"/>
            <w:vAlign w:val="bottom"/>
            <w:tcBorders>
              <w:bottom w:val="single" w:sz="8" w:color="808080"/>
            </w:tcBorders>
          </w:tcPr>
          <w:p>
            <w:pPr>
              <w:jc w:val="right"/>
              <w:ind w:right="381"/>
              <w:spacing w:after="0" w:line="183" w:lineRule="exact"/>
              <w:rPr>
                <w:sz w:val="20"/>
                <w:szCs w:val="20"/>
                <w:color w:val="auto"/>
              </w:rPr>
            </w:pPr>
            <w:r>
              <w:rPr>
                <w:rFonts w:ascii="Arial" w:cs="Arial" w:eastAsia="Arial" w:hAnsi="Arial"/>
                <w:sz w:val="16"/>
                <w:szCs w:val="16"/>
                <w:color w:val="auto"/>
              </w:rPr>
              <w:t>808,500</w:t>
            </w:r>
          </w:p>
        </w:tc>
        <w:tc>
          <w:tcPr>
            <w:tcW w:w="1160" w:type="dxa"/>
            <w:vAlign w:val="bottom"/>
            <w:tcBorders>
              <w:bottom w:val="single" w:sz="8" w:color="808080"/>
            </w:tcBorders>
          </w:tcPr>
          <w:p>
            <w:pPr>
              <w:jc w:val="right"/>
              <w:spacing w:after="0" w:line="183" w:lineRule="exact"/>
              <w:rPr>
                <w:sz w:val="20"/>
                <w:szCs w:val="20"/>
                <w:color w:val="auto"/>
              </w:rPr>
            </w:pPr>
            <w:r>
              <w:rPr>
                <w:rFonts w:ascii="Arial" w:cs="Arial" w:eastAsia="Arial" w:hAnsi="Arial"/>
                <w:sz w:val="16"/>
                <w:szCs w:val="16"/>
                <w:color w:val="auto"/>
              </w:rPr>
              <w:t>-  %</w:t>
            </w:r>
          </w:p>
        </w:tc>
      </w:tr>
      <w:tr>
        <w:trPr>
          <w:trHeight w:val="183"/>
        </w:trPr>
        <w:tc>
          <w:tcPr>
            <w:tcW w:w="5260" w:type="dxa"/>
            <w:vAlign w:val="bottom"/>
            <w:tcBorders>
              <w:bottom w:val="single" w:sz="8" w:color="808080"/>
            </w:tcBorders>
            <w:gridSpan w:val="2"/>
          </w:tcPr>
          <w:p>
            <w:pPr>
              <w:ind w:left="120"/>
              <w:spacing w:after="0" w:line="183" w:lineRule="exact"/>
              <w:rPr>
                <w:sz w:val="20"/>
                <w:szCs w:val="20"/>
                <w:color w:val="auto"/>
              </w:rPr>
            </w:pPr>
            <w:r>
              <w:rPr>
                <w:rFonts w:ascii="Arial" w:cs="Arial" w:eastAsia="Arial" w:hAnsi="Arial"/>
                <w:sz w:val="16"/>
                <w:szCs w:val="16"/>
                <w:b w:val="1"/>
                <w:bCs w:val="1"/>
                <w:color w:val="1414D2"/>
              </w:rPr>
              <w:t>Michael Leskinen</w:t>
            </w:r>
          </w:p>
        </w:tc>
        <w:tc>
          <w:tcPr>
            <w:tcW w:w="280" w:type="dxa"/>
            <w:vAlign w:val="bottom"/>
            <w:tcBorders>
              <w:bottom w:val="single" w:sz="8" w:color="808080"/>
            </w:tcBorders>
          </w:tcPr>
          <w:p>
            <w:pPr>
              <w:jc w:val="right"/>
              <w:ind w:right="99"/>
              <w:spacing w:after="0" w:line="183" w:lineRule="exact"/>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808080"/>
            </w:tcBorders>
          </w:tcPr>
          <w:p>
            <w:pPr>
              <w:jc w:val="right"/>
              <w:ind w:right="82"/>
              <w:spacing w:after="0" w:line="183" w:lineRule="exact"/>
              <w:rPr>
                <w:sz w:val="20"/>
                <w:szCs w:val="20"/>
                <w:color w:val="auto"/>
              </w:rPr>
            </w:pPr>
            <w:r>
              <w:rPr>
                <w:rFonts w:ascii="Arial" w:cs="Arial" w:eastAsia="Arial" w:hAnsi="Arial"/>
                <w:sz w:val="16"/>
                <w:szCs w:val="16"/>
                <w:color w:val="auto"/>
              </w:rPr>
              <w:t>770,000</w:t>
            </w:r>
          </w:p>
        </w:tc>
        <w:tc>
          <w:tcPr>
            <w:tcW w:w="420" w:type="dxa"/>
            <w:vAlign w:val="bottom"/>
            <w:tcBorders>
              <w:bottom w:val="single" w:sz="8" w:color="808080"/>
            </w:tcBorders>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1440" w:type="dxa"/>
            <w:vAlign w:val="bottom"/>
            <w:tcBorders>
              <w:bottom w:val="single" w:sz="8" w:color="808080"/>
            </w:tcBorders>
          </w:tcPr>
          <w:p>
            <w:pPr>
              <w:jc w:val="right"/>
              <w:ind w:right="381"/>
              <w:spacing w:after="0" w:line="183" w:lineRule="exact"/>
              <w:rPr>
                <w:sz w:val="20"/>
                <w:szCs w:val="20"/>
                <w:color w:val="auto"/>
              </w:rPr>
            </w:pPr>
            <w:r>
              <w:rPr>
                <w:rFonts w:ascii="Arial" w:cs="Arial" w:eastAsia="Arial" w:hAnsi="Arial"/>
                <w:sz w:val="16"/>
                <w:szCs w:val="16"/>
                <w:color w:val="auto"/>
              </w:rPr>
              <w:t>800,000</w:t>
            </w:r>
          </w:p>
        </w:tc>
        <w:tc>
          <w:tcPr>
            <w:tcW w:w="1160" w:type="dxa"/>
            <w:vAlign w:val="bottom"/>
            <w:tcBorders>
              <w:bottom w:val="single" w:sz="8" w:color="808080"/>
            </w:tcBorders>
          </w:tcPr>
          <w:p>
            <w:pPr>
              <w:jc w:val="right"/>
              <w:spacing w:after="0" w:line="183" w:lineRule="exact"/>
              <w:rPr>
                <w:sz w:val="20"/>
                <w:szCs w:val="20"/>
                <w:color w:val="auto"/>
              </w:rPr>
            </w:pPr>
            <w:r>
              <w:rPr>
                <w:rFonts w:ascii="Arial" w:cs="Arial" w:eastAsia="Arial" w:hAnsi="Arial"/>
                <w:sz w:val="16"/>
                <w:szCs w:val="16"/>
                <w:color w:val="auto"/>
              </w:rPr>
              <w:t>3.9  %</w:t>
            </w:r>
          </w:p>
        </w:tc>
      </w:tr>
    </w:tbl>
    <w:p>
      <w:pPr>
        <w:spacing w:after="0" w:line="89" w:lineRule="exact"/>
        <w:rPr>
          <w:sz w:val="20"/>
          <w:szCs w:val="20"/>
          <w:color w:val="auto"/>
        </w:rPr>
      </w:pPr>
    </w:p>
    <w:p>
      <w:pPr>
        <w:ind w:left="320" w:hanging="316"/>
        <w:spacing w:after="0"/>
        <w:tabs>
          <w:tab w:leader="none" w:pos="320" w:val="left"/>
        </w:tabs>
        <w:numPr>
          <w:ilvl w:val="0"/>
          <w:numId w:val="101"/>
        </w:numPr>
        <w:rPr>
          <w:rFonts w:ascii="Arial" w:cs="Arial" w:eastAsia="Arial" w:hAnsi="Arial"/>
          <w:sz w:val="11"/>
          <w:szCs w:val="11"/>
          <w:color w:val="auto"/>
        </w:rPr>
      </w:pPr>
      <w:r>
        <w:rPr>
          <w:rFonts w:ascii="Arial" w:cs="Arial" w:eastAsia="Arial" w:hAnsi="Arial"/>
          <w:sz w:val="14"/>
          <w:szCs w:val="14"/>
          <w:color w:val="auto"/>
        </w:rPr>
        <w:t>Represents  the  annual  base  salary  rate  for  each  of  the  NEOs  as  of  the  end  of  Fiscal  2024.</w:t>
      </w:r>
    </w:p>
    <w:p>
      <w:pPr>
        <w:spacing w:after="0" w:line="122" w:lineRule="exact"/>
        <w:rPr>
          <w:rFonts w:ascii="Arial" w:cs="Arial" w:eastAsia="Arial" w:hAnsi="Arial"/>
          <w:sz w:val="11"/>
          <w:szCs w:val="11"/>
          <w:color w:val="auto"/>
        </w:rPr>
      </w:pPr>
    </w:p>
    <w:p>
      <w:pPr>
        <w:ind w:left="320" w:hanging="316"/>
        <w:spacing w:after="0"/>
        <w:tabs>
          <w:tab w:leader="none" w:pos="320" w:val="left"/>
        </w:tabs>
        <w:numPr>
          <w:ilvl w:val="0"/>
          <w:numId w:val="101"/>
        </w:numPr>
        <w:rPr>
          <w:rFonts w:ascii="Arial" w:cs="Arial" w:eastAsia="Arial" w:hAnsi="Arial"/>
          <w:sz w:val="11"/>
          <w:szCs w:val="11"/>
          <w:color w:val="auto"/>
        </w:rPr>
      </w:pPr>
      <w:r>
        <w:rPr>
          <w:rFonts w:ascii="Arial" w:cs="Arial" w:eastAsia="Arial" w:hAnsi="Arial"/>
          <w:sz w:val="14"/>
          <w:szCs w:val="14"/>
          <w:color w:val="auto"/>
        </w:rPr>
        <w:t>Represents  the  annual  base  salary  rate  that  took  efect  on  April  1,  2025.</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414D2"/>
        </w:rPr>
        <w:t>Short-Term Incentive Program</w:t>
      </w:r>
    </w:p>
    <w:p>
      <w:pPr>
        <w:spacing w:after="0" w:line="129" w:lineRule="exact"/>
        <w:rPr>
          <w:sz w:val="20"/>
          <w:szCs w:val="20"/>
          <w:color w:val="auto"/>
        </w:rPr>
      </w:pPr>
    </w:p>
    <w:p>
      <w:pPr>
        <w:ind w:right="220"/>
        <w:spacing w:after="0" w:line="272" w:lineRule="auto"/>
        <w:rPr>
          <w:sz w:val="20"/>
          <w:szCs w:val="20"/>
          <w:color w:val="auto"/>
        </w:rPr>
      </w:pPr>
      <w:r>
        <w:rPr>
          <w:rFonts w:ascii="Arial" w:cs="Arial" w:eastAsia="Arial" w:hAnsi="Arial"/>
          <w:sz w:val="16"/>
          <w:szCs w:val="16"/>
          <w:color w:val="auto"/>
        </w:rPr>
        <w:t>The 2025 STI program was designed to sharpen management’s focus on key fnancial, operational and customer service objectives that are consistent with our business plan for the fscal year, helping to align pay with annual performance. Executing on our business plan in turn allows us to achieve success that will deliver long-term stockholder value. The awards are paid in cash.</w:t>
      </w:r>
    </w:p>
    <w:p>
      <w:pPr>
        <w:spacing w:after="0" w:line="252" w:lineRule="exact"/>
        <w:rPr>
          <w:sz w:val="20"/>
          <w:szCs w:val="20"/>
          <w:color w:val="auto"/>
        </w:rPr>
      </w:pPr>
    </w:p>
    <w:p>
      <w:pPr>
        <w:ind w:right="260"/>
        <w:spacing w:after="0" w:line="268" w:lineRule="auto"/>
        <w:rPr>
          <w:sz w:val="20"/>
          <w:szCs w:val="20"/>
          <w:color w:val="auto"/>
        </w:rPr>
      </w:pPr>
      <w:r>
        <w:rPr>
          <w:rFonts w:ascii="Arial" w:cs="Arial" w:eastAsia="Arial" w:hAnsi="Arial"/>
          <w:sz w:val="16"/>
          <w:szCs w:val="16"/>
          <w:color w:val="auto"/>
        </w:rPr>
        <w:t>The 2025 STI program was structured with a target opportunity granted to each NEO (based on a percentage of base salary), with an entry payout equal to 50% of the target opportunity, a target payout equal to 100% of the target opportunity and a stretch (also called “maximum”) payout equal to 200% of the target opportunity. The 2025 STI awards were earned on December 31, 2025 and were paid out in March 2026 after the Committee certifed performance.</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The  graphic  below  illustrates  the  calculation  used  to  determine  2025  STI  payouts: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2200" w:type="dxa"/>
            <w:vAlign w:val="bottom"/>
            <w:gridSpan w:val="2"/>
            <w:shd w:val="clear" w:color="auto" w:fill="1414D2"/>
          </w:tcPr>
          <w:p>
            <w:pPr>
              <w:ind w:left="100"/>
              <w:spacing w:after="0"/>
              <w:rPr>
                <w:sz w:val="20"/>
                <w:szCs w:val="20"/>
                <w:color w:val="auto"/>
              </w:rPr>
            </w:pPr>
            <w:r>
              <w:rPr>
                <w:rFonts w:ascii="Arial" w:cs="Arial" w:eastAsia="Arial" w:hAnsi="Arial"/>
                <w:sz w:val="14"/>
                <w:szCs w:val="14"/>
                <w:b w:val="1"/>
                <w:bCs w:val="1"/>
                <w:color w:val="FFFFFF"/>
              </w:rPr>
              <w:t>EARNED BASE SALARY</w:t>
            </w:r>
          </w:p>
        </w:tc>
        <w:tc>
          <w:tcPr>
            <w:tcW w:w="320" w:type="dxa"/>
            <w:vAlign w:val="bottom"/>
            <w:vMerge w:val="restart"/>
          </w:tcPr>
          <w:p>
            <w:pPr>
              <w:ind w:left="120"/>
              <w:spacing w:after="0"/>
              <w:rPr>
                <w:sz w:val="20"/>
                <w:szCs w:val="20"/>
                <w:color w:val="auto"/>
              </w:rPr>
            </w:pPr>
            <w:r>
              <w:rPr>
                <w:rFonts w:ascii="Arial" w:cs="Arial" w:eastAsia="Arial" w:hAnsi="Arial"/>
                <w:sz w:val="14"/>
                <w:szCs w:val="14"/>
                <w:b w:val="1"/>
                <w:bCs w:val="1"/>
                <w:color w:val="1414D2"/>
              </w:rPr>
              <w:t>X</w:t>
            </w:r>
          </w:p>
        </w:tc>
        <w:tc>
          <w:tcPr>
            <w:tcW w:w="2220" w:type="dxa"/>
            <w:vAlign w:val="bottom"/>
            <w:gridSpan w:val="2"/>
            <w:shd w:val="clear" w:color="auto" w:fill="1414D2"/>
          </w:tcPr>
          <w:p>
            <w:pPr>
              <w:ind w:left="100"/>
              <w:spacing w:after="0"/>
              <w:rPr>
                <w:sz w:val="20"/>
                <w:szCs w:val="20"/>
                <w:color w:val="auto"/>
              </w:rPr>
            </w:pPr>
            <w:r>
              <w:rPr>
                <w:rFonts w:ascii="Arial" w:cs="Arial" w:eastAsia="Arial" w:hAnsi="Arial"/>
                <w:sz w:val="14"/>
                <w:szCs w:val="14"/>
                <w:b w:val="1"/>
                <w:bCs w:val="1"/>
                <w:color w:val="FFFFFF"/>
              </w:rPr>
              <w:t>STI TARGET OPPORTUNITY</w:t>
            </w:r>
          </w:p>
        </w:tc>
        <w:tc>
          <w:tcPr>
            <w:tcW w:w="320" w:type="dxa"/>
            <w:vAlign w:val="bottom"/>
            <w:vMerge w:val="restart"/>
          </w:tcPr>
          <w:p>
            <w:pPr>
              <w:ind w:left="120"/>
              <w:spacing w:after="0"/>
              <w:rPr>
                <w:sz w:val="20"/>
                <w:szCs w:val="20"/>
                <w:color w:val="auto"/>
              </w:rPr>
            </w:pPr>
            <w:r>
              <w:rPr>
                <w:rFonts w:ascii="Arial" w:cs="Arial" w:eastAsia="Arial" w:hAnsi="Arial"/>
                <w:sz w:val="14"/>
                <w:szCs w:val="14"/>
                <w:b w:val="1"/>
                <w:bCs w:val="1"/>
                <w:color w:val="1414D2"/>
              </w:rPr>
              <w:t>X</w:t>
            </w:r>
          </w:p>
        </w:tc>
        <w:tc>
          <w:tcPr>
            <w:tcW w:w="2200" w:type="dxa"/>
            <w:vAlign w:val="bottom"/>
            <w:gridSpan w:val="2"/>
            <w:shd w:val="clear" w:color="auto" w:fill="1414D2"/>
          </w:tcPr>
          <w:p>
            <w:pPr>
              <w:ind w:left="100"/>
              <w:spacing w:after="0"/>
              <w:rPr>
                <w:sz w:val="20"/>
                <w:szCs w:val="20"/>
                <w:color w:val="auto"/>
              </w:rPr>
            </w:pPr>
            <w:r>
              <w:rPr>
                <w:rFonts w:ascii="Arial" w:cs="Arial" w:eastAsia="Arial" w:hAnsi="Arial"/>
                <w:sz w:val="14"/>
                <w:szCs w:val="14"/>
                <w:b w:val="1"/>
                <w:bCs w:val="1"/>
                <w:color w:val="FFFFFF"/>
              </w:rPr>
              <w:t>PERFORMANCE AGAINST</w:t>
            </w:r>
          </w:p>
        </w:tc>
        <w:tc>
          <w:tcPr>
            <w:tcW w:w="2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1414D2"/>
              </w:rPr>
              <w:t>=</w:t>
            </w:r>
          </w:p>
        </w:tc>
        <w:tc>
          <w:tcPr>
            <w:tcW w:w="2180" w:type="dxa"/>
            <w:vAlign w:val="bottom"/>
            <w:shd w:val="clear" w:color="auto" w:fill="1414D2"/>
          </w:tcPr>
          <w:p>
            <w:pPr>
              <w:ind w:left="100"/>
              <w:spacing w:after="0"/>
              <w:rPr>
                <w:sz w:val="20"/>
                <w:szCs w:val="20"/>
                <w:color w:val="auto"/>
              </w:rPr>
            </w:pPr>
            <w:r>
              <w:rPr>
                <w:rFonts w:ascii="Arial" w:cs="Arial" w:eastAsia="Arial" w:hAnsi="Arial"/>
                <w:sz w:val="14"/>
                <w:szCs w:val="14"/>
                <w:b w:val="1"/>
                <w:bCs w:val="1"/>
                <w:color w:val="FFFFFF"/>
              </w:rPr>
              <w:t>ACTUAL STI AWARD PAYOUT</w:t>
            </w:r>
          </w:p>
        </w:tc>
        <w:tc>
          <w:tcPr>
            <w:tcW w:w="0" w:type="dxa"/>
            <w:vAlign w:val="bottom"/>
          </w:tcPr>
          <w:p>
            <w:pPr>
              <w:spacing w:after="0"/>
              <w:rPr>
                <w:sz w:val="1"/>
                <w:szCs w:val="1"/>
                <w:color w:val="auto"/>
              </w:rPr>
            </w:pPr>
          </w:p>
        </w:tc>
      </w:tr>
      <w:tr>
        <w:trPr>
          <w:trHeight w:val="113"/>
        </w:trPr>
        <w:tc>
          <w:tcPr>
            <w:tcW w:w="300" w:type="dxa"/>
            <w:vAlign w:val="bottom"/>
            <w:shd w:val="clear" w:color="auto" w:fill="1414D2"/>
          </w:tcPr>
          <w:p>
            <w:pPr>
              <w:spacing w:after="0"/>
              <w:rPr>
                <w:sz w:val="9"/>
                <w:szCs w:val="9"/>
                <w:color w:val="auto"/>
              </w:rPr>
            </w:pPr>
          </w:p>
        </w:tc>
        <w:tc>
          <w:tcPr>
            <w:tcW w:w="1900" w:type="dxa"/>
            <w:vAlign w:val="bottom"/>
            <w:shd w:val="clear" w:color="auto" w:fill="1414D2"/>
          </w:tcPr>
          <w:p>
            <w:pPr>
              <w:spacing w:after="0"/>
              <w:rPr>
                <w:sz w:val="9"/>
                <w:szCs w:val="9"/>
                <w:color w:val="auto"/>
              </w:rPr>
            </w:pPr>
          </w:p>
        </w:tc>
        <w:tc>
          <w:tcPr>
            <w:tcW w:w="320" w:type="dxa"/>
            <w:vAlign w:val="bottom"/>
            <w:vMerge w:val="continue"/>
          </w:tcPr>
          <w:p>
            <w:pPr>
              <w:spacing w:after="0"/>
              <w:rPr>
                <w:sz w:val="9"/>
                <w:szCs w:val="9"/>
                <w:color w:val="auto"/>
              </w:rPr>
            </w:pPr>
          </w:p>
        </w:tc>
        <w:tc>
          <w:tcPr>
            <w:tcW w:w="340" w:type="dxa"/>
            <w:vAlign w:val="bottom"/>
            <w:vMerge w:val="restart"/>
            <w:shd w:val="clear" w:color="auto" w:fill="1414D2"/>
          </w:tcPr>
          <w:p>
            <w:pPr>
              <w:ind w:left="100"/>
              <w:spacing w:after="0"/>
              <w:rPr>
                <w:sz w:val="20"/>
                <w:szCs w:val="20"/>
                <w:color w:val="auto"/>
              </w:rPr>
            </w:pPr>
            <w:r>
              <w:rPr>
                <w:rFonts w:ascii="Arial" w:cs="Arial" w:eastAsia="Arial" w:hAnsi="Arial"/>
                <w:sz w:val="14"/>
                <w:szCs w:val="14"/>
                <w:b w:val="1"/>
                <w:bCs w:val="1"/>
                <w:color w:val="FFFFFF"/>
              </w:rPr>
              <w:t>%</w:t>
            </w:r>
          </w:p>
        </w:tc>
        <w:tc>
          <w:tcPr>
            <w:tcW w:w="1880" w:type="dxa"/>
            <w:vAlign w:val="bottom"/>
            <w:shd w:val="clear" w:color="auto" w:fill="1414D2"/>
          </w:tcPr>
          <w:p>
            <w:pPr>
              <w:spacing w:after="0"/>
              <w:rPr>
                <w:sz w:val="9"/>
                <w:szCs w:val="9"/>
                <w:color w:val="auto"/>
              </w:rPr>
            </w:pPr>
          </w:p>
        </w:tc>
        <w:tc>
          <w:tcPr>
            <w:tcW w:w="320" w:type="dxa"/>
            <w:vAlign w:val="bottom"/>
            <w:vMerge w:val="continue"/>
          </w:tcPr>
          <w:p>
            <w:pPr>
              <w:spacing w:after="0"/>
              <w:rPr>
                <w:sz w:val="9"/>
                <w:szCs w:val="9"/>
                <w:color w:val="auto"/>
              </w:rPr>
            </w:pPr>
          </w:p>
        </w:tc>
        <w:tc>
          <w:tcPr>
            <w:tcW w:w="2200" w:type="dxa"/>
            <w:vAlign w:val="bottom"/>
            <w:gridSpan w:val="2"/>
            <w:vMerge w:val="restart"/>
            <w:shd w:val="clear" w:color="auto" w:fill="1414D2"/>
          </w:tcPr>
          <w:p>
            <w:pPr>
              <w:ind w:left="100"/>
              <w:spacing w:after="0"/>
              <w:rPr>
                <w:sz w:val="20"/>
                <w:szCs w:val="20"/>
                <w:color w:val="auto"/>
              </w:rPr>
            </w:pPr>
            <w:r>
              <w:rPr>
                <w:rFonts w:ascii="Arial" w:cs="Arial" w:eastAsia="Arial" w:hAnsi="Arial"/>
                <w:sz w:val="14"/>
                <w:szCs w:val="14"/>
                <w:b w:val="1"/>
                <w:bCs w:val="1"/>
                <w:color w:val="FFFFFF"/>
              </w:rPr>
              <w:t>ANNUAL MEASURES</w:t>
            </w:r>
          </w:p>
        </w:tc>
        <w:tc>
          <w:tcPr>
            <w:tcW w:w="280" w:type="dxa"/>
            <w:vAlign w:val="bottom"/>
            <w:vMerge w:val="continue"/>
          </w:tcPr>
          <w:p>
            <w:pPr>
              <w:spacing w:after="0"/>
              <w:rPr>
                <w:sz w:val="9"/>
                <w:szCs w:val="9"/>
                <w:color w:val="auto"/>
              </w:rPr>
            </w:pPr>
          </w:p>
        </w:tc>
        <w:tc>
          <w:tcPr>
            <w:tcW w:w="2180" w:type="dxa"/>
            <w:vAlign w:val="bottom"/>
            <w:shd w:val="clear" w:color="auto" w:fill="1414D2"/>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300" w:type="dxa"/>
            <w:vAlign w:val="bottom"/>
            <w:shd w:val="clear" w:color="auto" w:fill="1414D2"/>
          </w:tcPr>
          <w:p>
            <w:pPr>
              <w:spacing w:after="0"/>
              <w:rPr>
                <w:sz w:val="8"/>
                <w:szCs w:val="8"/>
                <w:color w:val="auto"/>
              </w:rPr>
            </w:pPr>
          </w:p>
        </w:tc>
        <w:tc>
          <w:tcPr>
            <w:tcW w:w="1900" w:type="dxa"/>
            <w:vAlign w:val="bottom"/>
            <w:shd w:val="clear" w:color="auto" w:fill="1414D2"/>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vMerge w:val="continue"/>
            <w:shd w:val="clear" w:color="auto" w:fill="1414D2"/>
          </w:tcPr>
          <w:p>
            <w:pPr>
              <w:spacing w:after="0"/>
              <w:rPr>
                <w:sz w:val="8"/>
                <w:szCs w:val="8"/>
                <w:color w:val="auto"/>
              </w:rPr>
            </w:pPr>
          </w:p>
        </w:tc>
        <w:tc>
          <w:tcPr>
            <w:tcW w:w="1880" w:type="dxa"/>
            <w:vAlign w:val="bottom"/>
            <w:shd w:val="clear" w:color="auto" w:fill="1414D2"/>
          </w:tcPr>
          <w:p>
            <w:pPr>
              <w:spacing w:after="0"/>
              <w:rPr>
                <w:sz w:val="8"/>
                <w:szCs w:val="8"/>
                <w:color w:val="auto"/>
              </w:rPr>
            </w:pPr>
          </w:p>
        </w:tc>
        <w:tc>
          <w:tcPr>
            <w:tcW w:w="320" w:type="dxa"/>
            <w:vAlign w:val="bottom"/>
          </w:tcPr>
          <w:p>
            <w:pPr>
              <w:spacing w:after="0"/>
              <w:rPr>
                <w:sz w:val="8"/>
                <w:szCs w:val="8"/>
                <w:color w:val="auto"/>
              </w:rPr>
            </w:pPr>
          </w:p>
        </w:tc>
        <w:tc>
          <w:tcPr>
            <w:tcW w:w="2200" w:type="dxa"/>
            <w:vAlign w:val="bottom"/>
            <w:gridSpan w:val="2"/>
            <w:vMerge w:val="continue"/>
            <w:shd w:val="clear" w:color="auto" w:fill="1414D2"/>
          </w:tcPr>
          <w:p>
            <w:pPr>
              <w:spacing w:after="0"/>
              <w:rPr>
                <w:sz w:val="8"/>
                <w:szCs w:val="8"/>
                <w:color w:val="auto"/>
              </w:rPr>
            </w:pPr>
          </w:p>
        </w:tc>
        <w:tc>
          <w:tcPr>
            <w:tcW w:w="280" w:type="dxa"/>
            <w:vAlign w:val="bottom"/>
          </w:tcPr>
          <w:p>
            <w:pPr>
              <w:spacing w:after="0"/>
              <w:rPr>
                <w:sz w:val="8"/>
                <w:szCs w:val="8"/>
                <w:color w:val="auto"/>
              </w:rPr>
            </w:pPr>
          </w:p>
        </w:tc>
        <w:tc>
          <w:tcPr>
            <w:tcW w:w="2180" w:type="dxa"/>
            <w:vAlign w:val="bottom"/>
            <w:shd w:val="clear" w:color="auto" w:fill="1414D2"/>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200" w:type="dxa"/>
            <w:vAlign w:val="bottom"/>
            <w:gridSpan w:val="2"/>
            <w:shd w:val="clear" w:color="auto" w:fill="1414D2"/>
          </w:tcPr>
          <w:p>
            <w:pPr>
              <w:spacing w:after="0"/>
              <w:rPr>
                <w:sz w:val="7"/>
                <w:szCs w:val="7"/>
                <w:color w:val="auto"/>
              </w:rPr>
            </w:pPr>
          </w:p>
        </w:tc>
        <w:tc>
          <w:tcPr>
            <w:tcW w:w="320" w:type="dxa"/>
            <w:vAlign w:val="bottom"/>
          </w:tcPr>
          <w:p>
            <w:pPr>
              <w:spacing w:after="0"/>
              <w:rPr>
                <w:sz w:val="7"/>
                <w:szCs w:val="7"/>
                <w:color w:val="auto"/>
              </w:rPr>
            </w:pPr>
          </w:p>
        </w:tc>
        <w:tc>
          <w:tcPr>
            <w:tcW w:w="2220" w:type="dxa"/>
            <w:vAlign w:val="bottom"/>
            <w:gridSpan w:val="2"/>
            <w:shd w:val="clear" w:color="auto" w:fill="1414D2"/>
          </w:tcPr>
          <w:p>
            <w:pPr>
              <w:spacing w:after="0"/>
              <w:rPr>
                <w:sz w:val="7"/>
                <w:szCs w:val="7"/>
                <w:color w:val="auto"/>
              </w:rPr>
            </w:pPr>
          </w:p>
        </w:tc>
        <w:tc>
          <w:tcPr>
            <w:tcW w:w="320" w:type="dxa"/>
            <w:vAlign w:val="bottom"/>
          </w:tcPr>
          <w:p>
            <w:pPr>
              <w:spacing w:after="0"/>
              <w:rPr>
                <w:sz w:val="7"/>
                <w:szCs w:val="7"/>
                <w:color w:val="auto"/>
              </w:rPr>
            </w:pPr>
          </w:p>
        </w:tc>
        <w:tc>
          <w:tcPr>
            <w:tcW w:w="300" w:type="dxa"/>
            <w:vAlign w:val="bottom"/>
            <w:shd w:val="clear" w:color="auto" w:fill="1414D2"/>
          </w:tcPr>
          <w:p>
            <w:pPr>
              <w:spacing w:after="0"/>
              <w:rPr>
                <w:sz w:val="7"/>
                <w:szCs w:val="7"/>
                <w:color w:val="auto"/>
              </w:rPr>
            </w:pPr>
          </w:p>
        </w:tc>
        <w:tc>
          <w:tcPr>
            <w:tcW w:w="1900" w:type="dxa"/>
            <w:vAlign w:val="bottom"/>
            <w:shd w:val="clear" w:color="auto" w:fill="1414D2"/>
          </w:tcPr>
          <w:p>
            <w:pPr>
              <w:spacing w:after="0"/>
              <w:rPr>
                <w:sz w:val="7"/>
                <w:szCs w:val="7"/>
                <w:color w:val="auto"/>
              </w:rPr>
            </w:pPr>
          </w:p>
        </w:tc>
        <w:tc>
          <w:tcPr>
            <w:tcW w:w="280" w:type="dxa"/>
            <w:vAlign w:val="bottom"/>
          </w:tcPr>
          <w:p>
            <w:pPr>
              <w:spacing w:after="0"/>
              <w:rPr>
                <w:sz w:val="7"/>
                <w:szCs w:val="7"/>
                <w:color w:val="auto"/>
              </w:rPr>
            </w:pPr>
          </w:p>
        </w:tc>
        <w:tc>
          <w:tcPr>
            <w:tcW w:w="2180" w:type="dxa"/>
            <w:vAlign w:val="bottom"/>
            <w:shd w:val="clear" w:color="auto" w:fill="1414D2"/>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2200" w:type="dxa"/>
            <w:vAlign w:val="bottom"/>
            <w:gridSpan w:val="2"/>
          </w:tcPr>
          <w:p>
            <w:pPr>
              <w:ind w:left="100"/>
              <w:spacing w:after="0"/>
              <w:rPr>
                <w:sz w:val="20"/>
                <w:szCs w:val="20"/>
                <w:color w:val="auto"/>
              </w:rPr>
            </w:pPr>
            <w:r>
              <w:rPr>
                <w:rFonts w:ascii="Arial" w:cs="Arial" w:eastAsia="Arial" w:hAnsi="Arial"/>
                <w:sz w:val="14"/>
                <w:szCs w:val="14"/>
                <w:color w:val="auto"/>
              </w:rPr>
              <w:t>Determined  by  reviewing:</w:t>
            </w:r>
          </w:p>
        </w:tc>
        <w:tc>
          <w:tcPr>
            <w:tcW w:w="320" w:type="dxa"/>
            <w:vAlign w:val="bottom"/>
          </w:tcPr>
          <w:p>
            <w:pPr>
              <w:spacing w:after="0"/>
              <w:rPr>
                <w:sz w:val="15"/>
                <w:szCs w:val="15"/>
                <w:color w:val="auto"/>
              </w:rPr>
            </w:pPr>
          </w:p>
        </w:tc>
        <w:tc>
          <w:tcPr>
            <w:tcW w:w="2220" w:type="dxa"/>
            <w:vAlign w:val="bottom"/>
            <w:gridSpan w:val="2"/>
          </w:tcPr>
          <w:p>
            <w:pPr>
              <w:ind w:left="100"/>
              <w:spacing w:after="0"/>
              <w:rPr>
                <w:sz w:val="20"/>
                <w:szCs w:val="20"/>
                <w:color w:val="auto"/>
              </w:rPr>
            </w:pPr>
            <w:r>
              <w:rPr>
                <w:rFonts w:ascii="Arial" w:cs="Arial" w:eastAsia="Arial" w:hAnsi="Arial"/>
                <w:sz w:val="14"/>
                <w:szCs w:val="14"/>
                <w:color w:val="auto"/>
              </w:rPr>
              <w:t>Established  using:</w:t>
            </w:r>
          </w:p>
        </w:tc>
        <w:tc>
          <w:tcPr>
            <w:tcW w:w="320" w:type="dxa"/>
            <w:vAlign w:val="bottom"/>
          </w:tcPr>
          <w:p>
            <w:pPr>
              <w:spacing w:after="0"/>
              <w:rPr>
                <w:sz w:val="15"/>
                <w:szCs w:val="15"/>
                <w:color w:val="auto"/>
              </w:rPr>
            </w:pPr>
          </w:p>
        </w:tc>
        <w:tc>
          <w:tcPr>
            <w:tcW w:w="3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900" w:type="dxa"/>
            <w:vAlign w:val="bottom"/>
          </w:tcPr>
          <w:p>
            <w:pPr>
              <w:ind w:left="120"/>
              <w:spacing w:after="0"/>
              <w:rPr>
                <w:sz w:val="20"/>
                <w:szCs w:val="20"/>
                <w:color w:val="auto"/>
              </w:rPr>
            </w:pPr>
            <w:r>
              <w:rPr>
                <w:rFonts w:ascii="Arial" w:cs="Arial" w:eastAsia="Arial" w:hAnsi="Arial"/>
                <w:sz w:val="14"/>
                <w:szCs w:val="14"/>
                <w:color w:val="auto"/>
              </w:rPr>
              <w:t>Relative  Adjusted</w:t>
            </w:r>
          </w:p>
        </w:tc>
        <w:tc>
          <w:tcPr>
            <w:tcW w:w="280" w:type="dxa"/>
            <w:vAlign w:val="bottom"/>
          </w:tcPr>
          <w:p>
            <w:pPr>
              <w:spacing w:after="0"/>
              <w:rPr>
                <w:sz w:val="15"/>
                <w:szCs w:val="15"/>
                <w:color w:val="auto"/>
              </w:rPr>
            </w:pPr>
          </w:p>
        </w:tc>
        <w:tc>
          <w:tcPr>
            <w:tcW w:w="2180" w:type="dxa"/>
            <w:vAlign w:val="bottom"/>
          </w:tcPr>
          <w:p>
            <w:pPr>
              <w:ind w:left="100"/>
              <w:spacing w:after="0"/>
              <w:rPr>
                <w:sz w:val="20"/>
                <w:szCs w:val="20"/>
                <w:color w:val="auto"/>
              </w:rPr>
            </w:pPr>
            <w:r>
              <w:rPr>
                <w:rFonts w:ascii="Times New Roman" w:cs="Times New Roman" w:eastAsia="Times New Roman" w:hAnsi="Times New Roman"/>
                <w:sz w:val="14"/>
                <w:szCs w:val="14"/>
                <w:color w:val="auto"/>
                <w:w w:val="95"/>
              </w:rPr>
              <w:t>●</w:t>
            </w:r>
            <w:r>
              <w:rPr>
                <w:rFonts w:ascii="Arial" w:cs="Arial" w:eastAsia="Arial" w:hAnsi="Arial"/>
                <w:sz w:val="14"/>
                <w:szCs w:val="14"/>
                <w:color w:val="auto"/>
                <w:w w:val="95"/>
              </w:rPr>
              <w:t xml:space="preserve">Capped  </w:t>
            </w:r>
            <w:r>
              <w:rPr>
                <w:rFonts w:ascii="Arial" w:cs="Arial" w:eastAsia="Arial" w:hAnsi="Arial"/>
                <w:sz w:val="16"/>
                <w:szCs w:val="16"/>
                <w:color w:val="auto"/>
                <w:w w:val="95"/>
              </w:rPr>
              <w:t>at  200%  of</w:t>
            </w:r>
          </w:p>
        </w:tc>
        <w:tc>
          <w:tcPr>
            <w:tcW w:w="0" w:type="dxa"/>
            <w:vAlign w:val="bottom"/>
          </w:tcPr>
          <w:p>
            <w:pPr>
              <w:spacing w:after="0"/>
              <w:rPr>
                <w:sz w:val="1"/>
                <w:szCs w:val="1"/>
                <w:color w:val="auto"/>
              </w:rPr>
            </w:pPr>
          </w:p>
        </w:tc>
      </w:tr>
      <w:tr>
        <w:trPr>
          <w:trHeight w:val="203"/>
        </w:trPr>
        <w:tc>
          <w:tcPr>
            <w:tcW w:w="3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900" w:type="dxa"/>
            <w:vAlign w:val="bottom"/>
          </w:tcPr>
          <w:p>
            <w:pPr>
              <w:ind w:left="120"/>
              <w:spacing w:after="0"/>
              <w:rPr>
                <w:sz w:val="20"/>
                <w:szCs w:val="20"/>
                <w:color w:val="auto"/>
              </w:rPr>
            </w:pPr>
            <w:r>
              <w:rPr>
                <w:rFonts w:ascii="Arial" w:cs="Arial" w:eastAsia="Arial" w:hAnsi="Arial"/>
                <w:sz w:val="14"/>
                <w:szCs w:val="14"/>
                <w:color w:val="auto"/>
              </w:rPr>
              <w:t>Individual  performance</w:t>
            </w:r>
          </w:p>
        </w:tc>
        <w:tc>
          <w:tcPr>
            <w:tcW w:w="320" w:type="dxa"/>
            <w:vAlign w:val="bottom"/>
          </w:tcPr>
          <w:p>
            <w:pPr>
              <w:spacing w:after="0"/>
              <w:rPr>
                <w:sz w:val="17"/>
                <w:szCs w:val="17"/>
                <w:color w:val="auto"/>
              </w:rPr>
            </w:pPr>
          </w:p>
        </w:tc>
        <w:tc>
          <w:tcPr>
            <w:tcW w:w="3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880" w:type="dxa"/>
            <w:vAlign w:val="bottom"/>
          </w:tcPr>
          <w:p>
            <w:pPr>
              <w:ind w:left="80"/>
              <w:spacing w:after="0"/>
              <w:rPr>
                <w:sz w:val="20"/>
                <w:szCs w:val="20"/>
                <w:color w:val="auto"/>
              </w:rPr>
            </w:pPr>
            <w:r>
              <w:rPr>
                <w:rFonts w:ascii="Arial" w:cs="Arial" w:eastAsia="Arial" w:hAnsi="Arial"/>
                <w:sz w:val="14"/>
                <w:szCs w:val="14"/>
                <w:color w:val="auto"/>
              </w:rPr>
              <w:t>Level  of  responsibility</w:t>
            </w: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00" w:type="dxa"/>
            <w:vAlign w:val="bottom"/>
          </w:tcPr>
          <w:p>
            <w:pPr>
              <w:ind w:left="120"/>
              <w:spacing w:after="0"/>
              <w:rPr>
                <w:sz w:val="20"/>
                <w:szCs w:val="20"/>
                <w:color w:val="auto"/>
              </w:rPr>
            </w:pPr>
            <w:r>
              <w:rPr>
                <w:rFonts w:ascii="Arial" w:cs="Arial" w:eastAsia="Arial" w:hAnsi="Arial"/>
                <w:sz w:val="14"/>
                <w:szCs w:val="14"/>
                <w:color w:val="auto"/>
              </w:rPr>
              <w:t xml:space="preserve">EBITDAR  Margin </w:t>
            </w:r>
            <w:r>
              <w:rPr>
                <w:rFonts w:ascii="Arial" w:cs="Arial" w:eastAsia="Arial" w:hAnsi="Arial"/>
                <w:sz w:val="14"/>
                <w:szCs w:val="14"/>
                <w:b w:val="1"/>
                <w:bCs w:val="1"/>
                <w:color w:val="auto"/>
              </w:rPr>
              <w:t>(33%)</w:t>
            </w:r>
          </w:p>
        </w:tc>
        <w:tc>
          <w:tcPr>
            <w:tcW w:w="280" w:type="dxa"/>
            <w:vAlign w:val="bottom"/>
          </w:tcPr>
          <w:p>
            <w:pPr>
              <w:spacing w:after="0"/>
              <w:rPr>
                <w:sz w:val="17"/>
                <w:szCs w:val="17"/>
                <w:color w:val="auto"/>
              </w:rPr>
            </w:pPr>
          </w:p>
        </w:tc>
        <w:tc>
          <w:tcPr>
            <w:tcW w:w="2180" w:type="dxa"/>
            <w:vAlign w:val="bottom"/>
          </w:tcPr>
          <w:p>
            <w:pPr>
              <w:ind w:left="420"/>
              <w:spacing w:after="0"/>
              <w:rPr>
                <w:sz w:val="20"/>
                <w:szCs w:val="20"/>
                <w:color w:val="auto"/>
              </w:rPr>
            </w:pPr>
            <w:r>
              <w:rPr>
                <w:rFonts w:ascii="Arial" w:cs="Arial" w:eastAsia="Arial" w:hAnsi="Arial"/>
                <w:sz w:val="16"/>
                <w:szCs w:val="16"/>
                <w:color w:val="auto"/>
              </w:rPr>
              <w:t>target</w:t>
            </w:r>
          </w:p>
        </w:tc>
        <w:tc>
          <w:tcPr>
            <w:tcW w:w="0" w:type="dxa"/>
            <w:vAlign w:val="bottom"/>
          </w:tcPr>
          <w:p>
            <w:pPr>
              <w:spacing w:after="0"/>
              <w:rPr>
                <w:sz w:val="1"/>
                <w:szCs w:val="1"/>
                <w:color w:val="auto"/>
              </w:rPr>
            </w:pPr>
          </w:p>
        </w:tc>
      </w:tr>
      <w:tr>
        <w:trPr>
          <w:trHeight w:val="175"/>
        </w:trPr>
        <w:tc>
          <w:tcPr>
            <w:tcW w:w="3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900" w:type="dxa"/>
            <w:vAlign w:val="bottom"/>
            <w:vMerge w:val="restart"/>
          </w:tcPr>
          <w:p>
            <w:pPr>
              <w:ind w:left="120"/>
              <w:spacing w:after="0"/>
              <w:rPr>
                <w:sz w:val="20"/>
                <w:szCs w:val="20"/>
                <w:color w:val="auto"/>
              </w:rPr>
            </w:pPr>
            <w:r>
              <w:rPr>
                <w:rFonts w:ascii="Arial" w:cs="Arial" w:eastAsia="Arial" w:hAnsi="Arial"/>
                <w:sz w:val="14"/>
                <w:szCs w:val="14"/>
                <w:color w:val="auto"/>
              </w:rPr>
              <w:t>Level  of  responsibility</w:t>
            </w:r>
          </w:p>
        </w:tc>
        <w:tc>
          <w:tcPr>
            <w:tcW w:w="320" w:type="dxa"/>
            <w:vAlign w:val="bottom"/>
          </w:tcPr>
          <w:p>
            <w:pPr>
              <w:spacing w:after="0"/>
              <w:rPr>
                <w:sz w:val="15"/>
                <w:szCs w:val="15"/>
                <w:color w:val="auto"/>
              </w:rPr>
            </w:pPr>
          </w:p>
        </w:tc>
        <w:tc>
          <w:tcPr>
            <w:tcW w:w="34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880" w:type="dxa"/>
            <w:vAlign w:val="bottom"/>
            <w:vMerge w:val="restart"/>
          </w:tcPr>
          <w:p>
            <w:pPr>
              <w:ind w:left="80"/>
              <w:spacing w:after="0"/>
              <w:rPr>
                <w:sz w:val="20"/>
                <w:szCs w:val="20"/>
                <w:color w:val="auto"/>
              </w:rPr>
            </w:pPr>
            <w:r>
              <w:rPr>
                <w:rFonts w:ascii="Arial" w:cs="Arial" w:eastAsia="Arial" w:hAnsi="Arial"/>
                <w:sz w:val="14"/>
                <w:szCs w:val="14"/>
                <w:color w:val="auto"/>
              </w:rPr>
              <w:t>Internal  and  market-</w:t>
            </w:r>
          </w:p>
        </w:tc>
        <w:tc>
          <w:tcPr>
            <w:tcW w:w="320" w:type="dxa"/>
            <w:vAlign w:val="bottom"/>
          </w:tcPr>
          <w:p>
            <w:pPr>
              <w:spacing w:after="0"/>
              <w:rPr>
                <w:sz w:val="15"/>
                <w:szCs w:val="15"/>
                <w:color w:val="auto"/>
              </w:rPr>
            </w:pPr>
          </w:p>
        </w:tc>
        <w:tc>
          <w:tcPr>
            <w:tcW w:w="3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900" w:type="dxa"/>
            <w:vAlign w:val="bottom"/>
          </w:tcPr>
          <w:p>
            <w:pPr>
              <w:ind w:left="120"/>
              <w:spacing w:after="0"/>
              <w:rPr>
                <w:sz w:val="20"/>
                <w:szCs w:val="20"/>
                <w:color w:val="auto"/>
              </w:rPr>
            </w:pPr>
            <w:r>
              <w:rPr>
                <w:rFonts w:ascii="Arial" w:cs="Arial" w:eastAsia="Arial" w:hAnsi="Arial"/>
                <w:sz w:val="14"/>
                <w:szCs w:val="14"/>
                <w:color w:val="auto"/>
              </w:rPr>
              <w:t>Net  Promoter  Score</w:t>
            </w:r>
          </w:p>
        </w:tc>
        <w:tc>
          <w:tcPr>
            <w:tcW w:w="28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300" w:type="dxa"/>
            <w:vAlign w:val="bottom"/>
            <w:vMerge w:val="continue"/>
          </w:tcPr>
          <w:p>
            <w:pPr>
              <w:spacing w:after="0"/>
              <w:rPr>
                <w:sz w:val="4"/>
                <w:szCs w:val="4"/>
                <w:color w:val="auto"/>
              </w:rPr>
            </w:pPr>
          </w:p>
        </w:tc>
        <w:tc>
          <w:tcPr>
            <w:tcW w:w="190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vMerge w:val="continue"/>
          </w:tcPr>
          <w:p>
            <w:pPr>
              <w:spacing w:after="0"/>
              <w:rPr>
                <w:sz w:val="4"/>
                <w:szCs w:val="4"/>
                <w:color w:val="auto"/>
              </w:rPr>
            </w:pPr>
          </w:p>
        </w:tc>
        <w:tc>
          <w:tcPr>
            <w:tcW w:w="188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900" w:type="dxa"/>
            <w:vAlign w:val="bottom"/>
            <w:vMerge w:val="restart"/>
          </w:tcPr>
          <w:p>
            <w:pPr>
              <w:ind w:left="120"/>
              <w:spacing w:after="0"/>
              <w:rPr>
                <w:sz w:val="20"/>
                <w:szCs w:val="20"/>
                <w:color w:val="auto"/>
              </w:rPr>
            </w:pPr>
            <w:r>
              <w:rPr>
                <w:rFonts w:ascii="Arial" w:cs="Arial" w:eastAsia="Arial" w:hAnsi="Arial"/>
                <w:sz w:val="14"/>
                <w:szCs w:val="14"/>
                <w:color w:val="auto"/>
              </w:rPr>
              <w:t xml:space="preserve">(NPS)  </w:t>
            </w:r>
            <w:r>
              <w:rPr>
                <w:rFonts w:ascii="Arial" w:cs="Arial" w:eastAsia="Arial" w:hAnsi="Arial"/>
                <w:sz w:val="14"/>
                <w:szCs w:val="14"/>
                <w:b w:val="1"/>
                <w:bCs w:val="1"/>
                <w:color w:val="auto"/>
              </w:rPr>
              <w:t>(33%)</w:t>
            </w:r>
          </w:p>
        </w:tc>
        <w:tc>
          <w:tcPr>
            <w:tcW w:w="280" w:type="dxa"/>
            <w:vAlign w:val="bottom"/>
          </w:tcPr>
          <w:p>
            <w:pPr>
              <w:spacing w:after="0"/>
              <w:rPr>
                <w:sz w:val="4"/>
                <w:szCs w:val="4"/>
                <w:color w:val="auto"/>
              </w:rPr>
            </w:pPr>
          </w:p>
        </w:tc>
        <w:tc>
          <w:tcPr>
            <w:tcW w:w="2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3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900" w:type="dxa"/>
            <w:vAlign w:val="bottom"/>
            <w:vMerge w:val="restart"/>
          </w:tcPr>
          <w:p>
            <w:pPr>
              <w:ind w:left="120"/>
              <w:spacing w:after="0"/>
              <w:rPr>
                <w:sz w:val="20"/>
                <w:szCs w:val="20"/>
                <w:color w:val="auto"/>
              </w:rPr>
            </w:pPr>
            <w:r>
              <w:rPr>
                <w:rFonts w:ascii="Arial" w:cs="Arial" w:eastAsia="Arial" w:hAnsi="Arial"/>
                <w:sz w:val="14"/>
                <w:szCs w:val="14"/>
                <w:color w:val="auto"/>
              </w:rPr>
              <w:t>Specialized</w:t>
            </w: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80" w:type="dxa"/>
            <w:vAlign w:val="bottom"/>
            <w:vMerge w:val="restart"/>
          </w:tcPr>
          <w:p>
            <w:pPr>
              <w:ind w:left="80"/>
              <w:spacing w:after="0"/>
              <w:rPr>
                <w:sz w:val="20"/>
                <w:szCs w:val="20"/>
                <w:color w:val="auto"/>
              </w:rPr>
            </w:pPr>
            <w:r>
              <w:rPr>
                <w:rFonts w:ascii="Arial" w:cs="Arial" w:eastAsia="Arial" w:hAnsi="Arial"/>
                <w:sz w:val="14"/>
                <w:szCs w:val="14"/>
                <w:color w:val="auto"/>
              </w:rPr>
              <w:t>based  peer  group  data</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300" w:type="dxa"/>
            <w:vAlign w:val="bottom"/>
            <w:vMerge w:val="continue"/>
          </w:tcPr>
          <w:p>
            <w:pPr>
              <w:spacing w:after="0"/>
              <w:rPr>
                <w:sz w:val="4"/>
                <w:szCs w:val="4"/>
                <w:color w:val="auto"/>
              </w:rPr>
            </w:pPr>
          </w:p>
        </w:tc>
        <w:tc>
          <w:tcPr>
            <w:tcW w:w="190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8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3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900" w:type="dxa"/>
            <w:vAlign w:val="bottom"/>
            <w:vMerge w:val="restart"/>
          </w:tcPr>
          <w:p>
            <w:pPr>
              <w:ind w:left="120"/>
              <w:spacing w:after="0"/>
              <w:rPr>
                <w:sz w:val="20"/>
                <w:szCs w:val="20"/>
                <w:color w:val="auto"/>
              </w:rPr>
            </w:pPr>
            <w:r>
              <w:rPr>
                <w:rFonts w:ascii="Arial" w:cs="Arial" w:eastAsia="Arial" w:hAnsi="Arial"/>
                <w:sz w:val="14"/>
                <w:szCs w:val="14"/>
                <w:color w:val="auto"/>
              </w:rPr>
              <w:t>Operational  Excellence</w:t>
            </w:r>
          </w:p>
        </w:tc>
        <w:tc>
          <w:tcPr>
            <w:tcW w:w="280" w:type="dxa"/>
            <w:vAlign w:val="bottom"/>
          </w:tcPr>
          <w:p>
            <w:pPr>
              <w:spacing w:after="0"/>
              <w:rPr>
                <w:sz w:val="4"/>
                <w:szCs w:val="4"/>
                <w:color w:val="auto"/>
              </w:rPr>
            </w:pPr>
          </w:p>
        </w:tc>
        <w:tc>
          <w:tcPr>
            <w:tcW w:w="2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300" w:type="dxa"/>
            <w:vAlign w:val="bottom"/>
            <w:vMerge w:val="continue"/>
          </w:tcPr>
          <w:p>
            <w:pPr>
              <w:spacing w:after="0"/>
              <w:rPr>
                <w:sz w:val="2"/>
                <w:szCs w:val="2"/>
                <w:color w:val="auto"/>
              </w:rPr>
            </w:pPr>
          </w:p>
        </w:tc>
        <w:tc>
          <w:tcPr>
            <w:tcW w:w="1900" w:type="dxa"/>
            <w:vAlign w:val="bottom"/>
            <w:vMerge w:val="continue"/>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880" w:type="dxa"/>
            <w:vAlign w:val="bottom"/>
            <w:vMerge w:val="restart"/>
          </w:tcPr>
          <w:p>
            <w:pPr>
              <w:ind w:left="80"/>
              <w:spacing w:after="0"/>
              <w:rPr>
                <w:sz w:val="20"/>
                <w:szCs w:val="20"/>
                <w:color w:val="auto"/>
              </w:rPr>
            </w:pPr>
            <w:r>
              <w:rPr>
                <w:rFonts w:ascii="Arial" w:cs="Arial" w:eastAsia="Arial" w:hAnsi="Arial"/>
                <w:sz w:val="14"/>
                <w:szCs w:val="14"/>
                <w:color w:val="auto"/>
              </w:rPr>
              <w:t>Internal  pay  parity</w:t>
            </w:r>
          </w:p>
        </w:tc>
        <w:tc>
          <w:tcPr>
            <w:tcW w:w="320" w:type="dxa"/>
            <w:vAlign w:val="bottom"/>
          </w:tcPr>
          <w:p>
            <w:pPr>
              <w:spacing w:after="0"/>
              <w:rPr>
                <w:sz w:val="2"/>
                <w:szCs w:val="2"/>
                <w:color w:val="auto"/>
              </w:rPr>
            </w:pPr>
          </w:p>
        </w:tc>
        <w:tc>
          <w:tcPr>
            <w:tcW w:w="300" w:type="dxa"/>
            <w:vAlign w:val="bottom"/>
            <w:vMerge w:val="continue"/>
          </w:tcPr>
          <w:p>
            <w:pPr>
              <w:spacing w:after="0"/>
              <w:rPr>
                <w:sz w:val="2"/>
                <w:szCs w:val="2"/>
                <w:color w:val="auto"/>
              </w:rPr>
            </w:pPr>
          </w:p>
        </w:tc>
        <w:tc>
          <w:tcPr>
            <w:tcW w:w="190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5"/>
        </w:trPr>
        <w:tc>
          <w:tcPr>
            <w:tcW w:w="300" w:type="dxa"/>
            <w:vAlign w:val="bottom"/>
          </w:tcPr>
          <w:p>
            <w:pPr>
              <w:spacing w:after="0"/>
              <w:rPr>
                <w:sz w:val="8"/>
                <w:szCs w:val="8"/>
                <w:color w:val="auto"/>
              </w:rPr>
            </w:pPr>
          </w:p>
        </w:tc>
        <w:tc>
          <w:tcPr>
            <w:tcW w:w="1900" w:type="dxa"/>
            <w:vAlign w:val="bottom"/>
            <w:vMerge w:val="restart"/>
          </w:tcPr>
          <w:p>
            <w:pPr>
              <w:ind w:left="120"/>
              <w:spacing w:after="0"/>
              <w:rPr>
                <w:sz w:val="20"/>
                <w:szCs w:val="20"/>
                <w:color w:val="auto"/>
              </w:rPr>
            </w:pPr>
            <w:r>
              <w:rPr>
                <w:rFonts w:ascii="Arial" w:cs="Arial" w:eastAsia="Arial" w:hAnsi="Arial"/>
                <w:sz w:val="14"/>
                <w:szCs w:val="14"/>
                <w:color w:val="auto"/>
              </w:rPr>
              <w:t>qualifcations</w:t>
            </w:r>
          </w:p>
        </w:tc>
        <w:tc>
          <w:tcPr>
            <w:tcW w:w="32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188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190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2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00" w:type="dxa"/>
            <w:vAlign w:val="bottom"/>
          </w:tcPr>
          <w:p>
            <w:pPr>
              <w:spacing w:after="0"/>
              <w:rPr>
                <w:sz w:val="9"/>
                <w:szCs w:val="9"/>
                <w:color w:val="auto"/>
              </w:rPr>
            </w:pPr>
          </w:p>
        </w:tc>
        <w:tc>
          <w:tcPr>
            <w:tcW w:w="19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188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90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(33%)</w:t>
            </w:r>
          </w:p>
        </w:tc>
        <w:tc>
          <w:tcPr>
            <w:tcW w:w="280" w:type="dxa"/>
            <w:vAlign w:val="bottom"/>
          </w:tcPr>
          <w:p>
            <w:pPr>
              <w:spacing w:after="0"/>
              <w:rPr>
                <w:sz w:val="9"/>
                <w:szCs w:val="9"/>
                <w:color w:val="auto"/>
              </w:rPr>
            </w:pPr>
          </w:p>
        </w:tc>
        <w:tc>
          <w:tcPr>
            <w:tcW w:w="2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3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900" w:type="dxa"/>
            <w:vAlign w:val="bottom"/>
            <w:vMerge w:val="restart"/>
          </w:tcPr>
          <w:p>
            <w:pPr>
              <w:ind w:left="120"/>
              <w:spacing w:after="0"/>
              <w:rPr>
                <w:sz w:val="20"/>
                <w:szCs w:val="20"/>
                <w:color w:val="auto"/>
              </w:rPr>
            </w:pPr>
            <w:r>
              <w:rPr>
                <w:rFonts w:ascii="Arial" w:cs="Arial" w:eastAsia="Arial" w:hAnsi="Arial"/>
                <w:sz w:val="14"/>
                <w:szCs w:val="14"/>
                <w:color w:val="auto"/>
              </w:rPr>
              <w:t>Experience</w:t>
            </w:r>
          </w:p>
        </w:tc>
        <w:tc>
          <w:tcPr>
            <w:tcW w:w="320" w:type="dxa"/>
            <w:vAlign w:val="bottom"/>
          </w:tcPr>
          <w:p>
            <w:pPr>
              <w:spacing w:after="0"/>
              <w:rPr>
                <w:sz w:val="8"/>
                <w:szCs w:val="8"/>
                <w:color w:val="auto"/>
              </w:rPr>
            </w:pPr>
          </w:p>
        </w:tc>
        <w:tc>
          <w:tcPr>
            <w:tcW w:w="34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880" w:type="dxa"/>
            <w:vAlign w:val="bottom"/>
            <w:vMerge w:val="restart"/>
          </w:tcPr>
          <w:p>
            <w:pPr>
              <w:ind w:left="80"/>
              <w:spacing w:after="0"/>
              <w:rPr>
                <w:sz w:val="20"/>
                <w:szCs w:val="20"/>
                <w:color w:val="auto"/>
              </w:rPr>
            </w:pPr>
            <w:r>
              <w:rPr>
                <w:rFonts w:ascii="Arial" w:cs="Arial" w:eastAsia="Arial" w:hAnsi="Arial"/>
                <w:sz w:val="14"/>
                <w:szCs w:val="14"/>
                <w:color w:val="auto"/>
              </w:rPr>
              <w:t>Company  fnancial</w:t>
            </w: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90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2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300" w:type="dxa"/>
            <w:vAlign w:val="bottom"/>
            <w:vMerge w:val="continue"/>
          </w:tcPr>
          <w:p>
            <w:pPr>
              <w:spacing w:after="0"/>
              <w:rPr>
                <w:sz w:val="6"/>
                <w:szCs w:val="6"/>
                <w:color w:val="auto"/>
              </w:rPr>
            </w:pPr>
          </w:p>
        </w:tc>
        <w:tc>
          <w:tcPr>
            <w:tcW w:w="19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188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3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900" w:type="dxa"/>
            <w:vAlign w:val="bottom"/>
            <w:vMerge w:val="restart"/>
          </w:tcPr>
          <w:p>
            <w:pPr>
              <w:ind w:left="120"/>
              <w:spacing w:after="0"/>
              <w:rPr>
                <w:sz w:val="20"/>
                <w:szCs w:val="20"/>
                <w:color w:val="auto"/>
              </w:rPr>
            </w:pPr>
            <w:r>
              <w:rPr>
                <w:rFonts w:ascii="Arial" w:cs="Arial" w:eastAsia="Arial" w:hAnsi="Arial"/>
                <w:sz w:val="14"/>
                <w:szCs w:val="14"/>
                <w:color w:val="auto"/>
              </w:rPr>
              <w:t>Internal  pay  parity</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80" w:type="dxa"/>
            <w:vAlign w:val="bottom"/>
          </w:tcPr>
          <w:p>
            <w:pPr>
              <w:ind w:left="80"/>
              <w:spacing w:after="0"/>
              <w:rPr>
                <w:sz w:val="20"/>
                <w:szCs w:val="20"/>
                <w:color w:val="auto"/>
              </w:rPr>
            </w:pPr>
            <w:r>
              <w:rPr>
                <w:rFonts w:ascii="Arial" w:cs="Arial" w:eastAsia="Arial" w:hAnsi="Arial"/>
                <w:sz w:val="14"/>
                <w:szCs w:val="14"/>
                <w:color w:val="auto"/>
              </w:rPr>
              <w:t>performance</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300" w:type="dxa"/>
            <w:vAlign w:val="bottom"/>
            <w:vMerge w:val="continue"/>
          </w:tcPr>
          <w:p>
            <w:pPr>
              <w:spacing w:after="0"/>
              <w:rPr>
                <w:sz w:val="4"/>
                <w:szCs w:val="4"/>
                <w:color w:val="auto"/>
              </w:rPr>
            </w:pPr>
          </w:p>
        </w:tc>
        <w:tc>
          <w:tcPr>
            <w:tcW w:w="190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80" w:type="dxa"/>
            <w:vAlign w:val="bottom"/>
          </w:tcPr>
          <w:p>
            <w:pPr>
              <w:spacing w:after="0"/>
              <w:rPr>
                <w:sz w:val="4"/>
                <w:szCs w:val="4"/>
                <w:color w:val="auto"/>
              </w:rPr>
            </w:pPr>
          </w:p>
        </w:tc>
        <w:tc>
          <w:tcPr>
            <w:tcW w:w="3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9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18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ind w:left="420" w:right="7760" w:hanging="319"/>
        <w:spacing w:after="0" w:line="330" w:lineRule="auto"/>
        <w:tabs>
          <w:tab w:leader="none" w:pos="420" w:val="left"/>
        </w:tabs>
        <w:numPr>
          <w:ilvl w:val="0"/>
          <w:numId w:val="102"/>
        </w:numPr>
        <w:rPr>
          <w:rFonts w:ascii="Times New Roman" w:cs="Times New Roman" w:eastAsia="Times New Roman" w:hAnsi="Times New Roman"/>
          <w:sz w:val="14"/>
          <w:szCs w:val="14"/>
          <w:color w:val="auto"/>
        </w:rPr>
      </w:pPr>
      <w:r>
        <w:rPr>
          <w:rFonts w:ascii="Arial" w:cs="Arial" w:eastAsia="Arial" w:hAnsi="Arial"/>
          <w:sz w:val="14"/>
          <w:szCs w:val="14"/>
          <w:color w:val="auto"/>
        </w:rPr>
        <w:t>Internal and market-based peer group data</w:t>
      </w:r>
    </w:p>
    <w:p>
      <w:pPr>
        <w:sectPr>
          <w:pgSz w:w="11900" w:h="16838" w:orient="portrait"/>
          <w:cols w:equalWidth="0" w:num="1">
            <w:col w:w="9720"/>
          </w:cols>
          <w:pgMar w:left="1080" w:top="695"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right"/>
        <w:ind w:right="7720"/>
        <w:spacing w:after="0"/>
        <w:rPr>
          <w:sz w:val="20"/>
          <w:szCs w:val="20"/>
          <w:color w:val="auto"/>
        </w:rPr>
      </w:pPr>
      <w:r>
        <w:rPr>
          <w:rFonts w:ascii="Arial" w:cs="Arial" w:eastAsia="Arial" w:hAnsi="Arial"/>
          <w:sz w:val="16"/>
          <w:szCs w:val="16"/>
          <w:color w:val="auto"/>
        </w:rPr>
        <w:t>​​2026​  Proxy</w:t>
      </w:r>
    </w:p>
    <w:p>
      <w:pPr>
        <w:spacing w:after="0" w:line="5" w:lineRule="exact"/>
        <w:rPr>
          <w:sz w:val="20"/>
          <w:szCs w:val="20"/>
          <w:color w:val="auto"/>
        </w:rPr>
      </w:pPr>
    </w:p>
    <w:p>
      <w:pPr>
        <w:ind w:left="660" w:hanging="656"/>
        <w:spacing w:after="0"/>
        <w:tabs>
          <w:tab w:leader="none" w:pos="660" w:val="left"/>
        </w:tabs>
        <w:numPr>
          <w:ilvl w:val="0"/>
          <w:numId w:val="103"/>
        </w:numPr>
        <w:rPr>
          <w:rFonts w:ascii="Arial" w:cs="Arial" w:eastAsia="Arial" w:hAnsi="Arial"/>
          <w:sz w:val="16"/>
          <w:szCs w:val="16"/>
          <w:b w:val="1"/>
          <w:bCs w:val="1"/>
          <w:color w:val="1414D2"/>
        </w:rPr>
      </w:pPr>
      <w:r>
        <w:rPr>
          <w:rFonts w:ascii="Arial" w:cs="Arial" w:eastAsia="Arial" w:hAnsi="Arial"/>
          <w:sz w:val="16"/>
          <w:szCs w:val="16"/>
          <w:color w:val="auto"/>
        </w:rPr>
        <w:t>Statement</w:t>
      </w:r>
    </w:p>
    <w:p>
      <w:pPr>
        <w:sectPr>
          <w:pgSz w:w="11900" w:h="16838" w:orient="portrait"/>
          <w:cols w:equalWidth="0" w:num="1">
            <w:col w:w="9720"/>
          </w:cols>
          <w:pgMar w:left="1080" w:top="695" w:right="1099" w:bottom="1440" w:gutter="0" w:footer="0" w:header="0"/>
          <w:type w:val="continuous"/>
        </w:sectPr>
      </w:pPr>
    </w:p>
    <w:bookmarkStart w:id="105" w:name="page106"/>
    <w:bookmarkEnd w:id="105"/>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27" w:lineRule="exact"/>
        <w:rPr>
          <w:sz w:val="20"/>
          <w:szCs w:val="20"/>
          <w:color w:val="auto"/>
        </w:rPr>
      </w:pPr>
    </w:p>
    <w:p>
      <w:pPr>
        <w:jc w:val="right"/>
        <w:spacing w:after="0"/>
        <w:rPr>
          <w:sz w:val="20"/>
          <w:szCs w:val="20"/>
          <w:color w:val="auto"/>
        </w:rPr>
      </w:pPr>
      <w:r>
        <w:rPr>
          <w:rFonts w:ascii="Arial" w:cs="Arial" w:eastAsia="Arial" w:hAnsi="Arial"/>
          <w:sz w:val="14"/>
          <w:szCs w:val="14"/>
          <w:color w:val="6D6F71"/>
        </w:rPr>
        <w:t>Compensation  Discussion  and  Analysis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STI  Target  Opportunities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target  opportunities  as  a  percentage  of  base  salary  for  2025  for  our  NEOs  are  shown  below.</w:t>
      </w:r>
    </w:p>
    <w:p>
      <w:pPr>
        <w:spacing w:after="0" w:line="127"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Such STI target opportunities are determined by the Committee after considering a number of factors, including the breadth, scope and complexity of the NEO’s role, whether the target annual incentive is competitive with target annual incentives for similarly situated executives in our peer group, consideration of internal pay parity and our recent and projected fnancial performance. In light of these factors, the Committee determined to increase the STI opportunities for each of Messrs. Enqvist,</w:t>
      </w:r>
    </w:p>
    <w:p>
      <w:pPr>
        <w:spacing w:after="0" w:line="3" w:lineRule="exact"/>
        <w:rPr>
          <w:sz w:val="20"/>
          <w:szCs w:val="20"/>
          <w:color w:val="auto"/>
        </w:rPr>
      </w:pPr>
    </w:p>
    <w:p>
      <w:pPr>
        <w:spacing w:after="0"/>
        <w:tabs>
          <w:tab w:leader="none" w:pos="1720" w:val="left"/>
        </w:tabs>
        <w:rPr>
          <w:sz w:val="20"/>
          <w:szCs w:val="20"/>
          <w:color w:val="auto"/>
        </w:rPr>
      </w:pPr>
      <w:r>
        <w:rPr>
          <w:rFonts w:ascii="Arial" w:cs="Arial" w:eastAsia="Arial" w:hAnsi="Arial"/>
          <w:sz w:val="16"/>
          <w:szCs w:val="16"/>
          <w:color w:val="auto"/>
        </w:rPr>
        <w:t>Nocella  and  Leskinen.</w:t>
      </w:r>
      <w:r>
        <w:rPr>
          <w:sz w:val="20"/>
          <w:szCs w:val="20"/>
          <w:color w:val="auto"/>
        </w:rPr>
        <w:tab/>
      </w:r>
      <w:r>
        <w:rPr>
          <w:rFonts w:ascii="Arial" w:cs="Arial" w:eastAsia="Arial" w:hAnsi="Arial"/>
          <w:sz w:val="15"/>
          <w:szCs w:val="15"/>
          <w:color w:val="auto"/>
        </w:rPr>
        <w:t>The  STI  target  opportunity  for  each  NEO  is  expressed  as  a  percentage  of  the  executive’s  base  salary.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00" w:type="dxa"/>
            <w:vAlign w:val="bottom"/>
            <w:tcBorders>
              <w:top w:val="single" w:sz="8" w:color="1414D2"/>
            </w:tcBorders>
            <w:shd w:val="clear" w:color="auto" w:fill="F2F2F2"/>
          </w:tcPr>
          <w:p>
            <w:pPr>
              <w:spacing w:after="0"/>
              <w:rPr>
                <w:sz w:val="15"/>
                <w:szCs w:val="15"/>
                <w:color w:val="auto"/>
              </w:rPr>
            </w:pPr>
          </w:p>
        </w:tc>
        <w:tc>
          <w:tcPr>
            <w:tcW w:w="260" w:type="dxa"/>
            <w:vAlign w:val="bottom"/>
            <w:tcBorders>
              <w:top w:val="single" w:sz="8" w:color="1414D2"/>
            </w:tcBorders>
            <w:shd w:val="clear" w:color="auto" w:fill="F2F2F2"/>
          </w:tcPr>
          <w:p>
            <w:pPr>
              <w:ind w:left="140"/>
              <w:spacing w:after="0"/>
              <w:rPr>
                <w:sz w:val="20"/>
                <w:szCs w:val="20"/>
                <w:color w:val="auto"/>
              </w:rPr>
            </w:pPr>
            <w:r>
              <w:rPr>
                <w:rFonts w:ascii="Arial" w:cs="Arial" w:eastAsia="Arial" w:hAnsi="Arial"/>
                <w:sz w:val="14"/>
                <w:szCs w:val="14"/>
                <w:b w:val="1"/>
                <w:bCs w:val="1"/>
                <w:color w:val="auto"/>
              </w:rPr>
              <w:t>​​​</w:t>
            </w:r>
          </w:p>
        </w:tc>
        <w:tc>
          <w:tcPr>
            <w:tcW w:w="1200" w:type="dxa"/>
            <w:vAlign w:val="bottom"/>
            <w:tcBorders>
              <w:top w:val="single" w:sz="8" w:color="1414D2"/>
            </w:tcBorders>
            <w:shd w:val="clear" w:color="auto" w:fill="F2F2F2"/>
          </w:tcPr>
          <w:p>
            <w:pPr>
              <w:spacing w:after="0"/>
              <w:rPr>
                <w:sz w:val="15"/>
                <w:szCs w:val="15"/>
                <w:color w:val="auto"/>
              </w:rPr>
            </w:pPr>
          </w:p>
        </w:tc>
        <w:tc>
          <w:tcPr>
            <w:tcW w:w="2160" w:type="dxa"/>
            <w:vAlign w:val="bottom"/>
            <w:tcBorders>
              <w:top w:val="single" w:sz="8" w:color="1414D2"/>
            </w:tcBorders>
            <w:gridSpan w:val="2"/>
            <w:shd w:val="clear" w:color="auto" w:fill="F2F2F2"/>
          </w:tcPr>
          <w:p>
            <w:pPr>
              <w:jc w:val="right"/>
              <w:ind w:right="61"/>
              <w:spacing w:after="0"/>
              <w:rPr>
                <w:sz w:val="20"/>
                <w:szCs w:val="20"/>
                <w:color w:val="auto"/>
              </w:rPr>
            </w:pPr>
            <w:r>
              <w:rPr>
                <w:rFonts w:ascii="Arial" w:cs="Arial" w:eastAsia="Arial" w:hAnsi="Arial"/>
                <w:sz w:val="14"/>
                <w:szCs w:val="14"/>
                <w:b w:val="1"/>
                <w:bCs w:val="1"/>
                <w:color w:val="auto"/>
              </w:rPr>
              <w:t>2025 STI Target Opportunity</w:t>
            </w:r>
          </w:p>
        </w:tc>
        <w:tc>
          <w:tcPr>
            <w:tcW w:w="1100" w:type="dxa"/>
            <w:vAlign w:val="bottom"/>
            <w:tcBorders>
              <w:top w:val="single" w:sz="8" w:color="1414D2"/>
            </w:tcBorders>
            <w:shd w:val="clear" w:color="auto" w:fill="F2F2F2"/>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5000" w:type="dxa"/>
            <w:vAlign w:val="bottom"/>
            <w:tcBorders>
              <w:bottom w:val="single" w:sz="8" w:color="F2F2F2"/>
            </w:tcBorders>
            <w:vMerge w:val="restart"/>
            <w:shd w:val="clear" w:color="auto" w:fill="F2F2F2"/>
          </w:tcPr>
          <w:p>
            <w:pPr>
              <w:ind w:left="120"/>
              <w:spacing w:after="0"/>
              <w:rPr>
                <w:sz w:val="20"/>
                <w:szCs w:val="20"/>
                <w:color w:val="auto"/>
              </w:rPr>
            </w:pPr>
            <w:r>
              <w:rPr>
                <w:rFonts w:ascii="Arial" w:cs="Arial" w:eastAsia="Arial" w:hAnsi="Arial"/>
                <w:sz w:val="14"/>
                <w:szCs w:val="14"/>
                <w:b w:val="1"/>
                <w:bCs w:val="1"/>
                <w:color w:val="auto"/>
              </w:rPr>
              <w:t>Named Executive Ofcer</w:t>
            </w:r>
          </w:p>
        </w:tc>
        <w:tc>
          <w:tcPr>
            <w:tcW w:w="260" w:type="dxa"/>
            <w:vAlign w:val="bottom"/>
            <w:tcBorders>
              <w:bottom w:val="single" w:sz="8" w:color="F2F2F2"/>
            </w:tcBorders>
            <w:shd w:val="clear" w:color="auto" w:fill="F2F2F2"/>
          </w:tcPr>
          <w:p>
            <w:pPr>
              <w:spacing w:after="0"/>
              <w:rPr>
                <w:sz w:val="17"/>
                <w:szCs w:val="17"/>
                <w:color w:val="auto"/>
              </w:rPr>
            </w:pPr>
          </w:p>
        </w:tc>
        <w:tc>
          <w:tcPr>
            <w:tcW w:w="1200" w:type="dxa"/>
            <w:vAlign w:val="bottom"/>
            <w:tcBorders>
              <w:bottom w:val="single" w:sz="8" w:color="1414D2"/>
            </w:tcBorders>
            <w:shd w:val="clear" w:color="auto" w:fill="F2F2F2"/>
          </w:tcPr>
          <w:p>
            <w:pPr>
              <w:spacing w:after="0"/>
              <w:rPr>
                <w:sz w:val="17"/>
                <w:szCs w:val="17"/>
                <w:color w:val="auto"/>
              </w:rPr>
            </w:pPr>
          </w:p>
        </w:tc>
        <w:tc>
          <w:tcPr>
            <w:tcW w:w="2160" w:type="dxa"/>
            <w:vAlign w:val="bottom"/>
            <w:tcBorders>
              <w:bottom w:val="single" w:sz="8" w:color="1414D2"/>
            </w:tcBorders>
            <w:gridSpan w:val="2"/>
            <w:shd w:val="clear" w:color="auto" w:fill="F2F2F2"/>
          </w:tcPr>
          <w:p>
            <w:pPr>
              <w:jc w:val="right"/>
              <w:ind w:right="121"/>
              <w:spacing w:after="0"/>
              <w:rPr>
                <w:sz w:val="20"/>
                <w:szCs w:val="20"/>
                <w:color w:val="auto"/>
              </w:rPr>
            </w:pPr>
            <w:r>
              <w:rPr>
                <w:rFonts w:ascii="Arial" w:cs="Arial" w:eastAsia="Arial" w:hAnsi="Arial"/>
                <w:sz w:val="14"/>
                <w:szCs w:val="14"/>
                <w:b w:val="1"/>
                <w:bCs w:val="1"/>
                <w:color w:val="auto"/>
              </w:rPr>
              <w:t>Percentage of Base Salary</w:t>
            </w:r>
          </w:p>
        </w:tc>
        <w:tc>
          <w:tcPr>
            <w:tcW w:w="1100" w:type="dxa"/>
            <w:vAlign w:val="bottom"/>
            <w:tcBorders>
              <w:bottom w:val="single" w:sz="8" w:color="1414D2"/>
            </w:tcBorders>
            <w:shd w:val="clear" w:color="auto" w:fill="F2F2F2"/>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000" w:type="dxa"/>
            <w:vAlign w:val="bottom"/>
            <w:tcBorders>
              <w:bottom w:val="single" w:sz="8" w:color="F2F2F2"/>
            </w:tcBorders>
            <w:vMerge w:val="continue"/>
            <w:shd w:val="clear" w:color="auto" w:fill="F2F2F2"/>
          </w:tcPr>
          <w:p>
            <w:pPr>
              <w:spacing w:after="0"/>
              <w:rPr>
                <w:sz w:val="15"/>
                <w:szCs w:val="15"/>
                <w:color w:val="auto"/>
              </w:rPr>
            </w:pPr>
          </w:p>
        </w:tc>
        <w:tc>
          <w:tcPr>
            <w:tcW w:w="260" w:type="dxa"/>
            <w:vAlign w:val="bottom"/>
            <w:tcBorders>
              <w:bottom w:val="single" w:sz="8" w:color="F2F2F2"/>
            </w:tcBorders>
            <w:shd w:val="clear" w:color="auto" w:fill="F2F2F2"/>
          </w:tcPr>
          <w:p>
            <w:pPr>
              <w:spacing w:after="0"/>
              <w:rPr>
                <w:sz w:val="15"/>
                <w:szCs w:val="15"/>
                <w:color w:val="auto"/>
              </w:rPr>
            </w:pPr>
          </w:p>
        </w:tc>
        <w:tc>
          <w:tcPr>
            <w:tcW w:w="120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b w:val="1"/>
                <w:bCs w:val="1"/>
                <w:color w:val="auto"/>
              </w:rPr>
              <w:t>2024</w:t>
            </w:r>
          </w:p>
        </w:tc>
        <w:tc>
          <w:tcPr>
            <w:tcW w:w="660" w:type="dxa"/>
            <w:vAlign w:val="bottom"/>
            <w:tcBorders>
              <w:bottom w:val="single" w:sz="8" w:color="F2F2F2"/>
            </w:tcBorders>
            <w:shd w:val="clear" w:color="auto" w:fill="F2F2F2"/>
          </w:tcPr>
          <w:p>
            <w:pPr>
              <w:spacing w:after="0"/>
              <w:rPr>
                <w:sz w:val="15"/>
                <w:szCs w:val="15"/>
                <w:color w:val="auto"/>
              </w:rPr>
            </w:pPr>
          </w:p>
        </w:tc>
        <w:tc>
          <w:tcPr>
            <w:tcW w:w="1500" w:type="dxa"/>
            <w:vAlign w:val="bottom"/>
            <w:tcBorders>
              <w:bottom w:val="single" w:sz="8" w:color="F2F2F2"/>
            </w:tcBorders>
            <w:shd w:val="clear" w:color="auto" w:fill="F2F2F2"/>
          </w:tcPr>
          <w:p>
            <w:pPr>
              <w:jc w:val="right"/>
              <w:ind w:right="581"/>
              <w:spacing w:after="0"/>
              <w:rPr>
                <w:sz w:val="20"/>
                <w:szCs w:val="20"/>
                <w:color w:val="auto"/>
              </w:rPr>
            </w:pPr>
            <w:r>
              <w:rPr>
                <w:rFonts w:ascii="Arial" w:cs="Arial" w:eastAsia="Arial" w:hAnsi="Arial"/>
                <w:sz w:val="14"/>
                <w:szCs w:val="14"/>
                <w:b w:val="1"/>
                <w:bCs w:val="1"/>
                <w:color w:val="auto"/>
              </w:rPr>
              <w:t>2025</w:t>
            </w:r>
          </w:p>
        </w:tc>
        <w:tc>
          <w:tcPr>
            <w:tcW w:w="1100" w:type="dxa"/>
            <w:vAlign w:val="bottom"/>
            <w:tcBorders>
              <w:bottom w:val="single" w:sz="8" w:color="F2F2F2"/>
            </w:tcBorders>
            <w:shd w:val="clear" w:color="auto" w:fill="F2F2F2"/>
          </w:tcPr>
          <w:p>
            <w:pPr>
              <w:jc w:val="right"/>
              <w:ind w:right="18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9"/>
        </w:trPr>
        <w:tc>
          <w:tcPr>
            <w:tcW w:w="5000" w:type="dxa"/>
            <w:vAlign w:val="bottom"/>
            <w:tcBorders>
              <w:bottom w:val="single" w:sz="8" w:color="808080"/>
            </w:tcBorders>
          </w:tcPr>
          <w:p>
            <w:pPr>
              <w:ind w:left="120"/>
              <w:spacing w:after="0"/>
              <w:rPr>
                <w:sz w:val="20"/>
                <w:szCs w:val="20"/>
                <w:color w:val="auto"/>
              </w:rPr>
            </w:pPr>
            <w:r>
              <w:rPr>
                <w:rFonts w:ascii="Arial" w:cs="Arial" w:eastAsia="Arial" w:hAnsi="Arial"/>
                <w:sz w:val="16"/>
                <w:szCs w:val="16"/>
                <w:b w:val="1"/>
                <w:bCs w:val="1"/>
                <w:color w:val="1414D2"/>
              </w:rPr>
              <w:t>Scott Kirby</w:t>
            </w:r>
          </w:p>
        </w:tc>
        <w:tc>
          <w:tcPr>
            <w:tcW w:w="260" w:type="dxa"/>
            <w:vAlign w:val="bottom"/>
            <w:tcBorders>
              <w:bottom w:val="single" w:sz="8" w:color="808080"/>
            </w:tcBorders>
          </w:tcPr>
          <w:p>
            <w:pPr>
              <w:spacing w:after="0"/>
              <w:rPr>
                <w:sz w:val="16"/>
                <w:szCs w:val="16"/>
                <w:color w:val="auto"/>
              </w:rPr>
            </w:pPr>
          </w:p>
        </w:tc>
        <w:tc>
          <w:tcPr>
            <w:tcW w:w="1200" w:type="dxa"/>
            <w:vAlign w:val="bottom"/>
            <w:tcBorders>
              <w:bottom w:val="single" w:sz="8" w:color="808080"/>
            </w:tcBorders>
          </w:tcPr>
          <w:p>
            <w:pPr>
              <w:jc w:val="right"/>
              <w:spacing w:after="0"/>
              <w:rPr>
                <w:sz w:val="20"/>
                <w:szCs w:val="20"/>
                <w:color w:val="auto"/>
              </w:rPr>
            </w:pPr>
            <w:r>
              <w:rPr>
                <w:rFonts w:ascii="Arial" w:cs="Arial" w:eastAsia="Arial" w:hAnsi="Arial"/>
                <w:sz w:val="16"/>
                <w:szCs w:val="16"/>
                <w:color w:val="auto"/>
              </w:rPr>
              <w:t>250</w:t>
            </w:r>
          </w:p>
        </w:tc>
        <w:tc>
          <w:tcPr>
            <w:tcW w:w="660" w:type="dxa"/>
            <w:vAlign w:val="bottom"/>
            <w:tcBorders>
              <w:bottom w:val="single" w:sz="8" w:color="808080"/>
            </w:tcBorders>
          </w:tcPr>
          <w:p>
            <w:pPr>
              <w:jc w:val="right"/>
              <w:ind w:right="445"/>
              <w:spacing w:after="0"/>
              <w:rPr>
                <w:sz w:val="20"/>
                <w:szCs w:val="20"/>
                <w:color w:val="auto"/>
              </w:rPr>
            </w:pPr>
            <w:r>
              <w:rPr>
                <w:rFonts w:ascii="Arial" w:cs="Arial" w:eastAsia="Arial" w:hAnsi="Arial"/>
                <w:sz w:val="16"/>
                <w:szCs w:val="16"/>
                <w:color w:val="auto"/>
                <w:w w:val="84"/>
              </w:rPr>
              <w:t>%</w:t>
            </w:r>
          </w:p>
        </w:tc>
        <w:tc>
          <w:tcPr>
            <w:tcW w:w="1500" w:type="dxa"/>
            <w:vAlign w:val="bottom"/>
            <w:tcBorders>
              <w:bottom w:val="single" w:sz="8" w:color="808080"/>
            </w:tcBorders>
          </w:tcPr>
          <w:p>
            <w:pPr>
              <w:jc w:val="right"/>
              <w:ind w:right="381"/>
              <w:spacing w:after="0"/>
              <w:rPr>
                <w:sz w:val="20"/>
                <w:szCs w:val="20"/>
                <w:color w:val="auto"/>
              </w:rPr>
            </w:pPr>
            <w:r>
              <w:rPr>
                <w:rFonts w:ascii="Arial" w:cs="Arial" w:eastAsia="Arial" w:hAnsi="Arial"/>
                <w:sz w:val="16"/>
                <w:szCs w:val="16"/>
                <w:color w:val="auto"/>
              </w:rPr>
              <w:t>250  %</w:t>
            </w:r>
          </w:p>
        </w:tc>
        <w:tc>
          <w:tcPr>
            <w:tcW w:w="1100" w:type="dxa"/>
            <w:vAlign w:val="bottom"/>
            <w:tcBorders>
              <w:bottom w:val="single" w:sz="8" w:color="808080"/>
            </w:tcBorders>
          </w:tcPr>
          <w:p>
            <w:pPr>
              <w:jc w:val="right"/>
              <w:ind w:right="1"/>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183"/>
        </w:trPr>
        <w:tc>
          <w:tcPr>
            <w:tcW w:w="5260" w:type="dxa"/>
            <w:vAlign w:val="bottom"/>
            <w:tcBorders>
              <w:bottom w:val="single" w:sz="8" w:color="808080"/>
            </w:tcBorders>
            <w:gridSpan w:val="2"/>
          </w:tcPr>
          <w:p>
            <w:pPr>
              <w:ind w:left="120"/>
              <w:spacing w:after="0" w:line="183" w:lineRule="exact"/>
              <w:rPr>
                <w:sz w:val="20"/>
                <w:szCs w:val="20"/>
                <w:color w:val="auto"/>
              </w:rPr>
            </w:pPr>
            <w:r>
              <w:rPr>
                <w:rFonts w:ascii="Arial" w:cs="Arial" w:eastAsia="Arial" w:hAnsi="Arial"/>
                <w:sz w:val="16"/>
                <w:szCs w:val="16"/>
                <w:b w:val="1"/>
                <w:bCs w:val="1"/>
                <w:color w:val="1414D2"/>
              </w:rPr>
              <w:t>Brett Hart</w:t>
            </w:r>
          </w:p>
        </w:tc>
        <w:tc>
          <w:tcPr>
            <w:tcW w:w="1860" w:type="dxa"/>
            <w:vAlign w:val="bottom"/>
            <w:tcBorders>
              <w:bottom w:val="single" w:sz="8" w:color="808080"/>
            </w:tcBorders>
            <w:gridSpan w:val="2"/>
          </w:tcPr>
          <w:p>
            <w:pPr>
              <w:jc w:val="right"/>
              <w:ind w:right="445"/>
              <w:spacing w:after="0" w:line="183" w:lineRule="exact"/>
              <w:rPr>
                <w:sz w:val="20"/>
                <w:szCs w:val="20"/>
                <w:color w:val="auto"/>
              </w:rPr>
            </w:pPr>
            <w:r>
              <w:rPr>
                <w:rFonts w:ascii="Arial" w:cs="Arial" w:eastAsia="Arial" w:hAnsi="Arial"/>
                <w:sz w:val="16"/>
                <w:szCs w:val="16"/>
                <w:color w:val="auto"/>
              </w:rPr>
              <w:t>175  %</w:t>
            </w:r>
          </w:p>
        </w:tc>
        <w:tc>
          <w:tcPr>
            <w:tcW w:w="1500" w:type="dxa"/>
            <w:vAlign w:val="bottom"/>
            <w:tcBorders>
              <w:bottom w:val="single" w:sz="8" w:color="808080"/>
            </w:tcBorders>
          </w:tcPr>
          <w:p>
            <w:pPr>
              <w:jc w:val="right"/>
              <w:ind w:right="381"/>
              <w:spacing w:after="0" w:line="183" w:lineRule="exact"/>
              <w:rPr>
                <w:sz w:val="20"/>
                <w:szCs w:val="20"/>
                <w:color w:val="auto"/>
              </w:rPr>
            </w:pPr>
            <w:r>
              <w:rPr>
                <w:rFonts w:ascii="Arial" w:cs="Arial" w:eastAsia="Arial" w:hAnsi="Arial"/>
                <w:sz w:val="16"/>
                <w:szCs w:val="16"/>
                <w:color w:val="auto"/>
              </w:rPr>
              <w:t>175  %</w:t>
            </w:r>
          </w:p>
        </w:tc>
        <w:tc>
          <w:tcPr>
            <w:tcW w:w="1100" w:type="dxa"/>
            <w:vAlign w:val="bottom"/>
            <w:tcBorders>
              <w:bottom w:val="single" w:sz="8" w:color="808080"/>
            </w:tcBorders>
          </w:tcPr>
          <w:p>
            <w:pPr>
              <w:jc w:val="right"/>
              <w:ind w:right="1"/>
              <w:spacing w:after="0" w:line="183" w:lineRule="exact"/>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183"/>
        </w:trPr>
        <w:tc>
          <w:tcPr>
            <w:tcW w:w="5260" w:type="dxa"/>
            <w:vAlign w:val="bottom"/>
            <w:tcBorders>
              <w:bottom w:val="single" w:sz="8" w:color="808080"/>
            </w:tcBorders>
            <w:gridSpan w:val="2"/>
          </w:tcPr>
          <w:p>
            <w:pPr>
              <w:ind w:left="120"/>
              <w:spacing w:after="0" w:line="183" w:lineRule="exact"/>
              <w:rPr>
                <w:sz w:val="20"/>
                <w:szCs w:val="20"/>
                <w:color w:val="auto"/>
              </w:rPr>
            </w:pPr>
            <w:r>
              <w:rPr>
                <w:rFonts w:ascii="Arial" w:cs="Arial" w:eastAsia="Arial" w:hAnsi="Arial"/>
                <w:sz w:val="16"/>
                <w:szCs w:val="16"/>
                <w:b w:val="1"/>
                <w:bCs w:val="1"/>
                <w:color w:val="1414D2"/>
              </w:rPr>
              <w:t>Torbjorn Enqvist</w:t>
            </w:r>
          </w:p>
        </w:tc>
        <w:tc>
          <w:tcPr>
            <w:tcW w:w="1860" w:type="dxa"/>
            <w:vAlign w:val="bottom"/>
            <w:tcBorders>
              <w:bottom w:val="single" w:sz="8" w:color="808080"/>
            </w:tcBorders>
            <w:gridSpan w:val="2"/>
          </w:tcPr>
          <w:p>
            <w:pPr>
              <w:jc w:val="right"/>
              <w:ind w:right="445"/>
              <w:spacing w:after="0" w:line="183" w:lineRule="exact"/>
              <w:rPr>
                <w:sz w:val="20"/>
                <w:szCs w:val="20"/>
                <w:color w:val="auto"/>
              </w:rPr>
            </w:pPr>
            <w:r>
              <w:rPr>
                <w:rFonts w:ascii="Arial" w:cs="Arial" w:eastAsia="Arial" w:hAnsi="Arial"/>
                <w:sz w:val="16"/>
                <w:szCs w:val="16"/>
                <w:color w:val="auto"/>
              </w:rPr>
              <w:t>125  %</w:t>
            </w:r>
          </w:p>
        </w:tc>
        <w:tc>
          <w:tcPr>
            <w:tcW w:w="1500" w:type="dxa"/>
            <w:vAlign w:val="bottom"/>
            <w:tcBorders>
              <w:bottom w:val="single" w:sz="8" w:color="808080"/>
            </w:tcBorders>
          </w:tcPr>
          <w:p>
            <w:pPr>
              <w:jc w:val="right"/>
              <w:ind w:right="381"/>
              <w:spacing w:after="0" w:line="183" w:lineRule="exact"/>
              <w:rPr>
                <w:sz w:val="20"/>
                <w:szCs w:val="20"/>
                <w:color w:val="auto"/>
              </w:rPr>
            </w:pPr>
            <w:r>
              <w:rPr>
                <w:rFonts w:ascii="Arial" w:cs="Arial" w:eastAsia="Arial" w:hAnsi="Arial"/>
                <w:sz w:val="16"/>
                <w:szCs w:val="16"/>
                <w:color w:val="auto"/>
              </w:rPr>
              <w:t>140  %</w:t>
            </w:r>
          </w:p>
        </w:tc>
        <w:tc>
          <w:tcPr>
            <w:tcW w:w="1100" w:type="dxa"/>
            <w:vAlign w:val="bottom"/>
            <w:tcBorders>
              <w:bottom w:val="single" w:sz="8" w:color="808080"/>
            </w:tcBorders>
          </w:tcPr>
          <w:p>
            <w:pPr>
              <w:jc w:val="right"/>
              <w:ind w:right="1"/>
              <w:spacing w:after="0" w:line="183" w:lineRule="exact"/>
              <w:rPr>
                <w:sz w:val="20"/>
                <w:szCs w:val="20"/>
                <w:color w:val="auto"/>
              </w:rPr>
            </w:pPr>
            <w:r>
              <w:rPr>
                <w:rFonts w:ascii="Arial" w:cs="Arial" w:eastAsia="Arial" w:hAnsi="Arial"/>
                <w:sz w:val="16"/>
                <w:szCs w:val="16"/>
                <w:color w:val="auto"/>
              </w:rPr>
              <w:t>12.0  %</w:t>
            </w:r>
          </w:p>
        </w:tc>
        <w:tc>
          <w:tcPr>
            <w:tcW w:w="0" w:type="dxa"/>
            <w:vAlign w:val="bottom"/>
          </w:tcPr>
          <w:p>
            <w:pPr>
              <w:spacing w:after="0"/>
              <w:rPr>
                <w:sz w:val="1"/>
                <w:szCs w:val="1"/>
                <w:color w:val="auto"/>
              </w:rPr>
            </w:pPr>
          </w:p>
        </w:tc>
      </w:tr>
      <w:tr>
        <w:trPr>
          <w:trHeight w:val="183"/>
        </w:trPr>
        <w:tc>
          <w:tcPr>
            <w:tcW w:w="5260" w:type="dxa"/>
            <w:vAlign w:val="bottom"/>
            <w:tcBorders>
              <w:bottom w:val="single" w:sz="8" w:color="808080"/>
            </w:tcBorders>
            <w:gridSpan w:val="2"/>
          </w:tcPr>
          <w:p>
            <w:pPr>
              <w:ind w:left="120"/>
              <w:spacing w:after="0" w:line="183" w:lineRule="exact"/>
              <w:rPr>
                <w:sz w:val="20"/>
                <w:szCs w:val="20"/>
                <w:color w:val="auto"/>
              </w:rPr>
            </w:pPr>
            <w:r>
              <w:rPr>
                <w:rFonts w:ascii="Arial" w:cs="Arial" w:eastAsia="Arial" w:hAnsi="Arial"/>
                <w:sz w:val="16"/>
                <w:szCs w:val="16"/>
                <w:b w:val="1"/>
                <w:bCs w:val="1"/>
                <w:color w:val="1414D2"/>
              </w:rPr>
              <w:t>Andrew Nocella</w:t>
            </w:r>
          </w:p>
        </w:tc>
        <w:tc>
          <w:tcPr>
            <w:tcW w:w="1860" w:type="dxa"/>
            <w:vAlign w:val="bottom"/>
            <w:tcBorders>
              <w:bottom w:val="single" w:sz="8" w:color="808080"/>
            </w:tcBorders>
            <w:gridSpan w:val="2"/>
          </w:tcPr>
          <w:p>
            <w:pPr>
              <w:jc w:val="right"/>
              <w:ind w:right="445"/>
              <w:spacing w:after="0" w:line="183" w:lineRule="exact"/>
              <w:rPr>
                <w:sz w:val="20"/>
                <w:szCs w:val="20"/>
                <w:color w:val="auto"/>
              </w:rPr>
            </w:pPr>
            <w:r>
              <w:rPr>
                <w:rFonts w:ascii="Arial" w:cs="Arial" w:eastAsia="Arial" w:hAnsi="Arial"/>
                <w:sz w:val="16"/>
                <w:szCs w:val="16"/>
                <w:color w:val="auto"/>
              </w:rPr>
              <w:t>120  %</w:t>
            </w:r>
          </w:p>
        </w:tc>
        <w:tc>
          <w:tcPr>
            <w:tcW w:w="1500" w:type="dxa"/>
            <w:vAlign w:val="bottom"/>
            <w:tcBorders>
              <w:bottom w:val="single" w:sz="8" w:color="808080"/>
            </w:tcBorders>
          </w:tcPr>
          <w:p>
            <w:pPr>
              <w:jc w:val="right"/>
              <w:ind w:right="381"/>
              <w:spacing w:after="0" w:line="183" w:lineRule="exact"/>
              <w:rPr>
                <w:sz w:val="20"/>
                <w:szCs w:val="20"/>
                <w:color w:val="auto"/>
              </w:rPr>
            </w:pPr>
            <w:r>
              <w:rPr>
                <w:rFonts w:ascii="Arial" w:cs="Arial" w:eastAsia="Arial" w:hAnsi="Arial"/>
                <w:sz w:val="16"/>
                <w:szCs w:val="16"/>
                <w:color w:val="auto"/>
              </w:rPr>
              <w:t>125  %</w:t>
            </w:r>
          </w:p>
        </w:tc>
        <w:tc>
          <w:tcPr>
            <w:tcW w:w="1100" w:type="dxa"/>
            <w:vAlign w:val="bottom"/>
            <w:tcBorders>
              <w:bottom w:val="single" w:sz="8" w:color="808080"/>
            </w:tcBorders>
          </w:tcPr>
          <w:p>
            <w:pPr>
              <w:jc w:val="right"/>
              <w:ind w:right="1"/>
              <w:spacing w:after="0" w:line="183" w:lineRule="exact"/>
              <w:rPr>
                <w:sz w:val="20"/>
                <w:szCs w:val="20"/>
                <w:color w:val="auto"/>
              </w:rPr>
            </w:pPr>
            <w:r>
              <w:rPr>
                <w:rFonts w:ascii="Arial" w:cs="Arial" w:eastAsia="Arial" w:hAnsi="Arial"/>
                <w:sz w:val="16"/>
                <w:szCs w:val="16"/>
                <w:color w:val="auto"/>
              </w:rPr>
              <w:t>4.2  %</w:t>
            </w:r>
          </w:p>
        </w:tc>
        <w:tc>
          <w:tcPr>
            <w:tcW w:w="0" w:type="dxa"/>
            <w:vAlign w:val="bottom"/>
          </w:tcPr>
          <w:p>
            <w:pPr>
              <w:spacing w:after="0"/>
              <w:rPr>
                <w:sz w:val="1"/>
                <w:szCs w:val="1"/>
                <w:color w:val="auto"/>
              </w:rPr>
            </w:pPr>
          </w:p>
        </w:tc>
      </w:tr>
      <w:tr>
        <w:trPr>
          <w:trHeight w:val="183"/>
        </w:trPr>
        <w:tc>
          <w:tcPr>
            <w:tcW w:w="5260" w:type="dxa"/>
            <w:vAlign w:val="bottom"/>
            <w:tcBorders>
              <w:bottom w:val="single" w:sz="8" w:color="808080"/>
            </w:tcBorders>
            <w:gridSpan w:val="2"/>
          </w:tcPr>
          <w:p>
            <w:pPr>
              <w:ind w:left="120"/>
              <w:spacing w:after="0" w:line="183" w:lineRule="exact"/>
              <w:rPr>
                <w:sz w:val="20"/>
                <w:szCs w:val="20"/>
                <w:color w:val="auto"/>
              </w:rPr>
            </w:pPr>
            <w:r>
              <w:rPr>
                <w:rFonts w:ascii="Arial" w:cs="Arial" w:eastAsia="Arial" w:hAnsi="Arial"/>
                <w:sz w:val="16"/>
                <w:szCs w:val="16"/>
                <w:b w:val="1"/>
                <w:bCs w:val="1"/>
                <w:color w:val="1414D2"/>
              </w:rPr>
              <w:t>Michael Leskinen</w:t>
            </w:r>
          </w:p>
        </w:tc>
        <w:tc>
          <w:tcPr>
            <w:tcW w:w="1860" w:type="dxa"/>
            <w:vAlign w:val="bottom"/>
            <w:tcBorders>
              <w:bottom w:val="single" w:sz="8" w:color="808080"/>
            </w:tcBorders>
            <w:gridSpan w:val="2"/>
          </w:tcPr>
          <w:p>
            <w:pPr>
              <w:jc w:val="right"/>
              <w:ind w:right="445"/>
              <w:spacing w:after="0" w:line="183" w:lineRule="exact"/>
              <w:rPr>
                <w:sz w:val="20"/>
                <w:szCs w:val="20"/>
                <w:color w:val="auto"/>
              </w:rPr>
            </w:pPr>
            <w:r>
              <w:rPr>
                <w:rFonts w:ascii="Arial" w:cs="Arial" w:eastAsia="Arial" w:hAnsi="Arial"/>
                <w:sz w:val="16"/>
                <w:szCs w:val="16"/>
                <w:color w:val="auto"/>
              </w:rPr>
              <w:t>120  %</w:t>
            </w:r>
          </w:p>
        </w:tc>
        <w:tc>
          <w:tcPr>
            <w:tcW w:w="1500" w:type="dxa"/>
            <w:vAlign w:val="bottom"/>
            <w:tcBorders>
              <w:bottom w:val="single" w:sz="8" w:color="808080"/>
            </w:tcBorders>
          </w:tcPr>
          <w:p>
            <w:pPr>
              <w:jc w:val="right"/>
              <w:ind w:right="381"/>
              <w:spacing w:after="0" w:line="183" w:lineRule="exact"/>
              <w:rPr>
                <w:sz w:val="20"/>
                <w:szCs w:val="20"/>
                <w:color w:val="auto"/>
              </w:rPr>
            </w:pPr>
            <w:r>
              <w:rPr>
                <w:rFonts w:ascii="Arial" w:cs="Arial" w:eastAsia="Arial" w:hAnsi="Arial"/>
                <w:sz w:val="16"/>
                <w:szCs w:val="16"/>
                <w:color w:val="auto"/>
              </w:rPr>
              <w:t>125  %</w:t>
            </w:r>
          </w:p>
        </w:tc>
        <w:tc>
          <w:tcPr>
            <w:tcW w:w="1100" w:type="dxa"/>
            <w:vAlign w:val="bottom"/>
            <w:tcBorders>
              <w:bottom w:val="single" w:sz="8" w:color="808080"/>
            </w:tcBorders>
          </w:tcPr>
          <w:p>
            <w:pPr>
              <w:jc w:val="right"/>
              <w:ind w:right="1"/>
              <w:spacing w:after="0" w:line="183" w:lineRule="exact"/>
              <w:rPr>
                <w:sz w:val="20"/>
                <w:szCs w:val="20"/>
                <w:color w:val="auto"/>
              </w:rPr>
            </w:pPr>
            <w:r>
              <w:rPr>
                <w:rFonts w:ascii="Arial" w:cs="Arial" w:eastAsia="Arial" w:hAnsi="Arial"/>
                <w:sz w:val="16"/>
                <w:szCs w:val="16"/>
                <w:color w:val="auto"/>
              </w:rPr>
              <w:t>4.2  %</w:t>
            </w:r>
          </w:p>
        </w:tc>
        <w:tc>
          <w:tcPr>
            <w:tcW w:w="0" w:type="dxa"/>
            <w:vAlign w:val="bottom"/>
          </w:tcPr>
          <w:p>
            <w:pPr>
              <w:spacing w:after="0"/>
              <w:rPr>
                <w:sz w:val="1"/>
                <w:szCs w:val="1"/>
                <w:color w:val="auto"/>
              </w:rPr>
            </w:pPr>
          </w:p>
        </w:tc>
      </w:tr>
    </w:tbl>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414D2"/>
        </w:rPr>
        <w:t>Performance Measures Underlying the STI Program</w:t>
      </w:r>
    </w:p>
    <w:p>
      <w:pPr>
        <w:spacing w:after="0" w:line="115"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At the beginning of the performance year, the Committee undertakes a rigorous, holistic process to establish predefned performance measures that it believes will motivate our executives appropriately to deliver the high performance that supports</w:t>
      </w:r>
    </w:p>
    <w:p>
      <w:pPr>
        <w:spacing w:after="0" w:line="1" w:lineRule="exact"/>
        <w:rPr>
          <w:sz w:val="20"/>
          <w:szCs w:val="20"/>
          <w:color w:val="auto"/>
        </w:rPr>
      </w:pPr>
    </w:p>
    <w:p>
      <w:pPr>
        <w:ind w:right="380"/>
        <w:spacing w:after="0" w:line="313" w:lineRule="auto"/>
        <w:rPr>
          <w:sz w:val="20"/>
          <w:szCs w:val="20"/>
          <w:color w:val="auto"/>
        </w:rPr>
      </w:pPr>
      <w:r>
        <w:rPr>
          <w:rFonts w:ascii="Arial" w:cs="Arial" w:eastAsia="Arial" w:hAnsi="Arial"/>
          <w:sz w:val="16"/>
          <w:szCs w:val="16"/>
          <w:color w:val="auto"/>
        </w:rPr>
        <w:t>stockholder value creation in both the short- and long-term in accordance with our compensation philosophy. The 2025 STI program had a performance period of January 1, 2025 through December 31, 2025.</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Our  2025  STI  performance  measures  were  as  follows,  with  the  metrics  selected  and  the  targets  set  by  the  Committee  in</w:t>
      </w:r>
    </w:p>
    <w:p>
      <w:pPr>
        <w:spacing w:after="0" w:line="19" w:lineRule="exact"/>
        <w:rPr>
          <w:sz w:val="20"/>
          <w:szCs w:val="20"/>
          <w:color w:val="auto"/>
        </w:rPr>
      </w:pPr>
    </w:p>
    <w:p>
      <w:pPr>
        <w:ind w:right="80"/>
        <w:spacing w:after="0" w:line="272" w:lineRule="auto"/>
        <w:rPr>
          <w:sz w:val="20"/>
          <w:szCs w:val="20"/>
          <w:color w:val="auto"/>
        </w:rPr>
      </w:pPr>
      <w:r>
        <w:rPr>
          <w:rFonts w:ascii="Arial" w:cs="Arial" w:eastAsia="Arial" w:hAnsi="Arial"/>
          <w:sz w:val="16"/>
          <w:szCs w:val="16"/>
          <w:color w:val="auto"/>
        </w:rPr>
        <w:t>February 2025. The Committee believes the performance measures selected appropriately link compensation outcomes to our business strategy in 2025, which is in part focused on maintaining a best-in-class travel experience for our customers and executing certain fnancial objectives that help us meet our fnancial guidance, which will enhance long-term value for our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2026  Proxy  Statement</w:t>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1414D2"/>
        </w:rPr>
        <w:t>95</w:t>
      </w:r>
    </w:p>
    <w:p>
      <w:pPr>
        <w:sectPr>
          <w:pgSz w:w="11900" w:h="16838" w:orient="portrait"/>
          <w:cols w:equalWidth="0" w:num="1">
            <w:col w:w="9720"/>
          </w:cols>
          <w:pgMar w:left="1080" w:top="695" w:right="1099" w:bottom="1440" w:gutter="0" w:footer="0" w:header="0"/>
        </w:sectPr>
      </w:pPr>
    </w:p>
    <w:bookmarkStart w:id="106" w:name="page107"/>
    <w:bookmarkEnd w:id="106"/>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6D6F71"/>
        </w:rPr>
        <w:t>Compensation  Discussion  and  Analysis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960" w:type="dxa"/>
            <w:vAlign w:val="bottom"/>
            <w:shd w:val="clear" w:color="auto" w:fill="1414D2"/>
          </w:tcPr>
          <w:p>
            <w:pPr>
              <w:ind w:left="100"/>
              <w:spacing w:after="0"/>
              <w:rPr>
                <w:sz w:val="20"/>
                <w:szCs w:val="20"/>
                <w:color w:val="auto"/>
              </w:rPr>
            </w:pPr>
            <w:r>
              <w:rPr>
                <w:rFonts w:ascii="Arial" w:cs="Arial" w:eastAsia="Arial" w:hAnsi="Arial"/>
                <w:sz w:val="14"/>
                <w:szCs w:val="14"/>
                <w:b w:val="1"/>
                <w:bCs w:val="1"/>
                <w:color w:val="FFFFFF"/>
              </w:rPr>
              <w:t>2025 MEASURE AND</w:t>
            </w:r>
          </w:p>
        </w:tc>
        <w:tc>
          <w:tcPr>
            <w:tcW w:w="240" w:type="dxa"/>
            <w:vAlign w:val="bottom"/>
          </w:tcPr>
          <w:p>
            <w:pPr>
              <w:spacing w:after="0"/>
              <w:rPr>
                <w:sz w:val="15"/>
                <w:szCs w:val="15"/>
                <w:color w:val="auto"/>
              </w:rPr>
            </w:pPr>
          </w:p>
        </w:tc>
        <w:tc>
          <w:tcPr>
            <w:tcW w:w="3740" w:type="dxa"/>
            <w:vAlign w:val="bottom"/>
            <w:shd w:val="clear" w:color="auto" w:fill="1414D2"/>
          </w:tcPr>
          <w:p>
            <w:pPr>
              <w:ind w:left="100"/>
              <w:spacing w:after="0"/>
              <w:rPr>
                <w:sz w:val="20"/>
                <w:szCs w:val="20"/>
                <w:color w:val="auto"/>
              </w:rPr>
            </w:pPr>
            <w:r>
              <w:rPr>
                <w:rFonts w:ascii="Arial" w:cs="Arial" w:eastAsia="Arial" w:hAnsi="Arial"/>
                <w:sz w:val="14"/>
                <w:szCs w:val="14"/>
                <w:b w:val="1"/>
                <w:bCs w:val="1"/>
                <w:color w:val="FFFFFF"/>
              </w:rPr>
              <w:t>WHAT IT IS</w:t>
            </w:r>
          </w:p>
        </w:tc>
        <w:tc>
          <w:tcPr>
            <w:tcW w:w="240" w:type="dxa"/>
            <w:vAlign w:val="bottom"/>
          </w:tcPr>
          <w:p>
            <w:pPr>
              <w:spacing w:after="0"/>
              <w:rPr>
                <w:sz w:val="15"/>
                <w:szCs w:val="15"/>
                <w:color w:val="auto"/>
              </w:rPr>
            </w:pPr>
          </w:p>
        </w:tc>
        <w:tc>
          <w:tcPr>
            <w:tcW w:w="3540" w:type="dxa"/>
            <w:vAlign w:val="bottom"/>
            <w:shd w:val="clear" w:color="auto" w:fill="1414D2"/>
          </w:tcPr>
          <w:p>
            <w:pPr>
              <w:ind w:left="100"/>
              <w:spacing w:after="0"/>
              <w:rPr>
                <w:sz w:val="20"/>
                <w:szCs w:val="20"/>
                <w:color w:val="auto"/>
              </w:rPr>
            </w:pPr>
            <w:r>
              <w:rPr>
                <w:rFonts w:ascii="Arial" w:cs="Arial" w:eastAsia="Arial" w:hAnsi="Arial"/>
                <w:sz w:val="14"/>
                <w:szCs w:val="14"/>
                <w:b w:val="1"/>
                <w:bCs w:val="1"/>
                <w:color w:val="FFFFFF"/>
              </w:rPr>
              <w:t>WHY IT’S IMPORTANT</w:t>
            </w:r>
          </w:p>
        </w:tc>
        <w:tc>
          <w:tcPr>
            <w:tcW w:w="0" w:type="dxa"/>
            <w:vAlign w:val="bottom"/>
          </w:tcPr>
          <w:p>
            <w:pPr>
              <w:spacing w:after="0"/>
              <w:rPr>
                <w:sz w:val="1"/>
                <w:szCs w:val="1"/>
                <w:color w:val="auto"/>
              </w:rPr>
            </w:pPr>
          </w:p>
        </w:tc>
      </w:tr>
      <w:tr>
        <w:trPr>
          <w:trHeight w:val="215"/>
        </w:trPr>
        <w:tc>
          <w:tcPr>
            <w:tcW w:w="1960" w:type="dxa"/>
            <w:vAlign w:val="bottom"/>
            <w:tcBorders>
              <w:bottom w:val="single" w:sz="8" w:color="1414D2"/>
            </w:tcBorders>
            <w:shd w:val="clear" w:color="auto" w:fill="1414D2"/>
          </w:tcPr>
          <w:p>
            <w:pPr>
              <w:ind w:left="100"/>
              <w:spacing w:after="0"/>
              <w:rPr>
                <w:sz w:val="20"/>
                <w:szCs w:val="20"/>
                <w:color w:val="auto"/>
              </w:rPr>
            </w:pPr>
            <w:r>
              <w:rPr>
                <w:rFonts w:ascii="Arial" w:cs="Arial" w:eastAsia="Arial" w:hAnsi="Arial"/>
                <w:sz w:val="14"/>
                <w:szCs w:val="14"/>
                <w:b w:val="1"/>
                <w:bCs w:val="1"/>
                <w:color w:val="FFFFFF"/>
              </w:rPr>
              <w:t>WEIGHTING</w:t>
            </w:r>
          </w:p>
        </w:tc>
        <w:tc>
          <w:tcPr>
            <w:tcW w:w="240" w:type="dxa"/>
            <w:vAlign w:val="bottom"/>
          </w:tcPr>
          <w:p>
            <w:pPr>
              <w:spacing w:after="0"/>
              <w:rPr>
                <w:sz w:val="18"/>
                <w:szCs w:val="18"/>
                <w:color w:val="auto"/>
              </w:rPr>
            </w:pPr>
          </w:p>
        </w:tc>
        <w:tc>
          <w:tcPr>
            <w:tcW w:w="3740" w:type="dxa"/>
            <w:vAlign w:val="bottom"/>
            <w:tcBorders>
              <w:bottom w:val="single" w:sz="8" w:color="1414D2"/>
            </w:tcBorders>
            <w:shd w:val="clear" w:color="auto" w:fill="1414D2"/>
          </w:tcPr>
          <w:p>
            <w:pPr>
              <w:spacing w:after="0"/>
              <w:rPr>
                <w:sz w:val="18"/>
                <w:szCs w:val="18"/>
                <w:color w:val="auto"/>
              </w:rPr>
            </w:pPr>
          </w:p>
        </w:tc>
        <w:tc>
          <w:tcPr>
            <w:tcW w:w="240" w:type="dxa"/>
            <w:vAlign w:val="bottom"/>
          </w:tcPr>
          <w:p>
            <w:pPr>
              <w:spacing w:after="0"/>
              <w:rPr>
                <w:sz w:val="18"/>
                <w:szCs w:val="18"/>
                <w:color w:val="auto"/>
              </w:rPr>
            </w:pPr>
          </w:p>
        </w:tc>
        <w:tc>
          <w:tcPr>
            <w:tcW w:w="3540" w:type="dxa"/>
            <w:vAlign w:val="bottom"/>
            <w:tcBorders>
              <w:bottom w:val="single" w:sz="8" w:color="1414D2"/>
            </w:tcBorders>
            <w:shd w:val="clear" w:color="auto" w:fill="1414D2"/>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1960" w:type="dxa"/>
            <w:vAlign w:val="bottom"/>
          </w:tcPr>
          <w:p>
            <w:pPr>
              <w:ind w:left="100"/>
              <w:spacing w:after="0" w:line="165" w:lineRule="exact"/>
              <w:rPr>
                <w:sz w:val="20"/>
                <w:szCs w:val="20"/>
                <w:color w:val="auto"/>
              </w:rPr>
            </w:pPr>
            <w:r>
              <w:rPr>
                <w:rFonts w:ascii="Arial" w:cs="Arial" w:eastAsia="Arial" w:hAnsi="Arial"/>
                <w:sz w:val="16"/>
                <w:szCs w:val="16"/>
                <w:color w:val="auto"/>
              </w:rPr>
              <w:t>FY2025  Adjusted</w:t>
            </w:r>
          </w:p>
        </w:tc>
        <w:tc>
          <w:tcPr>
            <w:tcW w:w="240" w:type="dxa"/>
            <w:vAlign w:val="bottom"/>
          </w:tcPr>
          <w:p>
            <w:pPr>
              <w:spacing w:after="0"/>
              <w:rPr>
                <w:sz w:val="14"/>
                <w:szCs w:val="14"/>
                <w:color w:val="auto"/>
              </w:rPr>
            </w:pPr>
          </w:p>
        </w:tc>
        <w:tc>
          <w:tcPr>
            <w:tcW w:w="3740" w:type="dxa"/>
            <w:vAlign w:val="bottom"/>
          </w:tcPr>
          <w:p>
            <w:pPr>
              <w:ind w:left="100"/>
              <w:spacing w:after="0" w:line="165" w:lineRule="exact"/>
              <w:rPr>
                <w:sz w:val="20"/>
                <w:szCs w:val="20"/>
                <w:color w:val="auto"/>
              </w:rPr>
            </w:pPr>
            <w:r>
              <w:rPr>
                <w:rFonts w:ascii="Arial" w:cs="Arial" w:eastAsia="Arial" w:hAnsi="Arial"/>
                <w:sz w:val="16"/>
                <w:szCs w:val="16"/>
                <w:color w:val="auto"/>
              </w:rPr>
              <w:t>-  Adjusted  EBITDAR  is  a  non-GAAP  fnancial</w:t>
            </w:r>
          </w:p>
        </w:tc>
        <w:tc>
          <w:tcPr>
            <w:tcW w:w="240" w:type="dxa"/>
            <w:vAlign w:val="bottom"/>
          </w:tcPr>
          <w:p>
            <w:pPr>
              <w:spacing w:after="0"/>
              <w:rPr>
                <w:sz w:val="14"/>
                <w:szCs w:val="14"/>
                <w:color w:val="auto"/>
              </w:rPr>
            </w:pPr>
          </w:p>
        </w:tc>
        <w:tc>
          <w:tcPr>
            <w:tcW w:w="3540" w:type="dxa"/>
            <w:vAlign w:val="bottom"/>
          </w:tcPr>
          <w:p>
            <w:pPr>
              <w:ind w:left="100"/>
              <w:spacing w:after="0" w:line="165" w:lineRule="exact"/>
              <w:rPr>
                <w:sz w:val="20"/>
                <w:szCs w:val="20"/>
                <w:color w:val="auto"/>
              </w:rPr>
            </w:pPr>
            <w:r>
              <w:rPr>
                <w:rFonts w:ascii="Arial" w:cs="Arial" w:eastAsia="Arial" w:hAnsi="Arial"/>
                <w:sz w:val="16"/>
                <w:szCs w:val="16"/>
                <w:color w:val="auto"/>
              </w:rPr>
              <w:t xml:space="preserve">A  critical  </w:t>
            </w:r>
            <w:r>
              <w:rPr>
                <w:rFonts w:ascii="Arial" w:cs="Arial" w:eastAsia="Arial" w:hAnsi="Arial"/>
                <w:sz w:val="16"/>
                <w:szCs w:val="16"/>
                <w:b w:val="1"/>
                <w:bCs w:val="1"/>
                <w:color w:val="auto"/>
              </w:rPr>
              <w:t>measure of annual proftability</w:t>
            </w:r>
          </w:p>
        </w:tc>
        <w:tc>
          <w:tcPr>
            <w:tcW w:w="0" w:type="dxa"/>
            <w:vAlign w:val="bottom"/>
          </w:tcPr>
          <w:p>
            <w:pPr>
              <w:spacing w:after="0"/>
              <w:rPr>
                <w:sz w:val="1"/>
                <w:szCs w:val="1"/>
                <w:color w:val="auto"/>
              </w:rPr>
            </w:pPr>
          </w:p>
        </w:tc>
      </w:tr>
      <w:tr>
        <w:trPr>
          <w:trHeight w:val="203"/>
        </w:trPr>
        <w:tc>
          <w:tcPr>
            <w:tcW w:w="1960" w:type="dxa"/>
            <w:vAlign w:val="bottom"/>
          </w:tcPr>
          <w:p>
            <w:pPr>
              <w:ind w:left="100"/>
              <w:spacing w:after="0"/>
              <w:rPr>
                <w:sz w:val="20"/>
                <w:szCs w:val="20"/>
                <w:color w:val="auto"/>
              </w:rPr>
            </w:pPr>
            <w:r>
              <w:rPr>
                <w:rFonts w:ascii="Arial" w:cs="Arial" w:eastAsia="Arial" w:hAnsi="Arial"/>
                <w:sz w:val="16"/>
                <w:szCs w:val="16"/>
                <w:color w:val="auto"/>
              </w:rPr>
              <w:t>EBITDAR  Margin</w:t>
            </w:r>
          </w:p>
        </w:tc>
        <w:tc>
          <w:tcPr>
            <w:tcW w:w="240" w:type="dxa"/>
            <w:vAlign w:val="bottom"/>
          </w:tcPr>
          <w:p>
            <w:pPr>
              <w:spacing w:after="0"/>
              <w:rPr>
                <w:sz w:val="17"/>
                <w:szCs w:val="17"/>
                <w:color w:val="auto"/>
              </w:rPr>
            </w:pPr>
          </w:p>
        </w:tc>
        <w:tc>
          <w:tcPr>
            <w:tcW w:w="3740" w:type="dxa"/>
            <w:vAlign w:val="bottom"/>
          </w:tcPr>
          <w:p>
            <w:pPr>
              <w:ind w:left="100"/>
              <w:spacing w:after="0"/>
              <w:rPr>
                <w:sz w:val="20"/>
                <w:szCs w:val="20"/>
                <w:color w:val="auto"/>
              </w:rPr>
            </w:pPr>
            <w:r>
              <w:rPr>
                <w:rFonts w:ascii="Arial" w:cs="Arial" w:eastAsia="Arial" w:hAnsi="Arial"/>
                <w:sz w:val="16"/>
                <w:szCs w:val="16"/>
                <w:color w:val="auto"/>
              </w:rPr>
              <w:t>measure  calculated  as  EBITDAR  (earnings</w:t>
            </w:r>
          </w:p>
        </w:tc>
        <w:tc>
          <w:tcPr>
            <w:tcW w:w="240" w:type="dxa"/>
            <w:vAlign w:val="bottom"/>
          </w:tcPr>
          <w:p>
            <w:pPr>
              <w:spacing w:after="0"/>
              <w:rPr>
                <w:sz w:val="17"/>
                <w:szCs w:val="17"/>
                <w:color w:val="auto"/>
              </w:rPr>
            </w:pPr>
          </w:p>
        </w:tc>
        <w:tc>
          <w:tcPr>
            <w:tcW w:w="3540" w:type="dxa"/>
            <w:vAlign w:val="bottom"/>
          </w:tcPr>
          <w:p>
            <w:pPr>
              <w:ind w:left="100"/>
              <w:spacing w:after="0"/>
              <w:rPr>
                <w:sz w:val="20"/>
                <w:szCs w:val="20"/>
                <w:color w:val="auto"/>
              </w:rPr>
            </w:pPr>
            <w:r>
              <w:rPr>
                <w:rFonts w:ascii="Arial" w:cs="Arial" w:eastAsia="Arial" w:hAnsi="Arial"/>
                <w:sz w:val="16"/>
                <w:szCs w:val="16"/>
                <w:color w:val="auto"/>
              </w:rPr>
              <w:t>aligning  our  management’s  interests  with</w:t>
            </w:r>
          </w:p>
        </w:tc>
        <w:tc>
          <w:tcPr>
            <w:tcW w:w="0" w:type="dxa"/>
            <w:vAlign w:val="bottom"/>
          </w:tcPr>
          <w:p>
            <w:pPr>
              <w:spacing w:after="0"/>
              <w:rPr>
                <w:sz w:val="1"/>
                <w:szCs w:val="1"/>
                <w:color w:val="auto"/>
              </w:rPr>
            </w:pPr>
          </w:p>
        </w:tc>
      </w:tr>
      <w:tr>
        <w:trPr>
          <w:trHeight w:val="189"/>
        </w:trPr>
        <w:tc>
          <w:tcPr>
            <w:tcW w:w="1960" w:type="dxa"/>
            <w:vAlign w:val="bottom"/>
          </w:tcPr>
          <w:p>
            <w:pPr>
              <w:ind w:left="100"/>
              <w:spacing w:after="0"/>
              <w:rPr>
                <w:sz w:val="20"/>
                <w:szCs w:val="20"/>
                <w:color w:val="auto"/>
              </w:rPr>
            </w:pPr>
            <w:r>
              <w:rPr>
                <w:rFonts w:ascii="Arial" w:cs="Arial" w:eastAsia="Arial" w:hAnsi="Arial"/>
                <w:sz w:val="16"/>
                <w:szCs w:val="16"/>
                <w:color w:val="auto"/>
              </w:rPr>
              <w:t>relative  to  industry</w:t>
            </w:r>
          </w:p>
        </w:tc>
        <w:tc>
          <w:tcPr>
            <w:tcW w:w="240" w:type="dxa"/>
            <w:vAlign w:val="bottom"/>
          </w:tcPr>
          <w:p>
            <w:pPr>
              <w:spacing w:after="0"/>
              <w:rPr>
                <w:sz w:val="16"/>
                <w:szCs w:val="16"/>
                <w:color w:val="auto"/>
              </w:rPr>
            </w:pPr>
          </w:p>
        </w:tc>
        <w:tc>
          <w:tcPr>
            <w:tcW w:w="3740" w:type="dxa"/>
            <w:vAlign w:val="bottom"/>
          </w:tcPr>
          <w:p>
            <w:pPr>
              <w:ind w:left="100"/>
              <w:spacing w:after="0"/>
              <w:rPr>
                <w:sz w:val="20"/>
                <w:szCs w:val="20"/>
                <w:color w:val="auto"/>
              </w:rPr>
            </w:pPr>
            <w:r>
              <w:rPr>
                <w:rFonts w:ascii="Arial" w:cs="Arial" w:eastAsia="Arial" w:hAnsi="Arial"/>
                <w:sz w:val="16"/>
                <w:szCs w:val="16"/>
                <w:color w:val="auto"/>
              </w:rPr>
              <w:t>before  interest,  taxes,  depreciation,</w:t>
            </w:r>
          </w:p>
        </w:tc>
        <w:tc>
          <w:tcPr>
            <w:tcW w:w="240" w:type="dxa"/>
            <w:vAlign w:val="bottom"/>
          </w:tcPr>
          <w:p>
            <w:pPr>
              <w:spacing w:after="0"/>
              <w:rPr>
                <w:sz w:val="16"/>
                <w:szCs w:val="16"/>
                <w:color w:val="auto"/>
              </w:rPr>
            </w:pPr>
          </w:p>
        </w:tc>
        <w:tc>
          <w:tcPr>
            <w:tcW w:w="3540" w:type="dxa"/>
            <w:vAlign w:val="bottom"/>
          </w:tcPr>
          <w:p>
            <w:pPr>
              <w:ind w:left="100"/>
              <w:spacing w:after="0"/>
              <w:rPr>
                <w:sz w:val="20"/>
                <w:szCs w:val="20"/>
                <w:color w:val="auto"/>
              </w:rPr>
            </w:pPr>
            <w:r>
              <w:rPr>
                <w:rFonts w:ascii="Arial" w:cs="Arial" w:eastAsia="Arial" w:hAnsi="Arial"/>
                <w:sz w:val="16"/>
                <w:szCs w:val="16"/>
                <w:color w:val="auto"/>
              </w:rPr>
              <w:t>those  of  our  stockholders;  this  metric</w:t>
            </w:r>
          </w:p>
        </w:tc>
        <w:tc>
          <w:tcPr>
            <w:tcW w:w="0" w:type="dxa"/>
            <w:vAlign w:val="bottom"/>
          </w:tcPr>
          <w:p>
            <w:pPr>
              <w:spacing w:after="0"/>
              <w:rPr>
                <w:sz w:val="1"/>
                <w:szCs w:val="1"/>
                <w:color w:val="auto"/>
              </w:rPr>
            </w:pPr>
          </w:p>
        </w:tc>
      </w:tr>
      <w:tr>
        <w:trPr>
          <w:trHeight w:val="189"/>
        </w:trPr>
        <w:tc>
          <w:tcPr>
            <w:tcW w:w="1960" w:type="dxa"/>
            <w:vAlign w:val="bottom"/>
          </w:tcPr>
          <w:p>
            <w:pPr>
              <w:ind w:left="100"/>
              <w:spacing w:after="0"/>
              <w:rPr>
                <w:sz w:val="20"/>
                <w:szCs w:val="20"/>
                <w:color w:val="auto"/>
              </w:rPr>
            </w:pPr>
            <w:r>
              <w:rPr>
                <w:rFonts w:ascii="Arial" w:cs="Arial" w:eastAsia="Arial" w:hAnsi="Arial"/>
                <w:sz w:val="16"/>
                <w:szCs w:val="16"/>
                <w:color w:val="auto"/>
              </w:rPr>
              <w:t>weighted  average</w:t>
            </w:r>
          </w:p>
        </w:tc>
        <w:tc>
          <w:tcPr>
            <w:tcW w:w="240" w:type="dxa"/>
            <w:vAlign w:val="bottom"/>
          </w:tcPr>
          <w:p>
            <w:pPr>
              <w:spacing w:after="0"/>
              <w:rPr>
                <w:sz w:val="16"/>
                <w:szCs w:val="16"/>
                <w:color w:val="auto"/>
              </w:rPr>
            </w:pPr>
          </w:p>
        </w:tc>
        <w:tc>
          <w:tcPr>
            <w:tcW w:w="3740" w:type="dxa"/>
            <w:vAlign w:val="bottom"/>
          </w:tcPr>
          <w:p>
            <w:pPr>
              <w:ind w:left="100"/>
              <w:spacing w:after="0"/>
              <w:rPr>
                <w:sz w:val="20"/>
                <w:szCs w:val="20"/>
                <w:color w:val="auto"/>
              </w:rPr>
            </w:pPr>
            <w:r>
              <w:rPr>
                <w:rFonts w:ascii="Arial" w:cs="Arial" w:eastAsia="Arial" w:hAnsi="Arial"/>
                <w:sz w:val="16"/>
                <w:szCs w:val="16"/>
                <w:color w:val="auto"/>
              </w:rPr>
              <w:t>amortization  and  aircraft  rent  expense)</w:t>
            </w:r>
          </w:p>
        </w:tc>
        <w:tc>
          <w:tcPr>
            <w:tcW w:w="240" w:type="dxa"/>
            <w:vAlign w:val="bottom"/>
          </w:tcPr>
          <w:p>
            <w:pPr>
              <w:spacing w:after="0"/>
              <w:rPr>
                <w:sz w:val="16"/>
                <w:szCs w:val="16"/>
                <w:color w:val="auto"/>
              </w:rPr>
            </w:pPr>
          </w:p>
        </w:tc>
        <w:tc>
          <w:tcPr>
            <w:tcW w:w="3540" w:type="dxa"/>
            <w:vAlign w:val="bottom"/>
          </w:tcPr>
          <w:p>
            <w:pPr>
              <w:ind w:left="100"/>
              <w:spacing w:after="0"/>
              <w:rPr>
                <w:sz w:val="20"/>
                <w:szCs w:val="20"/>
                <w:color w:val="auto"/>
              </w:rPr>
            </w:pPr>
            <w:r>
              <w:rPr>
                <w:rFonts w:ascii="Arial" w:cs="Arial" w:eastAsia="Arial" w:hAnsi="Arial"/>
                <w:sz w:val="16"/>
                <w:szCs w:val="16"/>
                <w:color w:val="auto"/>
              </w:rPr>
              <w:t>focused  on  our  proft  levels  as  compared</w:t>
            </w:r>
          </w:p>
        </w:tc>
        <w:tc>
          <w:tcPr>
            <w:tcW w:w="0" w:type="dxa"/>
            <w:vAlign w:val="bottom"/>
          </w:tcPr>
          <w:p>
            <w:pPr>
              <w:spacing w:after="0"/>
              <w:rPr>
                <w:sz w:val="1"/>
                <w:szCs w:val="1"/>
                <w:color w:val="auto"/>
              </w:rPr>
            </w:pPr>
          </w:p>
        </w:tc>
      </w:tr>
      <w:tr>
        <w:trPr>
          <w:trHeight w:val="189"/>
        </w:trPr>
        <w:tc>
          <w:tcPr>
            <w:tcW w:w="1960" w:type="dxa"/>
            <w:vAlign w:val="bottom"/>
          </w:tcPr>
          <w:p>
            <w:pPr>
              <w:ind w:left="100"/>
              <w:spacing w:after="0"/>
              <w:rPr>
                <w:sz w:val="20"/>
                <w:szCs w:val="20"/>
                <w:color w:val="auto"/>
              </w:rPr>
            </w:pPr>
            <w:r>
              <w:rPr>
                <w:rFonts w:ascii="Arial" w:cs="Arial" w:eastAsia="Arial" w:hAnsi="Arial"/>
                <w:sz w:val="16"/>
                <w:szCs w:val="16"/>
                <w:color w:val="auto"/>
              </w:rPr>
              <w:t>Adjusted  EBITDAR</w:t>
            </w:r>
          </w:p>
        </w:tc>
        <w:tc>
          <w:tcPr>
            <w:tcW w:w="240" w:type="dxa"/>
            <w:vAlign w:val="bottom"/>
          </w:tcPr>
          <w:p>
            <w:pPr>
              <w:spacing w:after="0"/>
              <w:rPr>
                <w:sz w:val="16"/>
                <w:szCs w:val="16"/>
                <w:color w:val="auto"/>
              </w:rPr>
            </w:pPr>
          </w:p>
        </w:tc>
        <w:tc>
          <w:tcPr>
            <w:tcW w:w="3740" w:type="dxa"/>
            <w:vAlign w:val="bottom"/>
          </w:tcPr>
          <w:p>
            <w:pPr>
              <w:ind w:left="100"/>
              <w:spacing w:after="0"/>
              <w:rPr>
                <w:sz w:val="20"/>
                <w:szCs w:val="20"/>
                <w:color w:val="auto"/>
              </w:rPr>
            </w:pPr>
            <w:r>
              <w:rPr>
                <w:rFonts w:ascii="Arial" w:cs="Arial" w:eastAsia="Arial" w:hAnsi="Arial"/>
                <w:sz w:val="16"/>
                <w:szCs w:val="16"/>
                <w:color w:val="auto"/>
              </w:rPr>
              <w:t>excluding  operating  and  nonoperating  special</w:t>
            </w:r>
          </w:p>
        </w:tc>
        <w:tc>
          <w:tcPr>
            <w:tcW w:w="240" w:type="dxa"/>
            <w:vAlign w:val="bottom"/>
          </w:tcPr>
          <w:p>
            <w:pPr>
              <w:spacing w:after="0"/>
              <w:rPr>
                <w:sz w:val="16"/>
                <w:szCs w:val="16"/>
                <w:color w:val="auto"/>
              </w:rPr>
            </w:pPr>
          </w:p>
        </w:tc>
        <w:tc>
          <w:tcPr>
            <w:tcW w:w="3540" w:type="dxa"/>
            <w:vAlign w:val="bottom"/>
          </w:tcPr>
          <w:p>
            <w:pPr>
              <w:ind w:left="100"/>
              <w:spacing w:after="0"/>
              <w:rPr>
                <w:sz w:val="20"/>
                <w:szCs w:val="20"/>
                <w:color w:val="auto"/>
              </w:rPr>
            </w:pPr>
            <w:r>
              <w:rPr>
                <w:rFonts w:ascii="Arial" w:cs="Arial" w:eastAsia="Arial" w:hAnsi="Arial"/>
                <w:sz w:val="16"/>
                <w:szCs w:val="16"/>
                <w:color w:val="auto"/>
              </w:rPr>
              <w:t>with  that  of  our  industry  peers  during  2025.</w:t>
            </w:r>
          </w:p>
        </w:tc>
        <w:tc>
          <w:tcPr>
            <w:tcW w:w="0" w:type="dxa"/>
            <w:vAlign w:val="bottom"/>
          </w:tcPr>
          <w:p>
            <w:pPr>
              <w:spacing w:after="0"/>
              <w:rPr>
                <w:sz w:val="1"/>
                <w:szCs w:val="1"/>
                <w:color w:val="auto"/>
              </w:rPr>
            </w:pPr>
          </w:p>
        </w:tc>
      </w:tr>
      <w:tr>
        <w:trPr>
          <w:trHeight w:val="214"/>
        </w:trPr>
        <w:tc>
          <w:tcPr>
            <w:tcW w:w="1960" w:type="dxa"/>
            <w:vAlign w:val="bottom"/>
          </w:tcPr>
          <w:p>
            <w:pPr>
              <w:ind w:left="100"/>
              <w:spacing w:after="0"/>
              <w:rPr>
                <w:sz w:val="20"/>
                <w:szCs w:val="20"/>
                <w:color w:val="auto"/>
              </w:rPr>
            </w:pPr>
            <w:r>
              <w:rPr>
                <w:rFonts w:ascii="Arial" w:cs="Arial" w:eastAsia="Arial" w:hAnsi="Arial"/>
                <w:sz w:val="16"/>
                <w:szCs w:val="16"/>
                <w:color w:val="auto"/>
              </w:rPr>
              <w:t xml:space="preserve">Margin  </w:t>
            </w:r>
            <w:r>
              <w:rPr>
                <w:rFonts w:ascii="Arial" w:cs="Arial" w:eastAsia="Arial" w:hAnsi="Arial"/>
                <w:sz w:val="16"/>
                <w:szCs w:val="16"/>
                <w:b w:val="1"/>
                <w:bCs w:val="1"/>
                <w:color w:val="auto"/>
              </w:rPr>
              <w:t>(33%)</w:t>
            </w:r>
          </w:p>
        </w:tc>
        <w:tc>
          <w:tcPr>
            <w:tcW w:w="240" w:type="dxa"/>
            <w:vAlign w:val="bottom"/>
          </w:tcPr>
          <w:p>
            <w:pPr>
              <w:spacing w:after="0"/>
              <w:rPr>
                <w:sz w:val="18"/>
                <w:szCs w:val="18"/>
                <w:color w:val="auto"/>
              </w:rPr>
            </w:pPr>
          </w:p>
        </w:tc>
        <w:tc>
          <w:tcPr>
            <w:tcW w:w="3740" w:type="dxa"/>
            <w:vAlign w:val="bottom"/>
          </w:tcPr>
          <w:p>
            <w:pPr>
              <w:ind w:left="100"/>
              <w:spacing w:after="0"/>
              <w:rPr>
                <w:sz w:val="20"/>
                <w:szCs w:val="20"/>
                <w:color w:val="auto"/>
              </w:rPr>
            </w:pPr>
            <w:r>
              <w:rPr>
                <w:rFonts w:ascii="Arial" w:cs="Arial" w:eastAsia="Arial" w:hAnsi="Arial"/>
                <w:sz w:val="16"/>
                <w:szCs w:val="16"/>
                <w:color w:val="auto"/>
              </w:rPr>
              <w:t>charges  (credits)  and  unrealized  (gains)  losses</w:t>
            </w:r>
          </w:p>
        </w:tc>
        <w:tc>
          <w:tcPr>
            <w:tcW w:w="240" w:type="dxa"/>
            <w:vAlign w:val="bottom"/>
          </w:tcPr>
          <w:p>
            <w:pPr>
              <w:spacing w:after="0"/>
              <w:rPr>
                <w:sz w:val="18"/>
                <w:szCs w:val="18"/>
                <w:color w:val="auto"/>
              </w:rPr>
            </w:pPr>
          </w:p>
        </w:tc>
        <w:tc>
          <w:tcPr>
            <w:tcW w:w="3540" w:type="dxa"/>
            <w:vAlign w:val="bottom"/>
          </w:tcPr>
          <w:p>
            <w:pPr>
              <w:ind w:left="100"/>
              <w:spacing w:after="0"/>
              <w:rPr>
                <w:sz w:val="20"/>
                <w:szCs w:val="20"/>
                <w:color w:val="auto"/>
              </w:rPr>
            </w:pPr>
            <w:r>
              <w:rPr>
                <w:rFonts w:ascii="Arial" w:cs="Arial" w:eastAsia="Arial" w:hAnsi="Arial"/>
                <w:sz w:val="16"/>
                <w:szCs w:val="16"/>
                <w:color w:val="auto"/>
              </w:rPr>
              <w:t>Payout  at  the  entry  level  required  United’s</w:t>
            </w:r>
          </w:p>
        </w:tc>
        <w:tc>
          <w:tcPr>
            <w:tcW w:w="0" w:type="dxa"/>
            <w:vAlign w:val="bottom"/>
          </w:tcPr>
          <w:p>
            <w:pPr>
              <w:spacing w:after="0"/>
              <w:rPr>
                <w:sz w:val="1"/>
                <w:szCs w:val="1"/>
                <w:color w:val="auto"/>
              </w:rPr>
            </w:pPr>
          </w:p>
        </w:tc>
      </w:tr>
      <w:tr>
        <w:trPr>
          <w:trHeight w:val="189"/>
        </w:trPr>
        <w:tc>
          <w:tcPr>
            <w:tcW w:w="1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740" w:type="dxa"/>
            <w:vAlign w:val="bottom"/>
          </w:tcPr>
          <w:p>
            <w:pPr>
              <w:ind w:left="100"/>
              <w:spacing w:after="0"/>
              <w:rPr>
                <w:sz w:val="20"/>
                <w:szCs w:val="20"/>
                <w:color w:val="auto"/>
              </w:rPr>
            </w:pPr>
            <w:r>
              <w:rPr>
                <w:rFonts w:ascii="Arial" w:cs="Arial" w:eastAsia="Arial" w:hAnsi="Arial"/>
                <w:sz w:val="16"/>
                <w:szCs w:val="16"/>
                <w:color w:val="auto"/>
              </w:rPr>
              <w:t>on  investments,  and,  as  applicable,  adjusted</w:t>
            </w:r>
          </w:p>
        </w:tc>
        <w:tc>
          <w:tcPr>
            <w:tcW w:w="240" w:type="dxa"/>
            <w:vAlign w:val="bottom"/>
          </w:tcPr>
          <w:p>
            <w:pPr>
              <w:spacing w:after="0"/>
              <w:rPr>
                <w:sz w:val="16"/>
                <w:szCs w:val="16"/>
                <w:color w:val="auto"/>
              </w:rPr>
            </w:pPr>
          </w:p>
        </w:tc>
        <w:tc>
          <w:tcPr>
            <w:tcW w:w="3540" w:type="dxa"/>
            <w:vAlign w:val="bottom"/>
          </w:tcPr>
          <w:p>
            <w:pPr>
              <w:ind w:left="100"/>
              <w:spacing w:after="0"/>
              <w:rPr>
                <w:sz w:val="20"/>
                <w:szCs w:val="20"/>
                <w:color w:val="auto"/>
              </w:rPr>
            </w:pPr>
            <w:r>
              <w:rPr>
                <w:rFonts w:ascii="Arial" w:cs="Arial" w:eastAsia="Arial" w:hAnsi="Arial"/>
                <w:sz w:val="16"/>
                <w:szCs w:val="16"/>
                <w:color w:val="auto"/>
              </w:rPr>
              <w:t>performance  to  be  above  the  weighted</w:t>
            </w:r>
          </w:p>
        </w:tc>
        <w:tc>
          <w:tcPr>
            <w:tcW w:w="0" w:type="dxa"/>
            <w:vAlign w:val="bottom"/>
          </w:tcPr>
          <w:p>
            <w:pPr>
              <w:spacing w:after="0"/>
              <w:rPr>
                <w:sz w:val="1"/>
                <w:szCs w:val="1"/>
                <w:color w:val="auto"/>
              </w:rPr>
            </w:pPr>
          </w:p>
        </w:tc>
      </w:tr>
      <w:tr>
        <w:trPr>
          <w:trHeight w:val="218"/>
        </w:trPr>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740" w:type="dxa"/>
            <w:vAlign w:val="bottom"/>
          </w:tcPr>
          <w:p>
            <w:pPr>
              <w:ind w:left="100"/>
              <w:spacing w:after="0"/>
              <w:rPr>
                <w:sz w:val="20"/>
                <w:szCs w:val="20"/>
                <w:color w:val="auto"/>
              </w:rPr>
            </w:pPr>
            <w:r>
              <w:rPr>
                <w:rFonts w:ascii="Arial" w:cs="Arial" w:eastAsia="Arial" w:hAnsi="Arial"/>
                <w:sz w:val="16"/>
                <w:szCs w:val="16"/>
                <w:color w:val="auto"/>
              </w:rPr>
              <w:t>for  refnery  and  fuel  hedges.</w:t>
            </w:r>
          </w:p>
        </w:tc>
        <w:tc>
          <w:tcPr>
            <w:tcW w:w="240" w:type="dxa"/>
            <w:vAlign w:val="bottom"/>
          </w:tcPr>
          <w:p>
            <w:pPr>
              <w:spacing w:after="0"/>
              <w:rPr>
                <w:sz w:val="18"/>
                <w:szCs w:val="18"/>
                <w:color w:val="auto"/>
              </w:rPr>
            </w:pPr>
          </w:p>
        </w:tc>
        <w:tc>
          <w:tcPr>
            <w:tcW w:w="3540" w:type="dxa"/>
            <w:vAlign w:val="bottom"/>
          </w:tcPr>
          <w:p>
            <w:pPr>
              <w:ind w:left="100"/>
              <w:spacing w:after="0"/>
              <w:rPr>
                <w:sz w:val="20"/>
                <w:szCs w:val="20"/>
                <w:color w:val="auto"/>
              </w:rPr>
            </w:pPr>
            <w:r>
              <w:rPr>
                <w:rFonts w:ascii="Arial" w:cs="Arial" w:eastAsia="Arial" w:hAnsi="Arial"/>
                <w:sz w:val="16"/>
                <w:szCs w:val="16"/>
                <w:color w:val="auto"/>
              </w:rPr>
              <w:t>average  of  certain  industry  peers,  while</w:t>
            </w:r>
          </w:p>
        </w:tc>
        <w:tc>
          <w:tcPr>
            <w:tcW w:w="0" w:type="dxa"/>
            <w:vAlign w:val="bottom"/>
          </w:tcPr>
          <w:p>
            <w:pPr>
              <w:spacing w:after="0"/>
              <w:rPr>
                <w:sz w:val="1"/>
                <w:szCs w:val="1"/>
                <w:color w:val="auto"/>
              </w:rPr>
            </w:pPr>
          </w:p>
        </w:tc>
      </w:tr>
      <w:tr>
        <w:trPr>
          <w:trHeight w:val="189"/>
        </w:trPr>
        <w:tc>
          <w:tcPr>
            <w:tcW w:w="1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740" w:type="dxa"/>
            <w:vAlign w:val="bottom"/>
          </w:tcPr>
          <w:p>
            <w:pPr>
              <w:ind w:left="100"/>
              <w:spacing w:after="0"/>
              <w:rPr>
                <w:sz w:val="20"/>
                <w:szCs w:val="20"/>
                <w:color w:val="auto"/>
              </w:rPr>
            </w:pPr>
            <w:r>
              <w:rPr>
                <w:rFonts w:ascii="Arial" w:cs="Arial" w:eastAsia="Arial" w:hAnsi="Arial"/>
                <w:sz w:val="16"/>
                <w:szCs w:val="16"/>
                <w:color w:val="auto"/>
              </w:rPr>
              <w:t>-  Adjusted  EBITDAR  Margin  is  calculated  as</w:t>
            </w:r>
          </w:p>
        </w:tc>
        <w:tc>
          <w:tcPr>
            <w:tcW w:w="240" w:type="dxa"/>
            <w:vAlign w:val="bottom"/>
          </w:tcPr>
          <w:p>
            <w:pPr>
              <w:spacing w:after="0"/>
              <w:rPr>
                <w:sz w:val="16"/>
                <w:szCs w:val="16"/>
                <w:color w:val="auto"/>
              </w:rPr>
            </w:pPr>
          </w:p>
        </w:tc>
        <w:tc>
          <w:tcPr>
            <w:tcW w:w="3540" w:type="dxa"/>
            <w:vAlign w:val="bottom"/>
          </w:tcPr>
          <w:p>
            <w:pPr>
              <w:ind w:left="100"/>
              <w:spacing w:after="0"/>
              <w:rPr>
                <w:sz w:val="20"/>
                <w:szCs w:val="20"/>
                <w:color w:val="auto"/>
              </w:rPr>
            </w:pPr>
            <w:r>
              <w:rPr>
                <w:rFonts w:ascii="Arial" w:cs="Arial" w:eastAsia="Arial" w:hAnsi="Arial"/>
                <w:sz w:val="16"/>
                <w:szCs w:val="16"/>
                <w:color w:val="auto"/>
              </w:rPr>
              <w:t>payout  at  the  stretch  level  required  United</w:t>
            </w:r>
          </w:p>
        </w:tc>
        <w:tc>
          <w:tcPr>
            <w:tcW w:w="0" w:type="dxa"/>
            <w:vAlign w:val="bottom"/>
          </w:tcPr>
          <w:p>
            <w:pPr>
              <w:spacing w:after="0"/>
              <w:rPr>
                <w:sz w:val="1"/>
                <w:szCs w:val="1"/>
                <w:color w:val="auto"/>
              </w:rPr>
            </w:pPr>
          </w:p>
        </w:tc>
      </w:tr>
      <w:tr>
        <w:trPr>
          <w:trHeight w:val="189"/>
        </w:trPr>
        <w:tc>
          <w:tcPr>
            <w:tcW w:w="1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740" w:type="dxa"/>
            <w:vAlign w:val="bottom"/>
          </w:tcPr>
          <w:p>
            <w:pPr>
              <w:ind w:left="100"/>
              <w:spacing w:after="0"/>
              <w:rPr>
                <w:sz w:val="20"/>
                <w:szCs w:val="20"/>
                <w:color w:val="auto"/>
              </w:rPr>
            </w:pPr>
            <w:r>
              <w:rPr>
                <w:rFonts w:ascii="Arial" w:cs="Arial" w:eastAsia="Arial" w:hAnsi="Arial"/>
                <w:sz w:val="16"/>
                <w:szCs w:val="16"/>
                <w:color w:val="auto"/>
              </w:rPr>
              <w:t>Adjusted  EBITDAR  divided  by  operating</w:t>
            </w:r>
          </w:p>
        </w:tc>
        <w:tc>
          <w:tcPr>
            <w:tcW w:w="240" w:type="dxa"/>
            <w:vAlign w:val="bottom"/>
          </w:tcPr>
          <w:p>
            <w:pPr>
              <w:spacing w:after="0"/>
              <w:rPr>
                <w:sz w:val="16"/>
                <w:szCs w:val="16"/>
                <w:color w:val="auto"/>
              </w:rPr>
            </w:pPr>
          </w:p>
        </w:tc>
        <w:tc>
          <w:tcPr>
            <w:tcW w:w="3540" w:type="dxa"/>
            <w:vAlign w:val="bottom"/>
          </w:tcPr>
          <w:p>
            <w:pPr>
              <w:ind w:left="100"/>
              <w:spacing w:after="0"/>
              <w:rPr>
                <w:sz w:val="20"/>
                <w:szCs w:val="20"/>
                <w:color w:val="auto"/>
              </w:rPr>
            </w:pPr>
            <w:r>
              <w:rPr>
                <w:rFonts w:ascii="Arial" w:cs="Arial" w:eastAsia="Arial" w:hAnsi="Arial"/>
                <w:sz w:val="16"/>
                <w:szCs w:val="16"/>
                <w:color w:val="auto"/>
              </w:rPr>
              <w:t>to  be  the  leader  relative  to  selected  industry</w:t>
            </w:r>
          </w:p>
        </w:tc>
        <w:tc>
          <w:tcPr>
            <w:tcW w:w="0" w:type="dxa"/>
            <w:vAlign w:val="bottom"/>
          </w:tcPr>
          <w:p>
            <w:pPr>
              <w:spacing w:after="0"/>
              <w:rPr>
                <w:sz w:val="1"/>
                <w:szCs w:val="1"/>
                <w:color w:val="auto"/>
              </w:rPr>
            </w:pPr>
          </w:p>
        </w:tc>
      </w:tr>
      <w:tr>
        <w:trPr>
          <w:trHeight w:val="230"/>
        </w:trPr>
        <w:tc>
          <w:tcPr>
            <w:tcW w:w="1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740" w:type="dxa"/>
            <w:vAlign w:val="bottom"/>
          </w:tcPr>
          <w:p>
            <w:pPr>
              <w:ind w:left="100"/>
              <w:spacing w:after="0"/>
              <w:rPr>
                <w:sz w:val="20"/>
                <w:szCs w:val="20"/>
                <w:color w:val="auto"/>
              </w:rPr>
            </w:pPr>
            <w:r>
              <w:rPr>
                <w:rFonts w:ascii="Arial" w:cs="Arial" w:eastAsia="Arial" w:hAnsi="Arial"/>
                <w:sz w:val="16"/>
                <w:szCs w:val="16"/>
                <w:color w:val="auto"/>
              </w:rPr>
              <w:t>revenue.</w:t>
            </w:r>
          </w:p>
        </w:tc>
        <w:tc>
          <w:tcPr>
            <w:tcW w:w="240" w:type="dxa"/>
            <w:vAlign w:val="bottom"/>
          </w:tcPr>
          <w:p>
            <w:pPr>
              <w:spacing w:after="0"/>
              <w:rPr>
                <w:sz w:val="19"/>
                <w:szCs w:val="19"/>
                <w:color w:val="auto"/>
              </w:rPr>
            </w:pPr>
          </w:p>
        </w:tc>
        <w:tc>
          <w:tcPr>
            <w:tcW w:w="3540" w:type="dxa"/>
            <w:vAlign w:val="bottom"/>
          </w:tcPr>
          <w:p>
            <w:pPr>
              <w:ind w:left="100"/>
              <w:spacing w:after="0"/>
              <w:rPr>
                <w:sz w:val="20"/>
                <w:szCs w:val="20"/>
                <w:color w:val="auto"/>
              </w:rPr>
            </w:pPr>
            <w:r>
              <w:rPr>
                <w:rFonts w:ascii="Arial" w:cs="Arial" w:eastAsia="Arial" w:hAnsi="Arial"/>
                <w:sz w:val="16"/>
                <w:szCs w:val="16"/>
                <w:color w:val="auto"/>
              </w:rPr>
              <w:t>peers.</w:t>
            </w:r>
          </w:p>
        </w:tc>
        <w:tc>
          <w:tcPr>
            <w:tcW w:w="0" w:type="dxa"/>
            <w:vAlign w:val="bottom"/>
          </w:tcPr>
          <w:p>
            <w:pPr>
              <w:spacing w:after="0"/>
              <w:rPr>
                <w:sz w:val="1"/>
                <w:szCs w:val="1"/>
                <w:color w:val="auto"/>
              </w:rPr>
            </w:pPr>
          </w:p>
        </w:tc>
      </w:tr>
      <w:tr>
        <w:trPr>
          <w:trHeight w:val="203"/>
        </w:trPr>
        <w:tc>
          <w:tcPr>
            <w:tcW w:w="1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740" w:type="dxa"/>
            <w:vAlign w:val="bottom"/>
          </w:tcPr>
          <w:p>
            <w:pPr>
              <w:ind w:left="100"/>
              <w:spacing w:after="0"/>
              <w:rPr>
                <w:sz w:val="20"/>
                <w:szCs w:val="20"/>
                <w:color w:val="auto"/>
              </w:rPr>
            </w:pPr>
            <w:r>
              <w:rPr>
                <w:rFonts w:ascii="Arial" w:cs="Arial" w:eastAsia="Arial" w:hAnsi="Arial"/>
                <w:sz w:val="16"/>
                <w:szCs w:val="16"/>
                <w:color w:val="auto"/>
              </w:rPr>
              <w:t>-  Industry  Adjusted  EBITDAR  Margin  is</w:t>
            </w:r>
          </w:p>
        </w:tc>
        <w:tc>
          <w:tcPr>
            <w:tcW w:w="24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740" w:type="dxa"/>
            <w:vAlign w:val="bottom"/>
          </w:tcPr>
          <w:p>
            <w:pPr>
              <w:ind w:left="100"/>
              <w:spacing w:after="0"/>
              <w:rPr>
                <w:sz w:val="20"/>
                <w:szCs w:val="20"/>
                <w:color w:val="auto"/>
              </w:rPr>
            </w:pPr>
            <w:r>
              <w:rPr>
                <w:rFonts w:ascii="Arial" w:cs="Arial" w:eastAsia="Arial" w:hAnsi="Arial"/>
                <w:sz w:val="16"/>
                <w:szCs w:val="16"/>
                <w:color w:val="auto"/>
              </w:rPr>
              <w:t>calculated  to  refect  the  diference  between</w:t>
            </w:r>
          </w:p>
        </w:tc>
        <w:tc>
          <w:tcPr>
            <w:tcW w:w="24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740" w:type="dxa"/>
            <w:vAlign w:val="bottom"/>
          </w:tcPr>
          <w:p>
            <w:pPr>
              <w:ind w:left="100"/>
              <w:spacing w:after="0"/>
              <w:rPr>
                <w:sz w:val="20"/>
                <w:szCs w:val="20"/>
                <w:color w:val="auto"/>
              </w:rPr>
            </w:pPr>
            <w:r>
              <w:rPr>
                <w:rFonts w:ascii="Arial" w:cs="Arial" w:eastAsia="Arial" w:hAnsi="Arial"/>
                <w:sz w:val="16"/>
                <w:szCs w:val="16"/>
                <w:color w:val="auto"/>
              </w:rPr>
              <w:t>our  Adjusted  EBITDAR  Margin  relative  to  the</w:t>
            </w:r>
          </w:p>
        </w:tc>
        <w:tc>
          <w:tcPr>
            <w:tcW w:w="24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740" w:type="dxa"/>
            <w:vAlign w:val="bottom"/>
          </w:tcPr>
          <w:p>
            <w:pPr>
              <w:ind w:left="100"/>
              <w:spacing w:after="0"/>
              <w:rPr>
                <w:sz w:val="20"/>
                <w:szCs w:val="20"/>
                <w:color w:val="auto"/>
              </w:rPr>
            </w:pPr>
            <w:r>
              <w:rPr>
                <w:rFonts w:ascii="Arial" w:cs="Arial" w:eastAsia="Arial" w:hAnsi="Arial"/>
                <w:sz w:val="16"/>
                <w:szCs w:val="16"/>
                <w:color w:val="auto"/>
              </w:rPr>
              <w:t>revenue  weighted  average  of  our  industry</w:t>
            </w:r>
          </w:p>
        </w:tc>
        <w:tc>
          <w:tcPr>
            <w:tcW w:w="24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1960" w:type="dxa"/>
            <w:vAlign w:val="bottom"/>
            <w:tcBorders>
              <w:bottom w:val="single" w:sz="8" w:color="808080"/>
            </w:tcBorders>
          </w:tcPr>
          <w:p>
            <w:pPr>
              <w:spacing w:after="0"/>
              <w:rPr>
                <w:sz w:val="21"/>
                <w:szCs w:val="21"/>
                <w:color w:val="auto"/>
              </w:rPr>
            </w:pPr>
          </w:p>
        </w:tc>
        <w:tc>
          <w:tcPr>
            <w:tcW w:w="240" w:type="dxa"/>
            <w:vAlign w:val="bottom"/>
            <w:tcBorders>
              <w:bottom w:val="single" w:sz="8" w:color="808080"/>
            </w:tcBorders>
          </w:tcPr>
          <w:p>
            <w:pPr>
              <w:spacing w:after="0"/>
              <w:rPr>
                <w:sz w:val="21"/>
                <w:szCs w:val="21"/>
                <w:color w:val="auto"/>
              </w:rPr>
            </w:pPr>
          </w:p>
        </w:tc>
        <w:tc>
          <w:tcPr>
            <w:tcW w:w="3740" w:type="dxa"/>
            <w:vAlign w:val="bottom"/>
            <w:tcBorders>
              <w:bottom w:val="single" w:sz="8" w:color="808080"/>
            </w:tcBorders>
          </w:tcPr>
          <w:p>
            <w:pPr>
              <w:ind w:left="100"/>
              <w:spacing w:after="0"/>
              <w:rPr>
                <w:sz w:val="20"/>
                <w:szCs w:val="20"/>
                <w:color w:val="auto"/>
              </w:rPr>
            </w:pPr>
            <w:r>
              <w:rPr>
                <w:rFonts w:ascii="Arial" w:cs="Arial" w:eastAsia="Arial" w:hAnsi="Arial"/>
                <w:sz w:val="16"/>
                <w:szCs w:val="16"/>
                <w:color w:val="auto"/>
              </w:rPr>
              <w:t>peers  (excluding  United)  during  2025.</w:t>
            </w:r>
          </w:p>
        </w:tc>
        <w:tc>
          <w:tcPr>
            <w:tcW w:w="240" w:type="dxa"/>
            <w:vAlign w:val="bottom"/>
            <w:tcBorders>
              <w:bottom w:val="single" w:sz="8" w:color="808080"/>
            </w:tcBorders>
          </w:tcPr>
          <w:p>
            <w:pPr>
              <w:spacing w:after="0"/>
              <w:rPr>
                <w:sz w:val="21"/>
                <w:szCs w:val="21"/>
                <w:color w:val="auto"/>
              </w:rPr>
            </w:pPr>
          </w:p>
        </w:tc>
        <w:tc>
          <w:tcPr>
            <w:tcW w:w="35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164"/>
        </w:trPr>
        <w:tc>
          <w:tcPr>
            <w:tcW w:w="1960" w:type="dxa"/>
            <w:vAlign w:val="bottom"/>
          </w:tcPr>
          <w:p>
            <w:pPr>
              <w:ind w:left="100"/>
              <w:spacing w:after="0" w:line="165" w:lineRule="exact"/>
              <w:rPr>
                <w:sz w:val="20"/>
                <w:szCs w:val="20"/>
                <w:color w:val="auto"/>
              </w:rPr>
            </w:pPr>
            <w:r>
              <w:rPr>
                <w:rFonts w:ascii="Arial" w:cs="Arial" w:eastAsia="Arial" w:hAnsi="Arial"/>
                <w:sz w:val="16"/>
                <w:szCs w:val="16"/>
                <w:color w:val="auto"/>
              </w:rPr>
              <w:t>Operational  Excellence</w:t>
            </w:r>
          </w:p>
        </w:tc>
        <w:tc>
          <w:tcPr>
            <w:tcW w:w="240" w:type="dxa"/>
            <w:vAlign w:val="bottom"/>
          </w:tcPr>
          <w:p>
            <w:pPr>
              <w:spacing w:after="0"/>
              <w:rPr>
                <w:sz w:val="14"/>
                <w:szCs w:val="14"/>
                <w:color w:val="auto"/>
              </w:rPr>
            </w:pPr>
          </w:p>
        </w:tc>
        <w:tc>
          <w:tcPr>
            <w:tcW w:w="3740" w:type="dxa"/>
            <w:vAlign w:val="bottom"/>
          </w:tcPr>
          <w:p>
            <w:pPr>
              <w:ind w:left="100"/>
              <w:spacing w:after="0" w:line="165" w:lineRule="exact"/>
              <w:rPr>
                <w:sz w:val="20"/>
                <w:szCs w:val="20"/>
                <w:color w:val="auto"/>
              </w:rPr>
            </w:pPr>
            <w:r>
              <w:rPr>
                <w:rFonts w:ascii="Arial" w:cs="Arial" w:eastAsia="Arial" w:hAnsi="Arial"/>
                <w:sz w:val="16"/>
                <w:szCs w:val="16"/>
                <w:b w:val="1"/>
                <w:bCs w:val="1"/>
                <w:color w:val="auto"/>
              </w:rPr>
              <w:t>Three Key Airline Operational Metrics:</w:t>
            </w:r>
          </w:p>
        </w:tc>
        <w:tc>
          <w:tcPr>
            <w:tcW w:w="240" w:type="dxa"/>
            <w:vAlign w:val="bottom"/>
          </w:tcPr>
          <w:p>
            <w:pPr>
              <w:spacing w:after="0"/>
              <w:rPr>
                <w:sz w:val="14"/>
                <w:szCs w:val="14"/>
                <w:color w:val="auto"/>
              </w:rPr>
            </w:pPr>
          </w:p>
        </w:tc>
        <w:tc>
          <w:tcPr>
            <w:tcW w:w="3540" w:type="dxa"/>
            <w:vAlign w:val="bottom"/>
          </w:tcPr>
          <w:p>
            <w:pPr>
              <w:ind w:left="100"/>
              <w:spacing w:after="0" w:line="165" w:lineRule="exact"/>
              <w:rPr>
                <w:sz w:val="20"/>
                <w:szCs w:val="20"/>
                <w:color w:val="auto"/>
              </w:rPr>
            </w:pPr>
            <w:r>
              <w:rPr>
                <w:rFonts w:ascii="Arial" w:cs="Arial" w:eastAsia="Arial" w:hAnsi="Arial"/>
                <w:sz w:val="16"/>
                <w:szCs w:val="16"/>
                <w:b w:val="1"/>
                <w:bCs w:val="1"/>
                <w:color w:val="auto"/>
              </w:rPr>
              <w:t xml:space="preserve">A measure of operational reliability </w:t>
            </w:r>
            <w:r>
              <w:rPr>
                <w:rFonts w:ascii="Arial" w:cs="Arial" w:eastAsia="Arial" w:hAnsi="Arial"/>
                <w:sz w:val="16"/>
                <w:szCs w:val="16"/>
                <w:color w:val="auto"/>
              </w:rPr>
              <w:t>that</w:t>
            </w:r>
          </w:p>
        </w:tc>
        <w:tc>
          <w:tcPr>
            <w:tcW w:w="0" w:type="dxa"/>
            <w:vAlign w:val="bottom"/>
          </w:tcPr>
          <w:p>
            <w:pPr>
              <w:spacing w:after="0"/>
              <w:rPr>
                <w:sz w:val="1"/>
                <w:szCs w:val="1"/>
                <w:color w:val="auto"/>
              </w:rPr>
            </w:pPr>
          </w:p>
        </w:tc>
      </w:tr>
      <w:tr>
        <w:trPr>
          <w:trHeight w:val="203"/>
        </w:trPr>
        <w:tc>
          <w:tcPr>
            <w:tcW w:w="1960" w:type="dxa"/>
            <w:vAlign w:val="bottom"/>
          </w:tcPr>
          <w:p>
            <w:pPr>
              <w:ind w:left="100"/>
              <w:spacing w:after="0"/>
              <w:rPr>
                <w:sz w:val="20"/>
                <w:szCs w:val="20"/>
                <w:color w:val="auto"/>
              </w:rPr>
            </w:pPr>
            <w:r>
              <w:rPr>
                <w:rFonts w:ascii="Arial" w:cs="Arial" w:eastAsia="Arial" w:hAnsi="Arial"/>
                <w:sz w:val="16"/>
                <w:szCs w:val="16"/>
                <w:b w:val="1"/>
                <w:bCs w:val="1"/>
                <w:color w:val="auto"/>
              </w:rPr>
              <w:t>(33%)</w:t>
            </w:r>
          </w:p>
        </w:tc>
        <w:tc>
          <w:tcPr>
            <w:tcW w:w="240" w:type="dxa"/>
            <w:vAlign w:val="bottom"/>
          </w:tcPr>
          <w:p>
            <w:pPr>
              <w:spacing w:after="0"/>
              <w:rPr>
                <w:sz w:val="17"/>
                <w:szCs w:val="17"/>
                <w:color w:val="auto"/>
              </w:rPr>
            </w:pPr>
          </w:p>
        </w:tc>
        <w:tc>
          <w:tcPr>
            <w:tcW w:w="3740" w:type="dxa"/>
            <w:vAlign w:val="bottom"/>
          </w:tcPr>
          <w:p>
            <w:pPr>
              <w:ind w:left="100"/>
              <w:spacing w:after="0"/>
              <w:rPr>
                <w:sz w:val="20"/>
                <w:szCs w:val="20"/>
                <w:color w:val="auto"/>
              </w:rPr>
            </w:pPr>
            <w:r>
              <w:rPr>
                <w:rFonts w:ascii="Arial" w:cs="Arial" w:eastAsia="Arial" w:hAnsi="Arial"/>
                <w:sz w:val="16"/>
                <w:szCs w:val="16"/>
                <w:color w:val="auto"/>
              </w:rPr>
              <w:t xml:space="preserve">-  33%  </w:t>
            </w:r>
            <w:r>
              <w:rPr>
                <w:rFonts w:ascii="Arial" w:cs="Arial" w:eastAsia="Arial" w:hAnsi="Arial"/>
                <w:sz w:val="16"/>
                <w:szCs w:val="16"/>
                <w:b w:val="1"/>
                <w:bCs w:val="1"/>
                <w:color w:val="auto"/>
              </w:rPr>
              <w:t>Customer D:00 (CD:00)</w:t>
            </w:r>
            <w:r>
              <w:rPr>
                <w:rFonts w:ascii="Arial" w:cs="Arial" w:eastAsia="Arial" w:hAnsi="Arial"/>
                <w:sz w:val="16"/>
                <w:szCs w:val="16"/>
                <w:color w:val="auto"/>
              </w:rPr>
              <w:t xml:space="preserve"> (An  industry</w:t>
            </w:r>
          </w:p>
        </w:tc>
        <w:tc>
          <w:tcPr>
            <w:tcW w:w="240" w:type="dxa"/>
            <w:vAlign w:val="bottom"/>
          </w:tcPr>
          <w:p>
            <w:pPr>
              <w:spacing w:after="0"/>
              <w:rPr>
                <w:sz w:val="17"/>
                <w:szCs w:val="17"/>
                <w:color w:val="auto"/>
              </w:rPr>
            </w:pPr>
          </w:p>
        </w:tc>
        <w:tc>
          <w:tcPr>
            <w:tcW w:w="3540" w:type="dxa"/>
            <w:vAlign w:val="bottom"/>
          </w:tcPr>
          <w:p>
            <w:pPr>
              <w:ind w:left="100"/>
              <w:spacing w:after="0"/>
              <w:rPr>
                <w:sz w:val="20"/>
                <w:szCs w:val="20"/>
                <w:color w:val="auto"/>
              </w:rPr>
            </w:pPr>
            <w:r>
              <w:rPr>
                <w:rFonts w:ascii="Arial" w:cs="Arial" w:eastAsia="Arial" w:hAnsi="Arial"/>
                <w:sz w:val="16"/>
                <w:szCs w:val="16"/>
                <w:color w:val="auto"/>
              </w:rPr>
              <w:t>focuses  management  on  ensuring  reliable</w:t>
            </w:r>
          </w:p>
        </w:tc>
        <w:tc>
          <w:tcPr>
            <w:tcW w:w="0" w:type="dxa"/>
            <w:vAlign w:val="bottom"/>
          </w:tcPr>
          <w:p>
            <w:pPr>
              <w:spacing w:after="0"/>
              <w:rPr>
                <w:sz w:val="1"/>
                <w:szCs w:val="1"/>
                <w:color w:val="auto"/>
              </w:rPr>
            </w:pPr>
          </w:p>
        </w:tc>
      </w:tr>
      <w:tr>
        <w:trPr>
          <w:trHeight w:val="227"/>
        </w:trPr>
        <w:tc>
          <w:tcPr>
            <w:tcW w:w="1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740" w:type="dxa"/>
            <w:vAlign w:val="bottom"/>
          </w:tcPr>
          <w:p>
            <w:pPr>
              <w:ind w:left="100"/>
              <w:spacing w:after="0"/>
              <w:rPr>
                <w:sz w:val="20"/>
                <w:szCs w:val="20"/>
                <w:color w:val="auto"/>
              </w:rPr>
            </w:pPr>
            <w:r>
              <w:rPr>
                <w:rFonts w:ascii="Arial" w:cs="Arial" w:eastAsia="Arial" w:hAnsi="Arial"/>
                <w:sz w:val="16"/>
                <w:szCs w:val="16"/>
                <w:color w:val="auto"/>
              </w:rPr>
              <w:t>reference  for  on-time  performance  that</w:t>
            </w:r>
          </w:p>
        </w:tc>
        <w:tc>
          <w:tcPr>
            <w:tcW w:w="240" w:type="dxa"/>
            <w:vAlign w:val="bottom"/>
          </w:tcPr>
          <w:p>
            <w:pPr>
              <w:spacing w:after="0"/>
              <w:rPr>
                <w:sz w:val="19"/>
                <w:szCs w:val="19"/>
                <w:color w:val="auto"/>
              </w:rPr>
            </w:pPr>
          </w:p>
        </w:tc>
        <w:tc>
          <w:tcPr>
            <w:tcW w:w="3540" w:type="dxa"/>
            <w:vAlign w:val="bottom"/>
          </w:tcPr>
          <w:p>
            <w:pPr>
              <w:ind w:left="100"/>
              <w:spacing w:after="0"/>
              <w:rPr>
                <w:sz w:val="20"/>
                <w:szCs w:val="20"/>
                <w:color w:val="auto"/>
              </w:rPr>
            </w:pPr>
            <w:r>
              <w:rPr>
                <w:rFonts w:ascii="Arial" w:cs="Arial" w:eastAsia="Arial" w:hAnsi="Arial"/>
                <w:sz w:val="16"/>
                <w:szCs w:val="16"/>
                <w:color w:val="auto"/>
              </w:rPr>
              <w:t>and  top-tier  operations  as  we  expanded  our</w:t>
            </w:r>
          </w:p>
        </w:tc>
        <w:tc>
          <w:tcPr>
            <w:tcW w:w="0" w:type="dxa"/>
            <w:vAlign w:val="bottom"/>
          </w:tcPr>
          <w:p>
            <w:pPr>
              <w:spacing w:after="0"/>
              <w:rPr>
                <w:sz w:val="1"/>
                <w:szCs w:val="1"/>
                <w:color w:val="auto"/>
              </w:rPr>
            </w:pPr>
          </w:p>
        </w:tc>
      </w:tr>
      <w:tr>
        <w:trPr>
          <w:trHeight w:val="151"/>
        </w:trPr>
        <w:tc>
          <w:tcPr>
            <w:tcW w:w="1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740" w:type="dxa"/>
            <w:vAlign w:val="bottom"/>
            <w:vMerge w:val="restart"/>
          </w:tcPr>
          <w:p>
            <w:pPr>
              <w:ind w:left="100"/>
              <w:spacing w:after="0"/>
              <w:rPr>
                <w:sz w:val="20"/>
                <w:szCs w:val="20"/>
                <w:color w:val="auto"/>
              </w:rPr>
            </w:pPr>
            <w:r>
              <w:rPr>
                <w:rFonts w:ascii="Arial" w:cs="Arial" w:eastAsia="Arial" w:hAnsi="Arial"/>
                <w:sz w:val="16"/>
                <w:szCs w:val="16"/>
                <w:color w:val="auto"/>
              </w:rPr>
              <w:t>measures  departures  early  or  at  the</w:t>
            </w:r>
          </w:p>
        </w:tc>
        <w:tc>
          <w:tcPr>
            <w:tcW w:w="240" w:type="dxa"/>
            <w:vAlign w:val="bottom"/>
          </w:tcPr>
          <w:p>
            <w:pPr>
              <w:spacing w:after="0"/>
              <w:rPr>
                <w:sz w:val="13"/>
                <w:szCs w:val="13"/>
                <w:color w:val="auto"/>
              </w:rPr>
            </w:pPr>
          </w:p>
        </w:tc>
        <w:tc>
          <w:tcPr>
            <w:tcW w:w="3540" w:type="dxa"/>
            <w:vAlign w:val="bottom"/>
          </w:tcPr>
          <w:p>
            <w:pPr>
              <w:ind w:left="100"/>
              <w:spacing w:after="0" w:line="151" w:lineRule="exact"/>
              <w:rPr>
                <w:sz w:val="20"/>
                <w:szCs w:val="20"/>
                <w:color w:val="auto"/>
              </w:rPr>
            </w:pPr>
            <w:r>
              <w:rPr>
                <w:rFonts w:ascii="Arial" w:cs="Arial" w:eastAsia="Arial" w:hAnsi="Arial"/>
                <w:sz w:val="16"/>
                <w:szCs w:val="16"/>
                <w:color w:val="auto"/>
              </w:rPr>
              <w:t>network  and  operated  the  largest  mainline</w:t>
            </w:r>
          </w:p>
        </w:tc>
        <w:tc>
          <w:tcPr>
            <w:tcW w:w="0" w:type="dxa"/>
            <w:vAlign w:val="bottom"/>
          </w:tcPr>
          <w:p>
            <w:pPr>
              <w:spacing w:after="0"/>
              <w:rPr>
                <w:sz w:val="1"/>
                <w:szCs w:val="1"/>
                <w:color w:val="auto"/>
              </w:rPr>
            </w:pPr>
          </w:p>
        </w:tc>
      </w:tr>
      <w:tr>
        <w:trPr>
          <w:trHeight w:val="111"/>
        </w:trPr>
        <w:tc>
          <w:tcPr>
            <w:tcW w:w="19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74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3540" w:type="dxa"/>
            <w:vAlign w:val="bottom"/>
            <w:vMerge w:val="restart"/>
          </w:tcPr>
          <w:p>
            <w:pPr>
              <w:ind w:left="100"/>
              <w:spacing w:after="0"/>
              <w:rPr>
                <w:sz w:val="20"/>
                <w:szCs w:val="20"/>
                <w:color w:val="auto"/>
              </w:rPr>
            </w:pPr>
            <w:r>
              <w:rPr>
                <w:rFonts w:ascii="Arial" w:cs="Arial" w:eastAsia="Arial" w:hAnsi="Arial"/>
                <w:sz w:val="16"/>
                <w:szCs w:val="16"/>
                <w:color w:val="auto"/>
              </w:rPr>
              <w:t>schedule  in  Company  history  over  the  full</w:t>
            </w:r>
          </w:p>
        </w:tc>
        <w:tc>
          <w:tcPr>
            <w:tcW w:w="0" w:type="dxa"/>
            <w:vAlign w:val="bottom"/>
          </w:tcPr>
          <w:p>
            <w:pPr>
              <w:spacing w:after="0"/>
              <w:rPr>
                <w:sz w:val="1"/>
                <w:szCs w:val="1"/>
                <w:color w:val="auto"/>
              </w:rPr>
            </w:pPr>
          </w:p>
        </w:tc>
      </w:tr>
      <w:tr>
        <w:trPr>
          <w:trHeight w:val="78"/>
        </w:trPr>
        <w:tc>
          <w:tcPr>
            <w:tcW w:w="1960" w:type="dxa"/>
            <w:vAlign w:val="bottom"/>
          </w:tcPr>
          <w:p>
            <w:pPr>
              <w:spacing w:after="0"/>
              <w:rPr>
                <w:sz w:val="6"/>
                <w:szCs w:val="6"/>
                <w:color w:val="auto"/>
              </w:rPr>
            </w:pPr>
          </w:p>
        </w:tc>
        <w:tc>
          <w:tcPr>
            <w:tcW w:w="240" w:type="dxa"/>
            <w:vAlign w:val="bottom"/>
          </w:tcPr>
          <w:p>
            <w:pPr>
              <w:spacing w:after="0"/>
              <w:rPr>
                <w:sz w:val="6"/>
                <w:szCs w:val="6"/>
                <w:color w:val="auto"/>
              </w:rPr>
            </w:pPr>
          </w:p>
        </w:tc>
        <w:tc>
          <w:tcPr>
            <w:tcW w:w="3740" w:type="dxa"/>
            <w:vAlign w:val="bottom"/>
            <w:vMerge w:val="restart"/>
          </w:tcPr>
          <w:p>
            <w:pPr>
              <w:ind w:left="100"/>
              <w:spacing w:after="0" w:line="227" w:lineRule="exact"/>
              <w:rPr>
                <w:sz w:val="20"/>
                <w:szCs w:val="20"/>
                <w:color w:val="auto"/>
              </w:rPr>
            </w:pPr>
            <w:r>
              <w:rPr>
                <w:rFonts w:ascii="Arial" w:cs="Arial" w:eastAsia="Arial" w:hAnsi="Arial"/>
                <w:sz w:val="16"/>
                <w:szCs w:val="16"/>
                <w:color w:val="auto"/>
              </w:rPr>
              <w:t xml:space="preserve">scheduled  departure  time.)  </w:t>
            </w:r>
            <w:r>
              <w:rPr>
                <w:rFonts w:ascii="Arial" w:cs="Arial" w:eastAsia="Arial" w:hAnsi="Arial"/>
                <w:sz w:val="24"/>
                <w:szCs w:val="24"/>
                <w:color w:val="auto"/>
                <w:vertAlign w:val="superscript"/>
              </w:rPr>
              <w:t>(1)</w:t>
            </w:r>
          </w:p>
        </w:tc>
        <w:tc>
          <w:tcPr>
            <w:tcW w:w="240" w:type="dxa"/>
            <w:vAlign w:val="bottom"/>
          </w:tcPr>
          <w:p>
            <w:pPr>
              <w:spacing w:after="0"/>
              <w:rPr>
                <w:sz w:val="6"/>
                <w:szCs w:val="6"/>
                <w:color w:val="auto"/>
              </w:rPr>
            </w:pPr>
          </w:p>
        </w:tc>
        <w:tc>
          <w:tcPr>
            <w:tcW w:w="35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1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7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3540" w:type="dxa"/>
            <w:vAlign w:val="bottom"/>
          </w:tcPr>
          <w:p>
            <w:pPr>
              <w:ind w:left="100"/>
              <w:spacing w:after="0" w:line="148" w:lineRule="exact"/>
              <w:rPr>
                <w:sz w:val="20"/>
                <w:szCs w:val="20"/>
                <w:color w:val="auto"/>
              </w:rPr>
            </w:pPr>
            <w:r>
              <w:rPr>
                <w:rFonts w:ascii="Arial" w:cs="Arial" w:eastAsia="Arial" w:hAnsi="Arial"/>
                <w:sz w:val="16"/>
                <w:szCs w:val="16"/>
                <w:color w:val="auto"/>
              </w:rPr>
              <w:t>year.</w:t>
            </w:r>
          </w:p>
        </w:tc>
        <w:tc>
          <w:tcPr>
            <w:tcW w:w="0" w:type="dxa"/>
            <w:vAlign w:val="bottom"/>
          </w:tcPr>
          <w:p>
            <w:pPr>
              <w:spacing w:after="0"/>
              <w:rPr>
                <w:sz w:val="1"/>
                <w:szCs w:val="1"/>
                <w:color w:val="auto"/>
              </w:rPr>
            </w:pPr>
          </w:p>
        </w:tc>
      </w:tr>
      <w:tr>
        <w:trPr>
          <w:trHeight w:val="227"/>
        </w:trPr>
        <w:tc>
          <w:tcPr>
            <w:tcW w:w="1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740" w:type="dxa"/>
            <w:vAlign w:val="bottom"/>
          </w:tcPr>
          <w:p>
            <w:pPr>
              <w:ind w:left="100"/>
              <w:spacing w:after="0"/>
              <w:rPr>
                <w:sz w:val="20"/>
                <w:szCs w:val="20"/>
                <w:color w:val="auto"/>
              </w:rPr>
            </w:pPr>
            <w:r>
              <w:rPr>
                <w:rFonts w:ascii="Arial" w:cs="Arial" w:eastAsia="Arial" w:hAnsi="Arial"/>
                <w:sz w:val="16"/>
                <w:szCs w:val="16"/>
                <w:color w:val="auto"/>
              </w:rPr>
              <w:t xml:space="preserve">-  33%  </w:t>
            </w:r>
            <w:r>
              <w:rPr>
                <w:rFonts w:ascii="Arial" w:cs="Arial" w:eastAsia="Arial" w:hAnsi="Arial"/>
                <w:sz w:val="16"/>
                <w:szCs w:val="16"/>
                <w:b w:val="1"/>
                <w:bCs w:val="1"/>
                <w:color w:val="auto"/>
              </w:rPr>
              <w:t>Mishandled Baggage Rate (MBR)</w:t>
            </w:r>
            <w:r>
              <w:rPr>
                <w:rFonts w:ascii="Arial" w:cs="Arial" w:eastAsia="Arial" w:hAnsi="Arial"/>
                <w:sz w:val="16"/>
                <w:szCs w:val="16"/>
                <w:color w:val="auto"/>
              </w:rPr>
              <w:t xml:space="preserve"> (This</w:t>
            </w:r>
          </w:p>
        </w:tc>
        <w:tc>
          <w:tcPr>
            <w:tcW w:w="240" w:type="dxa"/>
            <w:vAlign w:val="bottom"/>
          </w:tcPr>
          <w:p>
            <w:pPr>
              <w:spacing w:after="0"/>
              <w:rPr>
                <w:sz w:val="19"/>
                <w:szCs w:val="19"/>
                <w:color w:val="auto"/>
              </w:rPr>
            </w:pPr>
          </w:p>
        </w:tc>
        <w:tc>
          <w:tcPr>
            <w:tcW w:w="3540" w:type="dxa"/>
            <w:vAlign w:val="bottom"/>
          </w:tcPr>
          <w:p>
            <w:pPr>
              <w:ind w:left="100"/>
              <w:spacing w:after="0"/>
              <w:rPr>
                <w:sz w:val="20"/>
                <w:szCs w:val="20"/>
                <w:color w:val="auto"/>
              </w:rPr>
            </w:pPr>
            <w:r>
              <w:rPr>
                <w:rFonts w:ascii="Arial" w:cs="Arial" w:eastAsia="Arial" w:hAnsi="Arial"/>
                <w:sz w:val="16"/>
                <w:szCs w:val="16"/>
                <w:color w:val="auto"/>
              </w:rPr>
              <w:t>It  is  aligned  with  the  operational  priorities</w:t>
            </w:r>
          </w:p>
        </w:tc>
        <w:tc>
          <w:tcPr>
            <w:tcW w:w="0" w:type="dxa"/>
            <w:vAlign w:val="bottom"/>
          </w:tcPr>
          <w:p>
            <w:pPr>
              <w:spacing w:after="0"/>
              <w:rPr>
                <w:sz w:val="1"/>
                <w:szCs w:val="1"/>
                <w:color w:val="auto"/>
              </w:rPr>
            </w:pPr>
          </w:p>
        </w:tc>
      </w:tr>
      <w:tr>
        <w:trPr>
          <w:trHeight w:val="189"/>
        </w:trPr>
        <w:tc>
          <w:tcPr>
            <w:tcW w:w="1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740" w:type="dxa"/>
            <w:vAlign w:val="bottom"/>
          </w:tcPr>
          <w:p>
            <w:pPr>
              <w:ind w:left="100"/>
              <w:spacing w:after="0"/>
              <w:rPr>
                <w:sz w:val="20"/>
                <w:szCs w:val="20"/>
                <w:color w:val="auto"/>
              </w:rPr>
            </w:pPr>
            <w:r>
              <w:rPr>
                <w:rFonts w:ascii="Arial" w:cs="Arial" w:eastAsia="Arial" w:hAnsi="Arial"/>
                <w:sz w:val="16"/>
                <w:szCs w:val="16"/>
                <w:color w:val="auto"/>
              </w:rPr>
              <w:t>metric  measures  the  number  of  customer</w:t>
            </w:r>
          </w:p>
        </w:tc>
        <w:tc>
          <w:tcPr>
            <w:tcW w:w="240" w:type="dxa"/>
            <w:vAlign w:val="bottom"/>
          </w:tcPr>
          <w:p>
            <w:pPr>
              <w:spacing w:after="0"/>
              <w:rPr>
                <w:sz w:val="16"/>
                <w:szCs w:val="16"/>
                <w:color w:val="auto"/>
              </w:rPr>
            </w:pPr>
          </w:p>
        </w:tc>
        <w:tc>
          <w:tcPr>
            <w:tcW w:w="3540" w:type="dxa"/>
            <w:vAlign w:val="bottom"/>
          </w:tcPr>
          <w:p>
            <w:pPr>
              <w:ind w:left="100"/>
              <w:spacing w:after="0"/>
              <w:rPr>
                <w:sz w:val="20"/>
                <w:szCs w:val="20"/>
                <w:color w:val="auto"/>
              </w:rPr>
            </w:pPr>
            <w:r>
              <w:rPr>
                <w:rFonts w:ascii="Arial" w:cs="Arial" w:eastAsia="Arial" w:hAnsi="Arial"/>
                <w:sz w:val="16"/>
                <w:szCs w:val="16"/>
                <w:color w:val="auto"/>
              </w:rPr>
              <w:t>within  the  Company’s  business  plan,  key</w:t>
            </w:r>
          </w:p>
        </w:tc>
        <w:tc>
          <w:tcPr>
            <w:tcW w:w="0" w:type="dxa"/>
            <w:vAlign w:val="bottom"/>
          </w:tcPr>
          <w:p>
            <w:pPr>
              <w:spacing w:after="0"/>
              <w:rPr>
                <w:sz w:val="1"/>
                <w:szCs w:val="1"/>
                <w:color w:val="auto"/>
              </w:rPr>
            </w:pPr>
          </w:p>
        </w:tc>
      </w:tr>
      <w:tr>
        <w:trPr>
          <w:trHeight w:val="189"/>
        </w:trPr>
        <w:tc>
          <w:tcPr>
            <w:tcW w:w="1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740" w:type="dxa"/>
            <w:vAlign w:val="bottom"/>
          </w:tcPr>
          <w:p>
            <w:pPr>
              <w:ind w:left="100"/>
              <w:spacing w:after="0"/>
              <w:rPr>
                <w:sz w:val="20"/>
                <w:szCs w:val="20"/>
                <w:color w:val="auto"/>
              </w:rPr>
            </w:pPr>
            <w:r>
              <w:rPr>
                <w:rFonts w:ascii="Arial" w:cs="Arial" w:eastAsia="Arial" w:hAnsi="Arial"/>
                <w:sz w:val="16"/>
                <w:szCs w:val="16"/>
                <w:color w:val="auto"/>
              </w:rPr>
              <w:t>complaints  for  delayed,  damaged  or  pilfered</w:t>
            </w:r>
          </w:p>
        </w:tc>
        <w:tc>
          <w:tcPr>
            <w:tcW w:w="240" w:type="dxa"/>
            <w:vAlign w:val="bottom"/>
          </w:tcPr>
          <w:p>
            <w:pPr>
              <w:spacing w:after="0"/>
              <w:rPr>
                <w:sz w:val="16"/>
                <w:szCs w:val="16"/>
                <w:color w:val="auto"/>
              </w:rPr>
            </w:pPr>
          </w:p>
        </w:tc>
        <w:tc>
          <w:tcPr>
            <w:tcW w:w="3540" w:type="dxa"/>
            <w:vAlign w:val="bottom"/>
          </w:tcPr>
          <w:p>
            <w:pPr>
              <w:ind w:left="100"/>
              <w:spacing w:after="0"/>
              <w:rPr>
                <w:sz w:val="20"/>
                <w:szCs w:val="20"/>
                <w:color w:val="auto"/>
              </w:rPr>
            </w:pPr>
            <w:r>
              <w:rPr>
                <w:rFonts w:ascii="Arial" w:cs="Arial" w:eastAsia="Arial" w:hAnsi="Arial"/>
                <w:sz w:val="16"/>
                <w:szCs w:val="16"/>
                <w:color w:val="auto"/>
              </w:rPr>
              <w:t>value  drivers  and  industry  benchmarks.</w:t>
            </w:r>
          </w:p>
        </w:tc>
        <w:tc>
          <w:tcPr>
            <w:tcW w:w="0" w:type="dxa"/>
            <w:vAlign w:val="bottom"/>
          </w:tcPr>
          <w:p>
            <w:pPr>
              <w:spacing w:after="0"/>
              <w:rPr>
                <w:sz w:val="1"/>
                <w:szCs w:val="1"/>
                <w:color w:val="auto"/>
              </w:rPr>
            </w:pPr>
          </w:p>
        </w:tc>
      </w:tr>
      <w:tr>
        <w:trPr>
          <w:trHeight w:val="205"/>
        </w:trPr>
        <w:tc>
          <w:tcPr>
            <w:tcW w:w="1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740" w:type="dxa"/>
            <w:vAlign w:val="bottom"/>
          </w:tcPr>
          <w:p>
            <w:pPr>
              <w:ind w:left="100"/>
              <w:spacing w:after="0"/>
              <w:rPr>
                <w:sz w:val="20"/>
                <w:szCs w:val="20"/>
                <w:color w:val="auto"/>
              </w:rPr>
            </w:pPr>
            <w:r>
              <w:rPr>
                <w:rFonts w:ascii="Arial" w:cs="Arial" w:eastAsia="Arial" w:hAnsi="Arial"/>
                <w:sz w:val="16"/>
                <w:szCs w:val="16"/>
                <w:color w:val="auto"/>
              </w:rPr>
              <w:t>bags  per  total  bags  handled.)</w:t>
            </w:r>
          </w:p>
        </w:tc>
        <w:tc>
          <w:tcPr>
            <w:tcW w:w="24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740" w:type="dxa"/>
            <w:vAlign w:val="bottom"/>
          </w:tcPr>
          <w:p>
            <w:pPr>
              <w:ind w:left="140"/>
              <w:spacing w:after="0"/>
              <w:rPr>
                <w:sz w:val="20"/>
                <w:szCs w:val="20"/>
                <w:color w:val="auto"/>
              </w:rPr>
            </w:pPr>
            <w:r>
              <w:rPr>
                <w:rFonts w:ascii="Arial" w:cs="Arial" w:eastAsia="Arial" w:hAnsi="Arial"/>
                <w:sz w:val="16"/>
                <w:szCs w:val="16"/>
                <w:color w:val="auto"/>
              </w:rPr>
              <w:t xml:space="preserve">-  33%  </w:t>
            </w:r>
            <w:r>
              <w:rPr>
                <w:rFonts w:ascii="Arial" w:cs="Arial" w:eastAsia="Arial" w:hAnsi="Arial"/>
                <w:sz w:val="16"/>
                <w:szCs w:val="16"/>
                <w:b w:val="1"/>
                <w:bCs w:val="1"/>
                <w:color w:val="auto"/>
              </w:rPr>
              <w:t>Seat Cancel Rate</w:t>
            </w:r>
            <w:r>
              <w:rPr>
                <w:rFonts w:ascii="Arial" w:cs="Arial" w:eastAsia="Arial" w:hAnsi="Arial"/>
                <w:sz w:val="16"/>
                <w:szCs w:val="16"/>
                <w:color w:val="auto"/>
              </w:rPr>
              <w:t xml:space="preserve"> (This  metric</w:t>
            </w:r>
          </w:p>
        </w:tc>
        <w:tc>
          <w:tcPr>
            <w:tcW w:w="24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740" w:type="dxa"/>
            <w:vAlign w:val="bottom"/>
          </w:tcPr>
          <w:p>
            <w:pPr>
              <w:ind w:left="100"/>
              <w:spacing w:after="0"/>
              <w:rPr>
                <w:sz w:val="20"/>
                <w:szCs w:val="20"/>
                <w:color w:val="auto"/>
              </w:rPr>
            </w:pPr>
            <w:r>
              <w:rPr>
                <w:rFonts w:ascii="Arial" w:cs="Arial" w:eastAsia="Arial" w:hAnsi="Arial"/>
                <w:sz w:val="16"/>
                <w:szCs w:val="16"/>
                <w:color w:val="auto"/>
              </w:rPr>
              <w:t>measures  the  number  of  cancelled  seats</w:t>
            </w:r>
          </w:p>
        </w:tc>
        <w:tc>
          <w:tcPr>
            <w:tcW w:w="24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740" w:type="dxa"/>
            <w:vAlign w:val="bottom"/>
          </w:tcPr>
          <w:p>
            <w:pPr>
              <w:ind w:left="100"/>
              <w:spacing w:after="0"/>
              <w:rPr>
                <w:sz w:val="20"/>
                <w:szCs w:val="20"/>
                <w:color w:val="auto"/>
              </w:rPr>
            </w:pPr>
            <w:r>
              <w:rPr>
                <w:rFonts w:ascii="Arial" w:cs="Arial" w:eastAsia="Arial" w:hAnsi="Arial"/>
                <w:sz w:val="16"/>
                <w:szCs w:val="16"/>
                <w:color w:val="auto"/>
                <w:w w:val="99"/>
              </w:rPr>
              <w:t>divided  by  scheduled  seats.   It  is  a  measure  of</w:t>
            </w:r>
          </w:p>
        </w:tc>
        <w:tc>
          <w:tcPr>
            <w:tcW w:w="24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1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740" w:type="dxa"/>
            <w:vAlign w:val="bottom"/>
          </w:tcPr>
          <w:p>
            <w:pPr>
              <w:ind w:left="100"/>
              <w:spacing w:after="0"/>
              <w:rPr>
                <w:sz w:val="20"/>
                <w:szCs w:val="20"/>
                <w:color w:val="auto"/>
              </w:rPr>
            </w:pPr>
            <w:r>
              <w:rPr>
                <w:rFonts w:ascii="Arial" w:cs="Arial" w:eastAsia="Arial" w:hAnsi="Arial"/>
                <w:sz w:val="16"/>
                <w:szCs w:val="16"/>
                <w:color w:val="auto"/>
              </w:rPr>
              <w:t>passengers  impacted  by  fight  cancellations.)</w:t>
            </w:r>
          </w:p>
        </w:tc>
        <w:tc>
          <w:tcPr>
            <w:tcW w:w="24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0"/>
        </w:trPr>
        <w:tc>
          <w:tcPr>
            <w:tcW w:w="1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740" w:type="dxa"/>
            <w:vAlign w:val="bottom"/>
          </w:tcPr>
          <w:p>
            <w:pPr>
              <w:ind w:left="100"/>
              <w:spacing w:after="0" w:line="130" w:lineRule="exact"/>
              <w:rPr>
                <w:sz w:val="20"/>
                <w:szCs w:val="20"/>
                <w:color w:val="auto"/>
              </w:rPr>
            </w:pPr>
            <w:r>
              <w:rPr>
                <w:rFonts w:ascii="Arial" w:cs="Arial" w:eastAsia="Arial" w:hAnsi="Arial"/>
                <w:sz w:val="12"/>
                <w:szCs w:val="12"/>
                <w:color w:val="auto"/>
              </w:rPr>
              <w:t>(1)  For  purpose  of  this  metric,  fights  otherwise  planned  to</w:t>
            </w:r>
          </w:p>
        </w:tc>
        <w:tc>
          <w:tcPr>
            <w:tcW w:w="24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740" w:type="dxa"/>
            <w:vAlign w:val="bottom"/>
          </w:tcPr>
          <w:p>
            <w:pPr>
              <w:ind w:left="100"/>
              <w:spacing w:after="0" w:line="122" w:lineRule="exact"/>
              <w:rPr>
                <w:sz w:val="20"/>
                <w:szCs w:val="20"/>
                <w:color w:val="auto"/>
              </w:rPr>
            </w:pPr>
            <w:r>
              <w:rPr>
                <w:rFonts w:ascii="Arial" w:cs="Arial" w:eastAsia="Arial" w:hAnsi="Arial"/>
                <w:sz w:val="12"/>
                <w:szCs w:val="12"/>
                <w:color w:val="auto"/>
              </w:rPr>
              <w:t>arrive  on-time  that  are  intentionally  delayed  to  hold  for</w:t>
            </w:r>
          </w:p>
        </w:tc>
        <w:tc>
          <w:tcPr>
            <w:tcW w:w="24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740" w:type="dxa"/>
            <w:vAlign w:val="bottom"/>
          </w:tcPr>
          <w:p>
            <w:pPr>
              <w:ind w:left="100"/>
              <w:spacing w:after="0" w:line="122" w:lineRule="exact"/>
              <w:rPr>
                <w:sz w:val="20"/>
                <w:szCs w:val="20"/>
                <w:color w:val="auto"/>
              </w:rPr>
            </w:pPr>
            <w:r>
              <w:rPr>
                <w:rFonts w:ascii="Arial" w:cs="Arial" w:eastAsia="Arial" w:hAnsi="Arial"/>
                <w:sz w:val="12"/>
                <w:szCs w:val="12"/>
                <w:color w:val="auto"/>
              </w:rPr>
              <w:t>passenger  connections  are  considered  to  be  on-time</w:t>
            </w:r>
          </w:p>
        </w:tc>
        <w:tc>
          <w:tcPr>
            <w:tcW w:w="24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740" w:type="dxa"/>
            <w:vAlign w:val="bottom"/>
          </w:tcPr>
          <w:p>
            <w:pPr>
              <w:ind w:left="100"/>
              <w:spacing w:after="0"/>
              <w:rPr>
                <w:sz w:val="20"/>
                <w:szCs w:val="20"/>
                <w:color w:val="auto"/>
              </w:rPr>
            </w:pPr>
            <w:r>
              <w:rPr>
                <w:rFonts w:ascii="Arial" w:cs="Arial" w:eastAsia="Arial" w:hAnsi="Arial"/>
                <w:sz w:val="12"/>
                <w:szCs w:val="12"/>
                <w:color w:val="auto"/>
              </w:rPr>
              <w:t>departures.</w:t>
            </w:r>
          </w:p>
        </w:tc>
        <w:tc>
          <w:tcPr>
            <w:tcW w:w="24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sectPr>
          <w:pgSz w:w="11900" w:h="16838" w:orient="portrait"/>
          <w:cols w:equalWidth="0" w:num="1">
            <w:col w:w="9720"/>
          </w:cols>
          <w:pgMar w:left="1080" w:top="695" w:right="1099" w:bottom="1440" w:gutter="0" w:footer="0" w:header="0"/>
        </w:sectPr>
      </w:pPr>
    </w:p>
    <w:p>
      <w:pPr>
        <w:ind w:left="100"/>
        <w:spacing w:after="0"/>
        <w:tabs>
          <w:tab w:leader="none" w:pos="2280" w:val="left"/>
        </w:tabs>
        <w:rPr>
          <w:sz w:val="20"/>
          <w:szCs w:val="20"/>
          <w:color w:val="auto"/>
        </w:rPr>
      </w:pPr>
      <w:r>
        <w:rPr>
          <w:rFonts w:ascii="Arial" w:cs="Arial" w:eastAsia="Arial" w:hAnsi="Arial"/>
          <w:sz w:val="16"/>
          <w:szCs w:val="16"/>
          <w:color w:val="auto"/>
        </w:rPr>
        <w:t>Net  Promoter  Score</w:t>
      </w:r>
      <w:r>
        <w:rPr>
          <w:sz w:val="20"/>
          <w:szCs w:val="20"/>
          <w:color w:val="auto"/>
        </w:rPr>
        <w:tab/>
      </w:r>
      <w:r>
        <w:rPr>
          <w:rFonts w:ascii="Arial" w:cs="Arial" w:eastAsia="Arial" w:hAnsi="Arial"/>
          <w:sz w:val="16"/>
          <w:szCs w:val="16"/>
          <w:b w:val="1"/>
          <w:bCs w:val="1"/>
          <w:color w:val="auto"/>
        </w:rPr>
        <w:t>Based on United Customer Survey Results</w:t>
      </w:r>
    </w:p>
    <w:p>
      <w:pPr>
        <w:spacing w:after="0" w:line="5" w:lineRule="exact"/>
        <w:rPr>
          <w:sz w:val="20"/>
          <w:szCs w:val="20"/>
          <w:color w:val="auto"/>
        </w:rPr>
      </w:pPr>
    </w:p>
    <w:p>
      <w:pPr>
        <w:ind w:left="100"/>
        <w:spacing w:after="0"/>
        <w:tabs>
          <w:tab w:leader="none" w:pos="2280" w:val="left"/>
        </w:tabs>
        <w:rPr>
          <w:sz w:val="20"/>
          <w:szCs w:val="20"/>
          <w:color w:val="auto"/>
        </w:rPr>
      </w:pPr>
      <w:r>
        <w:rPr>
          <w:rFonts w:ascii="Arial" w:cs="Arial" w:eastAsia="Arial" w:hAnsi="Arial"/>
          <w:sz w:val="16"/>
          <w:szCs w:val="16"/>
          <w:b w:val="1"/>
          <w:bCs w:val="1"/>
          <w:color w:val="auto"/>
        </w:rPr>
        <w:t>(33%)</w:t>
      </w:r>
      <w:r>
        <w:rPr>
          <w:sz w:val="20"/>
          <w:szCs w:val="20"/>
          <w:color w:val="auto"/>
        </w:rPr>
        <w:tab/>
      </w:r>
      <w:r>
        <w:rPr>
          <w:rFonts w:ascii="Arial" w:cs="Arial" w:eastAsia="Arial" w:hAnsi="Arial"/>
          <w:sz w:val="16"/>
          <w:szCs w:val="16"/>
          <w:color w:val="auto"/>
        </w:rPr>
        <w:t>“How  likely  are  you  to  recommend  United</w:t>
      </w:r>
    </w:p>
    <w:p>
      <w:pPr>
        <w:spacing w:after="0" w:line="19" w:lineRule="exact"/>
        <w:rPr>
          <w:sz w:val="20"/>
          <w:szCs w:val="20"/>
          <w:color w:val="auto"/>
        </w:rPr>
      </w:pPr>
    </w:p>
    <w:p>
      <w:pPr>
        <w:ind w:left="2300"/>
        <w:spacing w:after="0" w:line="250" w:lineRule="auto"/>
        <w:rPr>
          <w:sz w:val="20"/>
          <w:szCs w:val="20"/>
          <w:color w:val="auto"/>
        </w:rPr>
      </w:pPr>
      <w:r>
        <w:rPr>
          <w:rFonts w:ascii="Arial" w:cs="Arial" w:eastAsia="Arial" w:hAnsi="Arial"/>
          <w:sz w:val="16"/>
          <w:szCs w:val="16"/>
          <w:color w:val="auto"/>
        </w:rPr>
        <w:t>Airlines to a friend, relative or colleague?” Stratifed based on reliability, mainline/express mix, international/domestic mix and normalized to match United’s 2018</w:t>
      </w:r>
    </w:p>
    <w:p>
      <w:pPr>
        <w:spacing w:after="0" w:line="3"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Basic  Economy  passenger  mix.</w:t>
      </w:r>
    </w:p>
    <w:p>
      <w:pPr>
        <w:spacing w:after="0" w:line="46" w:lineRule="exact"/>
        <w:rPr>
          <w:sz w:val="20"/>
          <w:szCs w:val="20"/>
          <w:color w:val="auto"/>
        </w:rPr>
      </w:pPr>
    </w:p>
    <w:p>
      <w:pPr>
        <w:ind w:left="2300" w:right="160"/>
        <w:spacing w:after="0" w:line="268" w:lineRule="auto"/>
        <w:rPr>
          <w:sz w:val="20"/>
          <w:szCs w:val="20"/>
          <w:color w:val="auto"/>
        </w:rPr>
      </w:pPr>
      <w:r>
        <w:rPr>
          <w:rFonts w:ascii="Arial" w:cs="Arial" w:eastAsia="Arial" w:hAnsi="Arial"/>
          <w:sz w:val="16"/>
          <w:szCs w:val="16"/>
          <w:color w:val="auto"/>
        </w:rPr>
        <w:t>NPS has no standardized industry meaning and, therefore, is not the same as similarly titled measures presented by other companies.</w:t>
      </w:r>
    </w:p>
    <w:p>
      <w:pPr>
        <w:spacing w:after="0" w:line="20" w:lineRule="exact"/>
        <w:rPr>
          <w:sz w:val="20"/>
          <w:szCs w:val="20"/>
          <w:color w:val="auto"/>
        </w:rPr>
      </w:pPr>
      <w:r>
        <w:rPr>
          <w:sz w:val="20"/>
          <w:szCs w:val="20"/>
          <w:color w:val="auto"/>
        </w:rPr>
        <w:br w:type="column"/>
      </w:r>
    </w:p>
    <w:p>
      <w:pPr>
        <w:ind w:right="440"/>
        <w:spacing w:after="0" w:line="255" w:lineRule="auto"/>
        <w:rPr>
          <w:sz w:val="20"/>
          <w:szCs w:val="20"/>
          <w:color w:val="auto"/>
        </w:rPr>
      </w:pPr>
      <w:r>
        <w:rPr>
          <w:rFonts w:ascii="Arial" w:cs="Arial" w:eastAsia="Arial" w:hAnsi="Arial"/>
          <w:sz w:val="16"/>
          <w:szCs w:val="16"/>
          <w:b w:val="1"/>
          <w:bCs w:val="1"/>
          <w:color w:val="auto"/>
        </w:rPr>
        <w:t xml:space="preserve">A measure of customer feedback </w:t>
      </w:r>
      <w:r>
        <w:rPr>
          <w:rFonts w:ascii="Arial" w:cs="Arial" w:eastAsia="Arial" w:hAnsi="Arial"/>
          <w:sz w:val="16"/>
          <w:szCs w:val="16"/>
          <w:color w:val="auto"/>
        </w:rPr>
        <w:t>that</w:t>
      </w:r>
      <w:r>
        <w:rPr>
          <w:rFonts w:ascii="Arial" w:cs="Arial" w:eastAsia="Arial" w:hAnsi="Arial"/>
          <w:sz w:val="16"/>
          <w:szCs w:val="16"/>
          <w:b w:val="1"/>
          <w:bCs w:val="1"/>
          <w:color w:val="auto"/>
        </w:rPr>
        <w:t xml:space="preserve"> </w:t>
      </w:r>
      <w:r>
        <w:rPr>
          <w:rFonts w:ascii="Arial" w:cs="Arial" w:eastAsia="Arial" w:hAnsi="Arial"/>
          <w:sz w:val="16"/>
          <w:szCs w:val="16"/>
          <w:color w:val="auto"/>
        </w:rPr>
        <w:t>provides continued focus on customer</w:t>
      </w:r>
    </w:p>
    <w:p>
      <w:pPr>
        <w:spacing w:after="0" w:line="1" w:lineRule="exact"/>
        <w:rPr>
          <w:sz w:val="20"/>
          <w:szCs w:val="20"/>
          <w:color w:val="auto"/>
        </w:rPr>
      </w:pPr>
    </w:p>
    <w:p>
      <w:pPr>
        <w:ind w:right="260"/>
        <w:spacing w:after="0" w:line="279" w:lineRule="auto"/>
        <w:rPr>
          <w:sz w:val="20"/>
          <w:szCs w:val="20"/>
          <w:color w:val="auto"/>
        </w:rPr>
      </w:pPr>
      <w:r>
        <w:rPr>
          <w:rFonts w:ascii="Arial" w:cs="Arial" w:eastAsia="Arial" w:hAnsi="Arial"/>
          <w:sz w:val="16"/>
          <w:szCs w:val="16"/>
          <w:color w:val="auto"/>
        </w:rPr>
        <w:t>satisfaction and tied to the Company’s strategic plan of positioning United to win more brand-loyal customers.</w:t>
      </w:r>
    </w:p>
    <w:p>
      <w:pPr>
        <w:spacing w:after="0" w:line="1379" w:lineRule="exact"/>
        <w:rPr>
          <w:sz w:val="20"/>
          <w:szCs w:val="20"/>
          <w:color w:val="auto"/>
        </w:rPr>
      </w:pPr>
    </w:p>
    <w:p>
      <w:pPr>
        <w:sectPr>
          <w:pgSz w:w="11900" w:h="16838" w:orient="portrait"/>
          <w:cols w:equalWidth="0" w:num="2">
            <w:col w:w="5740" w:space="540"/>
            <w:col w:w="3440"/>
          </w:cols>
          <w:pgMar w:left="1080" w:top="695" w:right="10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right"/>
        <w:ind w:right="7720"/>
        <w:spacing w:after="0"/>
        <w:rPr>
          <w:sz w:val="20"/>
          <w:szCs w:val="20"/>
          <w:color w:val="auto"/>
        </w:rPr>
      </w:pPr>
      <w:r>
        <w:rPr>
          <w:rFonts w:ascii="Arial" w:cs="Arial" w:eastAsia="Arial" w:hAnsi="Arial"/>
          <w:sz w:val="16"/>
          <w:szCs w:val="16"/>
          <w:color w:val="auto"/>
        </w:rPr>
        <w:t>​​2026​  Proxy</w:t>
      </w:r>
    </w:p>
    <w:p>
      <w:pPr>
        <w:spacing w:after="0" w:line="5" w:lineRule="exact"/>
        <w:rPr>
          <w:sz w:val="20"/>
          <w:szCs w:val="20"/>
          <w:color w:val="auto"/>
        </w:rPr>
      </w:pPr>
    </w:p>
    <w:p>
      <w:pPr>
        <w:ind w:left="660" w:hanging="656"/>
        <w:spacing w:after="0"/>
        <w:tabs>
          <w:tab w:leader="none" w:pos="660" w:val="left"/>
        </w:tabs>
        <w:numPr>
          <w:ilvl w:val="0"/>
          <w:numId w:val="104"/>
        </w:numPr>
        <w:rPr>
          <w:rFonts w:ascii="Arial" w:cs="Arial" w:eastAsia="Arial" w:hAnsi="Arial"/>
          <w:sz w:val="16"/>
          <w:szCs w:val="16"/>
          <w:b w:val="1"/>
          <w:bCs w:val="1"/>
          <w:color w:val="1414D2"/>
        </w:rPr>
      </w:pPr>
      <w:r>
        <w:rPr>
          <w:rFonts w:ascii="Arial" w:cs="Arial" w:eastAsia="Arial" w:hAnsi="Arial"/>
          <w:sz w:val="16"/>
          <w:szCs w:val="16"/>
          <w:color w:val="auto"/>
        </w:rPr>
        <w:t>Statement</w:t>
      </w:r>
    </w:p>
    <w:p>
      <w:pPr>
        <w:sectPr>
          <w:pgSz w:w="11900" w:h="16838" w:orient="portrait"/>
          <w:cols w:equalWidth="0" w:num="1">
            <w:col w:w="9720"/>
          </w:cols>
          <w:pgMar w:left="1080" w:top="695" w:right="1099" w:bottom="1440" w:gutter="0" w:footer="0" w:header="0"/>
          <w:type w:val="continuous"/>
        </w:sectPr>
      </w:pPr>
    </w:p>
    <w:bookmarkStart w:id="107" w:name="page108"/>
    <w:bookmarkEnd w:id="107"/>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27" w:lineRule="exact"/>
        <w:rPr>
          <w:sz w:val="20"/>
          <w:szCs w:val="20"/>
          <w:color w:val="auto"/>
        </w:rPr>
      </w:pPr>
    </w:p>
    <w:p>
      <w:pPr>
        <w:jc w:val="right"/>
        <w:spacing w:after="0"/>
        <w:rPr>
          <w:sz w:val="20"/>
          <w:szCs w:val="20"/>
          <w:color w:val="auto"/>
        </w:rPr>
      </w:pPr>
      <w:r>
        <w:rPr>
          <w:rFonts w:ascii="Arial" w:cs="Arial" w:eastAsia="Arial" w:hAnsi="Arial"/>
          <w:sz w:val="14"/>
          <w:szCs w:val="14"/>
          <w:color w:val="6D6F71"/>
        </w:rPr>
        <w:t>Compensation  Discussion  and  Analysis</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414D2"/>
        </w:rPr>
        <w:t>2025 STI Outcomes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color w:val="auto"/>
        </w:rPr>
        <w:t>Threshold,  target  and  maximum  performance  levels  are  evaluated  independently  by  the  Committee  and  are  set  to  provide</w:t>
      </w:r>
    </w:p>
    <w:p>
      <w:pPr>
        <w:spacing w:after="0" w:line="19"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appropriate awards across a range of performance outcomes. In establishing performance measures and levels each year, the Committee considers, among other things: budget; operational priorities; long-term strategic plans; historical performance and external factors, including external expectations; competitive developments; the unique challenges and conditions expected for our business in the upcoming year; and the regulatory environment. The achievement of threshold, target and maximum</w:t>
      </w:r>
    </w:p>
    <w:p>
      <w:pPr>
        <w:spacing w:after="0" w:line="3"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performance levels were set by the Committee taking into account past performance and long-term plans and were established to be rigorous and challenging to attain and require strong performance and execution to achieve without encouraging unnecessary or excessive risk-taking. Consistent with our long-term focus, the STI program historically measures performance against our strategic and operational priorities during the fscal year, rather than a fxed growth rate or an average of growth</w:t>
      </w:r>
    </w:p>
    <w:p>
      <w:pPr>
        <w:spacing w:after="0" w:line="3" w:lineRule="exact"/>
        <w:rPr>
          <w:sz w:val="20"/>
          <w:szCs w:val="20"/>
          <w:color w:val="auto"/>
        </w:rPr>
      </w:pPr>
    </w:p>
    <w:p>
      <w:pPr>
        <w:ind w:right="260"/>
        <w:spacing w:after="0" w:line="313" w:lineRule="auto"/>
        <w:rPr>
          <w:sz w:val="20"/>
          <w:szCs w:val="20"/>
          <w:color w:val="auto"/>
        </w:rPr>
      </w:pPr>
      <w:r>
        <w:rPr>
          <w:rFonts w:ascii="Arial" w:cs="Arial" w:eastAsia="Arial" w:hAnsi="Arial"/>
          <w:sz w:val="16"/>
          <w:szCs w:val="16"/>
          <w:color w:val="auto"/>
        </w:rPr>
        <w:t>rates from prior years, to account for short-term economic and competitive conditions and anticipated strategic investments that may have adverse short-term proft implications.</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The  payouts  for  the  2025  STI  program  were  based  on  an  executive’s  target  bonus  amount  and  the  total  payout  percentage.</w:t>
      </w:r>
    </w:p>
    <w:p>
      <w:pPr>
        <w:spacing w:after="0" w:line="19"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Company performance results for the year led to a formulaic payout percentage of 135% of target for 2025. The calculation was based on the following performance against the performance measures shown below. To balance transparency with the need to protect competitively sensitive information, the Company has not disclosed certain specifc performance targets and results, particularly those relating to detailed business and operational initiatives, where such disclosure could cause competitive harm.</w:t>
      </w:r>
    </w:p>
    <w:p>
      <w:pPr>
        <w:spacing w:after="0" w:line="3" w:lineRule="exact"/>
        <w:rPr>
          <w:sz w:val="20"/>
          <w:szCs w:val="20"/>
          <w:color w:val="auto"/>
        </w:rPr>
      </w:pPr>
    </w:p>
    <w:p>
      <w:pPr>
        <w:ind w:right="200"/>
        <w:spacing w:after="0" w:line="313" w:lineRule="auto"/>
        <w:rPr>
          <w:sz w:val="20"/>
          <w:szCs w:val="20"/>
          <w:color w:val="auto"/>
        </w:rPr>
      </w:pPr>
      <w:r>
        <w:rPr>
          <w:rFonts w:ascii="Arial" w:cs="Arial" w:eastAsia="Arial" w:hAnsi="Arial"/>
          <w:sz w:val="16"/>
          <w:szCs w:val="16"/>
          <w:color w:val="auto"/>
        </w:rPr>
        <w:t>However, the Company believes the information provided conveys the rigor of the performance goals and the extent to which they were achieved.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320" w:right="40" w:hanging="316"/>
        <w:spacing w:after="0" w:line="286" w:lineRule="auto"/>
        <w:tabs>
          <w:tab w:leader="none" w:pos="320" w:val="left"/>
        </w:tabs>
        <w:numPr>
          <w:ilvl w:val="0"/>
          <w:numId w:val="105"/>
        </w:numPr>
        <w:rPr>
          <w:rFonts w:ascii="Arial" w:cs="Arial" w:eastAsia="Arial" w:hAnsi="Arial"/>
          <w:sz w:val="11"/>
          <w:szCs w:val="11"/>
          <w:color w:val="auto"/>
        </w:rPr>
      </w:pPr>
      <w:r>
        <w:rPr>
          <w:rFonts w:ascii="Arial" w:cs="Arial" w:eastAsia="Arial" w:hAnsi="Arial"/>
          <w:sz w:val="14"/>
          <w:szCs w:val="14"/>
          <w:color w:val="auto"/>
        </w:rPr>
        <w:t>The target range for the Relative Adjusted EBITDAR Margin metric was achievement between 40-70% of the diference between the industry weighted average Adjusted EBITDAR Margin and the Adjusted EBITDAR Margin of the peer with highest Adjusted EBITDAR Margin among the select industry peers.</w:t>
      </w:r>
    </w:p>
    <w:p>
      <w:pPr>
        <w:spacing w:after="0" w:line="45" w:lineRule="exact"/>
        <w:rPr>
          <w:rFonts w:ascii="Arial" w:cs="Arial" w:eastAsia="Arial" w:hAnsi="Arial"/>
          <w:sz w:val="11"/>
          <w:szCs w:val="11"/>
          <w:color w:val="auto"/>
        </w:rPr>
      </w:pPr>
    </w:p>
    <w:p>
      <w:pPr>
        <w:ind w:left="320" w:right="160" w:hanging="316"/>
        <w:spacing w:after="0" w:line="331" w:lineRule="auto"/>
        <w:tabs>
          <w:tab w:leader="none" w:pos="320" w:val="left"/>
        </w:tabs>
        <w:numPr>
          <w:ilvl w:val="0"/>
          <w:numId w:val="105"/>
        </w:numPr>
        <w:rPr>
          <w:rFonts w:ascii="Arial" w:cs="Arial" w:eastAsia="Arial" w:hAnsi="Arial"/>
          <w:sz w:val="11"/>
          <w:szCs w:val="11"/>
          <w:color w:val="auto"/>
        </w:rPr>
      </w:pPr>
      <w:r>
        <w:rPr>
          <w:rFonts w:ascii="Arial" w:cs="Arial" w:eastAsia="Arial" w:hAnsi="Arial"/>
          <w:sz w:val="14"/>
          <w:szCs w:val="14"/>
          <w:color w:val="auto"/>
        </w:rPr>
        <w:t>NPS has no standardized industry meaning and, therefore, is not the same as similarly titled measures presented by other companies. As noted above, the performance levels set for NPS were designed to be challenging to attain.</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2026  Proxy  Statement</w:t>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1414D2"/>
        </w:rPr>
        <w:t>97</w:t>
      </w:r>
    </w:p>
    <w:p>
      <w:pPr>
        <w:sectPr>
          <w:pgSz w:w="11900" w:h="16838" w:orient="portrait"/>
          <w:cols w:equalWidth="0" w:num="1">
            <w:col w:w="9720"/>
          </w:cols>
          <w:pgMar w:left="1080" w:top="695" w:right="1099" w:bottom="1440" w:gutter="0" w:footer="0" w:header="0"/>
        </w:sectPr>
      </w:pPr>
    </w:p>
    <w:bookmarkStart w:id="108" w:name="page109"/>
    <w:bookmarkEnd w:id="108"/>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6D6F71"/>
        </w:rPr>
        <w:t>Compensation  Discussion  and  Analysis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2025  STI  Payments</w:t>
      </w:r>
    </w:p>
    <w:p>
      <w:pPr>
        <w:spacing w:after="0" w:line="113" w:lineRule="exact"/>
        <w:rPr>
          <w:sz w:val="20"/>
          <w:szCs w:val="20"/>
          <w:color w:val="auto"/>
        </w:rPr>
      </w:pPr>
    </w:p>
    <w:p>
      <w:pPr>
        <w:ind w:right="760"/>
        <w:spacing w:after="0" w:line="330" w:lineRule="auto"/>
        <w:rPr>
          <w:sz w:val="20"/>
          <w:szCs w:val="20"/>
          <w:color w:val="auto"/>
        </w:rPr>
      </w:pPr>
      <w:r>
        <w:rPr>
          <w:rFonts w:ascii="Arial" w:cs="Arial" w:eastAsia="Arial" w:hAnsi="Arial"/>
          <w:sz w:val="16"/>
          <w:szCs w:val="16"/>
          <w:color w:val="auto"/>
        </w:rPr>
        <w:t>The actual 2025 STI awards paid to our NEOs are shown in the table below and are also included in the 2025 Summary Compensation Table under the Non-Equity Incentive Plan Compensation column:</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2200" w:type="dxa"/>
            <w:vAlign w:val="bottom"/>
            <w:gridSpan w:val="2"/>
            <w:vMerge w:val="restart"/>
            <w:shd w:val="clear" w:color="auto" w:fill="1414D2"/>
          </w:tcPr>
          <w:p>
            <w:pPr>
              <w:ind w:left="100"/>
              <w:spacing w:after="0"/>
              <w:rPr>
                <w:sz w:val="20"/>
                <w:szCs w:val="20"/>
                <w:color w:val="auto"/>
              </w:rPr>
            </w:pPr>
            <w:r>
              <w:rPr>
                <w:rFonts w:ascii="Arial" w:cs="Arial" w:eastAsia="Arial" w:hAnsi="Arial"/>
                <w:sz w:val="14"/>
                <w:szCs w:val="14"/>
                <w:b w:val="1"/>
                <w:bCs w:val="1"/>
                <w:color w:val="FFFFFF"/>
              </w:rPr>
              <w:t>EARNED BASE SALARY</w:t>
            </w:r>
          </w:p>
        </w:tc>
        <w:tc>
          <w:tcPr>
            <w:tcW w:w="100" w:type="dxa"/>
            <w:vAlign w:val="bottom"/>
          </w:tcPr>
          <w:p>
            <w:pPr>
              <w:spacing w:after="0"/>
              <w:rPr>
                <w:sz w:val="23"/>
                <w:szCs w:val="23"/>
                <w:color w:val="auto"/>
              </w:rPr>
            </w:pPr>
          </w:p>
        </w:tc>
        <w:tc>
          <w:tcPr>
            <w:tcW w:w="220" w:type="dxa"/>
            <w:vAlign w:val="bottom"/>
            <w:vMerge w:val="restart"/>
          </w:tcPr>
          <w:p>
            <w:pPr>
              <w:ind w:left="20"/>
              <w:spacing w:after="0"/>
              <w:rPr>
                <w:sz w:val="20"/>
                <w:szCs w:val="20"/>
                <w:color w:val="auto"/>
              </w:rPr>
            </w:pPr>
            <w:r>
              <w:rPr>
                <w:rFonts w:ascii="Arial" w:cs="Arial" w:eastAsia="Arial" w:hAnsi="Arial"/>
                <w:sz w:val="14"/>
                <w:szCs w:val="14"/>
                <w:b w:val="1"/>
                <w:bCs w:val="1"/>
                <w:color w:val="1414D2"/>
              </w:rPr>
              <w:t>X</w:t>
            </w:r>
          </w:p>
        </w:tc>
        <w:tc>
          <w:tcPr>
            <w:tcW w:w="1620" w:type="dxa"/>
            <w:vAlign w:val="bottom"/>
            <w:gridSpan w:val="3"/>
            <w:shd w:val="clear" w:color="auto" w:fill="1414D2"/>
          </w:tcPr>
          <w:p>
            <w:pPr>
              <w:ind w:left="100"/>
              <w:spacing w:after="0"/>
              <w:rPr>
                <w:sz w:val="20"/>
                <w:szCs w:val="20"/>
                <w:color w:val="auto"/>
              </w:rPr>
            </w:pPr>
            <w:r>
              <w:rPr>
                <w:rFonts w:ascii="Arial" w:cs="Arial" w:eastAsia="Arial" w:hAnsi="Arial"/>
                <w:sz w:val="14"/>
                <w:szCs w:val="14"/>
                <w:b w:val="1"/>
                <w:bCs w:val="1"/>
                <w:color w:val="FFFFFF"/>
                <w:w w:val="96"/>
              </w:rPr>
              <w:t>STI BLENDED TARGET</w:t>
            </w:r>
          </w:p>
        </w:tc>
        <w:tc>
          <w:tcPr>
            <w:tcW w:w="600" w:type="dxa"/>
            <w:vAlign w:val="bottom"/>
            <w:shd w:val="clear" w:color="auto" w:fill="1414D2"/>
          </w:tcPr>
          <w:p>
            <w:pPr>
              <w:spacing w:after="0"/>
              <w:rPr>
                <w:sz w:val="23"/>
                <w:szCs w:val="23"/>
                <w:color w:val="auto"/>
              </w:rPr>
            </w:pPr>
          </w:p>
        </w:tc>
        <w:tc>
          <w:tcPr>
            <w:tcW w:w="220" w:type="dxa"/>
            <w:vAlign w:val="bottom"/>
            <w:vMerge w:val="restart"/>
          </w:tcPr>
          <w:p>
            <w:pPr>
              <w:ind w:left="120"/>
              <w:spacing w:after="0"/>
              <w:rPr>
                <w:sz w:val="20"/>
                <w:szCs w:val="20"/>
                <w:color w:val="auto"/>
              </w:rPr>
            </w:pPr>
            <w:r>
              <w:rPr>
                <w:rFonts w:ascii="Arial" w:cs="Arial" w:eastAsia="Arial" w:hAnsi="Arial"/>
                <w:sz w:val="14"/>
                <w:szCs w:val="14"/>
                <w:b w:val="1"/>
                <w:bCs w:val="1"/>
                <w:color w:val="1414D2"/>
                <w:w w:val="85"/>
              </w:rPr>
              <w:t>X</w:t>
            </w:r>
          </w:p>
        </w:tc>
        <w:tc>
          <w:tcPr>
            <w:tcW w:w="100" w:type="dxa"/>
            <w:vAlign w:val="bottom"/>
          </w:tcPr>
          <w:p>
            <w:pPr>
              <w:spacing w:after="0"/>
              <w:rPr>
                <w:sz w:val="23"/>
                <w:szCs w:val="23"/>
                <w:color w:val="auto"/>
              </w:rPr>
            </w:pPr>
          </w:p>
        </w:tc>
        <w:tc>
          <w:tcPr>
            <w:tcW w:w="1960" w:type="dxa"/>
            <w:vAlign w:val="bottom"/>
            <w:gridSpan w:val="3"/>
            <w:shd w:val="clear" w:color="auto" w:fill="1414D2"/>
          </w:tcPr>
          <w:p>
            <w:pPr>
              <w:ind w:left="100"/>
              <w:spacing w:after="0"/>
              <w:rPr>
                <w:sz w:val="20"/>
                <w:szCs w:val="20"/>
                <w:color w:val="auto"/>
              </w:rPr>
            </w:pPr>
            <w:r>
              <w:rPr>
                <w:rFonts w:ascii="Arial" w:cs="Arial" w:eastAsia="Arial" w:hAnsi="Arial"/>
                <w:sz w:val="14"/>
                <w:szCs w:val="14"/>
                <w:b w:val="1"/>
                <w:bCs w:val="1"/>
                <w:color w:val="FFFFFF"/>
              </w:rPr>
              <w:t>PERFORMANCE AGAINST</w:t>
            </w:r>
          </w:p>
        </w:tc>
        <w:tc>
          <w:tcPr>
            <w:tcW w:w="240" w:type="dxa"/>
            <w:vAlign w:val="bottom"/>
            <w:shd w:val="clear" w:color="auto" w:fill="1414D2"/>
          </w:tcPr>
          <w:p>
            <w:pPr>
              <w:spacing w:after="0"/>
              <w:rPr>
                <w:sz w:val="23"/>
                <w:szCs w:val="23"/>
                <w:color w:val="auto"/>
              </w:rPr>
            </w:pPr>
          </w:p>
        </w:tc>
        <w:tc>
          <w:tcPr>
            <w:tcW w:w="280" w:type="dxa"/>
            <w:vAlign w:val="bottom"/>
            <w:vMerge w:val="restart"/>
          </w:tcPr>
          <w:p>
            <w:pPr>
              <w:jc w:val="right"/>
              <w:ind w:right="22"/>
              <w:spacing w:after="0"/>
              <w:rPr>
                <w:sz w:val="20"/>
                <w:szCs w:val="20"/>
                <w:color w:val="auto"/>
              </w:rPr>
            </w:pPr>
            <w:r>
              <w:rPr>
                <w:rFonts w:ascii="Arial" w:cs="Arial" w:eastAsia="Arial" w:hAnsi="Arial"/>
                <w:sz w:val="14"/>
                <w:szCs w:val="14"/>
                <w:b w:val="1"/>
                <w:bCs w:val="1"/>
                <w:color w:val="1414D2"/>
              </w:rPr>
              <w:t>=</w:t>
            </w:r>
          </w:p>
        </w:tc>
        <w:tc>
          <w:tcPr>
            <w:tcW w:w="2180" w:type="dxa"/>
            <w:vAlign w:val="bottom"/>
            <w:gridSpan w:val="3"/>
            <w:vMerge w:val="restart"/>
            <w:shd w:val="clear" w:color="auto" w:fill="1414D2"/>
          </w:tcPr>
          <w:p>
            <w:pPr>
              <w:ind w:left="100"/>
              <w:spacing w:after="0"/>
              <w:rPr>
                <w:sz w:val="20"/>
                <w:szCs w:val="20"/>
                <w:color w:val="auto"/>
              </w:rPr>
            </w:pPr>
            <w:r>
              <w:rPr>
                <w:rFonts w:ascii="Arial" w:cs="Arial" w:eastAsia="Arial" w:hAnsi="Arial"/>
                <w:sz w:val="14"/>
                <w:szCs w:val="14"/>
                <w:b w:val="1"/>
                <w:bCs w:val="1"/>
                <w:color w:val="FFFFFF"/>
              </w:rPr>
              <w:t>ACTUAL STI AWARD PAYOUT</w:t>
            </w:r>
          </w:p>
        </w:tc>
        <w:tc>
          <w:tcPr>
            <w:tcW w:w="0" w:type="dxa"/>
            <w:vAlign w:val="bottom"/>
          </w:tcPr>
          <w:p>
            <w:pPr>
              <w:spacing w:after="0"/>
              <w:rPr>
                <w:sz w:val="1"/>
                <w:szCs w:val="1"/>
                <w:color w:val="auto"/>
              </w:rPr>
            </w:pPr>
          </w:p>
        </w:tc>
      </w:tr>
      <w:tr>
        <w:trPr>
          <w:trHeight w:val="113"/>
        </w:trPr>
        <w:tc>
          <w:tcPr>
            <w:tcW w:w="2200" w:type="dxa"/>
            <w:vAlign w:val="bottom"/>
            <w:gridSpan w:val="2"/>
            <w:vMerge w:val="continue"/>
            <w:shd w:val="clear" w:color="auto" w:fill="1414D2"/>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vMerge w:val="continue"/>
          </w:tcPr>
          <w:p>
            <w:pPr>
              <w:spacing w:after="0"/>
              <w:rPr>
                <w:sz w:val="9"/>
                <w:szCs w:val="9"/>
                <w:color w:val="auto"/>
              </w:rPr>
            </w:pPr>
          </w:p>
        </w:tc>
        <w:tc>
          <w:tcPr>
            <w:tcW w:w="1620" w:type="dxa"/>
            <w:vAlign w:val="bottom"/>
            <w:gridSpan w:val="3"/>
            <w:vMerge w:val="restart"/>
            <w:shd w:val="clear" w:color="auto" w:fill="1414D2"/>
          </w:tcPr>
          <w:p>
            <w:pPr>
              <w:ind w:left="100"/>
              <w:spacing w:after="0"/>
              <w:rPr>
                <w:sz w:val="20"/>
                <w:szCs w:val="20"/>
                <w:color w:val="auto"/>
              </w:rPr>
            </w:pPr>
            <w:r>
              <w:rPr>
                <w:rFonts w:ascii="Arial" w:cs="Arial" w:eastAsia="Arial" w:hAnsi="Arial"/>
                <w:sz w:val="14"/>
                <w:szCs w:val="14"/>
                <w:b w:val="1"/>
                <w:bCs w:val="1"/>
                <w:color w:val="FFFFFF"/>
              </w:rPr>
              <w:t>OPPORTUNITY %</w:t>
            </w:r>
          </w:p>
        </w:tc>
        <w:tc>
          <w:tcPr>
            <w:tcW w:w="600" w:type="dxa"/>
            <w:vAlign w:val="bottom"/>
            <w:shd w:val="clear" w:color="auto" w:fill="1414D2"/>
          </w:tcPr>
          <w:p>
            <w:pPr>
              <w:spacing w:after="0"/>
              <w:rPr>
                <w:sz w:val="9"/>
                <w:szCs w:val="9"/>
                <w:color w:val="auto"/>
              </w:rPr>
            </w:pPr>
          </w:p>
        </w:tc>
        <w:tc>
          <w:tcPr>
            <w:tcW w:w="2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960" w:type="dxa"/>
            <w:vAlign w:val="bottom"/>
            <w:gridSpan w:val="3"/>
            <w:vMerge w:val="restart"/>
            <w:shd w:val="clear" w:color="auto" w:fill="1414D2"/>
          </w:tcPr>
          <w:p>
            <w:pPr>
              <w:ind w:left="100"/>
              <w:spacing w:after="0"/>
              <w:rPr>
                <w:sz w:val="20"/>
                <w:szCs w:val="20"/>
                <w:color w:val="auto"/>
              </w:rPr>
            </w:pPr>
            <w:r>
              <w:rPr>
                <w:rFonts w:ascii="Arial" w:cs="Arial" w:eastAsia="Arial" w:hAnsi="Arial"/>
                <w:sz w:val="14"/>
                <w:szCs w:val="14"/>
                <w:b w:val="1"/>
                <w:bCs w:val="1"/>
                <w:color w:val="FFFFFF"/>
              </w:rPr>
              <w:t>ANNUAL MEASURES</w:t>
            </w:r>
          </w:p>
        </w:tc>
        <w:tc>
          <w:tcPr>
            <w:tcW w:w="240" w:type="dxa"/>
            <w:vAlign w:val="bottom"/>
            <w:shd w:val="clear" w:color="auto" w:fill="1414D2"/>
          </w:tcPr>
          <w:p>
            <w:pPr>
              <w:spacing w:after="0"/>
              <w:rPr>
                <w:sz w:val="9"/>
                <w:szCs w:val="9"/>
                <w:color w:val="auto"/>
              </w:rPr>
            </w:pPr>
          </w:p>
        </w:tc>
        <w:tc>
          <w:tcPr>
            <w:tcW w:w="280" w:type="dxa"/>
            <w:vAlign w:val="bottom"/>
            <w:vMerge w:val="continue"/>
          </w:tcPr>
          <w:p>
            <w:pPr>
              <w:spacing w:after="0"/>
              <w:rPr>
                <w:sz w:val="9"/>
                <w:szCs w:val="9"/>
                <w:color w:val="auto"/>
              </w:rPr>
            </w:pPr>
          </w:p>
        </w:tc>
        <w:tc>
          <w:tcPr>
            <w:tcW w:w="2180" w:type="dxa"/>
            <w:vAlign w:val="bottom"/>
            <w:gridSpan w:val="3"/>
            <w:vMerge w:val="continue"/>
            <w:shd w:val="clear" w:color="auto" w:fill="1414D2"/>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1940" w:type="dxa"/>
            <w:vAlign w:val="bottom"/>
            <w:shd w:val="clear" w:color="auto" w:fill="1414D2"/>
          </w:tcPr>
          <w:p>
            <w:pPr>
              <w:spacing w:after="0"/>
              <w:rPr>
                <w:sz w:val="8"/>
                <w:szCs w:val="8"/>
                <w:color w:val="auto"/>
              </w:rPr>
            </w:pPr>
          </w:p>
        </w:tc>
        <w:tc>
          <w:tcPr>
            <w:tcW w:w="260" w:type="dxa"/>
            <w:vAlign w:val="bottom"/>
            <w:shd w:val="clear" w:color="auto" w:fill="1414D2"/>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20" w:type="dxa"/>
            <w:vAlign w:val="bottom"/>
            <w:gridSpan w:val="3"/>
            <w:vMerge w:val="continue"/>
            <w:shd w:val="clear" w:color="auto" w:fill="1414D2"/>
          </w:tcPr>
          <w:p>
            <w:pPr>
              <w:spacing w:after="0"/>
              <w:rPr>
                <w:sz w:val="8"/>
                <w:szCs w:val="8"/>
                <w:color w:val="auto"/>
              </w:rPr>
            </w:pPr>
          </w:p>
        </w:tc>
        <w:tc>
          <w:tcPr>
            <w:tcW w:w="600" w:type="dxa"/>
            <w:vAlign w:val="bottom"/>
            <w:shd w:val="clear" w:color="auto" w:fill="1414D2"/>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960" w:type="dxa"/>
            <w:vAlign w:val="bottom"/>
            <w:gridSpan w:val="3"/>
            <w:vMerge w:val="continue"/>
            <w:shd w:val="clear" w:color="auto" w:fill="1414D2"/>
          </w:tcPr>
          <w:p>
            <w:pPr>
              <w:spacing w:after="0"/>
              <w:rPr>
                <w:sz w:val="8"/>
                <w:szCs w:val="8"/>
                <w:color w:val="auto"/>
              </w:rPr>
            </w:pPr>
          </w:p>
        </w:tc>
        <w:tc>
          <w:tcPr>
            <w:tcW w:w="240" w:type="dxa"/>
            <w:vAlign w:val="bottom"/>
            <w:shd w:val="clear" w:color="auto" w:fill="1414D2"/>
          </w:tcPr>
          <w:p>
            <w:pPr>
              <w:spacing w:after="0"/>
              <w:rPr>
                <w:sz w:val="8"/>
                <w:szCs w:val="8"/>
                <w:color w:val="auto"/>
              </w:rPr>
            </w:pPr>
          </w:p>
        </w:tc>
        <w:tc>
          <w:tcPr>
            <w:tcW w:w="280" w:type="dxa"/>
            <w:vAlign w:val="bottom"/>
          </w:tcPr>
          <w:p>
            <w:pPr>
              <w:spacing w:after="0"/>
              <w:rPr>
                <w:sz w:val="8"/>
                <w:szCs w:val="8"/>
                <w:color w:val="auto"/>
              </w:rPr>
            </w:pPr>
          </w:p>
        </w:tc>
        <w:tc>
          <w:tcPr>
            <w:tcW w:w="940" w:type="dxa"/>
            <w:vAlign w:val="bottom"/>
            <w:shd w:val="clear" w:color="auto" w:fill="1414D2"/>
          </w:tcPr>
          <w:p>
            <w:pPr>
              <w:spacing w:after="0"/>
              <w:rPr>
                <w:sz w:val="8"/>
                <w:szCs w:val="8"/>
                <w:color w:val="auto"/>
              </w:rPr>
            </w:pPr>
          </w:p>
        </w:tc>
        <w:tc>
          <w:tcPr>
            <w:tcW w:w="220" w:type="dxa"/>
            <w:vAlign w:val="bottom"/>
            <w:shd w:val="clear" w:color="auto" w:fill="1414D2"/>
          </w:tcPr>
          <w:p>
            <w:pPr>
              <w:spacing w:after="0"/>
              <w:rPr>
                <w:sz w:val="8"/>
                <w:szCs w:val="8"/>
                <w:color w:val="auto"/>
              </w:rPr>
            </w:pPr>
          </w:p>
        </w:tc>
        <w:tc>
          <w:tcPr>
            <w:tcW w:w="1020" w:type="dxa"/>
            <w:vAlign w:val="bottom"/>
            <w:shd w:val="clear" w:color="auto" w:fill="1414D2"/>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940" w:type="dxa"/>
            <w:vAlign w:val="bottom"/>
            <w:shd w:val="clear" w:color="auto" w:fill="1414D2"/>
          </w:tcPr>
          <w:p>
            <w:pPr>
              <w:spacing w:after="0"/>
              <w:rPr>
                <w:sz w:val="7"/>
                <w:szCs w:val="7"/>
                <w:color w:val="auto"/>
              </w:rPr>
            </w:pPr>
          </w:p>
        </w:tc>
        <w:tc>
          <w:tcPr>
            <w:tcW w:w="260" w:type="dxa"/>
            <w:vAlign w:val="bottom"/>
            <w:shd w:val="clear" w:color="auto" w:fill="1414D2"/>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60" w:type="dxa"/>
            <w:vAlign w:val="bottom"/>
            <w:shd w:val="clear" w:color="auto" w:fill="1414D2"/>
          </w:tcPr>
          <w:p>
            <w:pPr>
              <w:spacing w:after="0"/>
              <w:rPr>
                <w:sz w:val="7"/>
                <w:szCs w:val="7"/>
                <w:color w:val="auto"/>
              </w:rPr>
            </w:pPr>
          </w:p>
        </w:tc>
        <w:tc>
          <w:tcPr>
            <w:tcW w:w="260" w:type="dxa"/>
            <w:vAlign w:val="bottom"/>
            <w:shd w:val="clear" w:color="auto" w:fill="1414D2"/>
          </w:tcPr>
          <w:p>
            <w:pPr>
              <w:spacing w:after="0"/>
              <w:rPr>
                <w:sz w:val="7"/>
                <w:szCs w:val="7"/>
                <w:color w:val="auto"/>
              </w:rPr>
            </w:pPr>
          </w:p>
        </w:tc>
        <w:tc>
          <w:tcPr>
            <w:tcW w:w="200" w:type="dxa"/>
            <w:vAlign w:val="bottom"/>
            <w:shd w:val="clear" w:color="auto" w:fill="1414D2"/>
          </w:tcPr>
          <w:p>
            <w:pPr>
              <w:spacing w:after="0"/>
              <w:rPr>
                <w:sz w:val="7"/>
                <w:szCs w:val="7"/>
                <w:color w:val="auto"/>
              </w:rPr>
            </w:pPr>
          </w:p>
        </w:tc>
        <w:tc>
          <w:tcPr>
            <w:tcW w:w="600" w:type="dxa"/>
            <w:vAlign w:val="bottom"/>
            <w:shd w:val="clear" w:color="auto" w:fill="1414D2"/>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960" w:type="dxa"/>
            <w:vAlign w:val="bottom"/>
            <w:gridSpan w:val="3"/>
            <w:shd w:val="clear" w:color="auto" w:fill="1414D2"/>
          </w:tcPr>
          <w:p>
            <w:pPr>
              <w:spacing w:after="0"/>
              <w:rPr>
                <w:sz w:val="7"/>
                <w:szCs w:val="7"/>
                <w:color w:val="auto"/>
              </w:rPr>
            </w:pPr>
          </w:p>
        </w:tc>
        <w:tc>
          <w:tcPr>
            <w:tcW w:w="240" w:type="dxa"/>
            <w:vAlign w:val="bottom"/>
            <w:shd w:val="clear" w:color="auto" w:fill="1414D2"/>
          </w:tcPr>
          <w:p>
            <w:pPr>
              <w:spacing w:after="0"/>
              <w:rPr>
                <w:sz w:val="7"/>
                <w:szCs w:val="7"/>
                <w:color w:val="auto"/>
              </w:rPr>
            </w:pPr>
          </w:p>
        </w:tc>
        <w:tc>
          <w:tcPr>
            <w:tcW w:w="280" w:type="dxa"/>
            <w:vAlign w:val="bottom"/>
          </w:tcPr>
          <w:p>
            <w:pPr>
              <w:spacing w:after="0"/>
              <w:rPr>
                <w:sz w:val="7"/>
                <w:szCs w:val="7"/>
                <w:color w:val="auto"/>
              </w:rPr>
            </w:pPr>
          </w:p>
        </w:tc>
        <w:tc>
          <w:tcPr>
            <w:tcW w:w="940" w:type="dxa"/>
            <w:vAlign w:val="bottom"/>
            <w:shd w:val="clear" w:color="auto" w:fill="1414D2"/>
          </w:tcPr>
          <w:p>
            <w:pPr>
              <w:spacing w:after="0"/>
              <w:rPr>
                <w:sz w:val="7"/>
                <w:szCs w:val="7"/>
                <w:color w:val="auto"/>
              </w:rPr>
            </w:pPr>
          </w:p>
        </w:tc>
        <w:tc>
          <w:tcPr>
            <w:tcW w:w="220" w:type="dxa"/>
            <w:vAlign w:val="bottom"/>
            <w:shd w:val="clear" w:color="auto" w:fill="1414D2"/>
          </w:tcPr>
          <w:p>
            <w:pPr>
              <w:spacing w:after="0"/>
              <w:rPr>
                <w:sz w:val="7"/>
                <w:szCs w:val="7"/>
                <w:color w:val="auto"/>
              </w:rPr>
            </w:pPr>
          </w:p>
        </w:tc>
        <w:tc>
          <w:tcPr>
            <w:tcW w:w="1020" w:type="dxa"/>
            <w:vAlign w:val="bottom"/>
            <w:shd w:val="clear" w:color="auto" w:fill="1414D2"/>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1940" w:type="dxa"/>
            <w:vAlign w:val="bottom"/>
            <w:tcBorders>
              <w:bottom w:val="single" w:sz="8" w:color="1414D2"/>
            </w:tcBorders>
          </w:tcPr>
          <w:p>
            <w:pPr>
              <w:spacing w:after="0"/>
              <w:rPr>
                <w:sz w:val="14"/>
                <w:szCs w:val="14"/>
                <w:color w:val="auto"/>
              </w:rPr>
            </w:pPr>
          </w:p>
        </w:tc>
        <w:tc>
          <w:tcPr>
            <w:tcW w:w="260" w:type="dxa"/>
            <w:vAlign w:val="bottom"/>
            <w:tcBorders>
              <w:bottom w:val="single" w:sz="8" w:color="1414D2"/>
            </w:tcBorders>
          </w:tcPr>
          <w:p>
            <w:pPr>
              <w:spacing w:after="0"/>
              <w:rPr>
                <w:sz w:val="14"/>
                <w:szCs w:val="14"/>
                <w:color w:val="auto"/>
              </w:rPr>
            </w:pPr>
          </w:p>
        </w:tc>
        <w:tc>
          <w:tcPr>
            <w:tcW w:w="100" w:type="dxa"/>
            <w:vAlign w:val="bottom"/>
            <w:tcBorders>
              <w:bottom w:val="single" w:sz="8" w:color="1414D2"/>
            </w:tcBorders>
          </w:tcPr>
          <w:p>
            <w:pPr>
              <w:spacing w:after="0"/>
              <w:rPr>
                <w:sz w:val="14"/>
                <w:szCs w:val="14"/>
                <w:color w:val="auto"/>
              </w:rPr>
            </w:pPr>
          </w:p>
        </w:tc>
        <w:tc>
          <w:tcPr>
            <w:tcW w:w="220" w:type="dxa"/>
            <w:vAlign w:val="bottom"/>
            <w:tcBorders>
              <w:bottom w:val="single" w:sz="8" w:color="1414D2"/>
            </w:tcBorders>
          </w:tcPr>
          <w:p>
            <w:pPr>
              <w:spacing w:after="0"/>
              <w:rPr>
                <w:sz w:val="14"/>
                <w:szCs w:val="14"/>
                <w:color w:val="auto"/>
              </w:rPr>
            </w:pPr>
          </w:p>
        </w:tc>
        <w:tc>
          <w:tcPr>
            <w:tcW w:w="1160" w:type="dxa"/>
            <w:vAlign w:val="bottom"/>
            <w:tcBorders>
              <w:bottom w:val="single" w:sz="8" w:color="1414D2"/>
            </w:tcBorders>
          </w:tcPr>
          <w:p>
            <w:pPr>
              <w:spacing w:after="0"/>
              <w:rPr>
                <w:sz w:val="14"/>
                <w:szCs w:val="14"/>
                <w:color w:val="auto"/>
              </w:rPr>
            </w:pPr>
          </w:p>
        </w:tc>
        <w:tc>
          <w:tcPr>
            <w:tcW w:w="260" w:type="dxa"/>
            <w:vAlign w:val="bottom"/>
            <w:tcBorders>
              <w:bottom w:val="single" w:sz="8" w:color="1414D2"/>
            </w:tcBorders>
          </w:tcPr>
          <w:p>
            <w:pPr>
              <w:spacing w:after="0"/>
              <w:rPr>
                <w:sz w:val="14"/>
                <w:szCs w:val="14"/>
                <w:color w:val="auto"/>
              </w:rPr>
            </w:pPr>
          </w:p>
        </w:tc>
        <w:tc>
          <w:tcPr>
            <w:tcW w:w="200" w:type="dxa"/>
            <w:vAlign w:val="bottom"/>
            <w:tcBorders>
              <w:bottom w:val="single" w:sz="8" w:color="1414D2"/>
            </w:tcBorders>
          </w:tcPr>
          <w:p>
            <w:pPr>
              <w:spacing w:after="0"/>
              <w:rPr>
                <w:sz w:val="14"/>
                <w:szCs w:val="14"/>
                <w:color w:val="auto"/>
              </w:rPr>
            </w:pPr>
          </w:p>
        </w:tc>
        <w:tc>
          <w:tcPr>
            <w:tcW w:w="600" w:type="dxa"/>
            <w:vAlign w:val="bottom"/>
            <w:tcBorders>
              <w:bottom w:val="single" w:sz="8" w:color="1414D2"/>
            </w:tcBorders>
          </w:tcPr>
          <w:p>
            <w:pPr>
              <w:spacing w:after="0"/>
              <w:rPr>
                <w:sz w:val="14"/>
                <w:szCs w:val="14"/>
                <w:color w:val="auto"/>
              </w:rPr>
            </w:pPr>
          </w:p>
        </w:tc>
        <w:tc>
          <w:tcPr>
            <w:tcW w:w="220" w:type="dxa"/>
            <w:vAlign w:val="bottom"/>
            <w:tcBorders>
              <w:bottom w:val="single" w:sz="8" w:color="1414D2"/>
            </w:tcBorders>
          </w:tcPr>
          <w:p>
            <w:pPr>
              <w:spacing w:after="0"/>
              <w:rPr>
                <w:sz w:val="14"/>
                <w:szCs w:val="14"/>
                <w:color w:val="auto"/>
              </w:rPr>
            </w:pPr>
          </w:p>
        </w:tc>
        <w:tc>
          <w:tcPr>
            <w:tcW w:w="100" w:type="dxa"/>
            <w:vAlign w:val="bottom"/>
            <w:tcBorders>
              <w:bottom w:val="single" w:sz="8" w:color="1414D2"/>
            </w:tcBorders>
          </w:tcPr>
          <w:p>
            <w:pPr>
              <w:spacing w:after="0"/>
              <w:rPr>
                <w:sz w:val="14"/>
                <w:szCs w:val="14"/>
                <w:color w:val="auto"/>
              </w:rPr>
            </w:pPr>
          </w:p>
        </w:tc>
        <w:tc>
          <w:tcPr>
            <w:tcW w:w="1960" w:type="dxa"/>
            <w:vAlign w:val="bottom"/>
            <w:tcBorders>
              <w:bottom w:val="single" w:sz="8" w:color="1414D2"/>
            </w:tcBorders>
            <w:gridSpan w:val="3"/>
          </w:tcPr>
          <w:p>
            <w:pPr>
              <w:spacing w:after="0"/>
              <w:rPr>
                <w:sz w:val="14"/>
                <w:szCs w:val="14"/>
                <w:color w:val="auto"/>
              </w:rPr>
            </w:pPr>
          </w:p>
        </w:tc>
        <w:tc>
          <w:tcPr>
            <w:tcW w:w="240" w:type="dxa"/>
            <w:vAlign w:val="bottom"/>
            <w:tcBorders>
              <w:bottom w:val="single" w:sz="8" w:color="1414D2"/>
            </w:tcBorders>
          </w:tcPr>
          <w:p>
            <w:pPr>
              <w:spacing w:after="0"/>
              <w:rPr>
                <w:sz w:val="14"/>
                <w:szCs w:val="14"/>
                <w:color w:val="auto"/>
              </w:rPr>
            </w:pPr>
          </w:p>
        </w:tc>
        <w:tc>
          <w:tcPr>
            <w:tcW w:w="280" w:type="dxa"/>
            <w:vAlign w:val="bottom"/>
            <w:tcBorders>
              <w:bottom w:val="single" w:sz="8" w:color="1414D2"/>
            </w:tcBorders>
          </w:tcPr>
          <w:p>
            <w:pPr>
              <w:spacing w:after="0"/>
              <w:rPr>
                <w:sz w:val="14"/>
                <w:szCs w:val="14"/>
                <w:color w:val="auto"/>
              </w:rPr>
            </w:pPr>
          </w:p>
        </w:tc>
        <w:tc>
          <w:tcPr>
            <w:tcW w:w="940" w:type="dxa"/>
            <w:vAlign w:val="bottom"/>
            <w:tcBorders>
              <w:bottom w:val="single" w:sz="8" w:color="1414D2"/>
            </w:tcBorders>
          </w:tcPr>
          <w:p>
            <w:pPr>
              <w:spacing w:after="0"/>
              <w:rPr>
                <w:sz w:val="14"/>
                <w:szCs w:val="14"/>
                <w:color w:val="auto"/>
              </w:rPr>
            </w:pPr>
          </w:p>
        </w:tc>
        <w:tc>
          <w:tcPr>
            <w:tcW w:w="220" w:type="dxa"/>
            <w:vAlign w:val="bottom"/>
            <w:tcBorders>
              <w:bottom w:val="single" w:sz="8" w:color="1414D2"/>
            </w:tcBorders>
          </w:tcPr>
          <w:p>
            <w:pPr>
              <w:spacing w:after="0"/>
              <w:rPr>
                <w:sz w:val="14"/>
                <w:szCs w:val="14"/>
                <w:color w:val="auto"/>
              </w:rPr>
            </w:pPr>
          </w:p>
        </w:tc>
        <w:tc>
          <w:tcPr>
            <w:tcW w:w="1020" w:type="dxa"/>
            <w:vAlign w:val="bottom"/>
            <w:tcBorders>
              <w:bottom w:val="single" w:sz="8" w:color="1414D2"/>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940" w:type="dxa"/>
            <w:vAlign w:val="bottom"/>
            <w:shd w:val="clear" w:color="auto" w:fill="F2F2F2"/>
          </w:tcPr>
          <w:p>
            <w:pPr>
              <w:spacing w:after="0"/>
              <w:rPr>
                <w:sz w:val="15"/>
                <w:szCs w:val="15"/>
                <w:color w:val="auto"/>
              </w:rPr>
            </w:pPr>
          </w:p>
        </w:tc>
        <w:tc>
          <w:tcPr>
            <w:tcW w:w="260" w:type="dxa"/>
            <w:vAlign w:val="bottom"/>
            <w:shd w:val="clear" w:color="auto" w:fill="F2F2F2"/>
          </w:tcPr>
          <w:p>
            <w:pPr>
              <w:ind w:left="12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F2F2F2"/>
          </w:tcPr>
          <w:p>
            <w:pPr>
              <w:spacing w:after="0"/>
              <w:rPr>
                <w:sz w:val="15"/>
                <w:szCs w:val="15"/>
                <w:color w:val="auto"/>
              </w:rPr>
            </w:pPr>
          </w:p>
        </w:tc>
        <w:tc>
          <w:tcPr>
            <w:tcW w:w="220" w:type="dxa"/>
            <w:vAlign w:val="bottom"/>
            <w:shd w:val="clear" w:color="auto" w:fill="F2F2F2"/>
          </w:tcPr>
          <w:p>
            <w:pPr>
              <w:spacing w:after="0"/>
              <w:rPr>
                <w:sz w:val="15"/>
                <w:szCs w:val="15"/>
                <w:color w:val="auto"/>
              </w:rPr>
            </w:pPr>
          </w:p>
        </w:tc>
        <w:tc>
          <w:tcPr>
            <w:tcW w:w="1160" w:type="dxa"/>
            <w:vAlign w:val="bottom"/>
            <w:shd w:val="clear" w:color="auto" w:fill="F2F2F2"/>
          </w:tcPr>
          <w:p>
            <w:pPr>
              <w:spacing w:after="0"/>
              <w:rPr>
                <w:sz w:val="15"/>
                <w:szCs w:val="15"/>
                <w:color w:val="auto"/>
              </w:rPr>
            </w:pPr>
          </w:p>
        </w:tc>
        <w:tc>
          <w:tcPr>
            <w:tcW w:w="460" w:type="dxa"/>
            <w:vAlign w:val="bottom"/>
            <w:gridSpan w:val="2"/>
            <w:shd w:val="clear" w:color="auto" w:fill="F2F2F2"/>
          </w:tcPr>
          <w:p>
            <w:pPr>
              <w:ind w:left="140"/>
              <w:spacing w:after="0"/>
              <w:rPr>
                <w:sz w:val="20"/>
                <w:szCs w:val="20"/>
                <w:color w:val="auto"/>
              </w:rPr>
            </w:pPr>
            <w:r>
              <w:rPr>
                <w:rFonts w:ascii="Arial" w:cs="Arial" w:eastAsia="Arial" w:hAnsi="Arial"/>
                <w:sz w:val="14"/>
                <w:szCs w:val="14"/>
                <w:color w:val="auto"/>
              </w:rPr>
              <w:t>​​​</w:t>
            </w:r>
          </w:p>
        </w:tc>
        <w:tc>
          <w:tcPr>
            <w:tcW w:w="600" w:type="dxa"/>
            <w:vAlign w:val="bottom"/>
            <w:shd w:val="clear" w:color="auto" w:fill="F2F2F2"/>
          </w:tcPr>
          <w:p>
            <w:pPr>
              <w:spacing w:after="0"/>
              <w:rPr>
                <w:sz w:val="15"/>
                <w:szCs w:val="15"/>
                <w:color w:val="auto"/>
              </w:rPr>
            </w:pPr>
          </w:p>
        </w:tc>
        <w:tc>
          <w:tcPr>
            <w:tcW w:w="220" w:type="dxa"/>
            <w:vAlign w:val="bottom"/>
            <w:shd w:val="clear" w:color="auto" w:fill="F2F2F2"/>
          </w:tcPr>
          <w:p>
            <w:pPr>
              <w:spacing w:after="0"/>
              <w:rPr>
                <w:sz w:val="15"/>
                <w:szCs w:val="15"/>
                <w:color w:val="auto"/>
              </w:rPr>
            </w:pPr>
          </w:p>
        </w:tc>
        <w:tc>
          <w:tcPr>
            <w:tcW w:w="100" w:type="dxa"/>
            <w:vAlign w:val="bottom"/>
            <w:shd w:val="clear" w:color="auto" w:fill="F2F2F2"/>
          </w:tcPr>
          <w:p>
            <w:pPr>
              <w:spacing w:after="0"/>
              <w:rPr>
                <w:sz w:val="15"/>
                <w:szCs w:val="15"/>
                <w:color w:val="auto"/>
              </w:rPr>
            </w:pPr>
          </w:p>
        </w:tc>
        <w:tc>
          <w:tcPr>
            <w:tcW w:w="1960" w:type="dxa"/>
            <w:vAlign w:val="bottom"/>
            <w:gridSpan w:val="3"/>
            <w:shd w:val="clear" w:color="auto" w:fill="F2F2F2"/>
          </w:tcPr>
          <w:p>
            <w:pPr>
              <w:ind w:left="120"/>
              <w:spacing w:after="0"/>
              <w:rPr>
                <w:sz w:val="20"/>
                <w:szCs w:val="20"/>
                <w:color w:val="auto"/>
              </w:rPr>
            </w:pPr>
            <w:r>
              <w:rPr>
                <w:rFonts w:ascii="Arial" w:cs="Arial" w:eastAsia="Arial" w:hAnsi="Arial"/>
                <w:sz w:val="14"/>
                <w:szCs w:val="14"/>
                <w:b w:val="1"/>
                <w:bCs w:val="1"/>
                <w:color w:val="auto"/>
              </w:rPr>
              <w:t>2025 STI</w:t>
            </w:r>
          </w:p>
        </w:tc>
        <w:tc>
          <w:tcPr>
            <w:tcW w:w="240" w:type="dxa"/>
            <w:vAlign w:val="bottom"/>
            <w:vMerge w:val="restart"/>
            <w:shd w:val="clear" w:color="auto" w:fill="F2F2F2"/>
          </w:tcPr>
          <w:p>
            <w:pPr>
              <w:ind w:left="12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F2F2F2"/>
          </w:tcPr>
          <w:p>
            <w:pPr>
              <w:spacing w:after="0"/>
              <w:rPr>
                <w:sz w:val="15"/>
                <w:szCs w:val="15"/>
                <w:color w:val="auto"/>
              </w:rPr>
            </w:pPr>
          </w:p>
        </w:tc>
        <w:tc>
          <w:tcPr>
            <w:tcW w:w="940" w:type="dxa"/>
            <w:vAlign w:val="bottom"/>
            <w:vMerge w:val="restart"/>
            <w:shd w:val="clear" w:color="auto" w:fill="F2F2F2"/>
          </w:tcPr>
          <w:p>
            <w:pPr>
              <w:jc w:val="right"/>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F2F2F2"/>
          </w:tcPr>
          <w:p>
            <w:pPr>
              <w:spacing w:after="0"/>
              <w:rPr>
                <w:sz w:val="15"/>
                <w:szCs w:val="15"/>
                <w:color w:val="auto"/>
              </w:rPr>
            </w:pPr>
          </w:p>
        </w:tc>
        <w:tc>
          <w:tcPr>
            <w:tcW w:w="1020" w:type="dxa"/>
            <w:vAlign w:val="bottom"/>
            <w:shd w:val="clear" w:color="auto" w:fill="F2F2F2"/>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1940" w:type="dxa"/>
            <w:vAlign w:val="bottom"/>
            <w:tcBorders>
              <w:top w:val="single" w:sz="8" w:color="F2F2F2"/>
            </w:tcBorders>
            <w:shd w:val="clear" w:color="auto" w:fill="F2F2F2"/>
          </w:tcPr>
          <w:p>
            <w:pPr>
              <w:spacing w:after="0"/>
              <w:rPr>
                <w:sz w:val="13"/>
                <w:szCs w:val="13"/>
                <w:color w:val="auto"/>
              </w:rPr>
            </w:pPr>
          </w:p>
        </w:tc>
        <w:tc>
          <w:tcPr>
            <w:tcW w:w="260" w:type="dxa"/>
            <w:vAlign w:val="bottom"/>
            <w:tcBorders>
              <w:top w:val="single" w:sz="8" w:color="F2F2F2"/>
            </w:tcBorders>
            <w:shd w:val="clear" w:color="auto" w:fill="F2F2F2"/>
          </w:tcPr>
          <w:p>
            <w:pPr>
              <w:spacing w:after="0"/>
              <w:rPr>
                <w:sz w:val="13"/>
                <w:szCs w:val="13"/>
                <w:color w:val="auto"/>
              </w:rPr>
            </w:pPr>
          </w:p>
        </w:tc>
        <w:tc>
          <w:tcPr>
            <w:tcW w:w="100" w:type="dxa"/>
            <w:vAlign w:val="bottom"/>
            <w:tcBorders>
              <w:top w:val="single" w:sz="8" w:color="F2F2F2"/>
            </w:tcBorders>
            <w:shd w:val="clear" w:color="auto" w:fill="F2F2F2"/>
          </w:tcPr>
          <w:p>
            <w:pPr>
              <w:spacing w:after="0"/>
              <w:rPr>
                <w:sz w:val="13"/>
                <w:szCs w:val="13"/>
                <w:color w:val="auto"/>
              </w:rPr>
            </w:pPr>
          </w:p>
        </w:tc>
        <w:tc>
          <w:tcPr>
            <w:tcW w:w="220" w:type="dxa"/>
            <w:vAlign w:val="bottom"/>
            <w:tcBorders>
              <w:top w:val="single" w:sz="8" w:color="F2F2F2"/>
            </w:tcBorders>
            <w:shd w:val="clear" w:color="auto" w:fill="F2F2F2"/>
          </w:tcPr>
          <w:p>
            <w:pPr>
              <w:spacing w:after="0"/>
              <w:rPr>
                <w:sz w:val="13"/>
                <w:szCs w:val="13"/>
                <w:color w:val="auto"/>
              </w:rPr>
            </w:pPr>
          </w:p>
        </w:tc>
        <w:tc>
          <w:tcPr>
            <w:tcW w:w="1160" w:type="dxa"/>
            <w:vAlign w:val="bottom"/>
            <w:tcBorders>
              <w:top w:val="single" w:sz="8" w:color="F2F2F2"/>
            </w:tcBorders>
            <w:shd w:val="clear" w:color="auto" w:fill="F2F2F2"/>
          </w:tcPr>
          <w:p>
            <w:pPr>
              <w:spacing w:after="0"/>
              <w:rPr>
                <w:sz w:val="13"/>
                <w:szCs w:val="13"/>
                <w:color w:val="auto"/>
              </w:rPr>
            </w:pPr>
          </w:p>
        </w:tc>
        <w:tc>
          <w:tcPr>
            <w:tcW w:w="260" w:type="dxa"/>
            <w:vAlign w:val="bottom"/>
            <w:tcBorders>
              <w:top w:val="single" w:sz="8" w:color="F2F2F2"/>
            </w:tcBorders>
            <w:shd w:val="clear" w:color="auto" w:fill="F2F2F2"/>
          </w:tcPr>
          <w:p>
            <w:pPr>
              <w:spacing w:after="0"/>
              <w:rPr>
                <w:sz w:val="13"/>
                <w:szCs w:val="13"/>
                <w:color w:val="auto"/>
              </w:rPr>
            </w:pPr>
          </w:p>
        </w:tc>
        <w:tc>
          <w:tcPr>
            <w:tcW w:w="200" w:type="dxa"/>
            <w:vAlign w:val="bottom"/>
            <w:tcBorders>
              <w:top w:val="single" w:sz="8" w:color="1414D2"/>
            </w:tcBorders>
            <w:shd w:val="clear" w:color="auto" w:fill="F2F2F2"/>
          </w:tcPr>
          <w:p>
            <w:pPr>
              <w:spacing w:after="0"/>
              <w:rPr>
                <w:sz w:val="13"/>
                <w:szCs w:val="13"/>
                <w:color w:val="auto"/>
              </w:rPr>
            </w:pPr>
          </w:p>
        </w:tc>
        <w:tc>
          <w:tcPr>
            <w:tcW w:w="820" w:type="dxa"/>
            <w:vAlign w:val="bottom"/>
            <w:tcBorders>
              <w:top w:val="single" w:sz="8" w:color="1414D2"/>
            </w:tcBorders>
            <w:gridSpan w:val="2"/>
            <w:shd w:val="clear" w:color="auto" w:fill="F2F2F2"/>
          </w:tcPr>
          <w:p>
            <w:pPr>
              <w:jc w:val="center"/>
              <w:ind w:left="48"/>
              <w:spacing w:after="0" w:line="157" w:lineRule="exact"/>
              <w:rPr>
                <w:sz w:val="20"/>
                <w:szCs w:val="20"/>
                <w:color w:val="auto"/>
              </w:rPr>
            </w:pPr>
            <w:r>
              <w:rPr>
                <w:rFonts w:ascii="Arial" w:cs="Arial" w:eastAsia="Arial" w:hAnsi="Arial"/>
                <w:sz w:val="14"/>
                <w:szCs w:val="14"/>
                <w:b w:val="1"/>
                <w:bCs w:val="1"/>
                <w:color w:val="auto"/>
              </w:rPr>
              <w:t>2025 STI</w:t>
            </w:r>
          </w:p>
        </w:tc>
        <w:tc>
          <w:tcPr>
            <w:tcW w:w="100" w:type="dxa"/>
            <w:vAlign w:val="bottom"/>
            <w:tcBorders>
              <w:top w:val="single" w:sz="8" w:color="1414D2"/>
            </w:tcBorders>
            <w:shd w:val="clear" w:color="auto" w:fill="F2F2F2"/>
          </w:tcPr>
          <w:p>
            <w:pPr>
              <w:spacing w:after="0"/>
              <w:rPr>
                <w:sz w:val="13"/>
                <w:szCs w:val="13"/>
                <w:color w:val="auto"/>
              </w:rPr>
            </w:pPr>
          </w:p>
        </w:tc>
        <w:tc>
          <w:tcPr>
            <w:tcW w:w="460" w:type="dxa"/>
            <w:vAlign w:val="bottom"/>
            <w:tcBorders>
              <w:top w:val="single" w:sz="8" w:color="1414D2"/>
            </w:tcBorders>
            <w:shd w:val="clear" w:color="auto" w:fill="F2F2F2"/>
          </w:tcPr>
          <w:p>
            <w:pPr>
              <w:jc w:val="right"/>
              <w:spacing w:after="0" w:line="157"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1414D2"/>
            </w:tcBorders>
            <w:shd w:val="clear" w:color="auto" w:fill="F2F2F2"/>
          </w:tcPr>
          <w:p>
            <w:pPr>
              <w:spacing w:after="0"/>
              <w:rPr>
                <w:sz w:val="13"/>
                <w:szCs w:val="13"/>
                <w:color w:val="auto"/>
              </w:rPr>
            </w:pPr>
          </w:p>
        </w:tc>
        <w:tc>
          <w:tcPr>
            <w:tcW w:w="1340" w:type="dxa"/>
            <w:vAlign w:val="bottom"/>
            <w:tcBorders>
              <w:top w:val="single" w:sz="8" w:color="1414D2"/>
            </w:tcBorders>
            <w:shd w:val="clear" w:color="auto" w:fill="F2F2F2"/>
          </w:tcPr>
          <w:p>
            <w:pPr>
              <w:spacing w:after="0"/>
              <w:rPr>
                <w:sz w:val="13"/>
                <w:szCs w:val="13"/>
                <w:color w:val="auto"/>
              </w:rPr>
            </w:pPr>
          </w:p>
        </w:tc>
        <w:tc>
          <w:tcPr>
            <w:tcW w:w="240" w:type="dxa"/>
            <w:vAlign w:val="bottom"/>
            <w:tcBorders>
              <w:top w:val="single" w:sz="8" w:color="F2F2F2"/>
            </w:tcBorders>
            <w:vMerge w:val="continue"/>
            <w:shd w:val="clear" w:color="auto" w:fill="F2F2F2"/>
          </w:tcPr>
          <w:p>
            <w:pPr>
              <w:spacing w:after="0"/>
              <w:rPr>
                <w:sz w:val="13"/>
                <w:szCs w:val="13"/>
                <w:color w:val="auto"/>
              </w:rPr>
            </w:pPr>
          </w:p>
        </w:tc>
        <w:tc>
          <w:tcPr>
            <w:tcW w:w="280" w:type="dxa"/>
            <w:vAlign w:val="bottom"/>
            <w:tcBorders>
              <w:top w:val="single" w:sz="8" w:color="F2F2F2"/>
            </w:tcBorders>
            <w:shd w:val="clear" w:color="auto" w:fill="F2F2F2"/>
          </w:tcPr>
          <w:p>
            <w:pPr>
              <w:spacing w:after="0"/>
              <w:rPr>
                <w:sz w:val="13"/>
                <w:szCs w:val="13"/>
                <w:color w:val="auto"/>
              </w:rPr>
            </w:pPr>
          </w:p>
        </w:tc>
        <w:tc>
          <w:tcPr>
            <w:tcW w:w="940" w:type="dxa"/>
            <w:vAlign w:val="bottom"/>
            <w:tcBorders>
              <w:top w:val="single" w:sz="8" w:color="F2F2F2"/>
            </w:tcBorders>
            <w:vMerge w:val="continue"/>
            <w:shd w:val="clear" w:color="auto" w:fill="F2F2F2"/>
          </w:tcPr>
          <w:p>
            <w:pPr>
              <w:spacing w:after="0"/>
              <w:rPr>
                <w:sz w:val="13"/>
                <w:szCs w:val="13"/>
                <w:color w:val="auto"/>
              </w:rPr>
            </w:pPr>
          </w:p>
        </w:tc>
        <w:tc>
          <w:tcPr>
            <w:tcW w:w="220" w:type="dxa"/>
            <w:vAlign w:val="bottom"/>
            <w:tcBorders>
              <w:top w:val="single" w:sz="8" w:color="F2F2F2"/>
            </w:tcBorders>
            <w:shd w:val="clear" w:color="auto" w:fill="F2F2F2"/>
          </w:tcPr>
          <w:p>
            <w:pPr>
              <w:spacing w:after="0"/>
              <w:rPr>
                <w:sz w:val="13"/>
                <w:szCs w:val="13"/>
                <w:color w:val="auto"/>
              </w:rPr>
            </w:pPr>
          </w:p>
        </w:tc>
        <w:tc>
          <w:tcPr>
            <w:tcW w:w="1020" w:type="dxa"/>
            <w:vAlign w:val="bottom"/>
            <w:tcBorders>
              <w:top w:val="single" w:sz="8" w:color="F2F2F2"/>
            </w:tcBorders>
            <w:shd w:val="clear" w:color="auto" w:fill="F2F2F2"/>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940" w:type="dxa"/>
            <w:vAlign w:val="bottom"/>
            <w:shd w:val="clear" w:color="auto" w:fill="F2F2F2"/>
          </w:tcPr>
          <w:p>
            <w:pPr>
              <w:spacing w:after="0"/>
              <w:rPr>
                <w:sz w:val="15"/>
                <w:szCs w:val="15"/>
                <w:color w:val="auto"/>
              </w:rPr>
            </w:pPr>
          </w:p>
        </w:tc>
        <w:tc>
          <w:tcPr>
            <w:tcW w:w="260" w:type="dxa"/>
            <w:vAlign w:val="bottom"/>
            <w:shd w:val="clear" w:color="auto" w:fill="F2F2F2"/>
          </w:tcPr>
          <w:p>
            <w:pPr>
              <w:spacing w:after="0"/>
              <w:rPr>
                <w:sz w:val="15"/>
                <w:szCs w:val="15"/>
                <w:color w:val="auto"/>
              </w:rPr>
            </w:pPr>
          </w:p>
        </w:tc>
        <w:tc>
          <w:tcPr>
            <w:tcW w:w="1480" w:type="dxa"/>
            <w:vAlign w:val="bottom"/>
            <w:gridSpan w:val="3"/>
            <w:shd w:val="clear" w:color="auto" w:fill="F2F2F2"/>
          </w:tcPr>
          <w:p>
            <w:pPr>
              <w:jc w:val="right"/>
              <w:spacing w:after="0"/>
              <w:rPr>
                <w:sz w:val="20"/>
                <w:szCs w:val="20"/>
                <w:color w:val="auto"/>
              </w:rPr>
            </w:pPr>
            <w:r>
              <w:rPr>
                <w:rFonts w:ascii="Arial" w:cs="Arial" w:eastAsia="Arial" w:hAnsi="Arial"/>
                <w:sz w:val="14"/>
                <w:szCs w:val="14"/>
                <w:b w:val="1"/>
                <w:bCs w:val="1"/>
                <w:color w:val="auto"/>
              </w:rPr>
              <w:t>Annual Base Salary</w:t>
            </w:r>
          </w:p>
        </w:tc>
        <w:tc>
          <w:tcPr>
            <w:tcW w:w="260" w:type="dxa"/>
            <w:vAlign w:val="bottom"/>
            <w:shd w:val="clear" w:color="auto" w:fill="F2F2F2"/>
          </w:tcPr>
          <w:p>
            <w:pPr>
              <w:spacing w:after="0"/>
              <w:rPr>
                <w:sz w:val="15"/>
                <w:szCs w:val="15"/>
                <w:color w:val="auto"/>
              </w:rPr>
            </w:pPr>
          </w:p>
        </w:tc>
        <w:tc>
          <w:tcPr>
            <w:tcW w:w="200" w:type="dxa"/>
            <w:vAlign w:val="bottom"/>
            <w:shd w:val="clear" w:color="auto" w:fill="F2F2F2"/>
          </w:tcPr>
          <w:p>
            <w:pPr>
              <w:spacing w:after="0"/>
              <w:rPr>
                <w:sz w:val="15"/>
                <w:szCs w:val="15"/>
                <w:color w:val="auto"/>
              </w:rPr>
            </w:pPr>
          </w:p>
        </w:tc>
        <w:tc>
          <w:tcPr>
            <w:tcW w:w="820" w:type="dxa"/>
            <w:vAlign w:val="bottom"/>
            <w:gridSpan w:val="2"/>
            <w:shd w:val="clear" w:color="auto" w:fill="F2F2F2"/>
          </w:tcPr>
          <w:p>
            <w:pPr>
              <w:jc w:val="center"/>
              <w:ind w:left="48"/>
              <w:spacing w:after="0"/>
              <w:rPr>
                <w:sz w:val="20"/>
                <w:szCs w:val="20"/>
                <w:color w:val="auto"/>
              </w:rPr>
            </w:pPr>
            <w:r>
              <w:rPr>
                <w:rFonts w:ascii="Arial" w:cs="Arial" w:eastAsia="Arial" w:hAnsi="Arial"/>
                <w:sz w:val="14"/>
                <w:szCs w:val="14"/>
                <w:b w:val="1"/>
                <w:bCs w:val="1"/>
                <w:color w:val="auto"/>
              </w:rPr>
              <w:t>Target</w:t>
            </w:r>
          </w:p>
        </w:tc>
        <w:tc>
          <w:tcPr>
            <w:tcW w:w="100" w:type="dxa"/>
            <w:vAlign w:val="bottom"/>
            <w:shd w:val="clear" w:color="auto" w:fill="F2F2F2"/>
          </w:tcPr>
          <w:p>
            <w:pPr>
              <w:spacing w:after="0"/>
              <w:rPr>
                <w:sz w:val="15"/>
                <w:szCs w:val="15"/>
                <w:color w:val="auto"/>
              </w:rPr>
            </w:pPr>
          </w:p>
        </w:tc>
        <w:tc>
          <w:tcPr>
            <w:tcW w:w="460" w:type="dxa"/>
            <w:vAlign w:val="bottom"/>
            <w:shd w:val="clear" w:color="auto" w:fill="F2F2F2"/>
          </w:tcPr>
          <w:p>
            <w:pPr>
              <w:spacing w:after="0"/>
              <w:rPr>
                <w:sz w:val="15"/>
                <w:szCs w:val="15"/>
                <w:color w:val="auto"/>
              </w:rPr>
            </w:pPr>
          </w:p>
        </w:tc>
        <w:tc>
          <w:tcPr>
            <w:tcW w:w="160" w:type="dxa"/>
            <w:vAlign w:val="bottom"/>
            <w:shd w:val="clear" w:color="auto" w:fill="F2F2F2"/>
          </w:tcPr>
          <w:p>
            <w:pPr>
              <w:spacing w:after="0"/>
              <w:rPr>
                <w:sz w:val="15"/>
                <w:szCs w:val="15"/>
                <w:color w:val="auto"/>
              </w:rPr>
            </w:pPr>
          </w:p>
        </w:tc>
        <w:tc>
          <w:tcPr>
            <w:tcW w:w="1340" w:type="dxa"/>
            <w:vAlign w:val="bottom"/>
            <w:shd w:val="clear" w:color="auto" w:fill="F2F2F2"/>
          </w:tcPr>
          <w:p>
            <w:pPr>
              <w:jc w:val="right"/>
              <w:ind w:right="122"/>
              <w:spacing w:after="0"/>
              <w:rPr>
                <w:sz w:val="20"/>
                <w:szCs w:val="20"/>
                <w:color w:val="auto"/>
              </w:rPr>
            </w:pPr>
            <w:r>
              <w:rPr>
                <w:rFonts w:ascii="Arial" w:cs="Arial" w:eastAsia="Arial" w:hAnsi="Arial"/>
                <w:sz w:val="14"/>
                <w:szCs w:val="14"/>
                <w:b w:val="1"/>
                <w:bCs w:val="1"/>
                <w:color w:val="auto"/>
              </w:rPr>
              <w:t>2025 STI Target</w:t>
            </w:r>
          </w:p>
        </w:tc>
        <w:tc>
          <w:tcPr>
            <w:tcW w:w="240" w:type="dxa"/>
            <w:vAlign w:val="bottom"/>
            <w:shd w:val="clear" w:color="auto" w:fill="F2F2F2"/>
          </w:tcPr>
          <w:p>
            <w:pPr>
              <w:spacing w:after="0"/>
              <w:rPr>
                <w:sz w:val="15"/>
                <w:szCs w:val="15"/>
                <w:color w:val="auto"/>
              </w:rPr>
            </w:pPr>
          </w:p>
        </w:tc>
        <w:tc>
          <w:tcPr>
            <w:tcW w:w="1220" w:type="dxa"/>
            <w:vAlign w:val="bottom"/>
            <w:gridSpan w:val="2"/>
            <w:shd w:val="clear" w:color="auto" w:fill="F2F2F2"/>
          </w:tcPr>
          <w:p>
            <w:pPr>
              <w:jc w:val="right"/>
              <w:ind w:right="288"/>
              <w:spacing w:after="0"/>
              <w:rPr>
                <w:sz w:val="20"/>
                <w:szCs w:val="20"/>
                <w:color w:val="auto"/>
              </w:rPr>
            </w:pPr>
            <w:r>
              <w:rPr>
                <w:rFonts w:ascii="Arial" w:cs="Arial" w:eastAsia="Arial" w:hAnsi="Arial"/>
                <w:sz w:val="14"/>
                <w:szCs w:val="14"/>
                <w:b w:val="1"/>
                <w:bCs w:val="1"/>
                <w:color w:val="auto"/>
              </w:rPr>
              <w:t>Formulaic</w:t>
            </w:r>
          </w:p>
        </w:tc>
        <w:tc>
          <w:tcPr>
            <w:tcW w:w="220" w:type="dxa"/>
            <w:vAlign w:val="bottom"/>
            <w:shd w:val="clear" w:color="auto" w:fill="F2F2F2"/>
          </w:tcPr>
          <w:p>
            <w:pPr>
              <w:spacing w:after="0"/>
              <w:rPr>
                <w:sz w:val="15"/>
                <w:szCs w:val="15"/>
                <w:color w:val="auto"/>
              </w:rPr>
            </w:pPr>
          </w:p>
        </w:tc>
        <w:tc>
          <w:tcPr>
            <w:tcW w:w="1020" w:type="dxa"/>
            <w:vAlign w:val="bottom"/>
            <w:shd w:val="clear" w:color="auto" w:fill="F2F2F2"/>
          </w:tcPr>
          <w:p>
            <w:pPr>
              <w:ind w:left="160"/>
              <w:spacing w:after="0"/>
              <w:rPr>
                <w:sz w:val="20"/>
                <w:szCs w:val="20"/>
                <w:color w:val="auto"/>
              </w:rPr>
            </w:pPr>
            <w:r>
              <w:rPr>
                <w:rFonts w:ascii="Arial" w:cs="Arial" w:eastAsia="Arial" w:hAnsi="Arial"/>
                <w:sz w:val="14"/>
                <w:szCs w:val="14"/>
                <w:b w:val="1"/>
                <w:bCs w:val="1"/>
                <w:color w:val="auto"/>
              </w:rPr>
              <w:t>Final</w:t>
            </w:r>
          </w:p>
        </w:tc>
        <w:tc>
          <w:tcPr>
            <w:tcW w:w="0" w:type="dxa"/>
            <w:vAlign w:val="bottom"/>
          </w:tcPr>
          <w:p>
            <w:pPr>
              <w:spacing w:after="0"/>
              <w:rPr>
                <w:sz w:val="1"/>
                <w:szCs w:val="1"/>
                <w:color w:val="auto"/>
              </w:rPr>
            </w:pPr>
          </w:p>
        </w:tc>
      </w:tr>
      <w:tr>
        <w:trPr>
          <w:trHeight w:val="217"/>
        </w:trPr>
        <w:tc>
          <w:tcPr>
            <w:tcW w:w="1940" w:type="dxa"/>
            <w:vAlign w:val="bottom"/>
            <w:tcBorders>
              <w:bottom w:val="single" w:sz="8" w:color="F2F2F2"/>
            </w:tcBorders>
            <w:shd w:val="clear" w:color="auto" w:fill="F2F2F2"/>
          </w:tcPr>
          <w:p>
            <w:pPr>
              <w:ind w:left="120"/>
              <w:spacing w:after="0"/>
              <w:rPr>
                <w:sz w:val="20"/>
                <w:szCs w:val="20"/>
                <w:color w:val="auto"/>
              </w:rPr>
            </w:pPr>
            <w:r>
              <w:rPr>
                <w:rFonts w:ascii="Arial" w:cs="Arial" w:eastAsia="Arial" w:hAnsi="Arial"/>
                <w:sz w:val="14"/>
                <w:szCs w:val="14"/>
                <w:b w:val="1"/>
                <w:bCs w:val="1"/>
                <w:color w:val="auto"/>
              </w:rPr>
              <w:t>Named Executive Ofcer</w:t>
            </w:r>
          </w:p>
        </w:tc>
        <w:tc>
          <w:tcPr>
            <w:tcW w:w="260" w:type="dxa"/>
            <w:vAlign w:val="bottom"/>
            <w:tcBorders>
              <w:bottom w:val="single" w:sz="8" w:color="F2F2F2"/>
            </w:tcBorders>
            <w:shd w:val="clear" w:color="auto" w:fill="F2F2F2"/>
          </w:tcPr>
          <w:p>
            <w:pPr>
              <w:spacing w:after="0"/>
              <w:rPr>
                <w:sz w:val="18"/>
                <w:szCs w:val="18"/>
                <w:color w:val="auto"/>
              </w:rPr>
            </w:pPr>
          </w:p>
        </w:tc>
        <w:tc>
          <w:tcPr>
            <w:tcW w:w="100" w:type="dxa"/>
            <w:vAlign w:val="bottom"/>
            <w:tcBorders>
              <w:bottom w:val="single" w:sz="8" w:color="F2F2F2"/>
            </w:tcBorders>
            <w:shd w:val="clear" w:color="auto" w:fill="F2F2F2"/>
          </w:tcPr>
          <w:p>
            <w:pPr>
              <w:spacing w:after="0"/>
              <w:rPr>
                <w:sz w:val="18"/>
                <w:szCs w:val="18"/>
                <w:color w:val="auto"/>
              </w:rPr>
            </w:pPr>
          </w:p>
        </w:tc>
        <w:tc>
          <w:tcPr>
            <w:tcW w:w="1380" w:type="dxa"/>
            <w:vAlign w:val="bottom"/>
            <w:tcBorders>
              <w:bottom w:val="single" w:sz="8" w:color="F2F2F2"/>
            </w:tcBorders>
            <w:gridSpan w:val="2"/>
            <w:shd w:val="clear" w:color="auto" w:fill="F2F2F2"/>
          </w:tcPr>
          <w:p>
            <w:pPr>
              <w:jc w:val="right"/>
              <w:ind w:right="122"/>
              <w:spacing w:after="0"/>
              <w:rPr>
                <w:sz w:val="20"/>
                <w:szCs w:val="20"/>
                <w:color w:val="auto"/>
              </w:rPr>
            </w:pPr>
            <w:r>
              <w:rPr>
                <w:rFonts w:ascii="Arial" w:cs="Arial" w:eastAsia="Arial" w:hAnsi="Arial"/>
                <w:sz w:val="14"/>
                <w:szCs w:val="14"/>
                <w:b w:val="1"/>
                <w:bCs w:val="1"/>
                <w:color w:val="auto"/>
              </w:rPr>
              <w:t>(as of 12/31/25)</w:t>
            </w:r>
          </w:p>
        </w:tc>
        <w:tc>
          <w:tcPr>
            <w:tcW w:w="260" w:type="dxa"/>
            <w:vAlign w:val="bottom"/>
            <w:tcBorders>
              <w:bottom w:val="single" w:sz="8" w:color="F2F2F2"/>
            </w:tcBorders>
            <w:shd w:val="clear" w:color="auto" w:fill="F2F2F2"/>
          </w:tcPr>
          <w:p>
            <w:pPr>
              <w:spacing w:after="0"/>
              <w:rPr>
                <w:sz w:val="18"/>
                <w:szCs w:val="18"/>
                <w:color w:val="auto"/>
              </w:rPr>
            </w:pPr>
          </w:p>
        </w:tc>
        <w:tc>
          <w:tcPr>
            <w:tcW w:w="200" w:type="dxa"/>
            <w:vAlign w:val="bottom"/>
            <w:tcBorders>
              <w:bottom w:val="single" w:sz="8" w:color="F2F2F2"/>
            </w:tcBorders>
            <w:shd w:val="clear" w:color="auto" w:fill="F2F2F2"/>
          </w:tcPr>
          <w:p>
            <w:pPr>
              <w:spacing w:after="0"/>
              <w:rPr>
                <w:sz w:val="18"/>
                <w:szCs w:val="18"/>
                <w:color w:val="auto"/>
              </w:rPr>
            </w:pPr>
          </w:p>
        </w:tc>
        <w:tc>
          <w:tcPr>
            <w:tcW w:w="1380" w:type="dxa"/>
            <w:vAlign w:val="bottom"/>
            <w:tcBorders>
              <w:bottom w:val="single" w:sz="8" w:color="F2F2F2"/>
            </w:tcBorders>
            <w:gridSpan w:val="4"/>
            <w:shd w:val="clear" w:color="auto" w:fill="F2F2F2"/>
          </w:tcPr>
          <w:p>
            <w:pPr>
              <w:jc w:val="center"/>
              <w:ind w:right="368"/>
              <w:spacing w:after="0"/>
              <w:rPr>
                <w:sz w:val="20"/>
                <w:szCs w:val="20"/>
                <w:color w:val="auto"/>
              </w:rPr>
            </w:pPr>
            <w:r>
              <w:rPr>
                <w:rFonts w:ascii="Arial" w:cs="Arial" w:eastAsia="Arial" w:hAnsi="Arial"/>
                <w:sz w:val="14"/>
                <w:szCs w:val="14"/>
                <w:b w:val="1"/>
                <w:bCs w:val="1"/>
                <w:color w:val="auto"/>
              </w:rPr>
              <w:t>Opportunity</w:t>
            </w:r>
          </w:p>
        </w:tc>
        <w:tc>
          <w:tcPr>
            <w:tcW w:w="160" w:type="dxa"/>
            <w:vAlign w:val="bottom"/>
            <w:tcBorders>
              <w:bottom w:val="single" w:sz="8" w:color="F2F2F2"/>
            </w:tcBorders>
            <w:shd w:val="clear" w:color="auto" w:fill="F2F2F2"/>
          </w:tcPr>
          <w:p>
            <w:pPr>
              <w:spacing w:after="0"/>
              <w:rPr>
                <w:sz w:val="18"/>
                <w:szCs w:val="18"/>
                <w:color w:val="auto"/>
              </w:rPr>
            </w:pPr>
          </w:p>
        </w:tc>
        <w:tc>
          <w:tcPr>
            <w:tcW w:w="1340" w:type="dxa"/>
            <w:vAlign w:val="bottom"/>
            <w:tcBorders>
              <w:bottom w:val="single" w:sz="8" w:color="F2F2F2"/>
            </w:tcBorders>
            <w:shd w:val="clear" w:color="auto" w:fill="F2F2F2"/>
          </w:tcPr>
          <w:p>
            <w:pPr>
              <w:jc w:val="right"/>
              <w:ind w:right="142"/>
              <w:spacing w:after="0" w:line="210" w:lineRule="exact"/>
              <w:rPr>
                <w:sz w:val="20"/>
                <w:szCs w:val="20"/>
                <w:color w:val="auto"/>
              </w:rPr>
            </w:pPr>
            <w:r>
              <w:rPr>
                <w:rFonts w:ascii="Arial" w:cs="Arial" w:eastAsia="Arial" w:hAnsi="Arial"/>
                <w:sz w:val="14"/>
                <w:szCs w:val="14"/>
                <w:b w:val="1"/>
                <w:bCs w:val="1"/>
                <w:color w:val="auto"/>
              </w:rPr>
              <w:t xml:space="preserve">Opportunity </w:t>
            </w:r>
            <w:r>
              <w:rPr>
                <w:rFonts w:ascii="Arial" w:cs="Arial" w:eastAsia="Arial" w:hAnsi="Arial"/>
                <w:sz w:val="21"/>
                <w:szCs w:val="21"/>
                <w:b w:val="1"/>
                <w:bCs w:val="1"/>
                <w:color w:val="auto"/>
                <w:vertAlign w:val="superscript"/>
              </w:rPr>
              <w:t>(1)</w:t>
            </w:r>
          </w:p>
        </w:tc>
        <w:tc>
          <w:tcPr>
            <w:tcW w:w="240" w:type="dxa"/>
            <w:vAlign w:val="bottom"/>
            <w:tcBorders>
              <w:bottom w:val="single" w:sz="8" w:color="F2F2F2"/>
            </w:tcBorders>
            <w:shd w:val="clear" w:color="auto" w:fill="F2F2F2"/>
          </w:tcPr>
          <w:p>
            <w:pPr>
              <w:spacing w:after="0"/>
              <w:rPr>
                <w:sz w:val="18"/>
                <w:szCs w:val="18"/>
                <w:color w:val="auto"/>
              </w:rPr>
            </w:pPr>
          </w:p>
        </w:tc>
        <w:tc>
          <w:tcPr>
            <w:tcW w:w="1220" w:type="dxa"/>
            <w:vAlign w:val="bottom"/>
            <w:tcBorders>
              <w:bottom w:val="single" w:sz="8" w:color="F2F2F2"/>
            </w:tcBorders>
            <w:gridSpan w:val="2"/>
            <w:shd w:val="clear" w:color="auto" w:fill="F2F2F2"/>
          </w:tcPr>
          <w:p>
            <w:pPr>
              <w:jc w:val="right"/>
              <w:ind w:right="408"/>
              <w:spacing w:after="0"/>
              <w:rPr>
                <w:sz w:val="20"/>
                <w:szCs w:val="20"/>
                <w:color w:val="auto"/>
              </w:rPr>
            </w:pPr>
            <w:r>
              <w:rPr>
                <w:rFonts w:ascii="Arial" w:cs="Arial" w:eastAsia="Arial" w:hAnsi="Arial"/>
                <w:sz w:val="14"/>
                <w:szCs w:val="14"/>
                <w:b w:val="1"/>
                <w:bCs w:val="1"/>
                <w:color w:val="auto"/>
              </w:rPr>
              <w:t>Payout</w:t>
            </w:r>
          </w:p>
        </w:tc>
        <w:tc>
          <w:tcPr>
            <w:tcW w:w="220" w:type="dxa"/>
            <w:vAlign w:val="bottom"/>
            <w:tcBorders>
              <w:bottom w:val="single" w:sz="8" w:color="F2F2F2"/>
            </w:tcBorders>
            <w:shd w:val="clear" w:color="auto" w:fill="F2F2F2"/>
          </w:tcPr>
          <w:p>
            <w:pPr>
              <w:spacing w:after="0"/>
              <w:rPr>
                <w:sz w:val="18"/>
                <w:szCs w:val="18"/>
                <w:color w:val="auto"/>
              </w:rPr>
            </w:pPr>
          </w:p>
        </w:tc>
        <w:tc>
          <w:tcPr>
            <w:tcW w:w="1020" w:type="dxa"/>
            <w:vAlign w:val="bottom"/>
            <w:tcBorders>
              <w:bottom w:val="single" w:sz="8" w:color="F2F2F2"/>
            </w:tcBorders>
            <w:shd w:val="clear" w:color="auto" w:fill="F2F2F2"/>
          </w:tcPr>
          <w:p>
            <w:pPr>
              <w:ind w:left="120"/>
              <w:spacing w:after="0"/>
              <w:rPr>
                <w:sz w:val="20"/>
                <w:szCs w:val="20"/>
                <w:color w:val="auto"/>
              </w:rPr>
            </w:pPr>
            <w:r>
              <w:rPr>
                <w:rFonts w:ascii="Arial" w:cs="Arial" w:eastAsia="Arial" w:hAnsi="Arial"/>
                <w:sz w:val="14"/>
                <w:szCs w:val="14"/>
                <w:b w:val="1"/>
                <w:bCs w:val="1"/>
                <w:color w:val="auto"/>
              </w:rPr>
              <w:t>Award</w:t>
            </w:r>
          </w:p>
        </w:tc>
        <w:tc>
          <w:tcPr>
            <w:tcW w:w="0" w:type="dxa"/>
            <w:vAlign w:val="bottom"/>
          </w:tcPr>
          <w:p>
            <w:pPr>
              <w:spacing w:after="0"/>
              <w:rPr>
                <w:sz w:val="1"/>
                <w:szCs w:val="1"/>
                <w:color w:val="auto"/>
              </w:rPr>
            </w:pPr>
          </w:p>
        </w:tc>
      </w:tr>
      <w:tr>
        <w:trPr>
          <w:trHeight w:val="189"/>
        </w:trPr>
        <w:tc>
          <w:tcPr>
            <w:tcW w:w="1940" w:type="dxa"/>
            <w:vAlign w:val="bottom"/>
            <w:tcBorders>
              <w:bottom w:val="single" w:sz="8" w:color="808080"/>
            </w:tcBorders>
          </w:tcPr>
          <w:p>
            <w:pPr>
              <w:ind w:left="120"/>
              <w:spacing w:after="0"/>
              <w:rPr>
                <w:sz w:val="20"/>
                <w:szCs w:val="20"/>
                <w:color w:val="auto"/>
              </w:rPr>
            </w:pPr>
            <w:r>
              <w:rPr>
                <w:rFonts w:ascii="Arial" w:cs="Arial" w:eastAsia="Arial" w:hAnsi="Arial"/>
                <w:sz w:val="16"/>
                <w:szCs w:val="16"/>
                <w:b w:val="1"/>
                <w:bCs w:val="1"/>
                <w:color w:val="1414D2"/>
              </w:rPr>
              <w:t>Scott Kirby</w:t>
            </w:r>
          </w:p>
        </w:tc>
        <w:tc>
          <w:tcPr>
            <w:tcW w:w="260" w:type="dxa"/>
            <w:vAlign w:val="bottom"/>
            <w:tcBorders>
              <w:bottom w:val="single" w:sz="8" w:color="808080"/>
            </w:tcBorders>
          </w:tcPr>
          <w:p>
            <w:pPr>
              <w:spacing w:after="0"/>
              <w:rPr>
                <w:sz w:val="16"/>
                <w:szCs w:val="16"/>
                <w:color w:val="auto"/>
              </w:rPr>
            </w:pPr>
          </w:p>
        </w:tc>
        <w:tc>
          <w:tcPr>
            <w:tcW w:w="10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auto"/>
                <w:w w:val="71"/>
              </w:rPr>
              <w:t>$</w:t>
            </w:r>
          </w:p>
        </w:tc>
        <w:tc>
          <w:tcPr>
            <w:tcW w:w="220" w:type="dxa"/>
            <w:vAlign w:val="bottom"/>
            <w:tcBorders>
              <w:bottom w:val="single" w:sz="8" w:color="808080"/>
            </w:tcBorders>
          </w:tcPr>
          <w:p>
            <w:pPr>
              <w:spacing w:after="0"/>
              <w:rPr>
                <w:sz w:val="16"/>
                <w:szCs w:val="16"/>
                <w:color w:val="auto"/>
              </w:rPr>
            </w:pPr>
          </w:p>
        </w:tc>
        <w:tc>
          <w:tcPr>
            <w:tcW w:w="1160" w:type="dxa"/>
            <w:vAlign w:val="bottom"/>
            <w:tcBorders>
              <w:bottom w:val="single" w:sz="8" w:color="808080"/>
            </w:tcBorders>
          </w:tcPr>
          <w:p>
            <w:pPr>
              <w:jc w:val="right"/>
              <w:spacing w:after="0"/>
              <w:rPr>
                <w:sz w:val="20"/>
                <w:szCs w:val="20"/>
                <w:color w:val="auto"/>
              </w:rPr>
            </w:pPr>
            <w:r>
              <w:rPr>
                <w:rFonts w:ascii="Arial" w:cs="Arial" w:eastAsia="Arial" w:hAnsi="Arial"/>
                <w:sz w:val="16"/>
                <w:szCs w:val="16"/>
                <w:color w:val="auto"/>
              </w:rPr>
              <w:t>1,200,000</w:t>
            </w:r>
          </w:p>
        </w:tc>
        <w:tc>
          <w:tcPr>
            <w:tcW w:w="260" w:type="dxa"/>
            <w:vAlign w:val="bottom"/>
            <w:tcBorders>
              <w:bottom w:val="single" w:sz="8" w:color="808080"/>
            </w:tcBorders>
          </w:tcPr>
          <w:p>
            <w:pPr>
              <w:spacing w:after="0"/>
              <w:rPr>
                <w:sz w:val="16"/>
                <w:szCs w:val="16"/>
                <w:color w:val="auto"/>
              </w:rPr>
            </w:pPr>
          </w:p>
        </w:tc>
        <w:tc>
          <w:tcPr>
            <w:tcW w:w="200" w:type="dxa"/>
            <w:vAlign w:val="bottom"/>
            <w:tcBorders>
              <w:bottom w:val="single" w:sz="8" w:color="808080"/>
            </w:tcBorders>
          </w:tcPr>
          <w:p>
            <w:pPr>
              <w:spacing w:after="0"/>
              <w:rPr>
                <w:sz w:val="16"/>
                <w:szCs w:val="16"/>
                <w:color w:val="auto"/>
              </w:rPr>
            </w:pPr>
          </w:p>
        </w:tc>
        <w:tc>
          <w:tcPr>
            <w:tcW w:w="600" w:type="dxa"/>
            <w:vAlign w:val="bottom"/>
            <w:tcBorders>
              <w:bottom w:val="single" w:sz="8" w:color="808080"/>
            </w:tcBorders>
          </w:tcPr>
          <w:p>
            <w:pPr>
              <w:spacing w:after="0"/>
              <w:rPr>
                <w:sz w:val="16"/>
                <w:szCs w:val="16"/>
                <w:color w:val="auto"/>
              </w:rPr>
            </w:pPr>
          </w:p>
        </w:tc>
        <w:tc>
          <w:tcPr>
            <w:tcW w:w="220" w:type="dxa"/>
            <w:vAlign w:val="bottom"/>
            <w:tcBorders>
              <w:bottom w:val="single" w:sz="8" w:color="808080"/>
            </w:tcBorders>
          </w:tcPr>
          <w:p>
            <w:pPr>
              <w:spacing w:after="0"/>
              <w:rPr>
                <w:sz w:val="16"/>
                <w:szCs w:val="16"/>
                <w:color w:val="auto"/>
              </w:rPr>
            </w:pPr>
          </w:p>
        </w:tc>
        <w:tc>
          <w:tcPr>
            <w:tcW w:w="560" w:type="dxa"/>
            <w:vAlign w:val="bottom"/>
            <w:tcBorders>
              <w:bottom w:val="single" w:sz="8" w:color="808080"/>
            </w:tcBorders>
            <w:gridSpan w:val="2"/>
          </w:tcPr>
          <w:p>
            <w:pPr>
              <w:jc w:val="right"/>
              <w:ind w:right="28"/>
              <w:spacing w:after="0"/>
              <w:rPr>
                <w:sz w:val="20"/>
                <w:szCs w:val="20"/>
                <w:color w:val="auto"/>
              </w:rPr>
            </w:pPr>
            <w:r>
              <w:rPr>
                <w:rFonts w:ascii="Arial" w:cs="Arial" w:eastAsia="Arial" w:hAnsi="Arial"/>
                <w:sz w:val="16"/>
                <w:szCs w:val="16"/>
                <w:color w:val="auto"/>
                <w:w w:val="88"/>
              </w:rPr>
              <w:t>250  %</w:t>
            </w:r>
          </w:p>
        </w:tc>
        <w:tc>
          <w:tcPr>
            <w:tcW w:w="160" w:type="dxa"/>
            <w:vAlign w:val="bottom"/>
            <w:tcBorders>
              <w:bottom w:val="single" w:sz="8" w:color="808080"/>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808080"/>
            </w:tcBorders>
          </w:tcPr>
          <w:p>
            <w:pPr>
              <w:jc w:val="right"/>
              <w:spacing w:after="0"/>
              <w:rPr>
                <w:sz w:val="20"/>
                <w:szCs w:val="20"/>
                <w:color w:val="auto"/>
              </w:rPr>
            </w:pPr>
            <w:r>
              <w:rPr>
                <w:rFonts w:ascii="Arial" w:cs="Arial" w:eastAsia="Arial" w:hAnsi="Arial"/>
                <w:sz w:val="16"/>
                <w:szCs w:val="16"/>
                <w:color w:val="auto"/>
              </w:rPr>
              <w:t>3,000,000</w:t>
            </w:r>
          </w:p>
        </w:tc>
        <w:tc>
          <w:tcPr>
            <w:tcW w:w="240" w:type="dxa"/>
            <w:vAlign w:val="bottom"/>
            <w:tcBorders>
              <w:bottom w:val="single" w:sz="8" w:color="808080"/>
            </w:tcBorders>
          </w:tcPr>
          <w:p>
            <w:pPr>
              <w:spacing w:after="0"/>
              <w:rPr>
                <w:sz w:val="16"/>
                <w:szCs w:val="16"/>
                <w:color w:val="auto"/>
              </w:rPr>
            </w:pPr>
          </w:p>
        </w:tc>
        <w:tc>
          <w:tcPr>
            <w:tcW w:w="1220" w:type="dxa"/>
            <w:vAlign w:val="bottom"/>
            <w:tcBorders>
              <w:bottom w:val="single" w:sz="8" w:color="808080"/>
            </w:tcBorders>
            <w:gridSpan w:val="2"/>
          </w:tcPr>
          <w:p>
            <w:pPr>
              <w:jc w:val="right"/>
              <w:ind w:right="28"/>
              <w:spacing w:after="0"/>
              <w:rPr>
                <w:sz w:val="20"/>
                <w:szCs w:val="20"/>
                <w:color w:val="auto"/>
              </w:rPr>
            </w:pPr>
            <w:r>
              <w:rPr>
                <w:rFonts w:ascii="Arial" w:cs="Arial" w:eastAsia="Arial" w:hAnsi="Arial"/>
                <w:sz w:val="16"/>
                <w:szCs w:val="16"/>
                <w:color w:val="auto"/>
              </w:rPr>
              <w:t>135  %</w:t>
            </w:r>
          </w:p>
        </w:tc>
        <w:tc>
          <w:tcPr>
            <w:tcW w:w="220" w:type="dxa"/>
            <w:vAlign w:val="bottom"/>
            <w:tcBorders>
              <w:bottom w:val="single" w:sz="8" w:color="808080"/>
            </w:tcBorders>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808080"/>
            </w:tcBorders>
          </w:tcPr>
          <w:p>
            <w:pPr>
              <w:ind w:left="120"/>
              <w:spacing w:after="0"/>
              <w:rPr>
                <w:sz w:val="20"/>
                <w:szCs w:val="20"/>
                <w:color w:val="auto"/>
              </w:rPr>
            </w:pPr>
            <w:r>
              <w:rPr>
                <w:rFonts w:ascii="Arial" w:cs="Arial" w:eastAsia="Arial" w:hAnsi="Arial"/>
                <w:sz w:val="16"/>
                <w:szCs w:val="16"/>
                <w:color w:val="auto"/>
              </w:rPr>
              <w:t>4,050,000</w:t>
            </w:r>
          </w:p>
        </w:tc>
        <w:tc>
          <w:tcPr>
            <w:tcW w:w="0" w:type="dxa"/>
            <w:vAlign w:val="bottom"/>
          </w:tcPr>
          <w:p>
            <w:pPr>
              <w:spacing w:after="0"/>
              <w:rPr>
                <w:sz w:val="1"/>
                <w:szCs w:val="1"/>
                <w:color w:val="auto"/>
              </w:rPr>
            </w:pPr>
          </w:p>
        </w:tc>
      </w:tr>
      <w:tr>
        <w:trPr>
          <w:trHeight w:val="183"/>
        </w:trPr>
        <w:tc>
          <w:tcPr>
            <w:tcW w:w="2200" w:type="dxa"/>
            <w:vAlign w:val="bottom"/>
            <w:tcBorders>
              <w:bottom w:val="single" w:sz="8" w:color="808080"/>
            </w:tcBorders>
            <w:gridSpan w:val="2"/>
          </w:tcPr>
          <w:p>
            <w:pPr>
              <w:ind w:left="120"/>
              <w:spacing w:after="0" w:line="183" w:lineRule="exact"/>
              <w:rPr>
                <w:sz w:val="20"/>
                <w:szCs w:val="20"/>
                <w:color w:val="auto"/>
              </w:rPr>
            </w:pPr>
            <w:r>
              <w:rPr>
                <w:rFonts w:ascii="Arial" w:cs="Arial" w:eastAsia="Arial" w:hAnsi="Arial"/>
                <w:sz w:val="16"/>
                <w:szCs w:val="16"/>
                <w:b w:val="1"/>
                <w:bCs w:val="1"/>
                <w:color w:val="1414D2"/>
              </w:rPr>
              <w:t>Brett Hart</w:t>
            </w:r>
          </w:p>
        </w:tc>
        <w:tc>
          <w:tcPr>
            <w:tcW w:w="10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auto"/>
                <w:w w:val="71"/>
              </w:rPr>
              <w:t>$</w:t>
            </w:r>
          </w:p>
        </w:tc>
        <w:tc>
          <w:tcPr>
            <w:tcW w:w="220" w:type="dxa"/>
            <w:vAlign w:val="bottom"/>
            <w:tcBorders>
              <w:bottom w:val="single" w:sz="8" w:color="808080"/>
            </w:tcBorders>
          </w:tcPr>
          <w:p>
            <w:pPr>
              <w:spacing w:after="0"/>
              <w:rPr>
                <w:sz w:val="15"/>
                <w:szCs w:val="15"/>
                <w:color w:val="auto"/>
              </w:rPr>
            </w:pPr>
          </w:p>
        </w:tc>
        <w:tc>
          <w:tcPr>
            <w:tcW w:w="1160" w:type="dxa"/>
            <w:vAlign w:val="bottom"/>
            <w:tcBorders>
              <w:bottom w:val="single" w:sz="8" w:color="808080"/>
            </w:tcBorders>
          </w:tcPr>
          <w:p>
            <w:pPr>
              <w:jc w:val="right"/>
              <w:spacing w:after="0" w:line="183" w:lineRule="exact"/>
              <w:rPr>
                <w:sz w:val="20"/>
                <w:szCs w:val="20"/>
                <w:color w:val="auto"/>
              </w:rPr>
            </w:pPr>
            <w:r>
              <w:rPr>
                <w:rFonts w:ascii="Arial" w:cs="Arial" w:eastAsia="Arial" w:hAnsi="Arial"/>
                <w:sz w:val="16"/>
                <w:szCs w:val="16"/>
                <w:color w:val="auto"/>
              </w:rPr>
              <w:t>1,000,000</w:t>
            </w:r>
          </w:p>
        </w:tc>
        <w:tc>
          <w:tcPr>
            <w:tcW w:w="260" w:type="dxa"/>
            <w:vAlign w:val="bottom"/>
            <w:tcBorders>
              <w:bottom w:val="single" w:sz="8" w:color="808080"/>
            </w:tcBorders>
          </w:tcPr>
          <w:p>
            <w:pPr>
              <w:spacing w:after="0"/>
              <w:rPr>
                <w:sz w:val="15"/>
                <w:szCs w:val="15"/>
                <w:color w:val="auto"/>
              </w:rPr>
            </w:pPr>
          </w:p>
        </w:tc>
        <w:tc>
          <w:tcPr>
            <w:tcW w:w="200" w:type="dxa"/>
            <w:vAlign w:val="bottom"/>
            <w:tcBorders>
              <w:bottom w:val="single" w:sz="8" w:color="808080"/>
            </w:tcBorders>
          </w:tcPr>
          <w:p>
            <w:pPr>
              <w:spacing w:after="0"/>
              <w:rPr>
                <w:sz w:val="15"/>
                <w:szCs w:val="15"/>
                <w:color w:val="auto"/>
              </w:rPr>
            </w:pPr>
          </w:p>
        </w:tc>
        <w:tc>
          <w:tcPr>
            <w:tcW w:w="600" w:type="dxa"/>
            <w:vAlign w:val="bottom"/>
            <w:tcBorders>
              <w:bottom w:val="single" w:sz="8" w:color="808080"/>
            </w:tcBorders>
          </w:tcPr>
          <w:p>
            <w:pPr>
              <w:spacing w:after="0"/>
              <w:rPr>
                <w:sz w:val="15"/>
                <w:szCs w:val="15"/>
                <w:color w:val="auto"/>
              </w:rPr>
            </w:pPr>
          </w:p>
        </w:tc>
        <w:tc>
          <w:tcPr>
            <w:tcW w:w="220" w:type="dxa"/>
            <w:vAlign w:val="bottom"/>
            <w:tcBorders>
              <w:bottom w:val="single" w:sz="8" w:color="808080"/>
            </w:tcBorders>
          </w:tcPr>
          <w:p>
            <w:pPr>
              <w:spacing w:after="0"/>
              <w:rPr>
                <w:sz w:val="15"/>
                <w:szCs w:val="15"/>
                <w:color w:val="auto"/>
              </w:rPr>
            </w:pPr>
          </w:p>
        </w:tc>
        <w:tc>
          <w:tcPr>
            <w:tcW w:w="560" w:type="dxa"/>
            <w:vAlign w:val="bottom"/>
            <w:tcBorders>
              <w:bottom w:val="single" w:sz="8" w:color="808080"/>
            </w:tcBorders>
            <w:gridSpan w:val="2"/>
          </w:tcPr>
          <w:p>
            <w:pPr>
              <w:jc w:val="right"/>
              <w:ind w:right="28"/>
              <w:spacing w:after="0" w:line="183" w:lineRule="exact"/>
              <w:rPr>
                <w:sz w:val="20"/>
                <w:szCs w:val="20"/>
                <w:color w:val="auto"/>
              </w:rPr>
            </w:pPr>
            <w:r>
              <w:rPr>
                <w:rFonts w:ascii="Arial" w:cs="Arial" w:eastAsia="Arial" w:hAnsi="Arial"/>
                <w:sz w:val="16"/>
                <w:szCs w:val="16"/>
                <w:color w:val="auto"/>
                <w:w w:val="88"/>
              </w:rPr>
              <w:t>175  %</w:t>
            </w:r>
          </w:p>
        </w:tc>
        <w:tc>
          <w:tcPr>
            <w:tcW w:w="160" w:type="dxa"/>
            <w:vAlign w:val="bottom"/>
            <w:tcBorders>
              <w:bottom w:val="single" w:sz="8" w:color="808080"/>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808080"/>
            </w:tcBorders>
          </w:tcPr>
          <w:p>
            <w:pPr>
              <w:jc w:val="right"/>
              <w:spacing w:after="0" w:line="183" w:lineRule="exact"/>
              <w:rPr>
                <w:sz w:val="20"/>
                <w:szCs w:val="20"/>
                <w:color w:val="auto"/>
              </w:rPr>
            </w:pPr>
            <w:r>
              <w:rPr>
                <w:rFonts w:ascii="Arial" w:cs="Arial" w:eastAsia="Arial" w:hAnsi="Arial"/>
                <w:sz w:val="16"/>
                <w:szCs w:val="16"/>
                <w:color w:val="auto"/>
              </w:rPr>
              <w:t>1,750,000</w:t>
            </w:r>
          </w:p>
        </w:tc>
        <w:tc>
          <w:tcPr>
            <w:tcW w:w="240" w:type="dxa"/>
            <w:vAlign w:val="bottom"/>
            <w:tcBorders>
              <w:bottom w:val="single" w:sz="8" w:color="808080"/>
            </w:tcBorders>
          </w:tcPr>
          <w:p>
            <w:pPr>
              <w:spacing w:after="0"/>
              <w:rPr>
                <w:sz w:val="15"/>
                <w:szCs w:val="15"/>
                <w:color w:val="auto"/>
              </w:rPr>
            </w:pPr>
          </w:p>
        </w:tc>
        <w:tc>
          <w:tcPr>
            <w:tcW w:w="1220" w:type="dxa"/>
            <w:vAlign w:val="bottom"/>
            <w:tcBorders>
              <w:bottom w:val="single" w:sz="8" w:color="808080"/>
            </w:tcBorders>
            <w:gridSpan w:val="2"/>
          </w:tcPr>
          <w:p>
            <w:pPr>
              <w:jc w:val="right"/>
              <w:ind w:right="28"/>
              <w:spacing w:after="0" w:line="183" w:lineRule="exact"/>
              <w:rPr>
                <w:sz w:val="20"/>
                <w:szCs w:val="20"/>
                <w:color w:val="auto"/>
              </w:rPr>
            </w:pPr>
            <w:r>
              <w:rPr>
                <w:rFonts w:ascii="Arial" w:cs="Arial" w:eastAsia="Arial" w:hAnsi="Arial"/>
                <w:sz w:val="16"/>
                <w:szCs w:val="16"/>
                <w:color w:val="auto"/>
              </w:rPr>
              <w:t>135  %</w:t>
            </w:r>
          </w:p>
        </w:tc>
        <w:tc>
          <w:tcPr>
            <w:tcW w:w="220" w:type="dxa"/>
            <w:vAlign w:val="bottom"/>
            <w:tcBorders>
              <w:bottom w:val="single" w:sz="8" w:color="808080"/>
            </w:tcBorders>
          </w:tcPr>
          <w:p>
            <w:pPr>
              <w:jc w:val="right"/>
              <w:ind w:right="39"/>
              <w:spacing w:after="0" w:line="183" w:lineRule="exact"/>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808080"/>
            </w:tcBorders>
          </w:tcPr>
          <w:p>
            <w:pPr>
              <w:ind w:left="120"/>
              <w:spacing w:after="0" w:line="183" w:lineRule="exact"/>
              <w:rPr>
                <w:sz w:val="20"/>
                <w:szCs w:val="20"/>
                <w:color w:val="auto"/>
              </w:rPr>
            </w:pPr>
            <w:r>
              <w:rPr>
                <w:rFonts w:ascii="Arial" w:cs="Arial" w:eastAsia="Arial" w:hAnsi="Arial"/>
                <w:sz w:val="16"/>
                <w:szCs w:val="16"/>
                <w:color w:val="auto"/>
              </w:rPr>
              <w:t>2,362,500</w:t>
            </w:r>
          </w:p>
        </w:tc>
        <w:tc>
          <w:tcPr>
            <w:tcW w:w="0" w:type="dxa"/>
            <w:vAlign w:val="bottom"/>
          </w:tcPr>
          <w:p>
            <w:pPr>
              <w:spacing w:after="0"/>
              <w:rPr>
                <w:sz w:val="1"/>
                <w:szCs w:val="1"/>
                <w:color w:val="auto"/>
              </w:rPr>
            </w:pPr>
          </w:p>
        </w:tc>
      </w:tr>
      <w:tr>
        <w:trPr>
          <w:trHeight w:val="182"/>
        </w:trPr>
        <w:tc>
          <w:tcPr>
            <w:tcW w:w="2200" w:type="dxa"/>
            <w:vAlign w:val="bottom"/>
            <w:tcBorders>
              <w:bottom w:val="single" w:sz="8" w:color="808080"/>
            </w:tcBorders>
            <w:gridSpan w:val="2"/>
          </w:tcPr>
          <w:p>
            <w:pPr>
              <w:ind w:left="120"/>
              <w:spacing w:after="0" w:line="183" w:lineRule="exact"/>
              <w:rPr>
                <w:sz w:val="20"/>
                <w:szCs w:val="20"/>
                <w:color w:val="auto"/>
              </w:rPr>
            </w:pPr>
            <w:r>
              <w:rPr>
                <w:rFonts w:ascii="Arial" w:cs="Arial" w:eastAsia="Arial" w:hAnsi="Arial"/>
                <w:sz w:val="16"/>
                <w:szCs w:val="16"/>
                <w:b w:val="1"/>
                <w:bCs w:val="1"/>
                <w:color w:val="1414D2"/>
              </w:rPr>
              <w:t>Torbjorn Enqvist</w:t>
            </w:r>
          </w:p>
        </w:tc>
        <w:tc>
          <w:tcPr>
            <w:tcW w:w="10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auto"/>
                <w:w w:val="71"/>
              </w:rPr>
              <w:t>$</w:t>
            </w:r>
          </w:p>
        </w:tc>
        <w:tc>
          <w:tcPr>
            <w:tcW w:w="220" w:type="dxa"/>
            <w:vAlign w:val="bottom"/>
            <w:tcBorders>
              <w:bottom w:val="single" w:sz="8" w:color="808080"/>
            </w:tcBorders>
          </w:tcPr>
          <w:p>
            <w:pPr>
              <w:spacing w:after="0"/>
              <w:rPr>
                <w:sz w:val="15"/>
                <w:szCs w:val="15"/>
                <w:color w:val="auto"/>
              </w:rPr>
            </w:pPr>
          </w:p>
        </w:tc>
        <w:tc>
          <w:tcPr>
            <w:tcW w:w="1160" w:type="dxa"/>
            <w:vAlign w:val="bottom"/>
            <w:tcBorders>
              <w:bottom w:val="single" w:sz="8" w:color="808080"/>
            </w:tcBorders>
          </w:tcPr>
          <w:p>
            <w:pPr>
              <w:jc w:val="right"/>
              <w:spacing w:after="0" w:line="183" w:lineRule="exact"/>
              <w:rPr>
                <w:sz w:val="20"/>
                <w:szCs w:val="20"/>
                <w:color w:val="auto"/>
              </w:rPr>
            </w:pPr>
            <w:r>
              <w:rPr>
                <w:rFonts w:ascii="Arial" w:cs="Arial" w:eastAsia="Arial" w:hAnsi="Arial"/>
                <w:sz w:val="16"/>
                <w:szCs w:val="16"/>
                <w:color w:val="auto"/>
              </w:rPr>
              <w:t>880,000</w:t>
            </w:r>
          </w:p>
        </w:tc>
        <w:tc>
          <w:tcPr>
            <w:tcW w:w="260" w:type="dxa"/>
            <w:vAlign w:val="bottom"/>
            <w:tcBorders>
              <w:bottom w:val="single" w:sz="8" w:color="808080"/>
            </w:tcBorders>
          </w:tcPr>
          <w:p>
            <w:pPr>
              <w:spacing w:after="0"/>
              <w:rPr>
                <w:sz w:val="15"/>
                <w:szCs w:val="15"/>
                <w:color w:val="auto"/>
              </w:rPr>
            </w:pPr>
          </w:p>
        </w:tc>
        <w:tc>
          <w:tcPr>
            <w:tcW w:w="200" w:type="dxa"/>
            <w:vAlign w:val="bottom"/>
            <w:tcBorders>
              <w:bottom w:val="single" w:sz="8" w:color="808080"/>
            </w:tcBorders>
          </w:tcPr>
          <w:p>
            <w:pPr>
              <w:spacing w:after="0"/>
              <w:rPr>
                <w:sz w:val="15"/>
                <w:szCs w:val="15"/>
                <w:color w:val="auto"/>
              </w:rPr>
            </w:pPr>
          </w:p>
        </w:tc>
        <w:tc>
          <w:tcPr>
            <w:tcW w:w="600" w:type="dxa"/>
            <w:vAlign w:val="bottom"/>
            <w:tcBorders>
              <w:bottom w:val="single" w:sz="8" w:color="808080"/>
            </w:tcBorders>
          </w:tcPr>
          <w:p>
            <w:pPr>
              <w:spacing w:after="0"/>
              <w:rPr>
                <w:sz w:val="15"/>
                <w:szCs w:val="15"/>
                <w:color w:val="auto"/>
              </w:rPr>
            </w:pPr>
          </w:p>
        </w:tc>
        <w:tc>
          <w:tcPr>
            <w:tcW w:w="220" w:type="dxa"/>
            <w:vAlign w:val="bottom"/>
            <w:tcBorders>
              <w:bottom w:val="single" w:sz="8" w:color="808080"/>
            </w:tcBorders>
          </w:tcPr>
          <w:p>
            <w:pPr>
              <w:spacing w:after="0"/>
              <w:rPr>
                <w:sz w:val="15"/>
                <w:szCs w:val="15"/>
                <w:color w:val="auto"/>
              </w:rPr>
            </w:pPr>
          </w:p>
        </w:tc>
        <w:tc>
          <w:tcPr>
            <w:tcW w:w="560" w:type="dxa"/>
            <w:vAlign w:val="bottom"/>
            <w:tcBorders>
              <w:bottom w:val="single" w:sz="8" w:color="808080"/>
            </w:tcBorders>
            <w:gridSpan w:val="2"/>
          </w:tcPr>
          <w:p>
            <w:pPr>
              <w:jc w:val="right"/>
              <w:ind w:right="28"/>
              <w:spacing w:after="0" w:line="183" w:lineRule="exact"/>
              <w:rPr>
                <w:sz w:val="20"/>
                <w:szCs w:val="20"/>
                <w:color w:val="auto"/>
              </w:rPr>
            </w:pPr>
            <w:r>
              <w:rPr>
                <w:rFonts w:ascii="Arial" w:cs="Arial" w:eastAsia="Arial" w:hAnsi="Arial"/>
                <w:sz w:val="16"/>
                <w:szCs w:val="16"/>
                <w:color w:val="auto"/>
                <w:w w:val="88"/>
              </w:rPr>
              <w:t>140  %</w:t>
            </w:r>
          </w:p>
        </w:tc>
        <w:tc>
          <w:tcPr>
            <w:tcW w:w="160" w:type="dxa"/>
            <w:vAlign w:val="bottom"/>
            <w:tcBorders>
              <w:bottom w:val="single" w:sz="8" w:color="808080"/>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808080"/>
            </w:tcBorders>
          </w:tcPr>
          <w:p>
            <w:pPr>
              <w:jc w:val="right"/>
              <w:spacing w:after="0" w:line="183" w:lineRule="exact"/>
              <w:rPr>
                <w:sz w:val="20"/>
                <w:szCs w:val="20"/>
                <w:color w:val="auto"/>
              </w:rPr>
            </w:pPr>
            <w:r>
              <w:rPr>
                <w:rFonts w:ascii="Arial" w:cs="Arial" w:eastAsia="Arial" w:hAnsi="Arial"/>
                <w:sz w:val="16"/>
                <w:szCs w:val="16"/>
                <w:color w:val="auto"/>
              </w:rPr>
              <w:t>1,199,452</w:t>
            </w:r>
          </w:p>
        </w:tc>
        <w:tc>
          <w:tcPr>
            <w:tcW w:w="240" w:type="dxa"/>
            <w:vAlign w:val="bottom"/>
            <w:tcBorders>
              <w:bottom w:val="single" w:sz="8" w:color="808080"/>
            </w:tcBorders>
          </w:tcPr>
          <w:p>
            <w:pPr>
              <w:spacing w:after="0"/>
              <w:rPr>
                <w:sz w:val="15"/>
                <w:szCs w:val="15"/>
                <w:color w:val="auto"/>
              </w:rPr>
            </w:pPr>
          </w:p>
        </w:tc>
        <w:tc>
          <w:tcPr>
            <w:tcW w:w="1220" w:type="dxa"/>
            <w:vAlign w:val="bottom"/>
            <w:tcBorders>
              <w:bottom w:val="single" w:sz="8" w:color="808080"/>
            </w:tcBorders>
            <w:gridSpan w:val="2"/>
          </w:tcPr>
          <w:p>
            <w:pPr>
              <w:jc w:val="right"/>
              <w:ind w:right="28"/>
              <w:spacing w:after="0" w:line="183" w:lineRule="exact"/>
              <w:rPr>
                <w:sz w:val="20"/>
                <w:szCs w:val="20"/>
                <w:color w:val="auto"/>
              </w:rPr>
            </w:pPr>
            <w:r>
              <w:rPr>
                <w:rFonts w:ascii="Arial" w:cs="Arial" w:eastAsia="Arial" w:hAnsi="Arial"/>
                <w:sz w:val="16"/>
                <w:szCs w:val="16"/>
                <w:color w:val="auto"/>
              </w:rPr>
              <w:t>135  %</w:t>
            </w:r>
          </w:p>
        </w:tc>
        <w:tc>
          <w:tcPr>
            <w:tcW w:w="220" w:type="dxa"/>
            <w:vAlign w:val="bottom"/>
            <w:tcBorders>
              <w:bottom w:val="single" w:sz="8" w:color="808080"/>
            </w:tcBorders>
          </w:tcPr>
          <w:p>
            <w:pPr>
              <w:jc w:val="right"/>
              <w:ind w:right="39"/>
              <w:spacing w:after="0" w:line="183" w:lineRule="exact"/>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808080"/>
            </w:tcBorders>
          </w:tcPr>
          <w:p>
            <w:pPr>
              <w:ind w:left="120"/>
              <w:spacing w:after="0" w:line="183" w:lineRule="exact"/>
              <w:rPr>
                <w:sz w:val="20"/>
                <w:szCs w:val="20"/>
                <w:color w:val="auto"/>
              </w:rPr>
            </w:pPr>
            <w:r>
              <w:rPr>
                <w:rFonts w:ascii="Arial" w:cs="Arial" w:eastAsia="Arial" w:hAnsi="Arial"/>
                <w:sz w:val="16"/>
                <w:szCs w:val="16"/>
                <w:color w:val="auto"/>
              </w:rPr>
              <w:t>1,619,260</w:t>
            </w:r>
          </w:p>
        </w:tc>
        <w:tc>
          <w:tcPr>
            <w:tcW w:w="0" w:type="dxa"/>
            <w:vAlign w:val="bottom"/>
          </w:tcPr>
          <w:p>
            <w:pPr>
              <w:spacing w:after="0"/>
              <w:rPr>
                <w:sz w:val="1"/>
                <w:szCs w:val="1"/>
                <w:color w:val="auto"/>
              </w:rPr>
            </w:pPr>
          </w:p>
        </w:tc>
      </w:tr>
      <w:tr>
        <w:trPr>
          <w:trHeight w:val="183"/>
        </w:trPr>
        <w:tc>
          <w:tcPr>
            <w:tcW w:w="2200" w:type="dxa"/>
            <w:vAlign w:val="bottom"/>
            <w:tcBorders>
              <w:bottom w:val="single" w:sz="8" w:color="808080"/>
            </w:tcBorders>
            <w:gridSpan w:val="2"/>
          </w:tcPr>
          <w:p>
            <w:pPr>
              <w:ind w:left="120"/>
              <w:spacing w:after="0" w:line="183" w:lineRule="exact"/>
              <w:rPr>
                <w:sz w:val="20"/>
                <w:szCs w:val="20"/>
                <w:color w:val="auto"/>
              </w:rPr>
            </w:pPr>
            <w:r>
              <w:rPr>
                <w:rFonts w:ascii="Arial" w:cs="Arial" w:eastAsia="Arial" w:hAnsi="Arial"/>
                <w:sz w:val="16"/>
                <w:szCs w:val="16"/>
                <w:b w:val="1"/>
                <w:bCs w:val="1"/>
                <w:color w:val="1414D2"/>
              </w:rPr>
              <w:t>Andrew Nocella</w:t>
            </w:r>
          </w:p>
        </w:tc>
        <w:tc>
          <w:tcPr>
            <w:tcW w:w="10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auto"/>
                <w:w w:val="71"/>
              </w:rPr>
              <w:t>$</w:t>
            </w:r>
          </w:p>
        </w:tc>
        <w:tc>
          <w:tcPr>
            <w:tcW w:w="220" w:type="dxa"/>
            <w:vAlign w:val="bottom"/>
            <w:tcBorders>
              <w:bottom w:val="single" w:sz="8" w:color="808080"/>
            </w:tcBorders>
          </w:tcPr>
          <w:p>
            <w:pPr>
              <w:spacing w:after="0"/>
              <w:rPr>
                <w:sz w:val="15"/>
                <w:szCs w:val="15"/>
                <w:color w:val="auto"/>
              </w:rPr>
            </w:pPr>
          </w:p>
        </w:tc>
        <w:tc>
          <w:tcPr>
            <w:tcW w:w="1160" w:type="dxa"/>
            <w:vAlign w:val="bottom"/>
            <w:tcBorders>
              <w:bottom w:val="single" w:sz="8" w:color="808080"/>
            </w:tcBorders>
          </w:tcPr>
          <w:p>
            <w:pPr>
              <w:jc w:val="right"/>
              <w:spacing w:after="0" w:line="183" w:lineRule="exact"/>
              <w:rPr>
                <w:sz w:val="20"/>
                <w:szCs w:val="20"/>
                <w:color w:val="auto"/>
              </w:rPr>
            </w:pPr>
            <w:r>
              <w:rPr>
                <w:rFonts w:ascii="Arial" w:cs="Arial" w:eastAsia="Arial" w:hAnsi="Arial"/>
                <w:sz w:val="16"/>
                <w:szCs w:val="16"/>
                <w:color w:val="auto"/>
              </w:rPr>
              <w:t>808,500</w:t>
            </w:r>
          </w:p>
        </w:tc>
        <w:tc>
          <w:tcPr>
            <w:tcW w:w="260" w:type="dxa"/>
            <w:vAlign w:val="bottom"/>
            <w:tcBorders>
              <w:bottom w:val="single" w:sz="8" w:color="808080"/>
            </w:tcBorders>
          </w:tcPr>
          <w:p>
            <w:pPr>
              <w:spacing w:after="0"/>
              <w:rPr>
                <w:sz w:val="15"/>
                <w:szCs w:val="15"/>
                <w:color w:val="auto"/>
              </w:rPr>
            </w:pPr>
          </w:p>
        </w:tc>
        <w:tc>
          <w:tcPr>
            <w:tcW w:w="200" w:type="dxa"/>
            <w:vAlign w:val="bottom"/>
            <w:tcBorders>
              <w:bottom w:val="single" w:sz="8" w:color="808080"/>
            </w:tcBorders>
          </w:tcPr>
          <w:p>
            <w:pPr>
              <w:spacing w:after="0"/>
              <w:rPr>
                <w:sz w:val="15"/>
                <w:szCs w:val="15"/>
                <w:color w:val="auto"/>
              </w:rPr>
            </w:pPr>
          </w:p>
        </w:tc>
        <w:tc>
          <w:tcPr>
            <w:tcW w:w="600" w:type="dxa"/>
            <w:vAlign w:val="bottom"/>
            <w:tcBorders>
              <w:bottom w:val="single" w:sz="8" w:color="808080"/>
            </w:tcBorders>
          </w:tcPr>
          <w:p>
            <w:pPr>
              <w:spacing w:after="0"/>
              <w:rPr>
                <w:sz w:val="15"/>
                <w:szCs w:val="15"/>
                <w:color w:val="auto"/>
              </w:rPr>
            </w:pPr>
          </w:p>
        </w:tc>
        <w:tc>
          <w:tcPr>
            <w:tcW w:w="220" w:type="dxa"/>
            <w:vAlign w:val="bottom"/>
            <w:tcBorders>
              <w:bottom w:val="single" w:sz="8" w:color="808080"/>
            </w:tcBorders>
          </w:tcPr>
          <w:p>
            <w:pPr>
              <w:spacing w:after="0"/>
              <w:rPr>
                <w:sz w:val="15"/>
                <w:szCs w:val="15"/>
                <w:color w:val="auto"/>
              </w:rPr>
            </w:pPr>
          </w:p>
        </w:tc>
        <w:tc>
          <w:tcPr>
            <w:tcW w:w="560" w:type="dxa"/>
            <w:vAlign w:val="bottom"/>
            <w:tcBorders>
              <w:bottom w:val="single" w:sz="8" w:color="808080"/>
            </w:tcBorders>
            <w:gridSpan w:val="2"/>
          </w:tcPr>
          <w:p>
            <w:pPr>
              <w:jc w:val="right"/>
              <w:ind w:right="28"/>
              <w:spacing w:after="0" w:line="183" w:lineRule="exact"/>
              <w:rPr>
                <w:sz w:val="20"/>
                <w:szCs w:val="20"/>
                <w:color w:val="auto"/>
              </w:rPr>
            </w:pPr>
            <w:r>
              <w:rPr>
                <w:rFonts w:ascii="Arial" w:cs="Arial" w:eastAsia="Arial" w:hAnsi="Arial"/>
                <w:sz w:val="16"/>
                <w:szCs w:val="16"/>
                <w:color w:val="auto"/>
                <w:w w:val="88"/>
              </w:rPr>
              <w:t>125  %</w:t>
            </w:r>
          </w:p>
        </w:tc>
        <w:tc>
          <w:tcPr>
            <w:tcW w:w="160" w:type="dxa"/>
            <w:vAlign w:val="bottom"/>
            <w:tcBorders>
              <w:bottom w:val="single" w:sz="8" w:color="808080"/>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808080"/>
            </w:tcBorders>
          </w:tcPr>
          <w:p>
            <w:pPr>
              <w:jc w:val="right"/>
              <w:spacing w:after="0" w:line="183" w:lineRule="exact"/>
              <w:rPr>
                <w:sz w:val="20"/>
                <w:szCs w:val="20"/>
                <w:color w:val="auto"/>
              </w:rPr>
            </w:pPr>
            <w:r>
              <w:rPr>
                <w:rFonts w:ascii="Arial" w:cs="Arial" w:eastAsia="Arial" w:hAnsi="Arial"/>
                <w:sz w:val="16"/>
                <w:szCs w:val="16"/>
                <w:color w:val="auto"/>
              </w:rPr>
              <w:t>1,000,657</w:t>
            </w:r>
          </w:p>
        </w:tc>
        <w:tc>
          <w:tcPr>
            <w:tcW w:w="240" w:type="dxa"/>
            <w:vAlign w:val="bottom"/>
            <w:tcBorders>
              <w:bottom w:val="single" w:sz="8" w:color="808080"/>
            </w:tcBorders>
          </w:tcPr>
          <w:p>
            <w:pPr>
              <w:spacing w:after="0"/>
              <w:rPr>
                <w:sz w:val="15"/>
                <w:szCs w:val="15"/>
                <w:color w:val="auto"/>
              </w:rPr>
            </w:pPr>
          </w:p>
        </w:tc>
        <w:tc>
          <w:tcPr>
            <w:tcW w:w="1220" w:type="dxa"/>
            <w:vAlign w:val="bottom"/>
            <w:tcBorders>
              <w:bottom w:val="single" w:sz="8" w:color="808080"/>
            </w:tcBorders>
            <w:gridSpan w:val="2"/>
          </w:tcPr>
          <w:p>
            <w:pPr>
              <w:jc w:val="right"/>
              <w:ind w:right="28"/>
              <w:spacing w:after="0" w:line="183" w:lineRule="exact"/>
              <w:rPr>
                <w:sz w:val="20"/>
                <w:szCs w:val="20"/>
                <w:color w:val="auto"/>
              </w:rPr>
            </w:pPr>
            <w:r>
              <w:rPr>
                <w:rFonts w:ascii="Arial" w:cs="Arial" w:eastAsia="Arial" w:hAnsi="Arial"/>
                <w:sz w:val="16"/>
                <w:szCs w:val="16"/>
                <w:color w:val="auto"/>
              </w:rPr>
              <w:t>135  %</w:t>
            </w:r>
          </w:p>
        </w:tc>
        <w:tc>
          <w:tcPr>
            <w:tcW w:w="220" w:type="dxa"/>
            <w:vAlign w:val="bottom"/>
            <w:tcBorders>
              <w:bottom w:val="single" w:sz="8" w:color="808080"/>
            </w:tcBorders>
          </w:tcPr>
          <w:p>
            <w:pPr>
              <w:jc w:val="right"/>
              <w:ind w:right="39"/>
              <w:spacing w:after="0" w:line="183" w:lineRule="exact"/>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808080"/>
            </w:tcBorders>
          </w:tcPr>
          <w:p>
            <w:pPr>
              <w:ind w:left="120"/>
              <w:spacing w:after="0" w:line="183" w:lineRule="exact"/>
              <w:rPr>
                <w:sz w:val="20"/>
                <w:szCs w:val="20"/>
                <w:color w:val="auto"/>
              </w:rPr>
            </w:pPr>
            <w:r>
              <w:rPr>
                <w:rFonts w:ascii="Arial" w:cs="Arial" w:eastAsia="Arial" w:hAnsi="Arial"/>
                <w:sz w:val="16"/>
                <w:szCs w:val="16"/>
                <w:color w:val="auto"/>
              </w:rPr>
              <w:t>1,350,887</w:t>
            </w:r>
          </w:p>
        </w:tc>
        <w:tc>
          <w:tcPr>
            <w:tcW w:w="0" w:type="dxa"/>
            <w:vAlign w:val="bottom"/>
          </w:tcPr>
          <w:p>
            <w:pPr>
              <w:spacing w:after="0"/>
              <w:rPr>
                <w:sz w:val="1"/>
                <w:szCs w:val="1"/>
                <w:color w:val="auto"/>
              </w:rPr>
            </w:pPr>
          </w:p>
        </w:tc>
      </w:tr>
      <w:tr>
        <w:trPr>
          <w:trHeight w:val="183"/>
        </w:trPr>
        <w:tc>
          <w:tcPr>
            <w:tcW w:w="2200" w:type="dxa"/>
            <w:vAlign w:val="bottom"/>
            <w:tcBorders>
              <w:bottom w:val="single" w:sz="8" w:color="808080"/>
            </w:tcBorders>
            <w:gridSpan w:val="2"/>
          </w:tcPr>
          <w:p>
            <w:pPr>
              <w:ind w:left="120"/>
              <w:spacing w:after="0" w:line="183" w:lineRule="exact"/>
              <w:rPr>
                <w:sz w:val="20"/>
                <w:szCs w:val="20"/>
                <w:color w:val="auto"/>
              </w:rPr>
            </w:pPr>
            <w:r>
              <w:rPr>
                <w:rFonts w:ascii="Arial" w:cs="Arial" w:eastAsia="Arial" w:hAnsi="Arial"/>
                <w:sz w:val="16"/>
                <w:szCs w:val="16"/>
                <w:b w:val="1"/>
                <w:bCs w:val="1"/>
                <w:color w:val="1414D2"/>
              </w:rPr>
              <w:t>Michael Leskinen</w:t>
            </w:r>
          </w:p>
        </w:tc>
        <w:tc>
          <w:tcPr>
            <w:tcW w:w="10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auto"/>
                <w:w w:val="71"/>
              </w:rPr>
              <w:t>$</w:t>
            </w:r>
          </w:p>
        </w:tc>
        <w:tc>
          <w:tcPr>
            <w:tcW w:w="220" w:type="dxa"/>
            <w:vAlign w:val="bottom"/>
            <w:tcBorders>
              <w:bottom w:val="single" w:sz="8" w:color="808080"/>
            </w:tcBorders>
          </w:tcPr>
          <w:p>
            <w:pPr>
              <w:spacing w:after="0"/>
              <w:rPr>
                <w:sz w:val="15"/>
                <w:szCs w:val="15"/>
                <w:color w:val="auto"/>
              </w:rPr>
            </w:pPr>
          </w:p>
        </w:tc>
        <w:tc>
          <w:tcPr>
            <w:tcW w:w="1160" w:type="dxa"/>
            <w:vAlign w:val="bottom"/>
            <w:tcBorders>
              <w:bottom w:val="single" w:sz="8" w:color="808080"/>
            </w:tcBorders>
          </w:tcPr>
          <w:p>
            <w:pPr>
              <w:jc w:val="right"/>
              <w:spacing w:after="0" w:line="183" w:lineRule="exact"/>
              <w:rPr>
                <w:sz w:val="20"/>
                <w:szCs w:val="20"/>
                <w:color w:val="auto"/>
              </w:rPr>
            </w:pPr>
            <w:r>
              <w:rPr>
                <w:rFonts w:ascii="Arial" w:cs="Arial" w:eastAsia="Arial" w:hAnsi="Arial"/>
                <w:sz w:val="16"/>
                <w:szCs w:val="16"/>
                <w:color w:val="auto"/>
              </w:rPr>
              <w:t>800,000</w:t>
            </w:r>
          </w:p>
        </w:tc>
        <w:tc>
          <w:tcPr>
            <w:tcW w:w="260" w:type="dxa"/>
            <w:vAlign w:val="bottom"/>
            <w:tcBorders>
              <w:bottom w:val="single" w:sz="8" w:color="808080"/>
            </w:tcBorders>
          </w:tcPr>
          <w:p>
            <w:pPr>
              <w:spacing w:after="0"/>
              <w:rPr>
                <w:sz w:val="15"/>
                <w:szCs w:val="15"/>
                <w:color w:val="auto"/>
              </w:rPr>
            </w:pPr>
          </w:p>
        </w:tc>
        <w:tc>
          <w:tcPr>
            <w:tcW w:w="200" w:type="dxa"/>
            <w:vAlign w:val="bottom"/>
            <w:tcBorders>
              <w:bottom w:val="single" w:sz="8" w:color="808080"/>
            </w:tcBorders>
          </w:tcPr>
          <w:p>
            <w:pPr>
              <w:spacing w:after="0"/>
              <w:rPr>
                <w:sz w:val="15"/>
                <w:szCs w:val="15"/>
                <w:color w:val="auto"/>
              </w:rPr>
            </w:pPr>
          </w:p>
        </w:tc>
        <w:tc>
          <w:tcPr>
            <w:tcW w:w="600" w:type="dxa"/>
            <w:vAlign w:val="bottom"/>
            <w:tcBorders>
              <w:bottom w:val="single" w:sz="8" w:color="808080"/>
            </w:tcBorders>
          </w:tcPr>
          <w:p>
            <w:pPr>
              <w:spacing w:after="0"/>
              <w:rPr>
                <w:sz w:val="15"/>
                <w:szCs w:val="15"/>
                <w:color w:val="auto"/>
              </w:rPr>
            </w:pPr>
          </w:p>
        </w:tc>
        <w:tc>
          <w:tcPr>
            <w:tcW w:w="220" w:type="dxa"/>
            <w:vAlign w:val="bottom"/>
            <w:tcBorders>
              <w:bottom w:val="single" w:sz="8" w:color="808080"/>
            </w:tcBorders>
          </w:tcPr>
          <w:p>
            <w:pPr>
              <w:spacing w:after="0"/>
              <w:rPr>
                <w:sz w:val="15"/>
                <w:szCs w:val="15"/>
                <w:color w:val="auto"/>
              </w:rPr>
            </w:pPr>
          </w:p>
        </w:tc>
        <w:tc>
          <w:tcPr>
            <w:tcW w:w="560" w:type="dxa"/>
            <w:vAlign w:val="bottom"/>
            <w:tcBorders>
              <w:bottom w:val="single" w:sz="8" w:color="808080"/>
            </w:tcBorders>
            <w:gridSpan w:val="2"/>
          </w:tcPr>
          <w:p>
            <w:pPr>
              <w:jc w:val="right"/>
              <w:ind w:right="28"/>
              <w:spacing w:after="0" w:line="183" w:lineRule="exact"/>
              <w:rPr>
                <w:sz w:val="20"/>
                <w:szCs w:val="20"/>
                <w:color w:val="auto"/>
              </w:rPr>
            </w:pPr>
            <w:r>
              <w:rPr>
                <w:rFonts w:ascii="Arial" w:cs="Arial" w:eastAsia="Arial" w:hAnsi="Arial"/>
                <w:sz w:val="16"/>
                <w:szCs w:val="16"/>
                <w:color w:val="auto"/>
                <w:w w:val="88"/>
              </w:rPr>
              <w:t>125  %</w:t>
            </w:r>
          </w:p>
        </w:tc>
        <w:tc>
          <w:tcPr>
            <w:tcW w:w="160" w:type="dxa"/>
            <w:vAlign w:val="bottom"/>
            <w:tcBorders>
              <w:bottom w:val="single" w:sz="8" w:color="808080"/>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808080"/>
            </w:tcBorders>
          </w:tcPr>
          <w:p>
            <w:pPr>
              <w:jc w:val="right"/>
              <w:spacing w:after="0" w:line="183" w:lineRule="exact"/>
              <w:rPr>
                <w:sz w:val="20"/>
                <w:szCs w:val="20"/>
                <w:color w:val="auto"/>
              </w:rPr>
            </w:pPr>
            <w:r>
              <w:rPr>
                <w:rFonts w:ascii="Arial" w:cs="Arial" w:eastAsia="Arial" w:hAnsi="Arial"/>
                <w:sz w:val="16"/>
                <w:szCs w:val="16"/>
                <w:color w:val="auto"/>
              </w:rPr>
              <w:t>981,260</w:t>
            </w:r>
          </w:p>
        </w:tc>
        <w:tc>
          <w:tcPr>
            <w:tcW w:w="240" w:type="dxa"/>
            <w:vAlign w:val="bottom"/>
            <w:tcBorders>
              <w:bottom w:val="single" w:sz="8" w:color="808080"/>
            </w:tcBorders>
          </w:tcPr>
          <w:p>
            <w:pPr>
              <w:spacing w:after="0"/>
              <w:rPr>
                <w:sz w:val="15"/>
                <w:szCs w:val="15"/>
                <w:color w:val="auto"/>
              </w:rPr>
            </w:pPr>
          </w:p>
        </w:tc>
        <w:tc>
          <w:tcPr>
            <w:tcW w:w="1220" w:type="dxa"/>
            <w:vAlign w:val="bottom"/>
            <w:tcBorders>
              <w:bottom w:val="single" w:sz="8" w:color="808080"/>
            </w:tcBorders>
            <w:gridSpan w:val="2"/>
          </w:tcPr>
          <w:p>
            <w:pPr>
              <w:jc w:val="right"/>
              <w:ind w:right="28"/>
              <w:spacing w:after="0" w:line="183" w:lineRule="exact"/>
              <w:rPr>
                <w:sz w:val="20"/>
                <w:szCs w:val="20"/>
                <w:color w:val="auto"/>
              </w:rPr>
            </w:pPr>
            <w:r>
              <w:rPr>
                <w:rFonts w:ascii="Arial" w:cs="Arial" w:eastAsia="Arial" w:hAnsi="Arial"/>
                <w:sz w:val="16"/>
                <w:szCs w:val="16"/>
                <w:color w:val="auto"/>
              </w:rPr>
              <w:t>135  %</w:t>
            </w:r>
          </w:p>
        </w:tc>
        <w:tc>
          <w:tcPr>
            <w:tcW w:w="220" w:type="dxa"/>
            <w:vAlign w:val="bottom"/>
            <w:tcBorders>
              <w:bottom w:val="single" w:sz="8" w:color="808080"/>
            </w:tcBorders>
          </w:tcPr>
          <w:p>
            <w:pPr>
              <w:jc w:val="right"/>
              <w:ind w:right="39"/>
              <w:spacing w:after="0" w:line="183" w:lineRule="exact"/>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808080"/>
            </w:tcBorders>
          </w:tcPr>
          <w:p>
            <w:pPr>
              <w:ind w:left="120"/>
              <w:spacing w:after="0" w:line="183" w:lineRule="exact"/>
              <w:rPr>
                <w:sz w:val="20"/>
                <w:szCs w:val="20"/>
                <w:color w:val="auto"/>
              </w:rPr>
            </w:pPr>
            <w:r>
              <w:rPr>
                <w:rFonts w:ascii="Arial" w:cs="Arial" w:eastAsia="Arial" w:hAnsi="Arial"/>
                <w:sz w:val="16"/>
                <w:szCs w:val="16"/>
                <w:color w:val="auto"/>
              </w:rPr>
              <w:t>1,324,701</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320" w:right="100" w:hanging="316"/>
        <w:spacing w:after="0" w:line="316" w:lineRule="auto"/>
        <w:tabs>
          <w:tab w:leader="none" w:pos="320" w:val="left"/>
        </w:tabs>
        <w:numPr>
          <w:ilvl w:val="0"/>
          <w:numId w:val="106"/>
        </w:numPr>
        <w:rPr>
          <w:rFonts w:ascii="Arial" w:cs="Arial" w:eastAsia="Arial" w:hAnsi="Arial"/>
          <w:sz w:val="11"/>
          <w:szCs w:val="11"/>
          <w:color w:val="auto"/>
        </w:rPr>
      </w:pPr>
      <w:r>
        <w:rPr>
          <w:rFonts w:ascii="Arial" w:cs="Arial" w:eastAsia="Arial" w:hAnsi="Arial"/>
          <w:sz w:val="14"/>
          <w:szCs w:val="14"/>
          <w:color w:val="auto"/>
        </w:rPr>
        <w:t>2025 STI target opportunity ($) is determined based on a blended rate, which is the product of the NEO’s (x) blended 2025 STI Target Opportunity (%) and (y) blended base salary rate for 2025 (i.e., generally refecting the lower STI and salary (as applicable) in efect prior to April 1, 2025 for 25% of the year and the STI and salary rates in efect on and after April 1, 2025 for 75% of the year).</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414D2"/>
        </w:rPr>
        <w:t>Long-Term Incentive Program</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2025  Long-Term  Incentive  Program  Summary</w:t>
      </w:r>
    </w:p>
    <w:p>
      <w:pPr>
        <w:spacing w:after="0" w:line="127" w:lineRule="exact"/>
        <w:rPr>
          <w:sz w:val="20"/>
          <w:szCs w:val="20"/>
          <w:color w:val="auto"/>
        </w:rPr>
      </w:pPr>
    </w:p>
    <w:p>
      <w:pPr>
        <w:ind w:right="120"/>
        <w:spacing w:after="0" w:line="250" w:lineRule="auto"/>
        <w:rPr>
          <w:sz w:val="20"/>
          <w:szCs w:val="20"/>
          <w:color w:val="auto"/>
        </w:rPr>
      </w:pPr>
      <w:r>
        <w:rPr>
          <w:rFonts w:ascii="Arial" w:cs="Arial" w:eastAsia="Arial" w:hAnsi="Arial"/>
          <w:sz w:val="16"/>
          <w:szCs w:val="16"/>
          <w:color w:val="auto"/>
        </w:rPr>
        <w:t>The Committee administers our LTI program with respect to our NEOs and determines, in its informed judgment and in accordance with the terms of the compensation plans, the recipients who may be granted awards, the form and amount of awards, the terms and conditions of awards (including vesting and forfeiture conditions), the timing of awards and the form and content of award agreements. Our LTI program, like our STI program, is designed to focus the eforts of our executives on</w:t>
      </w:r>
    </w:p>
    <w:p>
      <w:pPr>
        <w:spacing w:after="0" w:line="3" w:lineRule="exact"/>
        <w:rPr>
          <w:sz w:val="20"/>
          <w:szCs w:val="20"/>
          <w:color w:val="auto"/>
        </w:rPr>
      </w:pPr>
    </w:p>
    <w:p>
      <w:pPr>
        <w:ind w:right="260"/>
        <w:spacing w:after="0" w:line="279" w:lineRule="auto"/>
        <w:rPr>
          <w:sz w:val="20"/>
          <w:szCs w:val="20"/>
          <w:color w:val="auto"/>
        </w:rPr>
      </w:pPr>
      <w:r>
        <w:rPr>
          <w:rFonts w:ascii="Arial" w:cs="Arial" w:eastAsia="Arial" w:hAnsi="Arial"/>
          <w:sz w:val="16"/>
          <w:szCs w:val="16"/>
          <w:color w:val="auto"/>
        </w:rPr>
        <w:t>key drivers of both short- and long-term success and on stockholder value creation. A signifcant percentage of our NEOs’ compensation is in the form of equity with three-year vesting periods, which is designed to promote retention and closely tie the interests of our NEOs to the interests of our stockholders.</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In  2025,  we  continued  to  grant  two  types  of  long-term  award  vehicles,  which  each  served  a  diferent  purpose:</w:t>
      </w:r>
    </w:p>
    <w:p>
      <w:pPr>
        <w:spacing w:after="0" w:line="127" w:lineRule="exact"/>
        <w:rPr>
          <w:sz w:val="20"/>
          <w:szCs w:val="20"/>
          <w:color w:val="auto"/>
        </w:rPr>
      </w:pPr>
    </w:p>
    <w:p>
      <w:pPr>
        <w:ind w:left="320" w:hanging="316"/>
        <w:spacing w:after="0" w:line="260" w:lineRule="auto"/>
        <w:tabs>
          <w:tab w:leader="none" w:pos="320" w:val="left"/>
        </w:tabs>
        <w:numPr>
          <w:ilvl w:val="0"/>
          <w:numId w:val="107"/>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Performance-Based RSUs: </w:t>
      </w:r>
      <w:r>
        <w:rPr>
          <w:rFonts w:ascii="Arial" w:cs="Arial" w:eastAsia="Arial" w:hAnsi="Arial"/>
          <w:sz w:val="16"/>
          <w:szCs w:val="16"/>
          <w:color w:val="auto"/>
        </w:rPr>
        <w:t>we grant Performance-Based RSU awards that become earned based on the achievement of</w:t>
      </w:r>
      <w:r>
        <w:rPr>
          <w:rFonts w:ascii="Arial" w:cs="Arial" w:eastAsia="Arial" w:hAnsi="Arial"/>
          <w:sz w:val="16"/>
          <w:szCs w:val="16"/>
          <w:b w:val="1"/>
          <w:bCs w:val="1"/>
          <w:color w:val="auto"/>
        </w:rPr>
        <w:t xml:space="preserve"> </w:t>
      </w:r>
      <w:r>
        <w:rPr>
          <w:rFonts w:ascii="Arial" w:cs="Arial" w:eastAsia="Arial" w:hAnsi="Arial"/>
          <w:sz w:val="16"/>
          <w:szCs w:val="16"/>
          <w:color w:val="auto"/>
        </w:rPr>
        <w:t>key fnancial goals and strategic initiatives determined based on the Company’s business plan for the fscal year, in order to motivate management to contribute to our future success. The Committee links award payouts to the achievement of clear, preset, measurable performance measures that are designed to be appropriately rigorous and challenging to attain, require strong performance and execution to achieve, support our strategic and operational priorities and promote the creation of sustained stockholder value while at the same time taking care to not incentivize our executives to take inappropriate risk.</w:t>
      </w:r>
    </w:p>
    <w:p>
      <w:pPr>
        <w:spacing w:after="0" w:line="261" w:lineRule="exact"/>
        <w:rPr>
          <w:rFonts w:ascii="Times New Roman" w:cs="Times New Roman" w:eastAsia="Times New Roman" w:hAnsi="Times New Roman"/>
          <w:sz w:val="16"/>
          <w:szCs w:val="16"/>
          <w:color w:val="auto"/>
        </w:rPr>
      </w:pPr>
    </w:p>
    <w:p>
      <w:pPr>
        <w:ind w:left="320" w:right="60"/>
        <w:spacing w:after="0" w:line="260" w:lineRule="auto"/>
        <w:rPr>
          <w:rFonts w:ascii="Times New Roman" w:cs="Times New Roman" w:eastAsia="Times New Roman" w:hAnsi="Times New Roman"/>
          <w:sz w:val="16"/>
          <w:szCs w:val="16"/>
          <w:color w:val="auto"/>
        </w:rPr>
      </w:pPr>
      <w:r>
        <w:rPr>
          <w:rFonts w:ascii="Arial" w:cs="Arial" w:eastAsia="Arial" w:hAnsi="Arial"/>
          <w:sz w:val="16"/>
          <w:szCs w:val="16"/>
          <w:color w:val="auto"/>
        </w:rPr>
        <w:t>When establishing our LTI program, the Committee carefully considers the design of the program, including the length of the performance period. Since 2022, when the Company returned to its practice of awarding long-term Performance-Based RSUs, the Company has utilized a structure whereby performance measures are set in one-third increments at the beginning of each year of the three-year performance periods. Over the past three years, the structure of this program has been successful for the Company in its ability to both incentivize management towards performance measures that are aligned with evolving market conditions, strategic priorities and our fnancial forecasts, as well as to retain our key executives. As a result, the Committee continued to employ this structure in the 2025 LTI program.</w:t>
      </w:r>
    </w:p>
    <w:p>
      <w:pPr>
        <w:sectPr>
          <w:pgSz w:w="11900" w:h="16838" w:orient="portrait"/>
          <w:cols w:equalWidth="0" w:num="1">
            <w:col w:w="9720"/>
          </w:cols>
          <w:pgMar w:left="1080" w:top="695"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ind w:right="7720"/>
        <w:spacing w:after="0"/>
        <w:rPr>
          <w:sz w:val="20"/>
          <w:szCs w:val="20"/>
          <w:color w:val="auto"/>
        </w:rPr>
      </w:pPr>
      <w:r>
        <w:rPr>
          <w:rFonts w:ascii="Arial" w:cs="Arial" w:eastAsia="Arial" w:hAnsi="Arial"/>
          <w:sz w:val="16"/>
          <w:szCs w:val="16"/>
          <w:color w:val="auto"/>
        </w:rPr>
        <w:t>​​2026​  Proxy</w:t>
      </w:r>
    </w:p>
    <w:p>
      <w:pPr>
        <w:spacing w:after="0" w:line="5" w:lineRule="exact"/>
        <w:rPr>
          <w:sz w:val="20"/>
          <w:szCs w:val="20"/>
          <w:color w:val="auto"/>
        </w:rPr>
      </w:pPr>
    </w:p>
    <w:p>
      <w:pPr>
        <w:ind w:left="660" w:hanging="656"/>
        <w:spacing w:after="0"/>
        <w:tabs>
          <w:tab w:leader="none" w:pos="660" w:val="left"/>
        </w:tabs>
        <w:numPr>
          <w:ilvl w:val="0"/>
          <w:numId w:val="108"/>
        </w:numPr>
        <w:rPr>
          <w:rFonts w:ascii="Arial" w:cs="Arial" w:eastAsia="Arial" w:hAnsi="Arial"/>
          <w:sz w:val="16"/>
          <w:szCs w:val="16"/>
          <w:b w:val="1"/>
          <w:bCs w:val="1"/>
          <w:color w:val="1414D2"/>
        </w:rPr>
      </w:pPr>
      <w:r>
        <w:rPr>
          <w:rFonts w:ascii="Arial" w:cs="Arial" w:eastAsia="Arial" w:hAnsi="Arial"/>
          <w:sz w:val="16"/>
          <w:szCs w:val="16"/>
          <w:color w:val="auto"/>
        </w:rPr>
        <w:t>Statement</w:t>
      </w:r>
    </w:p>
    <w:p>
      <w:pPr>
        <w:sectPr>
          <w:pgSz w:w="11900" w:h="16838" w:orient="portrait"/>
          <w:cols w:equalWidth="0" w:num="1">
            <w:col w:w="9720"/>
          </w:cols>
          <w:pgMar w:left="1080" w:top="695" w:right="1099" w:bottom="1440" w:gutter="0" w:footer="0" w:header="0"/>
          <w:type w:val="continuous"/>
        </w:sectPr>
      </w:pPr>
    </w:p>
    <w:bookmarkStart w:id="109" w:name="page110"/>
    <w:bookmarkEnd w:id="109"/>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27" w:lineRule="exact"/>
        <w:rPr>
          <w:sz w:val="20"/>
          <w:szCs w:val="20"/>
          <w:color w:val="auto"/>
        </w:rPr>
      </w:pPr>
    </w:p>
    <w:p>
      <w:pPr>
        <w:ind w:left="7100"/>
        <w:spacing w:after="0"/>
        <w:rPr>
          <w:sz w:val="20"/>
          <w:szCs w:val="20"/>
          <w:color w:val="auto"/>
        </w:rPr>
      </w:pPr>
      <w:r>
        <w:rPr>
          <w:rFonts w:ascii="Arial" w:cs="Arial" w:eastAsia="Arial" w:hAnsi="Arial"/>
          <w:sz w:val="14"/>
          <w:szCs w:val="14"/>
          <w:color w:val="6D6F71"/>
        </w:rPr>
        <w:t>Compensation  Discussion  and  Analysis</w:t>
      </w:r>
    </w:p>
    <w:p>
      <w:pPr>
        <w:spacing w:after="0" w:line="225" w:lineRule="exact"/>
        <w:rPr>
          <w:sz w:val="20"/>
          <w:szCs w:val="20"/>
          <w:color w:val="auto"/>
        </w:rPr>
      </w:pPr>
    </w:p>
    <w:p>
      <w:pPr>
        <w:ind w:left="320" w:right="220"/>
        <w:spacing w:after="0" w:line="255" w:lineRule="auto"/>
        <w:rPr>
          <w:sz w:val="20"/>
          <w:szCs w:val="20"/>
          <w:color w:val="auto"/>
        </w:rPr>
      </w:pPr>
      <w:r>
        <w:rPr>
          <w:rFonts w:ascii="Arial" w:cs="Arial" w:eastAsia="Arial" w:hAnsi="Arial"/>
          <w:sz w:val="16"/>
          <w:szCs w:val="16"/>
          <w:color w:val="auto"/>
        </w:rPr>
        <w:t>The three-year nature of each Performance-Based RSU grant means that in any year, a NEO can have Performance-Based RSUs relating to up to three performance periods outstanding at any time. Amounts earned for each of these one-year</w:t>
      </w:r>
    </w:p>
    <w:p>
      <w:pPr>
        <w:spacing w:after="0" w:line="1" w:lineRule="exact"/>
        <w:rPr>
          <w:sz w:val="20"/>
          <w:szCs w:val="20"/>
          <w:color w:val="auto"/>
        </w:rPr>
      </w:pPr>
    </w:p>
    <w:p>
      <w:pPr>
        <w:ind w:left="320" w:right="140"/>
        <w:spacing w:after="0" w:line="250" w:lineRule="auto"/>
        <w:rPr>
          <w:sz w:val="20"/>
          <w:szCs w:val="20"/>
          <w:color w:val="auto"/>
        </w:rPr>
      </w:pPr>
      <w:r>
        <w:rPr>
          <w:rFonts w:ascii="Arial" w:cs="Arial" w:eastAsia="Arial" w:hAnsi="Arial"/>
          <w:sz w:val="16"/>
          <w:szCs w:val="16"/>
          <w:color w:val="auto"/>
        </w:rPr>
        <w:t>tranches are accrued and paid at the end of the full three-year award cycle, contingent on continued employment through this period, subject to limited exceptions. Each tranche represents the performance measures and targets established by the Committee with respect to 1/3 of the target opportunity under the Performance-Based RSUs. Given that each year’s awards have an overlapping performance period from the prior year, we believe these awards provide the right balance</w:t>
      </w:r>
    </w:p>
    <w:p>
      <w:pPr>
        <w:spacing w:after="0" w:line="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between  short-term  and  long-term  focus.</w:t>
      </w:r>
    </w:p>
    <w:p>
      <w:pPr>
        <w:spacing w:after="0" w:line="113" w:lineRule="exact"/>
        <w:rPr>
          <w:sz w:val="20"/>
          <w:szCs w:val="20"/>
          <w:color w:val="auto"/>
        </w:rPr>
      </w:pPr>
    </w:p>
    <w:p>
      <w:pPr>
        <w:ind w:left="320" w:right="80"/>
        <w:spacing w:after="0" w:line="279" w:lineRule="auto"/>
        <w:rPr>
          <w:sz w:val="20"/>
          <w:szCs w:val="20"/>
          <w:color w:val="auto"/>
        </w:rPr>
      </w:pPr>
      <w:r>
        <w:rPr>
          <w:rFonts w:ascii="Arial" w:cs="Arial" w:eastAsia="Arial" w:hAnsi="Arial"/>
          <w:sz w:val="16"/>
          <w:szCs w:val="16"/>
          <w:color w:val="auto"/>
        </w:rPr>
        <w:t>Performance-Based RSUs awarded in 2025 as part of our regular LTI Program are referred to herein as “2025 Performance-Based RSUs,” the Performance-Based RSUs awarded in 2024 are referred to as “2024 Performance-Based RSUs” and the Performance-Based RSUs awarded in 2023 are referred to as “2023 Performance-Based RSUs.”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5"/>
        </w:trPr>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520" w:type="dxa"/>
            <w:vAlign w:val="bottom"/>
            <w:shd w:val="clear" w:color="auto" w:fill="F2F2F2"/>
          </w:tcPr>
          <w:p>
            <w:pPr>
              <w:spacing w:after="0"/>
              <w:rPr>
                <w:sz w:val="16"/>
                <w:szCs w:val="16"/>
                <w:color w:val="auto"/>
              </w:rPr>
            </w:pPr>
          </w:p>
        </w:tc>
        <w:tc>
          <w:tcPr>
            <w:tcW w:w="460" w:type="dxa"/>
            <w:vAlign w:val="bottom"/>
            <w:gridSpan w:val="2"/>
            <w:shd w:val="clear" w:color="auto" w:fill="F2F2F2"/>
          </w:tcPr>
          <w:p>
            <w:pPr>
              <w:ind w:left="40"/>
              <w:spacing w:after="0"/>
              <w:rPr>
                <w:sz w:val="20"/>
                <w:szCs w:val="20"/>
                <w:color w:val="auto"/>
              </w:rPr>
            </w:pPr>
            <w:r>
              <w:rPr>
                <w:rFonts w:ascii="Arial" w:cs="Arial" w:eastAsia="Arial" w:hAnsi="Arial"/>
                <w:sz w:val="16"/>
                <w:szCs w:val="16"/>
                <w:color w:val="auto"/>
              </w:rPr>
              <w:t>​​​</w:t>
            </w:r>
          </w:p>
        </w:tc>
        <w:tc>
          <w:tcPr>
            <w:tcW w:w="1160" w:type="dxa"/>
            <w:vAlign w:val="bottom"/>
            <w:shd w:val="clear" w:color="auto" w:fill="F2F2F2"/>
          </w:tcPr>
          <w:p>
            <w:pPr>
              <w:ind w:left="240"/>
              <w:spacing w:after="0"/>
              <w:rPr>
                <w:sz w:val="20"/>
                <w:szCs w:val="20"/>
                <w:color w:val="auto"/>
              </w:rPr>
            </w:pPr>
            <w:r>
              <w:rPr>
                <w:rFonts w:ascii="Arial" w:cs="Arial" w:eastAsia="Arial" w:hAnsi="Arial"/>
                <w:sz w:val="16"/>
                <w:szCs w:val="16"/>
                <w:b w:val="1"/>
                <w:bCs w:val="1"/>
                <w:color w:val="auto"/>
              </w:rPr>
              <w:t>2023</w:t>
            </w:r>
          </w:p>
        </w:tc>
        <w:tc>
          <w:tcPr>
            <w:tcW w:w="480" w:type="dxa"/>
            <w:vAlign w:val="bottom"/>
            <w:gridSpan w:val="2"/>
            <w:shd w:val="clear" w:color="auto" w:fill="F2F2F2"/>
          </w:tcPr>
          <w:p>
            <w:pPr>
              <w:ind w:left="80"/>
              <w:spacing w:after="0"/>
              <w:rPr>
                <w:sz w:val="20"/>
                <w:szCs w:val="20"/>
                <w:color w:val="auto"/>
              </w:rPr>
            </w:pPr>
            <w:r>
              <w:rPr>
                <w:rFonts w:ascii="Arial" w:cs="Arial" w:eastAsia="Arial" w:hAnsi="Arial"/>
                <w:sz w:val="16"/>
                <w:szCs w:val="16"/>
                <w:color w:val="auto"/>
              </w:rPr>
              <w:t>​​​</w:t>
            </w:r>
          </w:p>
        </w:tc>
        <w:tc>
          <w:tcPr>
            <w:tcW w:w="1180" w:type="dxa"/>
            <w:vAlign w:val="bottom"/>
            <w:tcBorders>
              <w:right w:val="single" w:sz="8" w:color="F2F2F2"/>
            </w:tcBorders>
            <w:shd w:val="clear" w:color="auto" w:fill="F2F2F2"/>
          </w:tcPr>
          <w:p>
            <w:pPr>
              <w:jc w:val="center"/>
              <w:ind w:right="248"/>
              <w:spacing w:after="0"/>
              <w:rPr>
                <w:sz w:val="20"/>
                <w:szCs w:val="20"/>
                <w:color w:val="auto"/>
              </w:rPr>
            </w:pPr>
            <w:r>
              <w:rPr>
                <w:rFonts w:ascii="Arial" w:cs="Arial" w:eastAsia="Arial" w:hAnsi="Arial"/>
                <w:sz w:val="16"/>
                <w:szCs w:val="16"/>
                <w:b w:val="1"/>
                <w:bCs w:val="1"/>
                <w:color w:val="auto"/>
              </w:rPr>
              <w:t>2024</w:t>
            </w:r>
          </w:p>
        </w:tc>
        <w:tc>
          <w:tcPr>
            <w:tcW w:w="460" w:type="dxa"/>
            <w:vAlign w:val="bottom"/>
            <w:gridSpan w:val="2"/>
            <w:shd w:val="clear" w:color="auto" w:fill="F2F2F2"/>
          </w:tcPr>
          <w:p>
            <w:pPr>
              <w:ind w:left="80"/>
              <w:spacing w:after="0"/>
              <w:rPr>
                <w:sz w:val="20"/>
                <w:szCs w:val="20"/>
                <w:color w:val="auto"/>
              </w:rPr>
            </w:pPr>
            <w:r>
              <w:rPr>
                <w:rFonts w:ascii="Arial" w:cs="Arial" w:eastAsia="Arial" w:hAnsi="Arial"/>
                <w:sz w:val="16"/>
                <w:szCs w:val="16"/>
                <w:color w:val="auto"/>
              </w:rPr>
              <w:t>​​​</w:t>
            </w:r>
          </w:p>
        </w:tc>
        <w:tc>
          <w:tcPr>
            <w:tcW w:w="1180" w:type="dxa"/>
            <w:vAlign w:val="bottom"/>
            <w:shd w:val="clear" w:color="auto" w:fill="F2F2F2"/>
          </w:tcPr>
          <w:p>
            <w:pPr>
              <w:jc w:val="center"/>
              <w:ind w:right="228"/>
              <w:spacing w:after="0"/>
              <w:rPr>
                <w:sz w:val="20"/>
                <w:szCs w:val="20"/>
                <w:color w:val="auto"/>
              </w:rPr>
            </w:pPr>
            <w:r>
              <w:rPr>
                <w:rFonts w:ascii="Arial" w:cs="Arial" w:eastAsia="Arial" w:hAnsi="Arial"/>
                <w:sz w:val="16"/>
                <w:szCs w:val="16"/>
                <w:b w:val="1"/>
                <w:bCs w:val="1"/>
                <w:color w:val="auto"/>
              </w:rPr>
              <w:t>2025</w:t>
            </w:r>
          </w:p>
        </w:tc>
        <w:tc>
          <w:tcPr>
            <w:tcW w:w="480" w:type="dxa"/>
            <w:vAlign w:val="bottom"/>
            <w:gridSpan w:val="2"/>
            <w:shd w:val="clear" w:color="auto" w:fill="F2F2F2"/>
          </w:tcPr>
          <w:p>
            <w:pPr>
              <w:ind w:left="80"/>
              <w:spacing w:after="0"/>
              <w:rPr>
                <w:sz w:val="20"/>
                <w:szCs w:val="20"/>
                <w:color w:val="auto"/>
              </w:rPr>
            </w:pPr>
            <w:r>
              <w:rPr>
                <w:rFonts w:ascii="Arial" w:cs="Arial" w:eastAsia="Arial" w:hAnsi="Arial"/>
                <w:sz w:val="16"/>
                <w:szCs w:val="16"/>
                <w:color w:val="auto"/>
              </w:rPr>
              <w:t>​​​</w:t>
            </w:r>
          </w:p>
        </w:tc>
        <w:tc>
          <w:tcPr>
            <w:tcW w:w="1180" w:type="dxa"/>
            <w:vAlign w:val="bottom"/>
            <w:tcBorders>
              <w:right w:val="single" w:sz="8" w:color="F2F2F2"/>
            </w:tcBorders>
            <w:shd w:val="clear" w:color="auto" w:fill="F2F2F2"/>
          </w:tcPr>
          <w:p>
            <w:pPr>
              <w:jc w:val="center"/>
              <w:ind w:right="247"/>
              <w:spacing w:after="0"/>
              <w:rPr>
                <w:sz w:val="20"/>
                <w:szCs w:val="20"/>
                <w:color w:val="auto"/>
              </w:rPr>
            </w:pPr>
            <w:r>
              <w:rPr>
                <w:rFonts w:ascii="Arial" w:cs="Arial" w:eastAsia="Arial" w:hAnsi="Arial"/>
                <w:sz w:val="16"/>
                <w:szCs w:val="16"/>
                <w:b w:val="1"/>
                <w:bCs w:val="1"/>
                <w:color w:val="auto"/>
              </w:rPr>
              <w:t>2026</w:t>
            </w:r>
          </w:p>
        </w:tc>
        <w:tc>
          <w:tcPr>
            <w:tcW w:w="460" w:type="dxa"/>
            <w:vAlign w:val="bottom"/>
            <w:gridSpan w:val="2"/>
            <w:shd w:val="clear" w:color="auto" w:fill="F2F2F2"/>
          </w:tcPr>
          <w:p>
            <w:pPr>
              <w:ind w:left="80"/>
              <w:spacing w:after="0"/>
              <w:rPr>
                <w:sz w:val="20"/>
                <w:szCs w:val="20"/>
                <w:color w:val="auto"/>
              </w:rPr>
            </w:pPr>
            <w:r>
              <w:rPr>
                <w:rFonts w:ascii="Arial" w:cs="Arial" w:eastAsia="Arial" w:hAnsi="Arial"/>
                <w:sz w:val="16"/>
                <w:szCs w:val="16"/>
                <w:color w:val="auto"/>
              </w:rPr>
              <w:t>​​​</w:t>
            </w:r>
          </w:p>
        </w:tc>
        <w:tc>
          <w:tcPr>
            <w:tcW w:w="1160" w:type="dxa"/>
            <w:vAlign w:val="bottom"/>
            <w:shd w:val="clear" w:color="auto" w:fill="F2F2F2"/>
          </w:tcPr>
          <w:p>
            <w:pPr>
              <w:ind w:left="240"/>
              <w:spacing w:after="0"/>
              <w:rPr>
                <w:sz w:val="20"/>
                <w:szCs w:val="20"/>
                <w:color w:val="auto"/>
              </w:rPr>
            </w:pPr>
            <w:r>
              <w:rPr>
                <w:rFonts w:ascii="Arial" w:cs="Arial" w:eastAsia="Arial" w:hAnsi="Arial"/>
                <w:sz w:val="16"/>
                <w:szCs w:val="16"/>
                <w:b w:val="1"/>
                <w:bCs w:val="1"/>
                <w:color w:val="auto"/>
              </w:rPr>
              <w:t>2027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520" w:type="dxa"/>
            <w:vAlign w:val="bottom"/>
            <w:tcBorders>
              <w:top w:val="single" w:sz="8" w:color="F2F2F2"/>
            </w:tcBorders>
            <w:vMerge w:val="restart"/>
          </w:tcPr>
          <w:p>
            <w:pPr>
              <w:jc w:val="right"/>
              <w:spacing w:after="0"/>
              <w:rPr>
                <w:sz w:val="20"/>
                <w:szCs w:val="20"/>
                <w:color w:val="auto"/>
              </w:rPr>
            </w:pPr>
            <w:r>
              <w:rPr>
                <w:rFonts w:ascii="Arial" w:cs="Arial" w:eastAsia="Arial" w:hAnsi="Arial"/>
                <w:sz w:val="16"/>
                <w:szCs w:val="16"/>
                <w:b w:val="1"/>
                <w:bCs w:val="1"/>
                <w:color w:val="auto"/>
              </w:rPr>
              <w:t>2023</w:t>
            </w:r>
          </w:p>
        </w:tc>
        <w:tc>
          <w:tcPr>
            <w:tcW w:w="180" w:type="dxa"/>
            <w:vAlign w:val="bottom"/>
            <w:tcBorders>
              <w:top w:val="single" w:sz="8" w:color="F2F2F2"/>
              <w:right w:val="single" w:sz="8" w:color="1414D2"/>
            </w:tcBorders>
          </w:tcPr>
          <w:p>
            <w:pPr>
              <w:spacing w:after="0"/>
              <w:rPr>
                <w:sz w:val="17"/>
                <w:szCs w:val="17"/>
                <w:color w:val="auto"/>
              </w:rPr>
            </w:pPr>
          </w:p>
        </w:tc>
        <w:tc>
          <w:tcPr>
            <w:tcW w:w="280" w:type="dxa"/>
            <w:vAlign w:val="bottom"/>
            <w:tcBorders>
              <w:top w:val="single" w:sz="8" w:color="1414D2"/>
            </w:tcBorders>
            <w:shd w:val="clear" w:color="auto" w:fill="1414D2"/>
          </w:tcPr>
          <w:p>
            <w:pPr>
              <w:spacing w:after="0"/>
              <w:rPr>
                <w:sz w:val="17"/>
                <w:szCs w:val="17"/>
                <w:color w:val="auto"/>
              </w:rPr>
            </w:pPr>
          </w:p>
        </w:tc>
        <w:tc>
          <w:tcPr>
            <w:tcW w:w="1160" w:type="dxa"/>
            <w:vAlign w:val="bottom"/>
            <w:tcBorders>
              <w:top w:val="single" w:sz="8" w:color="1414D2"/>
            </w:tcBorders>
            <w:shd w:val="clear" w:color="auto" w:fill="1414D2"/>
          </w:tcPr>
          <w:p>
            <w:pPr>
              <w:ind w:left="200"/>
              <w:spacing w:after="0"/>
              <w:rPr>
                <w:sz w:val="20"/>
                <w:szCs w:val="20"/>
                <w:color w:val="auto"/>
              </w:rPr>
            </w:pPr>
            <w:r>
              <w:rPr>
                <w:rFonts w:ascii="Arial" w:cs="Arial" w:eastAsia="Arial" w:hAnsi="Arial"/>
                <w:sz w:val="14"/>
                <w:szCs w:val="14"/>
                <w:b w:val="1"/>
                <w:bCs w:val="1"/>
                <w:color w:val="FFFFFF"/>
              </w:rPr>
              <w:t>Year 1</w:t>
            </w:r>
          </w:p>
        </w:tc>
        <w:tc>
          <w:tcPr>
            <w:tcW w:w="180" w:type="dxa"/>
            <w:vAlign w:val="bottom"/>
            <w:tcBorders>
              <w:top w:val="single" w:sz="8" w:color="F2F2F2"/>
            </w:tcBorders>
          </w:tcPr>
          <w:p>
            <w:pPr>
              <w:spacing w:after="0"/>
              <w:rPr>
                <w:sz w:val="17"/>
                <w:szCs w:val="17"/>
                <w:color w:val="auto"/>
              </w:rPr>
            </w:pPr>
          </w:p>
        </w:tc>
        <w:tc>
          <w:tcPr>
            <w:tcW w:w="300" w:type="dxa"/>
            <w:vAlign w:val="bottom"/>
            <w:tcBorders>
              <w:top w:val="single" w:sz="8" w:color="1414D2"/>
            </w:tcBorders>
            <w:shd w:val="clear" w:color="auto" w:fill="1414D2"/>
          </w:tcPr>
          <w:p>
            <w:pPr>
              <w:spacing w:after="0"/>
              <w:rPr>
                <w:sz w:val="17"/>
                <w:szCs w:val="17"/>
                <w:color w:val="auto"/>
              </w:rPr>
            </w:pPr>
          </w:p>
        </w:tc>
        <w:tc>
          <w:tcPr>
            <w:tcW w:w="1180" w:type="dxa"/>
            <w:vAlign w:val="bottom"/>
            <w:tcBorders>
              <w:top w:val="single" w:sz="8" w:color="1414D2"/>
              <w:right w:val="single" w:sz="8" w:color="1414D2"/>
            </w:tcBorders>
            <w:shd w:val="clear" w:color="auto" w:fill="1414D2"/>
          </w:tcPr>
          <w:p>
            <w:pPr>
              <w:jc w:val="center"/>
              <w:ind w:right="228"/>
              <w:spacing w:after="0"/>
              <w:rPr>
                <w:sz w:val="20"/>
                <w:szCs w:val="20"/>
                <w:color w:val="auto"/>
              </w:rPr>
            </w:pPr>
            <w:r>
              <w:rPr>
                <w:rFonts w:ascii="Arial" w:cs="Arial" w:eastAsia="Arial" w:hAnsi="Arial"/>
                <w:sz w:val="14"/>
                <w:szCs w:val="14"/>
                <w:b w:val="1"/>
                <w:bCs w:val="1"/>
                <w:color w:val="FFFFFF"/>
              </w:rPr>
              <w:t>Year 2</w:t>
            </w:r>
          </w:p>
        </w:tc>
        <w:tc>
          <w:tcPr>
            <w:tcW w:w="160" w:type="dxa"/>
            <w:vAlign w:val="bottom"/>
            <w:tcBorders>
              <w:top w:val="single" w:sz="8" w:color="F2F2F2"/>
            </w:tcBorders>
          </w:tcPr>
          <w:p>
            <w:pPr>
              <w:spacing w:after="0"/>
              <w:rPr>
                <w:sz w:val="17"/>
                <w:szCs w:val="17"/>
                <w:color w:val="auto"/>
              </w:rPr>
            </w:pPr>
          </w:p>
        </w:tc>
        <w:tc>
          <w:tcPr>
            <w:tcW w:w="300" w:type="dxa"/>
            <w:vAlign w:val="bottom"/>
            <w:tcBorders>
              <w:top w:val="single" w:sz="8" w:color="1414D2"/>
            </w:tcBorders>
            <w:shd w:val="clear" w:color="auto" w:fill="1414D2"/>
          </w:tcPr>
          <w:p>
            <w:pPr>
              <w:spacing w:after="0"/>
              <w:rPr>
                <w:sz w:val="17"/>
                <w:szCs w:val="17"/>
                <w:color w:val="auto"/>
              </w:rPr>
            </w:pPr>
          </w:p>
        </w:tc>
        <w:tc>
          <w:tcPr>
            <w:tcW w:w="1180" w:type="dxa"/>
            <w:vAlign w:val="bottom"/>
            <w:tcBorders>
              <w:top w:val="single" w:sz="8" w:color="1414D2"/>
            </w:tcBorders>
            <w:shd w:val="clear" w:color="auto" w:fill="1414D2"/>
          </w:tcPr>
          <w:p>
            <w:pPr>
              <w:jc w:val="center"/>
              <w:ind w:right="228"/>
              <w:spacing w:after="0"/>
              <w:rPr>
                <w:sz w:val="20"/>
                <w:szCs w:val="20"/>
                <w:color w:val="auto"/>
              </w:rPr>
            </w:pPr>
            <w:r>
              <w:rPr>
                <w:rFonts w:ascii="Arial" w:cs="Arial" w:eastAsia="Arial" w:hAnsi="Arial"/>
                <w:sz w:val="14"/>
                <w:szCs w:val="14"/>
                <w:b w:val="1"/>
                <w:bCs w:val="1"/>
                <w:color w:val="FFFFFF"/>
              </w:rPr>
              <w:t>Year 3</w:t>
            </w:r>
          </w:p>
        </w:tc>
        <w:tc>
          <w:tcPr>
            <w:tcW w:w="200" w:type="dxa"/>
            <w:vAlign w:val="bottom"/>
            <w:tcBorders>
              <w:top w:val="single" w:sz="8" w:color="F2F2F2"/>
            </w:tcBorders>
          </w:tcPr>
          <w:p>
            <w:pPr>
              <w:spacing w:after="0"/>
              <w:rPr>
                <w:sz w:val="17"/>
                <w:szCs w:val="17"/>
                <w:color w:val="auto"/>
              </w:rPr>
            </w:pPr>
          </w:p>
        </w:tc>
        <w:tc>
          <w:tcPr>
            <w:tcW w:w="280" w:type="dxa"/>
            <w:vAlign w:val="bottom"/>
            <w:tcBorders>
              <w:top w:val="single" w:sz="8" w:color="F2F2F2"/>
            </w:tcBorders>
          </w:tcPr>
          <w:p>
            <w:pPr>
              <w:spacing w:after="0"/>
              <w:rPr>
                <w:sz w:val="17"/>
                <w:szCs w:val="17"/>
                <w:color w:val="auto"/>
              </w:rPr>
            </w:pPr>
          </w:p>
        </w:tc>
        <w:tc>
          <w:tcPr>
            <w:tcW w:w="1180" w:type="dxa"/>
            <w:vAlign w:val="bottom"/>
            <w:tcBorders>
              <w:top w:val="single" w:sz="8" w:color="F2F2F2"/>
            </w:tcBorders>
          </w:tcPr>
          <w:p>
            <w:pPr>
              <w:spacing w:after="0"/>
              <w:rPr>
                <w:sz w:val="17"/>
                <w:szCs w:val="17"/>
                <w:color w:val="auto"/>
              </w:rPr>
            </w:pPr>
          </w:p>
        </w:tc>
        <w:tc>
          <w:tcPr>
            <w:tcW w:w="180" w:type="dxa"/>
            <w:vAlign w:val="bottom"/>
            <w:tcBorders>
              <w:top w:val="single" w:sz="8" w:color="F2F2F2"/>
            </w:tcBorders>
          </w:tcPr>
          <w:p>
            <w:pPr>
              <w:spacing w:after="0"/>
              <w:rPr>
                <w:sz w:val="17"/>
                <w:szCs w:val="17"/>
                <w:color w:val="auto"/>
              </w:rPr>
            </w:pPr>
          </w:p>
        </w:tc>
        <w:tc>
          <w:tcPr>
            <w:tcW w:w="280" w:type="dxa"/>
            <w:vAlign w:val="bottom"/>
            <w:tcBorders>
              <w:top w:val="single" w:sz="8" w:color="F2F2F2"/>
            </w:tcBorders>
          </w:tcPr>
          <w:p>
            <w:pPr>
              <w:spacing w:after="0"/>
              <w:rPr>
                <w:sz w:val="17"/>
                <w:szCs w:val="17"/>
                <w:color w:val="auto"/>
              </w:rPr>
            </w:pPr>
          </w:p>
        </w:tc>
        <w:tc>
          <w:tcPr>
            <w:tcW w:w="1160" w:type="dxa"/>
            <w:vAlign w:val="bottom"/>
            <w:tcBorders>
              <w:top w:val="single" w:sz="8" w:color="F2F2F2"/>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1520" w:type="dxa"/>
            <w:vAlign w:val="bottom"/>
            <w:vMerge w:val="continue"/>
          </w:tcPr>
          <w:p>
            <w:pPr>
              <w:spacing w:after="0"/>
              <w:rPr>
                <w:sz w:val="8"/>
                <w:szCs w:val="8"/>
                <w:color w:val="auto"/>
              </w:rPr>
            </w:pPr>
          </w:p>
        </w:tc>
        <w:tc>
          <w:tcPr>
            <w:tcW w:w="180" w:type="dxa"/>
            <w:vAlign w:val="bottom"/>
            <w:tcBorders>
              <w:right w:val="single" w:sz="8" w:color="1414D2"/>
            </w:tcBorders>
          </w:tcPr>
          <w:p>
            <w:pPr>
              <w:spacing w:after="0"/>
              <w:rPr>
                <w:sz w:val="8"/>
                <w:szCs w:val="8"/>
                <w:color w:val="auto"/>
              </w:rPr>
            </w:pPr>
          </w:p>
        </w:tc>
        <w:tc>
          <w:tcPr>
            <w:tcW w:w="280" w:type="dxa"/>
            <w:vAlign w:val="bottom"/>
            <w:vMerge w:val="restart"/>
            <w:shd w:val="clear" w:color="auto" w:fill="1414D2"/>
          </w:tcPr>
          <w:p>
            <w:pPr>
              <w:ind w:left="120"/>
              <w:spacing w:after="0"/>
              <w:rPr>
                <w:sz w:val="20"/>
                <w:szCs w:val="20"/>
                <w:color w:val="auto"/>
              </w:rPr>
            </w:pPr>
            <w:r>
              <w:rPr>
                <w:rFonts w:ascii="Times New Roman" w:cs="Times New Roman" w:eastAsia="Times New Roman" w:hAnsi="Times New Roman"/>
                <w:sz w:val="14"/>
                <w:szCs w:val="14"/>
                <w:color w:val="FFFFFF"/>
              </w:rPr>
              <w:t>●</w:t>
            </w:r>
          </w:p>
        </w:tc>
        <w:tc>
          <w:tcPr>
            <w:tcW w:w="1160" w:type="dxa"/>
            <w:vAlign w:val="bottom"/>
            <w:vMerge w:val="restart"/>
            <w:shd w:val="clear" w:color="auto" w:fill="1414D2"/>
          </w:tcPr>
          <w:p>
            <w:pPr>
              <w:ind w:left="60"/>
              <w:spacing w:after="0"/>
              <w:rPr>
                <w:sz w:val="20"/>
                <w:szCs w:val="20"/>
                <w:color w:val="auto"/>
              </w:rPr>
            </w:pPr>
            <w:r>
              <w:rPr>
                <w:rFonts w:ascii="Arial" w:cs="Arial" w:eastAsia="Arial" w:hAnsi="Arial"/>
                <w:sz w:val="14"/>
                <w:szCs w:val="14"/>
                <w:color w:val="FFFFFF"/>
              </w:rPr>
              <w:t>Relative  CASM-</w:t>
            </w:r>
          </w:p>
        </w:tc>
        <w:tc>
          <w:tcPr>
            <w:tcW w:w="180" w:type="dxa"/>
            <w:vAlign w:val="bottom"/>
          </w:tcPr>
          <w:p>
            <w:pPr>
              <w:spacing w:after="0"/>
              <w:rPr>
                <w:sz w:val="8"/>
                <w:szCs w:val="8"/>
                <w:color w:val="auto"/>
              </w:rPr>
            </w:pPr>
          </w:p>
        </w:tc>
        <w:tc>
          <w:tcPr>
            <w:tcW w:w="300" w:type="dxa"/>
            <w:vAlign w:val="bottom"/>
            <w:vMerge w:val="restart"/>
            <w:shd w:val="clear" w:color="auto" w:fill="1414D2"/>
          </w:tcPr>
          <w:p>
            <w:pPr>
              <w:ind w:left="140"/>
              <w:spacing w:after="0"/>
              <w:rPr>
                <w:sz w:val="20"/>
                <w:szCs w:val="20"/>
                <w:color w:val="auto"/>
              </w:rPr>
            </w:pPr>
            <w:r>
              <w:rPr>
                <w:rFonts w:ascii="Times New Roman" w:cs="Times New Roman" w:eastAsia="Times New Roman" w:hAnsi="Times New Roman"/>
                <w:sz w:val="14"/>
                <w:szCs w:val="14"/>
                <w:color w:val="FFFFFF"/>
              </w:rPr>
              <w:t>●</w:t>
            </w:r>
          </w:p>
        </w:tc>
        <w:tc>
          <w:tcPr>
            <w:tcW w:w="1180" w:type="dxa"/>
            <w:vAlign w:val="bottom"/>
            <w:tcBorders>
              <w:right w:val="single" w:sz="8" w:color="1414D2"/>
            </w:tcBorders>
            <w:vMerge w:val="restart"/>
            <w:shd w:val="clear" w:color="auto" w:fill="1414D2"/>
          </w:tcPr>
          <w:p>
            <w:pPr>
              <w:ind w:left="60"/>
              <w:spacing w:after="0"/>
              <w:rPr>
                <w:sz w:val="20"/>
                <w:szCs w:val="20"/>
                <w:color w:val="auto"/>
              </w:rPr>
            </w:pPr>
            <w:r>
              <w:rPr>
                <w:rFonts w:ascii="Arial" w:cs="Arial" w:eastAsia="Arial" w:hAnsi="Arial"/>
                <w:sz w:val="14"/>
                <w:szCs w:val="14"/>
                <w:color w:val="FFFFFF"/>
              </w:rPr>
              <w:t>Relative</w:t>
            </w:r>
          </w:p>
        </w:tc>
        <w:tc>
          <w:tcPr>
            <w:tcW w:w="160" w:type="dxa"/>
            <w:vAlign w:val="bottom"/>
          </w:tcPr>
          <w:p>
            <w:pPr>
              <w:spacing w:after="0"/>
              <w:rPr>
                <w:sz w:val="8"/>
                <w:szCs w:val="8"/>
                <w:color w:val="auto"/>
              </w:rPr>
            </w:pPr>
          </w:p>
        </w:tc>
        <w:tc>
          <w:tcPr>
            <w:tcW w:w="300" w:type="dxa"/>
            <w:vAlign w:val="bottom"/>
            <w:vMerge w:val="restart"/>
            <w:shd w:val="clear" w:color="auto" w:fill="1414D2"/>
          </w:tcPr>
          <w:p>
            <w:pPr>
              <w:ind w:left="140"/>
              <w:spacing w:after="0"/>
              <w:rPr>
                <w:sz w:val="20"/>
                <w:szCs w:val="20"/>
                <w:color w:val="auto"/>
              </w:rPr>
            </w:pPr>
            <w:r>
              <w:rPr>
                <w:rFonts w:ascii="Times New Roman" w:cs="Times New Roman" w:eastAsia="Times New Roman" w:hAnsi="Times New Roman"/>
                <w:sz w:val="14"/>
                <w:szCs w:val="14"/>
                <w:color w:val="FFFFFF"/>
              </w:rPr>
              <w:t>●</w:t>
            </w:r>
          </w:p>
        </w:tc>
        <w:tc>
          <w:tcPr>
            <w:tcW w:w="1180" w:type="dxa"/>
            <w:vAlign w:val="bottom"/>
            <w:vMerge w:val="restart"/>
            <w:shd w:val="clear" w:color="auto" w:fill="1414D2"/>
          </w:tcPr>
          <w:p>
            <w:pPr>
              <w:ind w:left="80"/>
              <w:spacing w:after="0"/>
              <w:rPr>
                <w:sz w:val="20"/>
                <w:szCs w:val="20"/>
                <w:color w:val="auto"/>
              </w:rPr>
            </w:pPr>
            <w:r>
              <w:rPr>
                <w:rFonts w:ascii="Arial" w:cs="Arial" w:eastAsia="Arial" w:hAnsi="Arial"/>
                <w:sz w:val="14"/>
                <w:szCs w:val="14"/>
                <w:color w:val="FFFFFF"/>
              </w:rPr>
              <w:t>Relative</w:t>
            </w: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15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PBRSU</w:t>
            </w:r>
          </w:p>
        </w:tc>
        <w:tc>
          <w:tcPr>
            <w:tcW w:w="180" w:type="dxa"/>
            <w:vAlign w:val="bottom"/>
            <w:tcBorders>
              <w:right w:val="single" w:sz="8" w:color="1414D2"/>
            </w:tcBorders>
          </w:tcPr>
          <w:p>
            <w:pPr>
              <w:spacing w:after="0"/>
              <w:rPr>
                <w:sz w:val="9"/>
                <w:szCs w:val="9"/>
                <w:color w:val="auto"/>
              </w:rPr>
            </w:pPr>
          </w:p>
        </w:tc>
        <w:tc>
          <w:tcPr>
            <w:tcW w:w="280" w:type="dxa"/>
            <w:vAlign w:val="bottom"/>
            <w:vMerge w:val="continue"/>
            <w:shd w:val="clear" w:color="auto" w:fill="1414D2"/>
          </w:tcPr>
          <w:p>
            <w:pPr>
              <w:spacing w:after="0"/>
              <w:rPr>
                <w:sz w:val="9"/>
                <w:szCs w:val="9"/>
                <w:color w:val="auto"/>
              </w:rPr>
            </w:pPr>
          </w:p>
        </w:tc>
        <w:tc>
          <w:tcPr>
            <w:tcW w:w="1160" w:type="dxa"/>
            <w:vAlign w:val="bottom"/>
            <w:vMerge w:val="continue"/>
            <w:shd w:val="clear" w:color="auto" w:fill="1414D2"/>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vMerge w:val="continue"/>
            <w:shd w:val="clear" w:color="auto" w:fill="1414D2"/>
          </w:tcPr>
          <w:p>
            <w:pPr>
              <w:spacing w:after="0"/>
              <w:rPr>
                <w:sz w:val="9"/>
                <w:szCs w:val="9"/>
                <w:color w:val="auto"/>
              </w:rPr>
            </w:pPr>
          </w:p>
        </w:tc>
        <w:tc>
          <w:tcPr>
            <w:tcW w:w="1180" w:type="dxa"/>
            <w:vAlign w:val="bottom"/>
            <w:tcBorders>
              <w:right w:val="single" w:sz="8" w:color="1414D2"/>
            </w:tcBorders>
            <w:vMerge w:val="continue"/>
            <w:shd w:val="clear" w:color="auto" w:fill="1414D2"/>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vMerge w:val="continue"/>
            <w:shd w:val="clear" w:color="auto" w:fill="1414D2"/>
          </w:tcPr>
          <w:p>
            <w:pPr>
              <w:spacing w:after="0"/>
              <w:rPr>
                <w:sz w:val="9"/>
                <w:szCs w:val="9"/>
                <w:color w:val="auto"/>
              </w:rPr>
            </w:pPr>
          </w:p>
        </w:tc>
        <w:tc>
          <w:tcPr>
            <w:tcW w:w="1180" w:type="dxa"/>
            <w:vAlign w:val="bottom"/>
            <w:vMerge w:val="continue"/>
            <w:shd w:val="clear" w:color="auto" w:fill="1414D2"/>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1520" w:type="dxa"/>
            <w:vAlign w:val="bottom"/>
            <w:vMerge w:val="continue"/>
          </w:tcPr>
          <w:p>
            <w:pPr>
              <w:spacing w:after="0"/>
              <w:rPr>
                <w:sz w:val="10"/>
                <w:szCs w:val="10"/>
                <w:color w:val="auto"/>
              </w:rPr>
            </w:pPr>
          </w:p>
        </w:tc>
        <w:tc>
          <w:tcPr>
            <w:tcW w:w="180" w:type="dxa"/>
            <w:vAlign w:val="bottom"/>
            <w:tcBorders>
              <w:right w:val="single" w:sz="8" w:color="1414D2"/>
            </w:tcBorders>
          </w:tcPr>
          <w:p>
            <w:pPr>
              <w:spacing w:after="0"/>
              <w:rPr>
                <w:sz w:val="10"/>
                <w:szCs w:val="10"/>
                <w:color w:val="auto"/>
              </w:rPr>
            </w:pPr>
          </w:p>
        </w:tc>
        <w:tc>
          <w:tcPr>
            <w:tcW w:w="280" w:type="dxa"/>
            <w:vAlign w:val="bottom"/>
            <w:shd w:val="clear" w:color="auto" w:fill="1414D2"/>
          </w:tcPr>
          <w:p>
            <w:pPr>
              <w:spacing w:after="0"/>
              <w:rPr>
                <w:sz w:val="10"/>
                <w:szCs w:val="10"/>
                <w:color w:val="auto"/>
              </w:rPr>
            </w:pPr>
          </w:p>
        </w:tc>
        <w:tc>
          <w:tcPr>
            <w:tcW w:w="1160" w:type="dxa"/>
            <w:vAlign w:val="bottom"/>
            <w:vMerge w:val="restart"/>
            <w:shd w:val="clear" w:color="auto" w:fill="1414D2"/>
          </w:tcPr>
          <w:p>
            <w:pPr>
              <w:ind w:left="60"/>
              <w:spacing w:after="0" w:line="162" w:lineRule="exact"/>
              <w:rPr>
                <w:sz w:val="20"/>
                <w:szCs w:val="20"/>
                <w:color w:val="auto"/>
              </w:rPr>
            </w:pPr>
            <w:r>
              <w:rPr>
                <w:rFonts w:ascii="Arial" w:cs="Arial" w:eastAsia="Arial" w:hAnsi="Arial"/>
                <w:sz w:val="18"/>
                <w:szCs w:val="18"/>
                <w:color w:val="FFFFFF"/>
                <w:vertAlign w:val="subscript"/>
              </w:rPr>
              <w:t>ex</w:t>
            </w:r>
            <w:r>
              <w:rPr>
                <w:rFonts w:ascii="Arial" w:cs="Arial" w:eastAsia="Arial" w:hAnsi="Arial"/>
                <w:sz w:val="9"/>
                <w:szCs w:val="9"/>
                <w:color w:val="FFFFFF"/>
              </w:rPr>
              <w:t>(1)</w:t>
            </w:r>
          </w:p>
        </w:tc>
        <w:tc>
          <w:tcPr>
            <w:tcW w:w="180" w:type="dxa"/>
            <w:vAlign w:val="bottom"/>
          </w:tcPr>
          <w:p>
            <w:pPr>
              <w:spacing w:after="0"/>
              <w:rPr>
                <w:sz w:val="10"/>
                <w:szCs w:val="10"/>
                <w:color w:val="auto"/>
              </w:rPr>
            </w:pPr>
          </w:p>
        </w:tc>
        <w:tc>
          <w:tcPr>
            <w:tcW w:w="300" w:type="dxa"/>
            <w:vAlign w:val="bottom"/>
            <w:shd w:val="clear" w:color="auto" w:fill="1414D2"/>
          </w:tcPr>
          <w:p>
            <w:pPr>
              <w:spacing w:after="0"/>
              <w:rPr>
                <w:sz w:val="10"/>
                <w:szCs w:val="10"/>
                <w:color w:val="auto"/>
              </w:rPr>
            </w:pPr>
          </w:p>
        </w:tc>
        <w:tc>
          <w:tcPr>
            <w:tcW w:w="1180" w:type="dxa"/>
            <w:vAlign w:val="bottom"/>
            <w:tcBorders>
              <w:right w:val="single" w:sz="8" w:color="1414D2"/>
            </w:tcBorders>
            <w:vMerge w:val="restart"/>
            <w:shd w:val="clear" w:color="auto" w:fill="1414D2"/>
          </w:tcPr>
          <w:p>
            <w:pPr>
              <w:ind w:left="60"/>
              <w:spacing w:after="0"/>
              <w:rPr>
                <w:sz w:val="20"/>
                <w:szCs w:val="20"/>
                <w:color w:val="auto"/>
              </w:rPr>
            </w:pPr>
            <w:r>
              <w:rPr>
                <w:rFonts w:ascii="Arial" w:cs="Arial" w:eastAsia="Arial" w:hAnsi="Arial"/>
                <w:sz w:val="14"/>
                <w:szCs w:val="14"/>
                <w:color w:val="FFFFFF"/>
              </w:rPr>
              <w:t>Adjusted  Pre-</w:t>
            </w:r>
          </w:p>
        </w:tc>
        <w:tc>
          <w:tcPr>
            <w:tcW w:w="160" w:type="dxa"/>
            <w:vAlign w:val="bottom"/>
          </w:tcPr>
          <w:p>
            <w:pPr>
              <w:spacing w:after="0"/>
              <w:rPr>
                <w:sz w:val="10"/>
                <w:szCs w:val="10"/>
                <w:color w:val="auto"/>
              </w:rPr>
            </w:pPr>
          </w:p>
        </w:tc>
        <w:tc>
          <w:tcPr>
            <w:tcW w:w="300" w:type="dxa"/>
            <w:vAlign w:val="bottom"/>
            <w:shd w:val="clear" w:color="auto" w:fill="1414D2"/>
          </w:tcPr>
          <w:p>
            <w:pPr>
              <w:spacing w:after="0"/>
              <w:rPr>
                <w:sz w:val="10"/>
                <w:szCs w:val="10"/>
                <w:color w:val="auto"/>
              </w:rPr>
            </w:pPr>
          </w:p>
        </w:tc>
        <w:tc>
          <w:tcPr>
            <w:tcW w:w="1180" w:type="dxa"/>
            <w:vAlign w:val="bottom"/>
            <w:vMerge w:val="restart"/>
            <w:shd w:val="clear" w:color="auto" w:fill="1414D2"/>
          </w:tcPr>
          <w:p>
            <w:pPr>
              <w:ind w:left="80"/>
              <w:spacing w:after="0"/>
              <w:rPr>
                <w:sz w:val="20"/>
                <w:szCs w:val="20"/>
                <w:color w:val="auto"/>
              </w:rPr>
            </w:pPr>
            <w:r>
              <w:rPr>
                <w:rFonts w:ascii="Arial" w:cs="Arial" w:eastAsia="Arial" w:hAnsi="Arial"/>
                <w:sz w:val="14"/>
                <w:szCs w:val="14"/>
                <w:color w:val="FFFFFF"/>
              </w:rPr>
              <w:t>Adjusted  Pre-</w:t>
            </w: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9"/>
        </w:trPr>
        <w:tc>
          <w:tcPr>
            <w:tcW w:w="1520" w:type="dxa"/>
            <w:vAlign w:val="bottom"/>
          </w:tcPr>
          <w:p>
            <w:pPr>
              <w:spacing w:after="0"/>
              <w:rPr>
                <w:sz w:val="3"/>
                <w:szCs w:val="3"/>
                <w:color w:val="auto"/>
              </w:rPr>
            </w:pPr>
          </w:p>
        </w:tc>
        <w:tc>
          <w:tcPr>
            <w:tcW w:w="180" w:type="dxa"/>
            <w:vAlign w:val="bottom"/>
            <w:tcBorders>
              <w:right w:val="single" w:sz="8" w:color="1414D2"/>
            </w:tcBorders>
          </w:tcPr>
          <w:p>
            <w:pPr>
              <w:spacing w:after="0"/>
              <w:rPr>
                <w:sz w:val="3"/>
                <w:szCs w:val="3"/>
                <w:color w:val="auto"/>
              </w:rPr>
            </w:pPr>
          </w:p>
        </w:tc>
        <w:tc>
          <w:tcPr>
            <w:tcW w:w="280" w:type="dxa"/>
            <w:vAlign w:val="bottom"/>
            <w:shd w:val="clear" w:color="auto" w:fill="1414D2"/>
          </w:tcPr>
          <w:p>
            <w:pPr>
              <w:spacing w:after="0"/>
              <w:rPr>
                <w:sz w:val="3"/>
                <w:szCs w:val="3"/>
                <w:color w:val="auto"/>
              </w:rPr>
            </w:pPr>
          </w:p>
        </w:tc>
        <w:tc>
          <w:tcPr>
            <w:tcW w:w="1160" w:type="dxa"/>
            <w:vAlign w:val="bottom"/>
            <w:vMerge w:val="continue"/>
            <w:shd w:val="clear" w:color="auto" w:fill="1414D2"/>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shd w:val="clear" w:color="auto" w:fill="1414D2"/>
          </w:tcPr>
          <w:p>
            <w:pPr>
              <w:spacing w:after="0"/>
              <w:rPr>
                <w:sz w:val="3"/>
                <w:szCs w:val="3"/>
                <w:color w:val="auto"/>
              </w:rPr>
            </w:pPr>
          </w:p>
        </w:tc>
        <w:tc>
          <w:tcPr>
            <w:tcW w:w="1180" w:type="dxa"/>
            <w:vAlign w:val="bottom"/>
            <w:tcBorders>
              <w:right w:val="single" w:sz="8" w:color="1414D2"/>
            </w:tcBorders>
            <w:vMerge w:val="continue"/>
            <w:shd w:val="clear" w:color="auto" w:fill="1414D2"/>
          </w:tcPr>
          <w:p>
            <w:pPr>
              <w:spacing w:after="0"/>
              <w:rPr>
                <w:sz w:val="3"/>
                <w:szCs w:val="3"/>
                <w:color w:val="auto"/>
              </w:rPr>
            </w:pPr>
          </w:p>
        </w:tc>
        <w:tc>
          <w:tcPr>
            <w:tcW w:w="160" w:type="dxa"/>
            <w:vAlign w:val="bottom"/>
          </w:tcPr>
          <w:p>
            <w:pPr>
              <w:spacing w:after="0"/>
              <w:rPr>
                <w:sz w:val="3"/>
                <w:szCs w:val="3"/>
                <w:color w:val="auto"/>
              </w:rPr>
            </w:pPr>
          </w:p>
        </w:tc>
        <w:tc>
          <w:tcPr>
            <w:tcW w:w="300" w:type="dxa"/>
            <w:vAlign w:val="bottom"/>
            <w:shd w:val="clear" w:color="auto" w:fill="1414D2"/>
          </w:tcPr>
          <w:p>
            <w:pPr>
              <w:spacing w:after="0"/>
              <w:rPr>
                <w:sz w:val="3"/>
                <w:szCs w:val="3"/>
                <w:color w:val="auto"/>
              </w:rPr>
            </w:pPr>
          </w:p>
        </w:tc>
        <w:tc>
          <w:tcPr>
            <w:tcW w:w="1180" w:type="dxa"/>
            <w:vAlign w:val="bottom"/>
            <w:vMerge w:val="continue"/>
            <w:shd w:val="clear" w:color="auto" w:fill="1414D2"/>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1520" w:type="dxa"/>
            <w:vAlign w:val="bottom"/>
          </w:tcPr>
          <w:p>
            <w:pPr>
              <w:spacing w:after="0"/>
              <w:rPr>
                <w:sz w:val="19"/>
                <w:szCs w:val="19"/>
                <w:color w:val="auto"/>
              </w:rPr>
            </w:pPr>
          </w:p>
        </w:tc>
        <w:tc>
          <w:tcPr>
            <w:tcW w:w="180" w:type="dxa"/>
            <w:vAlign w:val="bottom"/>
            <w:tcBorders>
              <w:right w:val="single" w:sz="8" w:color="1414D2"/>
            </w:tcBorders>
          </w:tcPr>
          <w:p>
            <w:pPr>
              <w:spacing w:after="0"/>
              <w:rPr>
                <w:sz w:val="19"/>
                <w:szCs w:val="19"/>
                <w:color w:val="auto"/>
              </w:rPr>
            </w:pPr>
          </w:p>
        </w:tc>
        <w:tc>
          <w:tcPr>
            <w:tcW w:w="280" w:type="dxa"/>
            <w:vAlign w:val="bottom"/>
            <w:vMerge w:val="restart"/>
            <w:shd w:val="clear" w:color="auto" w:fill="1414D2"/>
          </w:tcPr>
          <w:p>
            <w:pPr>
              <w:ind w:left="120"/>
              <w:spacing w:after="0"/>
              <w:rPr>
                <w:sz w:val="20"/>
                <w:szCs w:val="20"/>
                <w:color w:val="auto"/>
              </w:rPr>
            </w:pPr>
            <w:r>
              <w:rPr>
                <w:rFonts w:ascii="Times New Roman" w:cs="Times New Roman" w:eastAsia="Times New Roman" w:hAnsi="Times New Roman"/>
                <w:sz w:val="14"/>
                <w:szCs w:val="14"/>
                <w:color w:val="FFFFFF"/>
              </w:rPr>
              <w:t>●</w:t>
            </w:r>
          </w:p>
        </w:tc>
        <w:tc>
          <w:tcPr>
            <w:tcW w:w="1160" w:type="dxa"/>
            <w:vAlign w:val="bottom"/>
            <w:vMerge w:val="restart"/>
            <w:shd w:val="clear" w:color="auto" w:fill="1414D2"/>
          </w:tcPr>
          <w:p>
            <w:pPr>
              <w:ind w:left="60"/>
              <w:spacing w:after="0"/>
              <w:rPr>
                <w:sz w:val="20"/>
                <w:szCs w:val="20"/>
                <w:color w:val="auto"/>
              </w:rPr>
            </w:pPr>
            <w:r>
              <w:rPr>
                <w:rFonts w:ascii="Arial" w:cs="Arial" w:eastAsia="Arial" w:hAnsi="Arial"/>
                <w:sz w:val="14"/>
                <w:szCs w:val="14"/>
                <w:color w:val="FFFFFF"/>
              </w:rPr>
              <w:t>Strategic</w:t>
            </w:r>
          </w:p>
        </w:tc>
        <w:tc>
          <w:tcPr>
            <w:tcW w:w="180" w:type="dxa"/>
            <w:vAlign w:val="bottom"/>
          </w:tcPr>
          <w:p>
            <w:pPr>
              <w:spacing w:after="0"/>
              <w:rPr>
                <w:sz w:val="19"/>
                <w:szCs w:val="19"/>
                <w:color w:val="auto"/>
              </w:rPr>
            </w:pPr>
          </w:p>
        </w:tc>
        <w:tc>
          <w:tcPr>
            <w:tcW w:w="300" w:type="dxa"/>
            <w:vAlign w:val="bottom"/>
            <w:shd w:val="clear" w:color="auto" w:fill="1414D2"/>
          </w:tcPr>
          <w:p>
            <w:pPr>
              <w:spacing w:after="0"/>
              <w:rPr>
                <w:sz w:val="19"/>
                <w:szCs w:val="19"/>
                <w:color w:val="auto"/>
              </w:rPr>
            </w:pPr>
          </w:p>
        </w:tc>
        <w:tc>
          <w:tcPr>
            <w:tcW w:w="1180" w:type="dxa"/>
            <w:vAlign w:val="bottom"/>
            <w:tcBorders>
              <w:right w:val="single" w:sz="8" w:color="1414D2"/>
            </w:tcBorders>
            <w:shd w:val="clear" w:color="auto" w:fill="1414D2"/>
          </w:tcPr>
          <w:p>
            <w:pPr>
              <w:ind w:left="60"/>
              <w:spacing w:after="0" w:line="224" w:lineRule="exact"/>
              <w:rPr>
                <w:sz w:val="20"/>
                <w:szCs w:val="20"/>
                <w:color w:val="auto"/>
              </w:rPr>
            </w:pPr>
            <w:r>
              <w:rPr>
                <w:rFonts w:ascii="Arial" w:cs="Arial" w:eastAsia="Arial" w:hAnsi="Arial"/>
                <w:sz w:val="14"/>
                <w:szCs w:val="14"/>
                <w:color w:val="FFFFFF"/>
              </w:rPr>
              <w:t>Tax  Margin</w:t>
            </w:r>
            <w:r>
              <w:rPr>
                <w:rFonts w:ascii="Arial" w:cs="Arial" w:eastAsia="Arial" w:hAnsi="Arial"/>
                <w:sz w:val="21"/>
                <w:szCs w:val="21"/>
                <w:color w:val="FFFFFF"/>
                <w:vertAlign w:val="superscript"/>
              </w:rPr>
              <w:t>(2)</w:t>
            </w:r>
          </w:p>
        </w:tc>
        <w:tc>
          <w:tcPr>
            <w:tcW w:w="160" w:type="dxa"/>
            <w:vAlign w:val="bottom"/>
          </w:tcPr>
          <w:p>
            <w:pPr>
              <w:spacing w:after="0"/>
              <w:rPr>
                <w:sz w:val="19"/>
                <w:szCs w:val="19"/>
                <w:color w:val="auto"/>
              </w:rPr>
            </w:pPr>
          </w:p>
        </w:tc>
        <w:tc>
          <w:tcPr>
            <w:tcW w:w="300" w:type="dxa"/>
            <w:vAlign w:val="bottom"/>
            <w:shd w:val="clear" w:color="auto" w:fill="1414D2"/>
          </w:tcPr>
          <w:p>
            <w:pPr>
              <w:spacing w:after="0"/>
              <w:rPr>
                <w:sz w:val="19"/>
                <w:szCs w:val="19"/>
                <w:color w:val="auto"/>
              </w:rPr>
            </w:pPr>
          </w:p>
        </w:tc>
        <w:tc>
          <w:tcPr>
            <w:tcW w:w="1180" w:type="dxa"/>
            <w:vAlign w:val="bottom"/>
            <w:shd w:val="clear" w:color="auto" w:fill="1414D2"/>
          </w:tcPr>
          <w:p>
            <w:pPr>
              <w:ind w:left="80"/>
              <w:spacing w:after="0" w:line="224" w:lineRule="exact"/>
              <w:rPr>
                <w:sz w:val="20"/>
                <w:szCs w:val="20"/>
                <w:color w:val="auto"/>
              </w:rPr>
            </w:pPr>
            <w:r>
              <w:rPr>
                <w:rFonts w:ascii="Arial" w:cs="Arial" w:eastAsia="Arial" w:hAnsi="Arial"/>
                <w:sz w:val="14"/>
                <w:szCs w:val="14"/>
                <w:color w:val="FFFFFF"/>
              </w:rPr>
              <w:t>Tax  Margin</w:t>
            </w:r>
            <w:r>
              <w:rPr>
                <w:rFonts w:ascii="Arial" w:cs="Arial" w:eastAsia="Arial" w:hAnsi="Arial"/>
                <w:sz w:val="21"/>
                <w:szCs w:val="21"/>
                <w:color w:val="FFFFFF"/>
                <w:vertAlign w:val="superscript"/>
              </w:rPr>
              <w:t>(2)</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1520" w:type="dxa"/>
            <w:vAlign w:val="bottom"/>
          </w:tcPr>
          <w:p>
            <w:pPr>
              <w:spacing w:after="0"/>
              <w:rPr>
                <w:sz w:val="4"/>
                <w:szCs w:val="4"/>
                <w:color w:val="auto"/>
              </w:rPr>
            </w:pPr>
          </w:p>
        </w:tc>
        <w:tc>
          <w:tcPr>
            <w:tcW w:w="180" w:type="dxa"/>
            <w:vAlign w:val="bottom"/>
            <w:tcBorders>
              <w:right w:val="single" w:sz="8" w:color="1414D2"/>
            </w:tcBorders>
          </w:tcPr>
          <w:p>
            <w:pPr>
              <w:spacing w:after="0"/>
              <w:rPr>
                <w:sz w:val="4"/>
                <w:szCs w:val="4"/>
                <w:color w:val="auto"/>
              </w:rPr>
            </w:pPr>
          </w:p>
        </w:tc>
        <w:tc>
          <w:tcPr>
            <w:tcW w:w="280" w:type="dxa"/>
            <w:vAlign w:val="bottom"/>
            <w:vMerge w:val="continue"/>
            <w:shd w:val="clear" w:color="auto" w:fill="1414D2"/>
          </w:tcPr>
          <w:p>
            <w:pPr>
              <w:spacing w:after="0"/>
              <w:rPr>
                <w:sz w:val="4"/>
                <w:szCs w:val="4"/>
                <w:color w:val="auto"/>
              </w:rPr>
            </w:pPr>
          </w:p>
        </w:tc>
        <w:tc>
          <w:tcPr>
            <w:tcW w:w="1160" w:type="dxa"/>
            <w:vAlign w:val="bottom"/>
            <w:vMerge w:val="continue"/>
            <w:shd w:val="clear" w:color="auto" w:fill="1414D2"/>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vMerge w:val="restart"/>
            <w:shd w:val="clear" w:color="auto" w:fill="1414D2"/>
          </w:tcPr>
          <w:p>
            <w:pPr>
              <w:ind w:left="140"/>
              <w:spacing w:after="0"/>
              <w:rPr>
                <w:sz w:val="20"/>
                <w:szCs w:val="20"/>
                <w:color w:val="auto"/>
              </w:rPr>
            </w:pPr>
            <w:r>
              <w:rPr>
                <w:rFonts w:ascii="Times New Roman" w:cs="Times New Roman" w:eastAsia="Times New Roman" w:hAnsi="Times New Roman"/>
                <w:sz w:val="14"/>
                <w:szCs w:val="14"/>
                <w:color w:val="FFFFFF"/>
              </w:rPr>
              <w:t>●</w:t>
            </w:r>
          </w:p>
        </w:tc>
        <w:tc>
          <w:tcPr>
            <w:tcW w:w="1180" w:type="dxa"/>
            <w:vAlign w:val="bottom"/>
            <w:tcBorders>
              <w:right w:val="single" w:sz="8" w:color="1414D2"/>
            </w:tcBorders>
            <w:vMerge w:val="restart"/>
            <w:shd w:val="clear" w:color="auto" w:fill="1414D2"/>
          </w:tcPr>
          <w:p>
            <w:pPr>
              <w:ind w:left="60"/>
              <w:spacing w:after="0"/>
              <w:rPr>
                <w:sz w:val="20"/>
                <w:szCs w:val="20"/>
                <w:color w:val="auto"/>
              </w:rPr>
            </w:pPr>
            <w:r>
              <w:rPr>
                <w:rFonts w:ascii="Arial" w:cs="Arial" w:eastAsia="Arial" w:hAnsi="Arial"/>
                <w:sz w:val="14"/>
                <w:szCs w:val="14"/>
                <w:color w:val="FFFFFF"/>
              </w:rPr>
              <w:t>Absolute</w:t>
            </w:r>
          </w:p>
        </w:tc>
        <w:tc>
          <w:tcPr>
            <w:tcW w:w="160" w:type="dxa"/>
            <w:vAlign w:val="bottom"/>
          </w:tcPr>
          <w:p>
            <w:pPr>
              <w:spacing w:after="0"/>
              <w:rPr>
                <w:sz w:val="4"/>
                <w:szCs w:val="4"/>
                <w:color w:val="auto"/>
              </w:rPr>
            </w:pPr>
          </w:p>
        </w:tc>
        <w:tc>
          <w:tcPr>
            <w:tcW w:w="300" w:type="dxa"/>
            <w:vAlign w:val="bottom"/>
            <w:vMerge w:val="restart"/>
            <w:shd w:val="clear" w:color="auto" w:fill="1414D2"/>
          </w:tcPr>
          <w:p>
            <w:pPr>
              <w:ind w:left="140"/>
              <w:spacing w:after="0"/>
              <w:rPr>
                <w:sz w:val="20"/>
                <w:szCs w:val="20"/>
                <w:color w:val="auto"/>
              </w:rPr>
            </w:pPr>
            <w:r>
              <w:rPr>
                <w:rFonts w:ascii="Times New Roman" w:cs="Times New Roman" w:eastAsia="Times New Roman" w:hAnsi="Times New Roman"/>
                <w:sz w:val="14"/>
                <w:szCs w:val="14"/>
                <w:color w:val="FFFFFF"/>
              </w:rPr>
              <w:t>●</w:t>
            </w:r>
          </w:p>
        </w:tc>
        <w:tc>
          <w:tcPr>
            <w:tcW w:w="1180" w:type="dxa"/>
            <w:vAlign w:val="bottom"/>
            <w:vMerge w:val="restart"/>
            <w:shd w:val="clear" w:color="auto" w:fill="1414D2"/>
          </w:tcPr>
          <w:p>
            <w:pPr>
              <w:ind w:left="80"/>
              <w:spacing w:after="0"/>
              <w:rPr>
                <w:sz w:val="20"/>
                <w:szCs w:val="20"/>
                <w:color w:val="auto"/>
              </w:rPr>
            </w:pPr>
            <w:r>
              <w:rPr>
                <w:rFonts w:ascii="Arial" w:cs="Arial" w:eastAsia="Arial" w:hAnsi="Arial"/>
                <w:sz w:val="14"/>
                <w:szCs w:val="14"/>
                <w:color w:val="FFFFFF"/>
              </w:rPr>
              <w:t>Absolute</w:t>
            </w: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1520" w:type="dxa"/>
            <w:vAlign w:val="bottom"/>
          </w:tcPr>
          <w:p>
            <w:pPr>
              <w:spacing w:after="0"/>
              <w:rPr>
                <w:sz w:val="12"/>
                <w:szCs w:val="12"/>
                <w:color w:val="auto"/>
              </w:rPr>
            </w:pPr>
          </w:p>
        </w:tc>
        <w:tc>
          <w:tcPr>
            <w:tcW w:w="180" w:type="dxa"/>
            <w:vAlign w:val="bottom"/>
            <w:tcBorders>
              <w:right w:val="single" w:sz="8" w:color="1414D2"/>
            </w:tcBorders>
          </w:tcPr>
          <w:p>
            <w:pPr>
              <w:spacing w:after="0"/>
              <w:rPr>
                <w:sz w:val="12"/>
                <w:szCs w:val="12"/>
                <w:color w:val="auto"/>
              </w:rPr>
            </w:pPr>
          </w:p>
        </w:tc>
        <w:tc>
          <w:tcPr>
            <w:tcW w:w="280" w:type="dxa"/>
            <w:vAlign w:val="bottom"/>
            <w:vMerge w:val="restart"/>
            <w:shd w:val="clear" w:color="auto" w:fill="1414D2"/>
          </w:tcPr>
          <w:p>
            <w:pPr>
              <w:ind w:left="120"/>
              <w:spacing w:after="0"/>
              <w:rPr>
                <w:sz w:val="20"/>
                <w:szCs w:val="20"/>
                <w:color w:val="auto"/>
              </w:rPr>
            </w:pPr>
            <w:r>
              <w:rPr>
                <w:rFonts w:ascii="Times New Roman" w:cs="Times New Roman" w:eastAsia="Times New Roman" w:hAnsi="Times New Roman"/>
                <w:sz w:val="14"/>
                <w:szCs w:val="14"/>
                <w:color w:val="FFFFFF"/>
              </w:rPr>
              <w:t>●</w:t>
            </w:r>
          </w:p>
        </w:tc>
        <w:tc>
          <w:tcPr>
            <w:tcW w:w="1160" w:type="dxa"/>
            <w:vAlign w:val="bottom"/>
            <w:vMerge w:val="restart"/>
            <w:shd w:val="clear" w:color="auto" w:fill="1414D2"/>
          </w:tcPr>
          <w:p>
            <w:pPr>
              <w:ind w:left="60"/>
              <w:spacing w:after="0"/>
              <w:rPr>
                <w:sz w:val="20"/>
                <w:szCs w:val="20"/>
                <w:color w:val="auto"/>
              </w:rPr>
            </w:pPr>
            <w:r>
              <w:rPr>
                <w:rFonts w:ascii="Arial" w:cs="Arial" w:eastAsia="Arial" w:hAnsi="Arial"/>
                <w:sz w:val="14"/>
                <w:szCs w:val="14"/>
                <w:color w:val="FFFFFF"/>
              </w:rPr>
              <w:t>United  Next</w:t>
            </w:r>
          </w:p>
        </w:tc>
        <w:tc>
          <w:tcPr>
            <w:tcW w:w="180" w:type="dxa"/>
            <w:vAlign w:val="bottom"/>
          </w:tcPr>
          <w:p>
            <w:pPr>
              <w:spacing w:after="0"/>
              <w:rPr>
                <w:sz w:val="12"/>
                <w:szCs w:val="12"/>
                <w:color w:val="auto"/>
              </w:rPr>
            </w:pPr>
          </w:p>
        </w:tc>
        <w:tc>
          <w:tcPr>
            <w:tcW w:w="300" w:type="dxa"/>
            <w:vAlign w:val="bottom"/>
            <w:vMerge w:val="continue"/>
            <w:shd w:val="clear" w:color="auto" w:fill="1414D2"/>
          </w:tcPr>
          <w:p>
            <w:pPr>
              <w:spacing w:after="0"/>
              <w:rPr>
                <w:sz w:val="12"/>
                <w:szCs w:val="12"/>
                <w:color w:val="auto"/>
              </w:rPr>
            </w:pPr>
          </w:p>
        </w:tc>
        <w:tc>
          <w:tcPr>
            <w:tcW w:w="1180" w:type="dxa"/>
            <w:vAlign w:val="bottom"/>
            <w:tcBorders>
              <w:right w:val="single" w:sz="8" w:color="1414D2"/>
            </w:tcBorders>
            <w:vMerge w:val="continue"/>
            <w:shd w:val="clear" w:color="auto" w:fill="1414D2"/>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vMerge w:val="continue"/>
            <w:shd w:val="clear" w:color="auto" w:fill="1414D2"/>
          </w:tcPr>
          <w:p>
            <w:pPr>
              <w:spacing w:after="0"/>
              <w:rPr>
                <w:sz w:val="12"/>
                <w:szCs w:val="12"/>
                <w:color w:val="auto"/>
              </w:rPr>
            </w:pPr>
          </w:p>
        </w:tc>
        <w:tc>
          <w:tcPr>
            <w:tcW w:w="1180" w:type="dxa"/>
            <w:vAlign w:val="bottom"/>
            <w:vMerge w:val="continue"/>
            <w:shd w:val="clear" w:color="auto" w:fill="1414D2"/>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520" w:type="dxa"/>
            <w:vAlign w:val="bottom"/>
          </w:tcPr>
          <w:p>
            <w:pPr>
              <w:spacing w:after="0"/>
              <w:rPr>
                <w:sz w:val="11"/>
                <w:szCs w:val="11"/>
                <w:color w:val="auto"/>
              </w:rPr>
            </w:pPr>
          </w:p>
        </w:tc>
        <w:tc>
          <w:tcPr>
            <w:tcW w:w="180" w:type="dxa"/>
            <w:vAlign w:val="bottom"/>
            <w:tcBorders>
              <w:right w:val="single" w:sz="8" w:color="1414D2"/>
            </w:tcBorders>
          </w:tcPr>
          <w:p>
            <w:pPr>
              <w:spacing w:after="0"/>
              <w:rPr>
                <w:sz w:val="11"/>
                <w:szCs w:val="11"/>
                <w:color w:val="auto"/>
              </w:rPr>
            </w:pPr>
          </w:p>
        </w:tc>
        <w:tc>
          <w:tcPr>
            <w:tcW w:w="280" w:type="dxa"/>
            <w:vAlign w:val="bottom"/>
            <w:vMerge w:val="continue"/>
            <w:shd w:val="clear" w:color="auto" w:fill="1414D2"/>
          </w:tcPr>
          <w:p>
            <w:pPr>
              <w:spacing w:after="0"/>
              <w:rPr>
                <w:sz w:val="11"/>
                <w:szCs w:val="11"/>
                <w:color w:val="auto"/>
              </w:rPr>
            </w:pPr>
          </w:p>
        </w:tc>
        <w:tc>
          <w:tcPr>
            <w:tcW w:w="1160" w:type="dxa"/>
            <w:vAlign w:val="bottom"/>
            <w:vMerge w:val="continue"/>
            <w:shd w:val="clear" w:color="auto" w:fill="1414D2"/>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shd w:val="clear" w:color="auto" w:fill="1414D2"/>
          </w:tcPr>
          <w:p>
            <w:pPr>
              <w:spacing w:after="0"/>
              <w:rPr>
                <w:sz w:val="11"/>
                <w:szCs w:val="11"/>
                <w:color w:val="auto"/>
              </w:rPr>
            </w:pPr>
          </w:p>
        </w:tc>
        <w:tc>
          <w:tcPr>
            <w:tcW w:w="1180" w:type="dxa"/>
            <w:vAlign w:val="bottom"/>
            <w:tcBorders>
              <w:right w:val="single" w:sz="8" w:color="1414D2"/>
            </w:tcBorders>
            <w:vMerge w:val="restart"/>
            <w:shd w:val="clear" w:color="auto" w:fill="1414D2"/>
          </w:tcPr>
          <w:p>
            <w:pPr>
              <w:ind w:left="60"/>
              <w:spacing w:after="0"/>
              <w:rPr>
                <w:sz w:val="20"/>
                <w:szCs w:val="20"/>
                <w:color w:val="auto"/>
              </w:rPr>
            </w:pPr>
            <w:r>
              <w:rPr>
                <w:rFonts w:ascii="Arial" w:cs="Arial" w:eastAsia="Arial" w:hAnsi="Arial"/>
                <w:sz w:val="14"/>
                <w:szCs w:val="14"/>
                <w:color w:val="FFFFFF"/>
              </w:rPr>
              <w:t>Adjusted  EPS</w:t>
            </w:r>
            <w:r>
              <w:rPr>
                <w:rFonts w:ascii="Arial" w:cs="Arial" w:eastAsia="Arial" w:hAnsi="Arial"/>
                <w:sz w:val="21"/>
                <w:szCs w:val="21"/>
                <w:color w:val="FFFFFF"/>
                <w:vertAlign w:val="superscript"/>
              </w:rPr>
              <w:t>(3)</w:t>
            </w:r>
          </w:p>
        </w:tc>
        <w:tc>
          <w:tcPr>
            <w:tcW w:w="160" w:type="dxa"/>
            <w:vAlign w:val="bottom"/>
          </w:tcPr>
          <w:p>
            <w:pPr>
              <w:spacing w:after="0"/>
              <w:rPr>
                <w:sz w:val="11"/>
                <w:szCs w:val="11"/>
                <w:color w:val="auto"/>
              </w:rPr>
            </w:pPr>
          </w:p>
        </w:tc>
        <w:tc>
          <w:tcPr>
            <w:tcW w:w="300" w:type="dxa"/>
            <w:vAlign w:val="bottom"/>
            <w:shd w:val="clear" w:color="auto" w:fill="1414D2"/>
          </w:tcPr>
          <w:p>
            <w:pPr>
              <w:spacing w:after="0"/>
              <w:rPr>
                <w:sz w:val="11"/>
                <w:szCs w:val="11"/>
                <w:color w:val="auto"/>
              </w:rPr>
            </w:pPr>
          </w:p>
        </w:tc>
        <w:tc>
          <w:tcPr>
            <w:tcW w:w="1180" w:type="dxa"/>
            <w:vAlign w:val="bottom"/>
            <w:vMerge w:val="restart"/>
            <w:shd w:val="clear" w:color="auto" w:fill="1414D2"/>
          </w:tcPr>
          <w:p>
            <w:pPr>
              <w:ind w:left="80"/>
              <w:spacing w:after="0"/>
              <w:rPr>
                <w:sz w:val="20"/>
                <w:szCs w:val="20"/>
                <w:color w:val="auto"/>
              </w:rPr>
            </w:pPr>
            <w:r>
              <w:rPr>
                <w:rFonts w:ascii="Arial" w:cs="Arial" w:eastAsia="Arial" w:hAnsi="Arial"/>
                <w:sz w:val="14"/>
                <w:szCs w:val="14"/>
                <w:color w:val="FFFFFF"/>
              </w:rPr>
              <w:t>Adjusted  EPS</w:t>
            </w:r>
            <w:r>
              <w:rPr>
                <w:rFonts w:ascii="Arial" w:cs="Arial" w:eastAsia="Arial" w:hAnsi="Arial"/>
                <w:sz w:val="21"/>
                <w:szCs w:val="21"/>
                <w:color w:val="FFFFFF"/>
                <w:vertAlign w:val="superscript"/>
              </w:rPr>
              <w:t>(3)</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1520" w:type="dxa"/>
            <w:vAlign w:val="bottom"/>
          </w:tcPr>
          <w:p>
            <w:pPr>
              <w:spacing w:after="0"/>
              <w:rPr>
                <w:sz w:val="10"/>
                <w:szCs w:val="10"/>
                <w:color w:val="auto"/>
              </w:rPr>
            </w:pPr>
          </w:p>
        </w:tc>
        <w:tc>
          <w:tcPr>
            <w:tcW w:w="180" w:type="dxa"/>
            <w:vAlign w:val="bottom"/>
            <w:tcBorders>
              <w:right w:val="single" w:sz="8" w:color="1414D2"/>
            </w:tcBorders>
          </w:tcPr>
          <w:p>
            <w:pPr>
              <w:spacing w:after="0"/>
              <w:rPr>
                <w:sz w:val="10"/>
                <w:szCs w:val="10"/>
                <w:color w:val="auto"/>
              </w:rPr>
            </w:pPr>
          </w:p>
        </w:tc>
        <w:tc>
          <w:tcPr>
            <w:tcW w:w="280" w:type="dxa"/>
            <w:vAlign w:val="bottom"/>
            <w:vMerge w:val="restart"/>
            <w:shd w:val="clear" w:color="auto" w:fill="1414D2"/>
          </w:tcPr>
          <w:p>
            <w:pPr>
              <w:ind w:left="120"/>
              <w:spacing w:after="0"/>
              <w:rPr>
                <w:sz w:val="20"/>
                <w:szCs w:val="20"/>
                <w:color w:val="auto"/>
              </w:rPr>
            </w:pPr>
            <w:r>
              <w:rPr>
                <w:rFonts w:ascii="Times New Roman" w:cs="Times New Roman" w:eastAsia="Times New Roman" w:hAnsi="Times New Roman"/>
                <w:sz w:val="14"/>
                <w:szCs w:val="14"/>
                <w:color w:val="FFFFFF"/>
              </w:rPr>
              <w:t>●</w:t>
            </w:r>
          </w:p>
        </w:tc>
        <w:tc>
          <w:tcPr>
            <w:tcW w:w="1160" w:type="dxa"/>
            <w:vAlign w:val="bottom"/>
            <w:vMerge w:val="restart"/>
            <w:shd w:val="clear" w:color="auto" w:fill="1414D2"/>
          </w:tcPr>
          <w:p>
            <w:pPr>
              <w:ind w:left="60"/>
              <w:spacing w:after="0"/>
              <w:rPr>
                <w:sz w:val="20"/>
                <w:szCs w:val="20"/>
                <w:color w:val="auto"/>
              </w:rPr>
            </w:pPr>
            <w:r>
              <w:rPr>
                <w:rFonts w:ascii="Arial" w:cs="Arial" w:eastAsia="Arial" w:hAnsi="Arial"/>
                <w:sz w:val="14"/>
                <w:szCs w:val="14"/>
                <w:color w:val="FFFFFF"/>
              </w:rPr>
              <w:t>Liquidity</w:t>
            </w:r>
          </w:p>
        </w:tc>
        <w:tc>
          <w:tcPr>
            <w:tcW w:w="180" w:type="dxa"/>
            <w:vAlign w:val="bottom"/>
          </w:tcPr>
          <w:p>
            <w:pPr>
              <w:spacing w:after="0"/>
              <w:rPr>
                <w:sz w:val="10"/>
                <w:szCs w:val="10"/>
                <w:color w:val="auto"/>
              </w:rPr>
            </w:pPr>
          </w:p>
        </w:tc>
        <w:tc>
          <w:tcPr>
            <w:tcW w:w="300" w:type="dxa"/>
            <w:vAlign w:val="bottom"/>
            <w:shd w:val="clear" w:color="auto" w:fill="1414D2"/>
          </w:tcPr>
          <w:p>
            <w:pPr>
              <w:spacing w:after="0"/>
              <w:rPr>
                <w:sz w:val="10"/>
                <w:szCs w:val="10"/>
                <w:color w:val="auto"/>
              </w:rPr>
            </w:pPr>
          </w:p>
        </w:tc>
        <w:tc>
          <w:tcPr>
            <w:tcW w:w="1180" w:type="dxa"/>
            <w:vAlign w:val="bottom"/>
            <w:tcBorders>
              <w:right w:val="single" w:sz="8" w:color="1414D2"/>
            </w:tcBorders>
            <w:vMerge w:val="continue"/>
            <w:shd w:val="clear" w:color="auto" w:fill="1414D2"/>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shd w:val="clear" w:color="auto" w:fill="1414D2"/>
          </w:tcPr>
          <w:p>
            <w:pPr>
              <w:spacing w:after="0"/>
              <w:rPr>
                <w:sz w:val="10"/>
                <w:szCs w:val="10"/>
                <w:color w:val="auto"/>
              </w:rPr>
            </w:pPr>
          </w:p>
        </w:tc>
        <w:tc>
          <w:tcPr>
            <w:tcW w:w="1180" w:type="dxa"/>
            <w:vAlign w:val="bottom"/>
            <w:vMerge w:val="continue"/>
            <w:shd w:val="clear" w:color="auto" w:fill="1414D2"/>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520" w:type="dxa"/>
            <w:vAlign w:val="bottom"/>
          </w:tcPr>
          <w:p>
            <w:pPr>
              <w:spacing w:after="0"/>
              <w:rPr>
                <w:sz w:val="9"/>
                <w:szCs w:val="9"/>
                <w:color w:val="auto"/>
              </w:rPr>
            </w:pPr>
          </w:p>
        </w:tc>
        <w:tc>
          <w:tcPr>
            <w:tcW w:w="180" w:type="dxa"/>
            <w:vAlign w:val="bottom"/>
            <w:tcBorders>
              <w:right w:val="single" w:sz="8" w:color="1414D2"/>
            </w:tcBorders>
          </w:tcPr>
          <w:p>
            <w:pPr>
              <w:spacing w:after="0"/>
              <w:rPr>
                <w:sz w:val="9"/>
                <w:szCs w:val="9"/>
                <w:color w:val="auto"/>
              </w:rPr>
            </w:pPr>
          </w:p>
        </w:tc>
        <w:tc>
          <w:tcPr>
            <w:tcW w:w="280" w:type="dxa"/>
            <w:vAlign w:val="bottom"/>
            <w:vMerge w:val="continue"/>
            <w:shd w:val="clear" w:color="auto" w:fill="1414D2"/>
          </w:tcPr>
          <w:p>
            <w:pPr>
              <w:spacing w:after="0"/>
              <w:rPr>
                <w:sz w:val="9"/>
                <w:szCs w:val="9"/>
                <w:color w:val="auto"/>
              </w:rPr>
            </w:pPr>
          </w:p>
        </w:tc>
        <w:tc>
          <w:tcPr>
            <w:tcW w:w="1160" w:type="dxa"/>
            <w:vAlign w:val="bottom"/>
            <w:vMerge w:val="continue"/>
            <w:shd w:val="clear" w:color="auto" w:fill="1414D2"/>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vMerge w:val="restart"/>
            <w:shd w:val="clear" w:color="auto" w:fill="1414D2"/>
          </w:tcPr>
          <w:p>
            <w:pPr>
              <w:ind w:left="140"/>
              <w:spacing w:after="0"/>
              <w:rPr>
                <w:sz w:val="20"/>
                <w:szCs w:val="20"/>
                <w:color w:val="auto"/>
              </w:rPr>
            </w:pPr>
            <w:r>
              <w:rPr>
                <w:rFonts w:ascii="Times New Roman" w:cs="Times New Roman" w:eastAsia="Times New Roman" w:hAnsi="Times New Roman"/>
                <w:sz w:val="14"/>
                <w:szCs w:val="14"/>
                <w:color w:val="FFFFFF"/>
              </w:rPr>
              <w:t>●</w:t>
            </w:r>
          </w:p>
        </w:tc>
        <w:tc>
          <w:tcPr>
            <w:tcW w:w="1180" w:type="dxa"/>
            <w:vAlign w:val="bottom"/>
            <w:tcBorders>
              <w:right w:val="single" w:sz="8" w:color="1414D2"/>
            </w:tcBorders>
            <w:vMerge w:val="restart"/>
            <w:shd w:val="clear" w:color="auto" w:fill="1414D2"/>
          </w:tcPr>
          <w:p>
            <w:pPr>
              <w:ind w:left="60"/>
              <w:spacing w:after="0"/>
              <w:rPr>
                <w:sz w:val="20"/>
                <w:szCs w:val="20"/>
                <w:color w:val="auto"/>
              </w:rPr>
            </w:pPr>
            <w:r>
              <w:rPr>
                <w:rFonts w:ascii="Arial" w:cs="Arial" w:eastAsia="Arial" w:hAnsi="Arial"/>
                <w:sz w:val="14"/>
                <w:szCs w:val="14"/>
                <w:color w:val="FFFFFF"/>
              </w:rPr>
              <w:t>Strategic</w:t>
            </w:r>
          </w:p>
        </w:tc>
        <w:tc>
          <w:tcPr>
            <w:tcW w:w="160" w:type="dxa"/>
            <w:vAlign w:val="bottom"/>
          </w:tcPr>
          <w:p>
            <w:pPr>
              <w:spacing w:after="0"/>
              <w:rPr>
                <w:sz w:val="9"/>
                <w:szCs w:val="9"/>
                <w:color w:val="auto"/>
              </w:rPr>
            </w:pPr>
          </w:p>
        </w:tc>
        <w:tc>
          <w:tcPr>
            <w:tcW w:w="300" w:type="dxa"/>
            <w:vAlign w:val="bottom"/>
            <w:vMerge w:val="restart"/>
            <w:shd w:val="clear" w:color="auto" w:fill="1414D2"/>
          </w:tcPr>
          <w:p>
            <w:pPr>
              <w:ind w:left="140"/>
              <w:spacing w:after="0"/>
              <w:rPr>
                <w:sz w:val="20"/>
                <w:szCs w:val="20"/>
                <w:color w:val="auto"/>
              </w:rPr>
            </w:pPr>
            <w:r>
              <w:rPr>
                <w:rFonts w:ascii="Times New Roman" w:cs="Times New Roman" w:eastAsia="Times New Roman" w:hAnsi="Times New Roman"/>
                <w:sz w:val="14"/>
                <w:szCs w:val="14"/>
                <w:color w:val="FFFFFF"/>
              </w:rPr>
              <w:t>●</w:t>
            </w:r>
          </w:p>
        </w:tc>
        <w:tc>
          <w:tcPr>
            <w:tcW w:w="1180" w:type="dxa"/>
            <w:vAlign w:val="bottom"/>
            <w:vMerge w:val="restart"/>
            <w:shd w:val="clear" w:color="auto" w:fill="1414D2"/>
          </w:tcPr>
          <w:p>
            <w:pPr>
              <w:ind w:left="80"/>
              <w:spacing w:after="0"/>
              <w:rPr>
                <w:sz w:val="20"/>
                <w:szCs w:val="20"/>
                <w:color w:val="auto"/>
              </w:rPr>
            </w:pPr>
            <w:r>
              <w:rPr>
                <w:rFonts w:ascii="Arial" w:cs="Arial" w:eastAsia="Arial" w:hAnsi="Arial"/>
                <w:sz w:val="14"/>
                <w:szCs w:val="14"/>
                <w:color w:val="FFFFFF"/>
              </w:rPr>
              <w:t>Strategic</w:t>
            </w: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1520" w:type="dxa"/>
            <w:vAlign w:val="bottom"/>
          </w:tcPr>
          <w:p>
            <w:pPr>
              <w:spacing w:after="0"/>
              <w:rPr>
                <w:sz w:val="8"/>
                <w:szCs w:val="8"/>
                <w:color w:val="auto"/>
              </w:rPr>
            </w:pPr>
          </w:p>
        </w:tc>
        <w:tc>
          <w:tcPr>
            <w:tcW w:w="180" w:type="dxa"/>
            <w:vAlign w:val="bottom"/>
            <w:tcBorders>
              <w:right w:val="single" w:sz="8" w:color="1414D2"/>
            </w:tcBorders>
          </w:tcPr>
          <w:p>
            <w:pPr>
              <w:spacing w:after="0"/>
              <w:rPr>
                <w:sz w:val="8"/>
                <w:szCs w:val="8"/>
                <w:color w:val="auto"/>
              </w:rPr>
            </w:pPr>
          </w:p>
        </w:tc>
        <w:tc>
          <w:tcPr>
            <w:tcW w:w="280" w:type="dxa"/>
            <w:vAlign w:val="bottom"/>
            <w:shd w:val="clear" w:color="auto" w:fill="1414D2"/>
          </w:tcPr>
          <w:p>
            <w:pPr>
              <w:spacing w:after="0"/>
              <w:rPr>
                <w:sz w:val="8"/>
                <w:szCs w:val="8"/>
                <w:color w:val="auto"/>
              </w:rPr>
            </w:pPr>
          </w:p>
        </w:tc>
        <w:tc>
          <w:tcPr>
            <w:tcW w:w="1160" w:type="dxa"/>
            <w:vAlign w:val="bottom"/>
            <w:vMerge w:val="restart"/>
            <w:shd w:val="clear" w:color="auto" w:fill="1414D2"/>
          </w:tcPr>
          <w:p>
            <w:pPr>
              <w:ind w:left="60"/>
              <w:spacing w:after="0"/>
              <w:rPr>
                <w:sz w:val="20"/>
                <w:szCs w:val="20"/>
                <w:color w:val="auto"/>
              </w:rPr>
            </w:pPr>
            <w:r>
              <w:rPr>
                <w:rFonts w:ascii="Arial" w:cs="Arial" w:eastAsia="Arial" w:hAnsi="Arial"/>
                <w:sz w:val="14"/>
                <w:szCs w:val="14"/>
                <w:color w:val="FFFFFF"/>
              </w:rPr>
              <w:t>Condition</w:t>
            </w:r>
          </w:p>
        </w:tc>
        <w:tc>
          <w:tcPr>
            <w:tcW w:w="180" w:type="dxa"/>
            <w:vAlign w:val="bottom"/>
          </w:tcPr>
          <w:p>
            <w:pPr>
              <w:spacing w:after="0"/>
              <w:rPr>
                <w:sz w:val="8"/>
                <w:szCs w:val="8"/>
                <w:color w:val="auto"/>
              </w:rPr>
            </w:pPr>
          </w:p>
        </w:tc>
        <w:tc>
          <w:tcPr>
            <w:tcW w:w="300" w:type="dxa"/>
            <w:vAlign w:val="bottom"/>
            <w:vMerge w:val="continue"/>
            <w:shd w:val="clear" w:color="auto" w:fill="1414D2"/>
          </w:tcPr>
          <w:p>
            <w:pPr>
              <w:spacing w:after="0"/>
              <w:rPr>
                <w:sz w:val="8"/>
                <w:szCs w:val="8"/>
                <w:color w:val="auto"/>
              </w:rPr>
            </w:pPr>
          </w:p>
        </w:tc>
        <w:tc>
          <w:tcPr>
            <w:tcW w:w="1180" w:type="dxa"/>
            <w:vAlign w:val="bottom"/>
            <w:tcBorders>
              <w:right w:val="single" w:sz="8" w:color="1414D2"/>
            </w:tcBorders>
            <w:vMerge w:val="continue"/>
            <w:shd w:val="clear" w:color="auto" w:fill="1414D2"/>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vMerge w:val="continue"/>
            <w:shd w:val="clear" w:color="auto" w:fill="1414D2"/>
          </w:tcPr>
          <w:p>
            <w:pPr>
              <w:spacing w:after="0"/>
              <w:rPr>
                <w:sz w:val="8"/>
                <w:szCs w:val="8"/>
                <w:color w:val="auto"/>
              </w:rPr>
            </w:pPr>
          </w:p>
        </w:tc>
        <w:tc>
          <w:tcPr>
            <w:tcW w:w="1180" w:type="dxa"/>
            <w:vAlign w:val="bottom"/>
            <w:vMerge w:val="continue"/>
            <w:shd w:val="clear" w:color="auto" w:fill="1414D2"/>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520" w:type="dxa"/>
            <w:vAlign w:val="bottom"/>
          </w:tcPr>
          <w:p>
            <w:pPr>
              <w:spacing w:after="0"/>
              <w:rPr>
                <w:sz w:val="9"/>
                <w:szCs w:val="9"/>
                <w:color w:val="auto"/>
              </w:rPr>
            </w:pPr>
          </w:p>
        </w:tc>
        <w:tc>
          <w:tcPr>
            <w:tcW w:w="180" w:type="dxa"/>
            <w:vAlign w:val="bottom"/>
            <w:tcBorders>
              <w:right w:val="single" w:sz="8" w:color="1414D2"/>
            </w:tcBorders>
          </w:tcPr>
          <w:p>
            <w:pPr>
              <w:spacing w:after="0"/>
              <w:rPr>
                <w:sz w:val="9"/>
                <w:szCs w:val="9"/>
                <w:color w:val="auto"/>
              </w:rPr>
            </w:pPr>
          </w:p>
        </w:tc>
        <w:tc>
          <w:tcPr>
            <w:tcW w:w="280" w:type="dxa"/>
            <w:vAlign w:val="bottom"/>
            <w:shd w:val="clear" w:color="auto" w:fill="1414D2"/>
          </w:tcPr>
          <w:p>
            <w:pPr>
              <w:spacing w:after="0"/>
              <w:rPr>
                <w:sz w:val="9"/>
                <w:szCs w:val="9"/>
                <w:color w:val="auto"/>
              </w:rPr>
            </w:pPr>
          </w:p>
        </w:tc>
        <w:tc>
          <w:tcPr>
            <w:tcW w:w="1160" w:type="dxa"/>
            <w:vAlign w:val="bottom"/>
            <w:vMerge w:val="continue"/>
            <w:shd w:val="clear" w:color="auto" w:fill="1414D2"/>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vMerge w:val="restart"/>
            <w:shd w:val="clear" w:color="auto" w:fill="1414D2"/>
          </w:tcPr>
          <w:p>
            <w:pPr>
              <w:ind w:left="140"/>
              <w:spacing w:after="0"/>
              <w:rPr>
                <w:sz w:val="20"/>
                <w:szCs w:val="20"/>
                <w:color w:val="auto"/>
              </w:rPr>
            </w:pPr>
            <w:r>
              <w:rPr>
                <w:rFonts w:ascii="Times New Roman" w:cs="Times New Roman" w:eastAsia="Times New Roman" w:hAnsi="Times New Roman"/>
                <w:sz w:val="14"/>
                <w:szCs w:val="14"/>
                <w:color w:val="FFFFFF"/>
              </w:rPr>
              <w:t>●</w:t>
            </w:r>
          </w:p>
        </w:tc>
        <w:tc>
          <w:tcPr>
            <w:tcW w:w="1180" w:type="dxa"/>
            <w:vAlign w:val="bottom"/>
            <w:tcBorders>
              <w:right w:val="single" w:sz="8" w:color="1414D2"/>
            </w:tcBorders>
            <w:vMerge w:val="restart"/>
            <w:shd w:val="clear" w:color="auto" w:fill="1414D2"/>
          </w:tcPr>
          <w:p>
            <w:pPr>
              <w:ind w:left="60"/>
              <w:spacing w:after="0"/>
              <w:rPr>
                <w:sz w:val="20"/>
                <w:szCs w:val="20"/>
                <w:color w:val="auto"/>
              </w:rPr>
            </w:pPr>
            <w:r>
              <w:rPr>
                <w:rFonts w:ascii="Arial" w:cs="Arial" w:eastAsia="Arial" w:hAnsi="Arial"/>
                <w:sz w:val="14"/>
                <w:szCs w:val="14"/>
                <w:color w:val="FFFFFF"/>
              </w:rPr>
              <w:t>Liquidity</w:t>
            </w:r>
          </w:p>
        </w:tc>
        <w:tc>
          <w:tcPr>
            <w:tcW w:w="160" w:type="dxa"/>
            <w:vAlign w:val="bottom"/>
          </w:tcPr>
          <w:p>
            <w:pPr>
              <w:spacing w:after="0"/>
              <w:rPr>
                <w:sz w:val="9"/>
                <w:szCs w:val="9"/>
                <w:color w:val="auto"/>
              </w:rPr>
            </w:pPr>
          </w:p>
        </w:tc>
        <w:tc>
          <w:tcPr>
            <w:tcW w:w="300" w:type="dxa"/>
            <w:vAlign w:val="bottom"/>
            <w:vMerge w:val="restart"/>
            <w:shd w:val="clear" w:color="auto" w:fill="1414D2"/>
          </w:tcPr>
          <w:p>
            <w:pPr>
              <w:ind w:left="140"/>
              <w:spacing w:after="0"/>
              <w:rPr>
                <w:sz w:val="20"/>
                <w:szCs w:val="20"/>
                <w:color w:val="auto"/>
              </w:rPr>
            </w:pPr>
            <w:r>
              <w:rPr>
                <w:rFonts w:ascii="Times New Roman" w:cs="Times New Roman" w:eastAsia="Times New Roman" w:hAnsi="Times New Roman"/>
                <w:sz w:val="14"/>
                <w:szCs w:val="14"/>
                <w:color w:val="FFFFFF"/>
              </w:rPr>
              <w:t>●</w:t>
            </w:r>
          </w:p>
        </w:tc>
        <w:tc>
          <w:tcPr>
            <w:tcW w:w="1180" w:type="dxa"/>
            <w:vAlign w:val="bottom"/>
            <w:vMerge w:val="restart"/>
            <w:shd w:val="clear" w:color="auto" w:fill="1414D2"/>
          </w:tcPr>
          <w:p>
            <w:pPr>
              <w:ind w:left="80"/>
              <w:spacing w:after="0"/>
              <w:rPr>
                <w:sz w:val="20"/>
                <w:szCs w:val="20"/>
                <w:color w:val="auto"/>
              </w:rPr>
            </w:pPr>
            <w:r>
              <w:rPr>
                <w:rFonts w:ascii="Arial" w:cs="Arial" w:eastAsia="Arial" w:hAnsi="Arial"/>
                <w:sz w:val="14"/>
                <w:szCs w:val="14"/>
                <w:color w:val="FFFFFF"/>
              </w:rPr>
              <w:t>Liquidity</w:t>
            </w: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1520" w:type="dxa"/>
            <w:vAlign w:val="bottom"/>
          </w:tcPr>
          <w:p>
            <w:pPr>
              <w:spacing w:after="0"/>
              <w:rPr>
                <w:sz w:val="10"/>
                <w:szCs w:val="10"/>
                <w:color w:val="auto"/>
              </w:rPr>
            </w:pPr>
          </w:p>
        </w:tc>
        <w:tc>
          <w:tcPr>
            <w:tcW w:w="180" w:type="dxa"/>
            <w:vAlign w:val="bottom"/>
            <w:tcBorders>
              <w:right w:val="single" w:sz="8" w:color="1414D2"/>
            </w:tcBorders>
          </w:tcPr>
          <w:p>
            <w:pPr>
              <w:spacing w:after="0"/>
              <w:rPr>
                <w:sz w:val="10"/>
                <w:szCs w:val="10"/>
                <w:color w:val="auto"/>
              </w:rPr>
            </w:pPr>
          </w:p>
        </w:tc>
        <w:tc>
          <w:tcPr>
            <w:tcW w:w="280" w:type="dxa"/>
            <w:vAlign w:val="bottom"/>
            <w:shd w:val="clear" w:color="auto" w:fill="1414D2"/>
          </w:tcPr>
          <w:p>
            <w:pPr>
              <w:spacing w:after="0"/>
              <w:rPr>
                <w:sz w:val="10"/>
                <w:szCs w:val="10"/>
                <w:color w:val="auto"/>
              </w:rPr>
            </w:pPr>
          </w:p>
        </w:tc>
        <w:tc>
          <w:tcPr>
            <w:tcW w:w="1160" w:type="dxa"/>
            <w:vAlign w:val="bottom"/>
            <w:shd w:val="clear" w:color="auto" w:fill="1414D2"/>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shd w:val="clear" w:color="auto" w:fill="1414D2"/>
          </w:tcPr>
          <w:p>
            <w:pPr>
              <w:spacing w:after="0"/>
              <w:rPr>
                <w:sz w:val="10"/>
                <w:szCs w:val="10"/>
                <w:color w:val="auto"/>
              </w:rPr>
            </w:pPr>
          </w:p>
        </w:tc>
        <w:tc>
          <w:tcPr>
            <w:tcW w:w="1180" w:type="dxa"/>
            <w:vAlign w:val="bottom"/>
            <w:tcBorders>
              <w:right w:val="single" w:sz="8" w:color="1414D2"/>
            </w:tcBorders>
            <w:vMerge w:val="continue"/>
            <w:shd w:val="clear" w:color="auto" w:fill="1414D2"/>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vMerge w:val="continue"/>
            <w:shd w:val="clear" w:color="auto" w:fill="1414D2"/>
          </w:tcPr>
          <w:p>
            <w:pPr>
              <w:spacing w:after="0"/>
              <w:rPr>
                <w:sz w:val="10"/>
                <w:szCs w:val="10"/>
                <w:color w:val="auto"/>
              </w:rPr>
            </w:pPr>
          </w:p>
        </w:tc>
        <w:tc>
          <w:tcPr>
            <w:tcW w:w="1180" w:type="dxa"/>
            <w:vAlign w:val="bottom"/>
            <w:vMerge w:val="continue"/>
            <w:shd w:val="clear" w:color="auto" w:fill="1414D2"/>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1520" w:type="dxa"/>
            <w:vAlign w:val="bottom"/>
          </w:tcPr>
          <w:p>
            <w:pPr>
              <w:spacing w:after="0"/>
              <w:rPr>
                <w:sz w:val="18"/>
                <w:szCs w:val="18"/>
                <w:color w:val="auto"/>
              </w:rPr>
            </w:pPr>
          </w:p>
        </w:tc>
        <w:tc>
          <w:tcPr>
            <w:tcW w:w="180" w:type="dxa"/>
            <w:vAlign w:val="bottom"/>
            <w:tcBorders>
              <w:right w:val="single" w:sz="8" w:color="1414D2"/>
            </w:tcBorders>
          </w:tcPr>
          <w:p>
            <w:pPr>
              <w:spacing w:after="0"/>
              <w:rPr>
                <w:sz w:val="18"/>
                <w:szCs w:val="18"/>
                <w:color w:val="auto"/>
              </w:rPr>
            </w:pPr>
          </w:p>
        </w:tc>
        <w:tc>
          <w:tcPr>
            <w:tcW w:w="280" w:type="dxa"/>
            <w:vAlign w:val="bottom"/>
            <w:shd w:val="clear" w:color="auto" w:fill="1414D2"/>
          </w:tcPr>
          <w:p>
            <w:pPr>
              <w:spacing w:after="0"/>
              <w:rPr>
                <w:sz w:val="18"/>
                <w:szCs w:val="18"/>
                <w:color w:val="auto"/>
              </w:rPr>
            </w:pPr>
          </w:p>
        </w:tc>
        <w:tc>
          <w:tcPr>
            <w:tcW w:w="1160" w:type="dxa"/>
            <w:vAlign w:val="bottom"/>
            <w:shd w:val="clear" w:color="auto" w:fill="1414D2"/>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shd w:val="clear" w:color="auto" w:fill="1414D2"/>
          </w:tcPr>
          <w:p>
            <w:pPr>
              <w:spacing w:after="0"/>
              <w:rPr>
                <w:sz w:val="18"/>
                <w:szCs w:val="18"/>
                <w:color w:val="auto"/>
              </w:rPr>
            </w:pPr>
          </w:p>
        </w:tc>
        <w:tc>
          <w:tcPr>
            <w:tcW w:w="1180" w:type="dxa"/>
            <w:vAlign w:val="bottom"/>
            <w:tcBorders>
              <w:right w:val="single" w:sz="8" w:color="1414D2"/>
            </w:tcBorders>
            <w:shd w:val="clear" w:color="auto" w:fill="1414D2"/>
          </w:tcPr>
          <w:p>
            <w:pPr>
              <w:ind w:left="60"/>
              <w:spacing w:after="0"/>
              <w:rPr>
                <w:sz w:val="20"/>
                <w:szCs w:val="20"/>
                <w:color w:val="auto"/>
              </w:rPr>
            </w:pPr>
            <w:r>
              <w:rPr>
                <w:rFonts w:ascii="Arial" w:cs="Arial" w:eastAsia="Arial" w:hAnsi="Arial"/>
                <w:sz w:val="14"/>
                <w:szCs w:val="14"/>
                <w:color w:val="FFFFFF"/>
              </w:rPr>
              <w:t>Condition</w:t>
            </w:r>
          </w:p>
        </w:tc>
        <w:tc>
          <w:tcPr>
            <w:tcW w:w="160" w:type="dxa"/>
            <w:vAlign w:val="bottom"/>
          </w:tcPr>
          <w:p>
            <w:pPr>
              <w:spacing w:after="0"/>
              <w:rPr>
                <w:sz w:val="18"/>
                <w:szCs w:val="18"/>
                <w:color w:val="auto"/>
              </w:rPr>
            </w:pPr>
          </w:p>
        </w:tc>
        <w:tc>
          <w:tcPr>
            <w:tcW w:w="300" w:type="dxa"/>
            <w:vAlign w:val="bottom"/>
            <w:shd w:val="clear" w:color="auto" w:fill="1414D2"/>
          </w:tcPr>
          <w:p>
            <w:pPr>
              <w:spacing w:after="0"/>
              <w:rPr>
                <w:sz w:val="18"/>
                <w:szCs w:val="18"/>
                <w:color w:val="auto"/>
              </w:rPr>
            </w:pPr>
          </w:p>
        </w:tc>
        <w:tc>
          <w:tcPr>
            <w:tcW w:w="1180" w:type="dxa"/>
            <w:vAlign w:val="bottom"/>
            <w:shd w:val="clear" w:color="auto" w:fill="1414D2"/>
          </w:tcPr>
          <w:p>
            <w:pPr>
              <w:ind w:left="80"/>
              <w:spacing w:after="0"/>
              <w:rPr>
                <w:sz w:val="20"/>
                <w:szCs w:val="20"/>
                <w:color w:val="auto"/>
              </w:rPr>
            </w:pPr>
            <w:r>
              <w:rPr>
                <w:rFonts w:ascii="Arial" w:cs="Arial" w:eastAsia="Arial" w:hAnsi="Arial"/>
                <w:sz w:val="14"/>
                <w:szCs w:val="14"/>
                <w:color w:val="FFFFFF"/>
              </w:rPr>
              <w:t>Condition</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1520" w:type="dxa"/>
            <w:vAlign w:val="bottom"/>
          </w:tcPr>
          <w:p>
            <w:pPr>
              <w:spacing w:after="0"/>
              <w:rPr>
                <w:sz w:val="5"/>
                <w:szCs w:val="5"/>
                <w:color w:val="auto"/>
              </w:rPr>
            </w:pPr>
          </w:p>
        </w:tc>
        <w:tc>
          <w:tcPr>
            <w:tcW w:w="180" w:type="dxa"/>
            <w:vAlign w:val="bottom"/>
            <w:tcBorders>
              <w:right w:val="single" w:sz="8" w:color="1414D2"/>
            </w:tcBorders>
          </w:tcPr>
          <w:p>
            <w:pPr>
              <w:spacing w:after="0"/>
              <w:rPr>
                <w:sz w:val="5"/>
                <w:szCs w:val="5"/>
                <w:color w:val="auto"/>
              </w:rPr>
            </w:pPr>
          </w:p>
        </w:tc>
        <w:tc>
          <w:tcPr>
            <w:tcW w:w="280" w:type="dxa"/>
            <w:vAlign w:val="bottom"/>
            <w:shd w:val="clear" w:color="auto" w:fill="1414D2"/>
          </w:tcPr>
          <w:p>
            <w:pPr>
              <w:spacing w:after="0"/>
              <w:rPr>
                <w:sz w:val="5"/>
                <w:szCs w:val="5"/>
                <w:color w:val="auto"/>
              </w:rPr>
            </w:pPr>
          </w:p>
        </w:tc>
        <w:tc>
          <w:tcPr>
            <w:tcW w:w="1160" w:type="dxa"/>
            <w:vAlign w:val="bottom"/>
            <w:shd w:val="clear" w:color="auto" w:fill="1414D2"/>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shd w:val="clear" w:color="auto" w:fill="1414D2"/>
          </w:tcPr>
          <w:p>
            <w:pPr>
              <w:spacing w:after="0"/>
              <w:rPr>
                <w:sz w:val="5"/>
                <w:szCs w:val="5"/>
                <w:color w:val="auto"/>
              </w:rPr>
            </w:pPr>
          </w:p>
        </w:tc>
        <w:tc>
          <w:tcPr>
            <w:tcW w:w="1180" w:type="dxa"/>
            <w:vAlign w:val="bottom"/>
            <w:tcBorders>
              <w:right w:val="single" w:sz="8" w:color="1414D2"/>
            </w:tcBorders>
            <w:shd w:val="clear" w:color="auto" w:fill="1414D2"/>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shd w:val="clear" w:color="auto" w:fill="1414D2"/>
          </w:tcPr>
          <w:p>
            <w:pPr>
              <w:spacing w:after="0"/>
              <w:rPr>
                <w:sz w:val="5"/>
                <w:szCs w:val="5"/>
                <w:color w:val="auto"/>
              </w:rPr>
            </w:pPr>
          </w:p>
        </w:tc>
        <w:tc>
          <w:tcPr>
            <w:tcW w:w="1180" w:type="dxa"/>
            <w:vAlign w:val="bottom"/>
            <w:shd w:val="clear" w:color="auto" w:fill="1414D2"/>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1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2024</w:t>
            </w:r>
          </w:p>
        </w:tc>
        <w:tc>
          <w:tcPr>
            <w:tcW w:w="180" w:type="dxa"/>
            <w:vAlign w:val="bottom"/>
          </w:tcPr>
          <w:p>
            <w:pPr>
              <w:spacing w:after="0"/>
              <w:rPr>
                <w:sz w:val="15"/>
                <w:szCs w:val="15"/>
                <w:color w:val="auto"/>
              </w:rPr>
            </w:pPr>
          </w:p>
        </w:tc>
        <w:tc>
          <w:tcPr>
            <w:tcW w:w="300" w:type="dxa"/>
            <w:vAlign w:val="bottom"/>
            <w:tcBorders>
              <w:bottom w:val="single" w:sz="8" w:color="1414D2"/>
            </w:tcBorders>
          </w:tcPr>
          <w:p>
            <w:pPr>
              <w:spacing w:after="0"/>
              <w:rPr>
                <w:sz w:val="15"/>
                <w:szCs w:val="15"/>
                <w:color w:val="auto"/>
              </w:rPr>
            </w:pPr>
          </w:p>
        </w:tc>
        <w:tc>
          <w:tcPr>
            <w:tcW w:w="1180" w:type="dxa"/>
            <w:vAlign w:val="bottom"/>
            <w:tcBorders>
              <w:bottom w:val="single" w:sz="8" w:color="1414D2"/>
            </w:tcBorders>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Borders>
              <w:bottom w:val="single" w:sz="8" w:color="1414D2"/>
            </w:tcBorders>
          </w:tcPr>
          <w:p>
            <w:pPr>
              <w:spacing w:after="0"/>
              <w:rPr>
                <w:sz w:val="15"/>
                <w:szCs w:val="15"/>
                <w:color w:val="auto"/>
              </w:rPr>
            </w:pPr>
          </w:p>
        </w:tc>
        <w:tc>
          <w:tcPr>
            <w:tcW w:w="1180" w:type="dxa"/>
            <w:vAlign w:val="bottom"/>
            <w:tcBorders>
              <w:bottom w:val="single" w:sz="8" w:color="1414D2"/>
            </w:tcBorders>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Borders>
              <w:bottom w:val="single" w:sz="8" w:color="1414D2"/>
            </w:tcBorders>
          </w:tcPr>
          <w:p>
            <w:pPr>
              <w:spacing w:after="0"/>
              <w:rPr>
                <w:sz w:val="15"/>
                <w:szCs w:val="15"/>
                <w:color w:val="auto"/>
              </w:rPr>
            </w:pPr>
          </w:p>
        </w:tc>
        <w:tc>
          <w:tcPr>
            <w:tcW w:w="1180" w:type="dxa"/>
            <w:vAlign w:val="bottom"/>
            <w:tcBorders>
              <w:bottom w:val="single" w:sz="8" w:color="1414D2"/>
            </w:tcBorders>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1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shd w:val="clear" w:color="auto" w:fill="1414D2"/>
          </w:tcPr>
          <w:p>
            <w:pPr>
              <w:spacing w:after="0"/>
              <w:rPr>
                <w:sz w:val="24"/>
                <w:szCs w:val="24"/>
                <w:color w:val="auto"/>
              </w:rPr>
            </w:pPr>
          </w:p>
        </w:tc>
        <w:tc>
          <w:tcPr>
            <w:tcW w:w="1180" w:type="dxa"/>
            <w:vAlign w:val="bottom"/>
            <w:tcBorders>
              <w:right w:val="single" w:sz="8" w:color="1414D2"/>
            </w:tcBorders>
            <w:shd w:val="clear" w:color="auto" w:fill="1414D2"/>
          </w:tcPr>
          <w:p>
            <w:pPr>
              <w:jc w:val="center"/>
              <w:ind w:right="228"/>
              <w:spacing w:after="0"/>
              <w:rPr>
                <w:sz w:val="20"/>
                <w:szCs w:val="20"/>
                <w:color w:val="auto"/>
              </w:rPr>
            </w:pPr>
            <w:r>
              <w:rPr>
                <w:rFonts w:ascii="Arial" w:cs="Arial" w:eastAsia="Arial" w:hAnsi="Arial"/>
                <w:sz w:val="14"/>
                <w:szCs w:val="14"/>
                <w:b w:val="1"/>
                <w:bCs w:val="1"/>
                <w:color w:val="FFFFFF"/>
              </w:rPr>
              <w:t>Year 1</w:t>
            </w:r>
          </w:p>
        </w:tc>
        <w:tc>
          <w:tcPr>
            <w:tcW w:w="160" w:type="dxa"/>
            <w:vAlign w:val="bottom"/>
          </w:tcPr>
          <w:p>
            <w:pPr>
              <w:spacing w:after="0"/>
              <w:rPr>
                <w:sz w:val="24"/>
                <w:szCs w:val="24"/>
                <w:color w:val="auto"/>
              </w:rPr>
            </w:pPr>
          </w:p>
        </w:tc>
        <w:tc>
          <w:tcPr>
            <w:tcW w:w="300" w:type="dxa"/>
            <w:vAlign w:val="bottom"/>
            <w:shd w:val="clear" w:color="auto" w:fill="1414D2"/>
          </w:tcPr>
          <w:p>
            <w:pPr>
              <w:spacing w:after="0"/>
              <w:rPr>
                <w:sz w:val="24"/>
                <w:szCs w:val="24"/>
                <w:color w:val="auto"/>
              </w:rPr>
            </w:pPr>
          </w:p>
        </w:tc>
        <w:tc>
          <w:tcPr>
            <w:tcW w:w="1180" w:type="dxa"/>
            <w:vAlign w:val="bottom"/>
            <w:shd w:val="clear" w:color="auto" w:fill="1414D2"/>
          </w:tcPr>
          <w:p>
            <w:pPr>
              <w:jc w:val="center"/>
              <w:ind w:right="228"/>
              <w:spacing w:after="0"/>
              <w:rPr>
                <w:sz w:val="20"/>
                <w:szCs w:val="20"/>
                <w:color w:val="auto"/>
              </w:rPr>
            </w:pPr>
            <w:r>
              <w:rPr>
                <w:rFonts w:ascii="Arial" w:cs="Arial" w:eastAsia="Arial" w:hAnsi="Arial"/>
                <w:sz w:val="14"/>
                <w:szCs w:val="14"/>
                <w:b w:val="1"/>
                <w:bCs w:val="1"/>
                <w:color w:val="FFFFFF"/>
              </w:rPr>
              <w:t>Year 2</w:t>
            </w:r>
          </w:p>
        </w:tc>
        <w:tc>
          <w:tcPr>
            <w:tcW w:w="200" w:type="dxa"/>
            <w:vAlign w:val="bottom"/>
            <w:tcBorders>
              <w:right w:val="single" w:sz="8" w:color="1414D2"/>
            </w:tcBorders>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Borders>
              <w:right w:val="single" w:sz="8" w:color="1414D2"/>
            </w:tcBorders>
          </w:tcPr>
          <w:p>
            <w:pPr>
              <w:jc w:val="center"/>
              <w:ind w:right="227"/>
              <w:spacing w:after="0"/>
              <w:rPr>
                <w:sz w:val="20"/>
                <w:szCs w:val="20"/>
                <w:color w:val="auto"/>
              </w:rPr>
            </w:pPr>
            <w:r>
              <w:rPr>
                <w:rFonts w:ascii="Arial" w:cs="Arial" w:eastAsia="Arial" w:hAnsi="Arial"/>
                <w:sz w:val="14"/>
                <w:szCs w:val="14"/>
                <w:b w:val="1"/>
                <w:bCs w:val="1"/>
                <w:color w:val="auto"/>
              </w:rPr>
              <w:t>Year 3</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PBRSU</w:t>
            </w:r>
          </w:p>
        </w:tc>
        <w:tc>
          <w:tcPr>
            <w:tcW w:w="180" w:type="dxa"/>
            <w:vAlign w:val="bottom"/>
          </w:tcPr>
          <w:p>
            <w:pPr>
              <w:spacing w:after="0"/>
              <w:rPr>
                <w:sz w:val="18"/>
                <w:szCs w:val="18"/>
                <w:color w:val="auto"/>
              </w:rPr>
            </w:pPr>
          </w:p>
        </w:tc>
        <w:tc>
          <w:tcPr>
            <w:tcW w:w="300" w:type="dxa"/>
            <w:vAlign w:val="bottom"/>
            <w:vMerge w:val="restart"/>
            <w:shd w:val="clear" w:color="auto" w:fill="1414D2"/>
          </w:tcPr>
          <w:p>
            <w:pPr>
              <w:ind w:left="140"/>
              <w:spacing w:after="0"/>
              <w:rPr>
                <w:sz w:val="20"/>
                <w:szCs w:val="20"/>
                <w:color w:val="auto"/>
              </w:rPr>
            </w:pPr>
            <w:r>
              <w:rPr>
                <w:rFonts w:ascii="Times New Roman" w:cs="Times New Roman" w:eastAsia="Times New Roman" w:hAnsi="Times New Roman"/>
                <w:sz w:val="14"/>
                <w:szCs w:val="14"/>
                <w:color w:val="FFFFFF"/>
              </w:rPr>
              <w:t>●</w:t>
            </w:r>
          </w:p>
        </w:tc>
        <w:tc>
          <w:tcPr>
            <w:tcW w:w="1180" w:type="dxa"/>
            <w:vAlign w:val="bottom"/>
            <w:tcBorders>
              <w:right w:val="single" w:sz="8" w:color="1414D2"/>
            </w:tcBorders>
            <w:vMerge w:val="restart"/>
            <w:shd w:val="clear" w:color="auto" w:fill="1414D2"/>
          </w:tcPr>
          <w:p>
            <w:pPr>
              <w:ind w:left="60"/>
              <w:spacing w:after="0"/>
              <w:rPr>
                <w:sz w:val="20"/>
                <w:szCs w:val="20"/>
                <w:color w:val="auto"/>
              </w:rPr>
            </w:pPr>
            <w:r>
              <w:rPr>
                <w:rFonts w:ascii="Arial" w:cs="Arial" w:eastAsia="Arial" w:hAnsi="Arial"/>
                <w:sz w:val="14"/>
                <w:szCs w:val="14"/>
                <w:color w:val="FFFFFF"/>
                <w:w w:val="99"/>
              </w:rPr>
              <w:t>Same  as  above,</w:t>
            </w:r>
          </w:p>
        </w:tc>
        <w:tc>
          <w:tcPr>
            <w:tcW w:w="160" w:type="dxa"/>
            <w:vAlign w:val="bottom"/>
          </w:tcPr>
          <w:p>
            <w:pPr>
              <w:spacing w:after="0"/>
              <w:rPr>
                <w:sz w:val="18"/>
                <w:szCs w:val="18"/>
                <w:color w:val="auto"/>
              </w:rPr>
            </w:pPr>
          </w:p>
        </w:tc>
        <w:tc>
          <w:tcPr>
            <w:tcW w:w="300" w:type="dxa"/>
            <w:vAlign w:val="bottom"/>
            <w:vMerge w:val="restart"/>
            <w:shd w:val="clear" w:color="auto" w:fill="1414D2"/>
          </w:tcPr>
          <w:p>
            <w:pPr>
              <w:ind w:left="140"/>
              <w:spacing w:after="0"/>
              <w:rPr>
                <w:sz w:val="20"/>
                <w:szCs w:val="20"/>
                <w:color w:val="auto"/>
              </w:rPr>
            </w:pPr>
            <w:r>
              <w:rPr>
                <w:rFonts w:ascii="Times New Roman" w:cs="Times New Roman" w:eastAsia="Times New Roman" w:hAnsi="Times New Roman"/>
                <w:sz w:val="14"/>
                <w:szCs w:val="14"/>
                <w:color w:val="FFFFFF"/>
              </w:rPr>
              <w:t>●</w:t>
            </w:r>
          </w:p>
        </w:tc>
        <w:tc>
          <w:tcPr>
            <w:tcW w:w="1180" w:type="dxa"/>
            <w:vAlign w:val="bottom"/>
            <w:vMerge w:val="restart"/>
            <w:shd w:val="clear" w:color="auto" w:fill="1414D2"/>
          </w:tcPr>
          <w:p>
            <w:pPr>
              <w:ind w:left="80"/>
              <w:spacing w:after="0"/>
              <w:rPr>
                <w:sz w:val="20"/>
                <w:szCs w:val="20"/>
                <w:color w:val="auto"/>
              </w:rPr>
            </w:pPr>
            <w:r>
              <w:rPr>
                <w:rFonts w:ascii="Arial" w:cs="Arial" w:eastAsia="Arial" w:hAnsi="Arial"/>
                <w:sz w:val="14"/>
                <w:szCs w:val="14"/>
                <w:color w:val="FFFFFF"/>
                <w:w w:val="99"/>
              </w:rPr>
              <w:t>Same  as  above,</w:t>
            </w:r>
          </w:p>
        </w:tc>
        <w:tc>
          <w:tcPr>
            <w:tcW w:w="200" w:type="dxa"/>
            <w:vAlign w:val="bottom"/>
            <w:tcBorders>
              <w:right w:val="single" w:sz="8" w:color="1414D2"/>
            </w:tcBorders>
          </w:tcPr>
          <w:p>
            <w:pPr>
              <w:spacing w:after="0"/>
              <w:rPr>
                <w:sz w:val="18"/>
                <w:szCs w:val="18"/>
                <w:color w:val="auto"/>
              </w:rPr>
            </w:pPr>
          </w:p>
        </w:tc>
        <w:tc>
          <w:tcPr>
            <w:tcW w:w="2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right w:val="single" w:sz="8" w:color="1414D2"/>
            </w:tcBorders>
            <w:vMerge w:val="restart"/>
          </w:tcPr>
          <w:p>
            <w:pPr>
              <w:ind w:left="60"/>
              <w:spacing w:after="0"/>
              <w:rPr>
                <w:sz w:val="20"/>
                <w:szCs w:val="20"/>
                <w:color w:val="auto"/>
              </w:rPr>
            </w:pPr>
            <w:r>
              <w:rPr>
                <w:rFonts w:ascii="Arial" w:cs="Arial" w:eastAsia="Arial" w:hAnsi="Arial"/>
                <w:sz w:val="14"/>
                <w:szCs w:val="14"/>
                <w:color w:val="auto"/>
              </w:rPr>
              <w:t>Performance</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1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vMerge w:val="continue"/>
            <w:shd w:val="clear" w:color="auto" w:fill="1414D2"/>
          </w:tcPr>
          <w:p>
            <w:pPr>
              <w:spacing w:after="0"/>
              <w:rPr>
                <w:sz w:val="3"/>
                <w:szCs w:val="3"/>
                <w:color w:val="auto"/>
              </w:rPr>
            </w:pPr>
          </w:p>
        </w:tc>
        <w:tc>
          <w:tcPr>
            <w:tcW w:w="1180" w:type="dxa"/>
            <w:vAlign w:val="bottom"/>
            <w:tcBorders>
              <w:right w:val="single" w:sz="8" w:color="1414D2"/>
            </w:tcBorders>
            <w:vMerge w:val="continue"/>
            <w:shd w:val="clear" w:color="auto" w:fill="1414D2"/>
          </w:tcPr>
          <w:p>
            <w:pPr>
              <w:spacing w:after="0"/>
              <w:rPr>
                <w:sz w:val="3"/>
                <w:szCs w:val="3"/>
                <w:color w:val="auto"/>
              </w:rPr>
            </w:pPr>
          </w:p>
        </w:tc>
        <w:tc>
          <w:tcPr>
            <w:tcW w:w="160" w:type="dxa"/>
            <w:vAlign w:val="bottom"/>
          </w:tcPr>
          <w:p>
            <w:pPr>
              <w:spacing w:after="0"/>
              <w:rPr>
                <w:sz w:val="3"/>
                <w:szCs w:val="3"/>
                <w:color w:val="auto"/>
              </w:rPr>
            </w:pPr>
          </w:p>
        </w:tc>
        <w:tc>
          <w:tcPr>
            <w:tcW w:w="300" w:type="dxa"/>
            <w:vAlign w:val="bottom"/>
            <w:vMerge w:val="continue"/>
            <w:shd w:val="clear" w:color="auto" w:fill="1414D2"/>
          </w:tcPr>
          <w:p>
            <w:pPr>
              <w:spacing w:after="0"/>
              <w:rPr>
                <w:sz w:val="3"/>
                <w:szCs w:val="3"/>
                <w:color w:val="auto"/>
              </w:rPr>
            </w:pPr>
          </w:p>
        </w:tc>
        <w:tc>
          <w:tcPr>
            <w:tcW w:w="1180" w:type="dxa"/>
            <w:vAlign w:val="bottom"/>
            <w:vMerge w:val="continue"/>
            <w:shd w:val="clear" w:color="auto" w:fill="1414D2"/>
          </w:tcPr>
          <w:p>
            <w:pPr>
              <w:spacing w:after="0"/>
              <w:rPr>
                <w:sz w:val="3"/>
                <w:szCs w:val="3"/>
                <w:color w:val="auto"/>
              </w:rPr>
            </w:pPr>
          </w:p>
        </w:tc>
        <w:tc>
          <w:tcPr>
            <w:tcW w:w="200" w:type="dxa"/>
            <w:vAlign w:val="bottom"/>
            <w:tcBorders>
              <w:right w:val="single" w:sz="8" w:color="1414D2"/>
            </w:tcBorders>
          </w:tcPr>
          <w:p>
            <w:pPr>
              <w:spacing w:after="0"/>
              <w:rPr>
                <w:sz w:val="3"/>
                <w:szCs w:val="3"/>
                <w:color w:val="auto"/>
              </w:rPr>
            </w:pPr>
          </w:p>
        </w:tc>
        <w:tc>
          <w:tcPr>
            <w:tcW w:w="280" w:type="dxa"/>
            <w:vAlign w:val="bottom"/>
            <w:vMerge w:val="continue"/>
          </w:tcPr>
          <w:p>
            <w:pPr>
              <w:spacing w:after="0"/>
              <w:rPr>
                <w:sz w:val="3"/>
                <w:szCs w:val="3"/>
                <w:color w:val="auto"/>
              </w:rPr>
            </w:pPr>
          </w:p>
        </w:tc>
        <w:tc>
          <w:tcPr>
            <w:tcW w:w="1180" w:type="dxa"/>
            <w:vAlign w:val="bottom"/>
            <w:tcBorders>
              <w:right w:val="single" w:sz="8" w:color="1414D2"/>
            </w:tcBorders>
            <w:vMerge w:val="continue"/>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1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shd w:val="clear" w:color="auto" w:fill="1414D2"/>
          </w:tcPr>
          <w:p>
            <w:pPr>
              <w:spacing w:after="0"/>
              <w:rPr>
                <w:sz w:val="15"/>
                <w:szCs w:val="15"/>
                <w:color w:val="auto"/>
              </w:rPr>
            </w:pPr>
          </w:p>
        </w:tc>
        <w:tc>
          <w:tcPr>
            <w:tcW w:w="1180" w:type="dxa"/>
            <w:vAlign w:val="bottom"/>
            <w:tcBorders>
              <w:right w:val="single" w:sz="8" w:color="1414D2"/>
            </w:tcBorders>
            <w:shd w:val="clear" w:color="auto" w:fill="1414D2"/>
          </w:tcPr>
          <w:p>
            <w:pPr>
              <w:ind w:left="60"/>
              <w:spacing w:after="0"/>
              <w:rPr>
                <w:sz w:val="20"/>
                <w:szCs w:val="20"/>
                <w:color w:val="auto"/>
              </w:rPr>
            </w:pPr>
            <w:r>
              <w:rPr>
                <w:rFonts w:ascii="Arial" w:cs="Arial" w:eastAsia="Arial" w:hAnsi="Arial"/>
                <w:sz w:val="14"/>
                <w:szCs w:val="14"/>
                <w:color w:val="FFFFFF"/>
              </w:rPr>
              <w:t>plus  relative</w:t>
            </w:r>
          </w:p>
        </w:tc>
        <w:tc>
          <w:tcPr>
            <w:tcW w:w="160" w:type="dxa"/>
            <w:vAlign w:val="bottom"/>
          </w:tcPr>
          <w:p>
            <w:pPr>
              <w:spacing w:after="0"/>
              <w:rPr>
                <w:sz w:val="15"/>
                <w:szCs w:val="15"/>
                <w:color w:val="auto"/>
              </w:rPr>
            </w:pPr>
          </w:p>
        </w:tc>
        <w:tc>
          <w:tcPr>
            <w:tcW w:w="300" w:type="dxa"/>
            <w:vAlign w:val="bottom"/>
            <w:shd w:val="clear" w:color="auto" w:fill="1414D2"/>
          </w:tcPr>
          <w:p>
            <w:pPr>
              <w:spacing w:after="0"/>
              <w:rPr>
                <w:sz w:val="15"/>
                <w:szCs w:val="15"/>
                <w:color w:val="auto"/>
              </w:rPr>
            </w:pPr>
          </w:p>
        </w:tc>
        <w:tc>
          <w:tcPr>
            <w:tcW w:w="1180" w:type="dxa"/>
            <w:vAlign w:val="bottom"/>
            <w:shd w:val="clear" w:color="auto" w:fill="1414D2"/>
          </w:tcPr>
          <w:p>
            <w:pPr>
              <w:ind w:left="80"/>
              <w:spacing w:after="0"/>
              <w:rPr>
                <w:sz w:val="20"/>
                <w:szCs w:val="20"/>
                <w:color w:val="auto"/>
              </w:rPr>
            </w:pPr>
            <w:r>
              <w:rPr>
                <w:rFonts w:ascii="Arial" w:cs="Arial" w:eastAsia="Arial" w:hAnsi="Arial"/>
                <w:sz w:val="14"/>
                <w:szCs w:val="14"/>
                <w:color w:val="FFFFFF"/>
              </w:rPr>
              <w:t>plus  relative</w:t>
            </w:r>
          </w:p>
        </w:tc>
        <w:tc>
          <w:tcPr>
            <w:tcW w:w="200" w:type="dxa"/>
            <w:vAlign w:val="bottom"/>
            <w:tcBorders>
              <w:right w:val="single" w:sz="8" w:color="1414D2"/>
            </w:tcBorders>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Borders>
              <w:right w:val="single" w:sz="8" w:color="1414D2"/>
            </w:tcBorders>
          </w:tcPr>
          <w:p>
            <w:pPr>
              <w:ind w:left="60"/>
              <w:spacing w:after="0"/>
              <w:rPr>
                <w:sz w:val="20"/>
                <w:szCs w:val="20"/>
                <w:color w:val="auto"/>
              </w:rPr>
            </w:pPr>
            <w:r>
              <w:rPr>
                <w:rFonts w:ascii="Arial" w:cs="Arial" w:eastAsia="Arial" w:hAnsi="Arial"/>
                <w:sz w:val="14"/>
                <w:szCs w:val="14"/>
                <w:color w:val="auto"/>
              </w:rPr>
              <w:t>measures</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shd w:val="clear" w:color="auto" w:fill="1414D2"/>
          </w:tcPr>
          <w:p>
            <w:pPr>
              <w:spacing w:after="0"/>
              <w:rPr>
                <w:sz w:val="15"/>
                <w:szCs w:val="15"/>
                <w:color w:val="auto"/>
              </w:rPr>
            </w:pPr>
          </w:p>
        </w:tc>
        <w:tc>
          <w:tcPr>
            <w:tcW w:w="1180" w:type="dxa"/>
            <w:vAlign w:val="bottom"/>
            <w:tcBorders>
              <w:right w:val="single" w:sz="8" w:color="1414D2"/>
            </w:tcBorders>
            <w:shd w:val="clear" w:color="auto" w:fill="1414D2"/>
          </w:tcPr>
          <w:p>
            <w:pPr>
              <w:ind w:left="60"/>
              <w:spacing w:after="0"/>
              <w:rPr>
                <w:sz w:val="20"/>
                <w:szCs w:val="20"/>
                <w:color w:val="auto"/>
              </w:rPr>
            </w:pPr>
            <w:r>
              <w:rPr>
                <w:rFonts w:ascii="Arial" w:cs="Arial" w:eastAsia="Arial" w:hAnsi="Arial"/>
                <w:sz w:val="14"/>
                <w:szCs w:val="14"/>
                <w:color w:val="FFFFFF"/>
              </w:rPr>
              <w:t>total</w:t>
            </w:r>
          </w:p>
        </w:tc>
        <w:tc>
          <w:tcPr>
            <w:tcW w:w="160" w:type="dxa"/>
            <w:vAlign w:val="bottom"/>
          </w:tcPr>
          <w:p>
            <w:pPr>
              <w:spacing w:after="0"/>
              <w:rPr>
                <w:sz w:val="15"/>
                <w:szCs w:val="15"/>
                <w:color w:val="auto"/>
              </w:rPr>
            </w:pPr>
          </w:p>
        </w:tc>
        <w:tc>
          <w:tcPr>
            <w:tcW w:w="300" w:type="dxa"/>
            <w:vAlign w:val="bottom"/>
            <w:shd w:val="clear" w:color="auto" w:fill="1414D2"/>
          </w:tcPr>
          <w:p>
            <w:pPr>
              <w:spacing w:after="0"/>
              <w:rPr>
                <w:sz w:val="15"/>
                <w:szCs w:val="15"/>
                <w:color w:val="auto"/>
              </w:rPr>
            </w:pPr>
          </w:p>
        </w:tc>
        <w:tc>
          <w:tcPr>
            <w:tcW w:w="1180" w:type="dxa"/>
            <w:vAlign w:val="bottom"/>
            <w:shd w:val="clear" w:color="auto" w:fill="1414D2"/>
          </w:tcPr>
          <w:p>
            <w:pPr>
              <w:ind w:left="80"/>
              <w:spacing w:after="0"/>
              <w:rPr>
                <w:sz w:val="20"/>
                <w:szCs w:val="20"/>
                <w:color w:val="auto"/>
              </w:rPr>
            </w:pPr>
            <w:r>
              <w:rPr>
                <w:rFonts w:ascii="Arial" w:cs="Arial" w:eastAsia="Arial" w:hAnsi="Arial"/>
                <w:sz w:val="14"/>
                <w:szCs w:val="14"/>
                <w:color w:val="FFFFFF"/>
              </w:rPr>
              <w:t>TSR  modifer</w:t>
            </w:r>
          </w:p>
        </w:tc>
        <w:tc>
          <w:tcPr>
            <w:tcW w:w="200" w:type="dxa"/>
            <w:vAlign w:val="bottom"/>
            <w:tcBorders>
              <w:right w:val="single" w:sz="8" w:color="1414D2"/>
            </w:tcBorders>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Borders>
              <w:right w:val="single" w:sz="8" w:color="1414D2"/>
            </w:tcBorders>
          </w:tcPr>
          <w:p>
            <w:pPr>
              <w:ind w:left="60"/>
              <w:spacing w:after="0"/>
              <w:rPr>
                <w:sz w:val="20"/>
                <w:szCs w:val="20"/>
                <w:color w:val="auto"/>
              </w:rPr>
            </w:pPr>
            <w:r>
              <w:rPr>
                <w:rFonts w:ascii="Arial" w:cs="Arial" w:eastAsia="Arial" w:hAnsi="Arial"/>
                <w:sz w:val="14"/>
                <w:szCs w:val="14"/>
                <w:color w:val="auto"/>
              </w:rPr>
              <w:t>determined  in</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shd w:val="clear" w:color="auto" w:fill="1414D2"/>
          </w:tcPr>
          <w:p>
            <w:pPr>
              <w:spacing w:after="0"/>
              <w:rPr>
                <w:sz w:val="14"/>
                <w:szCs w:val="14"/>
                <w:color w:val="auto"/>
              </w:rPr>
            </w:pPr>
          </w:p>
        </w:tc>
        <w:tc>
          <w:tcPr>
            <w:tcW w:w="1180" w:type="dxa"/>
            <w:vAlign w:val="bottom"/>
            <w:tcBorders>
              <w:right w:val="single" w:sz="8" w:color="1414D2"/>
            </w:tcBorders>
            <w:shd w:val="clear" w:color="auto" w:fill="1414D2"/>
          </w:tcPr>
          <w:p>
            <w:pPr>
              <w:ind w:left="60"/>
              <w:spacing w:after="0"/>
              <w:rPr>
                <w:sz w:val="20"/>
                <w:szCs w:val="20"/>
                <w:color w:val="auto"/>
              </w:rPr>
            </w:pPr>
            <w:r>
              <w:rPr>
                <w:rFonts w:ascii="Arial" w:cs="Arial" w:eastAsia="Arial" w:hAnsi="Arial"/>
                <w:sz w:val="14"/>
                <w:szCs w:val="14"/>
                <w:color w:val="FFFFFF"/>
              </w:rPr>
              <w:t>stockholder</w:t>
            </w:r>
          </w:p>
        </w:tc>
        <w:tc>
          <w:tcPr>
            <w:tcW w:w="160" w:type="dxa"/>
            <w:vAlign w:val="bottom"/>
          </w:tcPr>
          <w:p>
            <w:pPr>
              <w:spacing w:after="0"/>
              <w:rPr>
                <w:sz w:val="14"/>
                <w:szCs w:val="14"/>
                <w:color w:val="auto"/>
              </w:rPr>
            </w:pPr>
          </w:p>
        </w:tc>
        <w:tc>
          <w:tcPr>
            <w:tcW w:w="300" w:type="dxa"/>
            <w:vAlign w:val="bottom"/>
            <w:shd w:val="clear" w:color="auto" w:fill="1414D2"/>
          </w:tcPr>
          <w:p>
            <w:pPr>
              <w:spacing w:after="0"/>
              <w:rPr>
                <w:sz w:val="14"/>
                <w:szCs w:val="14"/>
                <w:color w:val="auto"/>
              </w:rPr>
            </w:pPr>
          </w:p>
        </w:tc>
        <w:tc>
          <w:tcPr>
            <w:tcW w:w="1180" w:type="dxa"/>
            <w:vAlign w:val="bottom"/>
            <w:shd w:val="clear" w:color="auto" w:fill="1414D2"/>
          </w:tcPr>
          <w:p>
            <w:pPr>
              <w:ind w:left="80"/>
              <w:spacing w:after="0"/>
              <w:rPr>
                <w:sz w:val="20"/>
                <w:szCs w:val="20"/>
                <w:color w:val="auto"/>
              </w:rPr>
            </w:pPr>
            <w:r>
              <w:rPr>
                <w:rFonts w:ascii="Arial" w:cs="Arial" w:eastAsia="Arial" w:hAnsi="Arial"/>
                <w:sz w:val="14"/>
                <w:szCs w:val="14"/>
                <w:color w:val="FFFFFF"/>
              </w:rPr>
              <w:t>over  three-year</w:t>
            </w:r>
          </w:p>
        </w:tc>
        <w:tc>
          <w:tcPr>
            <w:tcW w:w="200" w:type="dxa"/>
            <w:vAlign w:val="bottom"/>
            <w:tcBorders>
              <w:right w:val="single" w:sz="8" w:color="1414D2"/>
            </w:tcBorders>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Borders>
              <w:right w:val="single" w:sz="8" w:color="1414D2"/>
            </w:tcBorders>
          </w:tcPr>
          <w:p>
            <w:pPr>
              <w:ind w:left="60"/>
              <w:spacing w:after="0"/>
              <w:rPr>
                <w:sz w:val="20"/>
                <w:szCs w:val="20"/>
                <w:color w:val="auto"/>
              </w:rPr>
            </w:pPr>
            <w:r>
              <w:rPr>
                <w:rFonts w:ascii="Arial" w:cs="Arial" w:eastAsia="Arial" w:hAnsi="Arial"/>
                <w:sz w:val="14"/>
                <w:szCs w:val="14"/>
                <w:color w:val="auto"/>
              </w:rPr>
              <w:t>2026</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shd w:val="clear" w:color="auto" w:fill="1414D2"/>
          </w:tcPr>
          <w:p>
            <w:pPr>
              <w:spacing w:after="0"/>
              <w:rPr>
                <w:sz w:val="15"/>
                <w:szCs w:val="15"/>
                <w:color w:val="auto"/>
              </w:rPr>
            </w:pPr>
          </w:p>
        </w:tc>
        <w:tc>
          <w:tcPr>
            <w:tcW w:w="1180" w:type="dxa"/>
            <w:vAlign w:val="bottom"/>
            <w:tcBorders>
              <w:right w:val="single" w:sz="8" w:color="1414D2"/>
            </w:tcBorders>
            <w:shd w:val="clear" w:color="auto" w:fill="1414D2"/>
          </w:tcPr>
          <w:p>
            <w:pPr>
              <w:ind w:left="60"/>
              <w:spacing w:after="0"/>
              <w:rPr>
                <w:sz w:val="20"/>
                <w:szCs w:val="20"/>
                <w:color w:val="auto"/>
              </w:rPr>
            </w:pPr>
            <w:r>
              <w:rPr>
                <w:rFonts w:ascii="Arial" w:cs="Arial" w:eastAsia="Arial" w:hAnsi="Arial"/>
                <w:sz w:val="14"/>
                <w:szCs w:val="14"/>
                <w:color w:val="FFFFFF"/>
              </w:rPr>
              <w:t>return  (TSR)</w:t>
            </w:r>
          </w:p>
        </w:tc>
        <w:tc>
          <w:tcPr>
            <w:tcW w:w="160" w:type="dxa"/>
            <w:vAlign w:val="bottom"/>
          </w:tcPr>
          <w:p>
            <w:pPr>
              <w:spacing w:after="0"/>
              <w:rPr>
                <w:sz w:val="15"/>
                <w:szCs w:val="15"/>
                <w:color w:val="auto"/>
              </w:rPr>
            </w:pPr>
          </w:p>
        </w:tc>
        <w:tc>
          <w:tcPr>
            <w:tcW w:w="300" w:type="dxa"/>
            <w:vAlign w:val="bottom"/>
            <w:shd w:val="clear" w:color="auto" w:fill="1414D2"/>
          </w:tcPr>
          <w:p>
            <w:pPr>
              <w:spacing w:after="0"/>
              <w:rPr>
                <w:sz w:val="15"/>
                <w:szCs w:val="15"/>
                <w:color w:val="auto"/>
              </w:rPr>
            </w:pPr>
          </w:p>
        </w:tc>
        <w:tc>
          <w:tcPr>
            <w:tcW w:w="1180" w:type="dxa"/>
            <w:vAlign w:val="bottom"/>
            <w:shd w:val="clear" w:color="auto" w:fill="1414D2"/>
          </w:tcPr>
          <w:p>
            <w:pPr>
              <w:ind w:left="80"/>
              <w:spacing w:after="0"/>
              <w:rPr>
                <w:sz w:val="20"/>
                <w:szCs w:val="20"/>
                <w:color w:val="auto"/>
              </w:rPr>
            </w:pPr>
            <w:r>
              <w:rPr>
                <w:rFonts w:ascii="Arial" w:cs="Arial" w:eastAsia="Arial" w:hAnsi="Arial"/>
                <w:sz w:val="14"/>
                <w:szCs w:val="14"/>
                <w:color w:val="FFFFFF"/>
              </w:rPr>
              <w:t>performance</w:t>
            </w:r>
          </w:p>
        </w:tc>
        <w:tc>
          <w:tcPr>
            <w:tcW w:w="200" w:type="dxa"/>
            <w:vAlign w:val="bottom"/>
            <w:tcBorders>
              <w:right w:val="single" w:sz="8" w:color="1414D2"/>
            </w:tcBorders>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Borders>
              <w:right w:val="single" w:sz="8" w:color="1414D2"/>
            </w:tcBorders>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shd w:val="clear" w:color="auto" w:fill="1414D2"/>
          </w:tcPr>
          <w:p>
            <w:pPr>
              <w:spacing w:after="0"/>
              <w:rPr>
                <w:sz w:val="15"/>
                <w:szCs w:val="15"/>
                <w:color w:val="auto"/>
              </w:rPr>
            </w:pPr>
          </w:p>
        </w:tc>
        <w:tc>
          <w:tcPr>
            <w:tcW w:w="1180" w:type="dxa"/>
            <w:vAlign w:val="bottom"/>
            <w:tcBorders>
              <w:right w:val="single" w:sz="8" w:color="1414D2"/>
            </w:tcBorders>
            <w:shd w:val="clear" w:color="auto" w:fill="1414D2"/>
          </w:tcPr>
          <w:p>
            <w:pPr>
              <w:ind w:left="60"/>
              <w:spacing w:after="0"/>
              <w:rPr>
                <w:sz w:val="20"/>
                <w:szCs w:val="20"/>
                <w:color w:val="auto"/>
              </w:rPr>
            </w:pPr>
            <w:r>
              <w:rPr>
                <w:rFonts w:ascii="Arial" w:cs="Arial" w:eastAsia="Arial" w:hAnsi="Arial"/>
                <w:sz w:val="14"/>
                <w:szCs w:val="14"/>
                <w:color w:val="FFFFFF"/>
              </w:rPr>
              <w:t>modifer  over</w:t>
            </w:r>
          </w:p>
        </w:tc>
        <w:tc>
          <w:tcPr>
            <w:tcW w:w="160" w:type="dxa"/>
            <w:vAlign w:val="bottom"/>
          </w:tcPr>
          <w:p>
            <w:pPr>
              <w:spacing w:after="0"/>
              <w:rPr>
                <w:sz w:val="15"/>
                <w:szCs w:val="15"/>
                <w:color w:val="auto"/>
              </w:rPr>
            </w:pPr>
          </w:p>
        </w:tc>
        <w:tc>
          <w:tcPr>
            <w:tcW w:w="300" w:type="dxa"/>
            <w:vAlign w:val="bottom"/>
            <w:shd w:val="clear" w:color="auto" w:fill="1414D2"/>
          </w:tcPr>
          <w:p>
            <w:pPr>
              <w:spacing w:after="0"/>
              <w:rPr>
                <w:sz w:val="15"/>
                <w:szCs w:val="15"/>
                <w:color w:val="auto"/>
              </w:rPr>
            </w:pPr>
          </w:p>
        </w:tc>
        <w:tc>
          <w:tcPr>
            <w:tcW w:w="1180" w:type="dxa"/>
            <w:vAlign w:val="bottom"/>
            <w:shd w:val="clear" w:color="auto" w:fill="1414D2"/>
          </w:tcPr>
          <w:p>
            <w:pPr>
              <w:ind w:left="80"/>
              <w:spacing w:after="0"/>
              <w:rPr>
                <w:sz w:val="20"/>
                <w:szCs w:val="20"/>
                <w:color w:val="auto"/>
              </w:rPr>
            </w:pPr>
            <w:r>
              <w:rPr>
                <w:rFonts w:ascii="Arial" w:cs="Arial" w:eastAsia="Arial" w:hAnsi="Arial"/>
                <w:sz w:val="14"/>
                <w:szCs w:val="14"/>
                <w:color w:val="FFFFFF"/>
              </w:rPr>
              <w:t>period</w:t>
            </w:r>
          </w:p>
        </w:tc>
        <w:tc>
          <w:tcPr>
            <w:tcW w:w="200" w:type="dxa"/>
            <w:vAlign w:val="bottom"/>
            <w:tcBorders>
              <w:right w:val="single" w:sz="8" w:color="1414D2"/>
            </w:tcBorders>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Borders>
              <w:right w:val="single" w:sz="8" w:color="1414D2"/>
            </w:tcBorders>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shd w:val="clear" w:color="auto" w:fill="1414D2"/>
          </w:tcPr>
          <w:p>
            <w:pPr>
              <w:spacing w:after="0"/>
              <w:rPr>
                <w:sz w:val="14"/>
                <w:szCs w:val="14"/>
                <w:color w:val="auto"/>
              </w:rPr>
            </w:pPr>
          </w:p>
        </w:tc>
        <w:tc>
          <w:tcPr>
            <w:tcW w:w="1180" w:type="dxa"/>
            <w:vAlign w:val="bottom"/>
            <w:tcBorders>
              <w:right w:val="single" w:sz="8" w:color="1414D2"/>
            </w:tcBorders>
            <w:shd w:val="clear" w:color="auto" w:fill="1414D2"/>
          </w:tcPr>
          <w:p>
            <w:pPr>
              <w:ind w:left="60"/>
              <w:spacing w:after="0"/>
              <w:rPr>
                <w:sz w:val="20"/>
                <w:szCs w:val="20"/>
                <w:color w:val="auto"/>
              </w:rPr>
            </w:pPr>
            <w:r>
              <w:rPr>
                <w:rFonts w:ascii="Arial" w:cs="Arial" w:eastAsia="Arial" w:hAnsi="Arial"/>
                <w:sz w:val="14"/>
                <w:szCs w:val="14"/>
                <w:color w:val="FFFFFF"/>
              </w:rPr>
              <w:t>three-year</w:t>
            </w:r>
          </w:p>
        </w:tc>
        <w:tc>
          <w:tcPr>
            <w:tcW w:w="160" w:type="dxa"/>
            <w:vAlign w:val="bottom"/>
          </w:tcPr>
          <w:p>
            <w:pPr>
              <w:spacing w:after="0"/>
              <w:rPr>
                <w:sz w:val="14"/>
                <w:szCs w:val="14"/>
                <w:color w:val="auto"/>
              </w:rPr>
            </w:pPr>
          </w:p>
        </w:tc>
        <w:tc>
          <w:tcPr>
            <w:tcW w:w="300" w:type="dxa"/>
            <w:vAlign w:val="bottom"/>
            <w:shd w:val="clear" w:color="auto" w:fill="1414D2"/>
          </w:tcPr>
          <w:p>
            <w:pPr>
              <w:spacing w:after="0"/>
              <w:rPr>
                <w:sz w:val="14"/>
                <w:szCs w:val="14"/>
                <w:color w:val="auto"/>
              </w:rPr>
            </w:pPr>
          </w:p>
        </w:tc>
        <w:tc>
          <w:tcPr>
            <w:tcW w:w="1180" w:type="dxa"/>
            <w:vAlign w:val="bottom"/>
            <w:shd w:val="clear" w:color="auto" w:fill="1414D2"/>
          </w:tcPr>
          <w:p>
            <w:pPr>
              <w:spacing w:after="0"/>
              <w:rPr>
                <w:sz w:val="14"/>
                <w:szCs w:val="14"/>
                <w:color w:val="auto"/>
              </w:rPr>
            </w:pPr>
          </w:p>
        </w:tc>
        <w:tc>
          <w:tcPr>
            <w:tcW w:w="200" w:type="dxa"/>
            <w:vAlign w:val="bottom"/>
            <w:tcBorders>
              <w:right w:val="single" w:sz="8" w:color="1414D2"/>
            </w:tcBorders>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Borders>
              <w:right w:val="single" w:sz="8" w:color="1414D2"/>
            </w:tcBorders>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shd w:val="clear" w:color="auto" w:fill="1414D2"/>
          </w:tcPr>
          <w:p>
            <w:pPr>
              <w:spacing w:after="0"/>
              <w:rPr>
                <w:sz w:val="15"/>
                <w:szCs w:val="15"/>
                <w:color w:val="auto"/>
              </w:rPr>
            </w:pPr>
          </w:p>
        </w:tc>
        <w:tc>
          <w:tcPr>
            <w:tcW w:w="1180" w:type="dxa"/>
            <w:vAlign w:val="bottom"/>
            <w:tcBorders>
              <w:right w:val="single" w:sz="8" w:color="1414D2"/>
            </w:tcBorders>
            <w:shd w:val="clear" w:color="auto" w:fill="1414D2"/>
          </w:tcPr>
          <w:p>
            <w:pPr>
              <w:ind w:left="60"/>
              <w:spacing w:after="0"/>
              <w:rPr>
                <w:sz w:val="20"/>
                <w:szCs w:val="20"/>
                <w:color w:val="auto"/>
              </w:rPr>
            </w:pPr>
            <w:r>
              <w:rPr>
                <w:rFonts w:ascii="Arial" w:cs="Arial" w:eastAsia="Arial" w:hAnsi="Arial"/>
                <w:sz w:val="14"/>
                <w:szCs w:val="14"/>
                <w:color w:val="FFFFFF"/>
              </w:rPr>
              <w:t>performance</w:t>
            </w:r>
          </w:p>
        </w:tc>
        <w:tc>
          <w:tcPr>
            <w:tcW w:w="160" w:type="dxa"/>
            <w:vAlign w:val="bottom"/>
          </w:tcPr>
          <w:p>
            <w:pPr>
              <w:spacing w:after="0"/>
              <w:rPr>
                <w:sz w:val="15"/>
                <w:szCs w:val="15"/>
                <w:color w:val="auto"/>
              </w:rPr>
            </w:pPr>
          </w:p>
        </w:tc>
        <w:tc>
          <w:tcPr>
            <w:tcW w:w="300" w:type="dxa"/>
            <w:vAlign w:val="bottom"/>
            <w:shd w:val="clear" w:color="auto" w:fill="1414D2"/>
          </w:tcPr>
          <w:p>
            <w:pPr>
              <w:spacing w:after="0"/>
              <w:rPr>
                <w:sz w:val="15"/>
                <w:szCs w:val="15"/>
                <w:color w:val="auto"/>
              </w:rPr>
            </w:pPr>
          </w:p>
        </w:tc>
        <w:tc>
          <w:tcPr>
            <w:tcW w:w="1180" w:type="dxa"/>
            <w:vAlign w:val="bottom"/>
            <w:shd w:val="clear" w:color="auto" w:fill="1414D2"/>
          </w:tcPr>
          <w:p>
            <w:pPr>
              <w:spacing w:after="0"/>
              <w:rPr>
                <w:sz w:val="15"/>
                <w:szCs w:val="15"/>
                <w:color w:val="auto"/>
              </w:rPr>
            </w:pPr>
          </w:p>
        </w:tc>
        <w:tc>
          <w:tcPr>
            <w:tcW w:w="200" w:type="dxa"/>
            <w:vAlign w:val="bottom"/>
            <w:tcBorders>
              <w:right w:val="single" w:sz="8" w:color="1414D2"/>
            </w:tcBorders>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Borders>
              <w:right w:val="single" w:sz="8" w:color="1414D2"/>
            </w:tcBorders>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shd w:val="clear" w:color="auto" w:fill="1414D2"/>
          </w:tcPr>
          <w:p>
            <w:pPr>
              <w:spacing w:after="0"/>
              <w:rPr>
                <w:sz w:val="18"/>
                <w:szCs w:val="18"/>
                <w:color w:val="auto"/>
              </w:rPr>
            </w:pPr>
          </w:p>
        </w:tc>
        <w:tc>
          <w:tcPr>
            <w:tcW w:w="1180" w:type="dxa"/>
            <w:vAlign w:val="bottom"/>
            <w:tcBorders>
              <w:right w:val="single" w:sz="8" w:color="1414D2"/>
            </w:tcBorders>
            <w:shd w:val="clear" w:color="auto" w:fill="1414D2"/>
          </w:tcPr>
          <w:p>
            <w:pPr>
              <w:ind w:left="60"/>
              <w:spacing w:after="0"/>
              <w:rPr>
                <w:sz w:val="20"/>
                <w:szCs w:val="20"/>
                <w:color w:val="auto"/>
              </w:rPr>
            </w:pPr>
            <w:r>
              <w:rPr>
                <w:rFonts w:ascii="Arial" w:cs="Arial" w:eastAsia="Arial" w:hAnsi="Arial"/>
                <w:sz w:val="14"/>
                <w:szCs w:val="14"/>
                <w:color w:val="FFFFFF"/>
              </w:rPr>
              <w:t>period</w:t>
            </w:r>
          </w:p>
        </w:tc>
        <w:tc>
          <w:tcPr>
            <w:tcW w:w="160" w:type="dxa"/>
            <w:vAlign w:val="bottom"/>
          </w:tcPr>
          <w:p>
            <w:pPr>
              <w:spacing w:after="0"/>
              <w:rPr>
                <w:sz w:val="18"/>
                <w:szCs w:val="18"/>
                <w:color w:val="auto"/>
              </w:rPr>
            </w:pPr>
          </w:p>
        </w:tc>
        <w:tc>
          <w:tcPr>
            <w:tcW w:w="300" w:type="dxa"/>
            <w:vAlign w:val="bottom"/>
            <w:shd w:val="clear" w:color="auto" w:fill="1414D2"/>
          </w:tcPr>
          <w:p>
            <w:pPr>
              <w:spacing w:after="0"/>
              <w:rPr>
                <w:sz w:val="18"/>
                <w:szCs w:val="18"/>
                <w:color w:val="auto"/>
              </w:rPr>
            </w:pPr>
          </w:p>
        </w:tc>
        <w:tc>
          <w:tcPr>
            <w:tcW w:w="1180" w:type="dxa"/>
            <w:vAlign w:val="bottom"/>
            <w:shd w:val="clear" w:color="auto" w:fill="1414D2"/>
          </w:tcPr>
          <w:p>
            <w:pPr>
              <w:spacing w:after="0"/>
              <w:rPr>
                <w:sz w:val="18"/>
                <w:szCs w:val="18"/>
                <w:color w:val="auto"/>
              </w:rPr>
            </w:pPr>
          </w:p>
        </w:tc>
        <w:tc>
          <w:tcPr>
            <w:tcW w:w="200" w:type="dxa"/>
            <w:vAlign w:val="bottom"/>
            <w:tcBorders>
              <w:right w:val="single" w:sz="8" w:color="1414D2"/>
            </w:tcBorders>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Borders>
              <w:right w:val="single" w:sz="8" w:color="1414D2"/>
            </w:tcBorders>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7"/>
        </w:trPr>
        <w:tc>
          <w:tcPr>
            <w:tcW w:w="1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Borders>
              <w:bottom w:val="single" w:sz="8" w:color="1414D2"/>
            </w:tcBorders>
            <w:shd w:val="clear" w:color="auto" w:fill="1414D2"/>
          </w:tcPr>
          <w:p>
            <w:pPr>
              <w:spacing w:after="0"/>
              <w:rPr>
                <w:sz w:val="5"/>
                <w:szCs w:val="5"/>
                <w:color w:val="auto"/>
              </w:rPr>
            </w:pPr>
          </w:p>
        </w:tc>
        <w:tc>
          <w:tcPr>
            <w:tcW w:w="1180" w:type="dxa"/>
            <w:vAlign w:val="bottom"/>
            <w:tcBorders>
              <w:bottom w:val="single" w:sz="8" w:color="1414D2"/>
              <w:right w:val="single" w:sz="8" w:color="1414D2"/>
            </w:tcBorders>
            <w:shd w:val="clear" w:color="auto" w:fill="1414D2"/>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Borders>
              <w:bottom w:val="single" w:sz="8" w:color="1414D2"/>
            </w:tcBorders>
            <w:shd w:val="clear" w:color="auto" w:fill="1414D2"/>
          </w:tcPr>
          <w:p>
            <w:pPr>
              <w:spacing w:after="0"/>
              <w:rPr>
                <w:sz w:val="5"/>
                <w:szCs w:val="5"/>
                <w:color w:val="auto"/>
              </w:rPr>
            </w:pPr>
          </w:p>
        </w:tc>
        <w:tc>
          <w:tcPr>
            <w:tcW w:w="1180" w:type="dxa"/>
            <w:vAlign w:val="bottom"/>
            <w:tcBorders>
              <w:bottom w:val="single" w:sz="8" w:color="1414D2"/>
            </w:tcBorders>
            <w:shd w:val="clear" w:color="auto" w:fill="1414D2"/>
          </w:tcPr>
          <w:p>
            <w:pPr>
              <w:spacing w:after="0"/>
              <w:rPr>
                <w:sz w:val="5"/>
                <w:szCs w:val="5"/>
                <w:color w:val="auto"/>
              </w:rPr>
            </w:pPr>
          </w:p>
        </w:tc>
        <w:tc>
          <w:tcPr>
            <w:tcW w:w="200" w:type="dxa"/>
            <w:vAlign w:val="bottom"/>
            <w:tcBorders>
              <w:right w:val="single" w:sz="8" w:color="1414D2"/>
            </w:tcBorders>
          </w:tcPr>
          <w:p>
            <w:pPr>
              <w:spacing w:after="0"/>
              <w:rPr>
                <w:sz w:val="5"/>
                <w:szCs w:val="5"/>
                <w:color w:val="auto"/>
              </w:rPr>
            </w:pPr>
          </w:p>
        </w:tc>
        <w:tc>
          <w:tcPr>
            <w:tcW w:w="280" w:type="dxa"/>
            <w:vAlign w:val="bottom"/>
            <w:tcBorders>
              <w:bottom w:val="single" w:sz="8" w:color="1414D2"/>
            </w:tcBorders>
          </w:tcPr>
          <w:p>
            <w:pPr>
              <w:spacing w:after="0"/>
              <w:rPr>
                <w:sz w:val="5"/>
                <w:szCs w:val="5"/>
                <w:color w:val="auto"/>
              </w:rPr>
            </w:pPr>
          </w:p>
        </w:tc>
        <w:tc>
          <w:tcPr>
            <w:tcW w:w="1180" w:type="dxa"/>
            <w:vAlign w:val="bottom"/>
            <w:tcBorders>
              <w:bottom w:val="single" w:sz="8" w:color="1414D2"/>
              <w:right w:val="single" w:sz="8" w:color="1414D2"/>
            </w:tcBorders>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2"/>
        </w:trPr>
        <w:tc>
          <w:tcPr>
            <w:tcW w:w="1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2025</w:t>
            </w:r>
          </w:p>
        </w:tc>
        <w:tc>
          <w:tcPr>
            <w:tcW w:w="160" w:type="dxa"/>
            <w:vAlign w:val="bottom"/>
          </w:tcPr>
          <w:p>
            <w:pPr>
              <w:spacing w:after="0"/>
              <w:rPr>
                <w:sz w:val="24"/>
                <w:szCs w:val="24"/>
                <w:color w:val="auto"/>
              </w:rPr>
            </w:pPr>
          </w:p>
        </w:tc>
        <w:tc>
          <w:tcPr>
            <w:tcW w:w="300" w:type="dxa"/>
            <w:vAlign w:val="bottom"/>
            <w:tcBorders>
              <w:bottom w:val="single" w:sz="8" w:color="1414D2"/>
            </w:tcBorders>
          </w:tcPr>
          <w:p>
            <w:pPr>
              <w:spacing w:after="0"/>
              <w:rPr>
                <w:sz w:val="24"/>
                <w:szCs w:val="24"/>
                <w:color w:val="auto"/>
              </w:rPr>
            </w:pPr>
          </w:p>
        </w:tc>
        <w:tc>
          <w:tcPr>
            <w:tcW w:w="1180" w:type="dxa"/>
            <w:vAlign w:val="bottom"/>
            <w:tcBorders>
              <w:bottom w:val="single" w:sz="8" w:color="1414D2"/>
            </w:tcBorders>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Borders>
              <w:bottom w:val="single" w:sz="8" w:color="1414D2"/>
            </w:tcBorders>
          </w:tcPr>
          <w:p>
            <w:pPr>
              <w:spacing w:after="0"/>
              <w:rPr>
                <w:sz w:val="24"/>
                <w:szCs w:val="24"/>
                <w:color w:val="auto"/>
              </w:rPr>
            </w:pPr>
          </w:p>
        </w:tc>
        <w:tc>
          <w:tcPr>
            <w:tcW w:w="1180" w:type="dxa"/>
            <w:vAlign w:val="bottom"/>
            <w:tcBorders>
              <w:bottom w:val="single" w:sz="8" w:color="1414D2"/>
            </w:tcBorders>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Borders>
              <w:bottom w:val="single" w:sz="8" w:color="1414D2"/>
            </w:tcBorders>
          </w:tcPr>
          <w:p>
            <w:pPr>
              <w:spacing w:after="0"/>
              <w:rPr>
                <w:sz w:val="24"/>
                <w:szCs w:val="24"/>
                <w:color w:val="auto"/>
              </w:rPr>
            </w:pPr>
          </w:p>
        </w:tc>
        <w:tc>
          <w:tcPr>
            <w:tcW w:w="1160" w:type="dxa"/>
            <w:vAlign w:val="bottom"/>
            <w:tcBorders>
              <w:bottom w:val="single" w:sz="8" w:color="1414D2"/>
            </w:tcBorders>
          </w:tcPr>
          <w:p>
            <w:pPr>
              <w:spacing w:after="0"/>
              <w:rPr>
                <w:sz w:val="24"/>
                <w:szCs w:val="24"/>
                <w:color w:val="auto"/>
              </w:rPr>
            </w:pPr>
          </w:p>
        </w:tc>
        <w:tc>
          <w:tcPr>
            <w:tcW w:w="20" w:type="dxa"/>
            <w:vAlign w:val="bottom"/>
            <w:tcBorders>
              <w:bottom w:val="single" w:sz="8" w:color="1414D2"/>
            </w:tcBorders>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shd w:val="clear" w:color="auto" w:fill="1414D2"/>
          </w:tcPr>
          <w:p>
            <w:pPr>
              <w:spacing w:after="0"/>
              <w:rPr>
                <w:sz w:val="24"/>
                <w:szCs w:val="24"/>
                <w:color w:val="auto"/>
              </w:rPr>
            </w:pPr>
          </w:p>
        </w:tc>
        <w:tc>
          <w:tcPr>
            <w:tcW w:w="1180" w:type="dxa"/>
            <w:vAlign w:val="bottom"/>
            <w:shd w:val="clear" w:color="auto" w:fill="1414D2"/>
          </w:tcPr>
          <w:p>
            <w:pPr>
              <w:jc w:val="center"/>
              <w:ind w:right="228"/>
              <w:spacing w:after="0"/>
              <w:rPr>
                <w:sz w:val="20"/>
                <w:szCs w:val="20"/>
                <w:color w:val="auto"/>
              </w:rPr>
            </w:pPr>
            <w:r>
              <w:rPr>
                <w:rFonts w:ascii="Arial" w:cs="Arial" w:eastAsia="Arial" w:hAnsi="Arial"/>
                <w:sz w:val="14"/>
                <w:szCs w:val="14"/>
                <w:b w:val="1"/>
                <w:bCs w:val="1"/>
                <w:color w:val="FFFFFF"/>
              </w:rPr>
              <w:t>Year 1</w:t>
            </w:r>
          </w:p>
        </w:tc>
        <w:tc>
          <w:tcPr>
            <w:tcW w:w="200" w:type="dxa"/>
            <w:vAlign w:val="bottom"/>
            <w:tcBorders>
              <w:right w:val="single" w:sz="8" w:color="1414D2"/>
            </w:tcBorders>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Borders>
              <w:right w:val="single" w:sz="8" w:color="1414D2"/>
            </w:tcBorders>
          </w:tcPr>
          <w:p>
            <w:pPr>
              <w:jc w:val="center"/>
              <w:ind w:right="227"/>
              <w:spacing w:after="0"/>
              <w:rPr>
                <w:sz w:val="20"/>
                <w:szCs w:val="20"/>
                <w:color w:val="auto"/>
              </w:rPr>
            </w:pPr>
            <w:r>
              <w:rPr>
                <w:rFonts w:ascii="Arial" w:cs="Arial" w:eastAsia="Arial" w:hAnsi="Arial"/>
                <w:sz w:val="14"/>
                <w:szCs w:val="14"/>
                <w:b w:val="1"/>
                <w:bCs w:val="1"/>
                <w:color w:val="auto"/>
              </w:rPr>
              <w:t>Year 2</w:t>
            </w:r>
          </w:p>
        </w:tc>
        <w:tc>
          <w:tcPr>
            <w:tcW w:w="180" w:type="dxa"/>
            <w:vAlign w:val="bottom"/>
            <w:tcBorders>
              <w:right w:val="single" w:sz="8" w:color="1414D2"/>
            </w:tcBorders>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ind w:left="220"/>
              <w:spacing w:after="0"/>
              <w:rPr>
                <w:sz w:val="20"/>
                <w:szCs w:val="20"/>
                <w:color w:val="auto"/>
              </w:rPr>
            </w:pPr>
            <w:r>
              <w:rPr>
                <w:rFonts w:ascii="Arial" w:cs="Arial" w:eastAsia="Arial" w:hAnsi="Arial"/>
                <w:sz w:val="14"/>
                <w:szCs w:val="14"/>
                <w:b w:val="1"/>
                <w:bCs w:val="1"/>
                <w:color w:val="auto"/>
              </w:rPr>
              <w:t>Year 3</w:t>
            </w:r>
          </w:p>
        </w:tc>
        <w:tc>
          <w:tcPr>
            <w:tcW w:w="20" w:type="dxa"/>
            <w:vAlign w:val="bottom"/>
            <w:shd w:val="clear" w:color="auto" w:fill="1414D2"/>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PBRSU</w:t>
            </w:r>
          </w:p>
        </w:tc>
        <w:tc>
          <w:tcPr>
            <w:tcW w:w="160" w:type="dxa"/>
            <w:vAlign w:val="bottom"/>
          </w:tcPr>
          <w:p>
            <w:pPr>
              <w:spacing w:after="0"/>
              <w:rPr>
                <w:sz w:val="18"/>
                <w:szCs w:val="18"/>
                <w:color w:val="auto"/>
              </w:rPr>
            </w:pPr>
          </w:p>
        </w:tc>
        <w:tc>
          <w:tcPr>
            <w:tcW w:w="300" w:type="dxa"/>
            <w:vAlign w:val="bottom"/>
            <w:vMerge w:val="restart"/>
            <w:shd w:val="clear" w:color="auto" w:fill="1414D2"/>
          </w:tcPr>
          <w:p>
            <w:pPr>
              <w:ind w:left="140"/>
              <w:spacing w:after="0"/>
              <w:rPr>
                <w:sz w:val="20"/>
                <w:szCs w:val="20"/>
                <w:color w:val="auto"/>
              </w:rPr>
            </w:pPr>
            <w:r>
              <w:rPr>
                <w:rFonts w:ascii="Times New Roman" w:cs="Times New Roman" w:eastAsia="Times New Roman" w:hAnsi="Times New Roman"/>
                <w:sz w:val="14"/>
                <w:szCs w:val="14"/>
                <w:color w:val="FFFFFF"/>
              </w:rPr>
              <w:t>●</w:t>
            </w:r>
          </w:p>
        </w:tc>
        <w:tc>
          <w:tcPr>
            <w:tcW w:w="1180" w:type="dxa"/>
            <w:vAlign w:val="bottom"/>
            <w:vMerge w:val="restart"/>
            <w:shd w:val="clear" w:color="auto" w:fill="1414D2"/>
          </w:tcPr>
          <w:p>
            <w:pPr>
              <w:ind w:left="80"/>
              <w:spacing w:after="0"/>
              <w:rPr>
                <w:sz w:val="20"/>
                <w:szCs w:val="20"/>
                <w:color w:val="auto"/>
              </w:rPr>
            </w:pPr>
            <w:r>
              <w:rPr>
                <w:rFonts w:ascii="Arial" w:cs="Arial" w:eastAsia="Arial" w:hAnsi="Arial"/>
                <w:sz w:val="14"/>
                <w:szCs w:val="14"/>
                <w:color w:val="FFFFFF"/>
                <w:w w:val="99"/>
              </w:rPr>
              <w:t>Same  as  above,</w:t>
            </w:r>
          </w:p>
        </w:tc>
        <w:tc>
          <w:tcPr>
            <w:tcW w:w="200" w:type="dxa"/>
            <w:vAlign w:val="bottom"/>
            <w:tcBorders>
              <w:right w:val="single" w:sz="8" w:color="1414D2"/>
            </w:tcBorders>
          </w:tcPr>
          <w:p>
            <w:pPr>
              <w:spacing w:after="0"/>
              <w:rPr>
                <w:sz w:val="18"/>
                <w:szCs w:val="18"/>
                <w:color w:val="auto"/>
              </w:rPr>
            </w:pPr>
          </w:p>
        </w:tc>
        <w:tc>
          <w:tcPr>
            <w:tcW w:w="2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right w:val="single" w:sz="8" w:color="1414D2"/>
            </w:tcBorders>
            <w:vMerge w:val="restart"/>
          </w:tcPr>
          <w:p>
            <w:pPr>
              <w:ind w:left="60"/>
              <w:spacing w:after="0"/>
              <w:rPr>
                <w:sz w:val="20"/>
                <w:szCs w:val="20"/>
                <w:color w:val="auto"/>
              </w:rPr>
            </w:pPr>
            <w:r>
              <w:rPr>
                <w:rFonts w:ascii="Arial" w:cs="Arial" w:eastAsia="Arial" w:hAnsi="Arial"/>
                <w:sz w:val="14"/>
                <w:szCs w:val="14"/>
                <w:color w:val="auto"/>
              </w:rPr>
              <w:t>Performance</w:t>
            </w:r>
          </w:p>
        </w:tc>
        <w:tc>
          <w:tcPr>
            <w:tcW w:w="180" w:type="dxa"/>
            <w:vAlign w:val="bottom"/>
            <w:tcBorders>
              <w:right w:val="single" w:sz="8" w:color="1414D2"/>
            </w:tcBorders>
          </w:tcPr>
          <w:p>
            <w:pPr>
              <w:spacing w:after="0"/>
              <w:rPr>
                <w:sz w:val="18"/>
                <w:szCs w:val="18"/>
                <w:color w:val="auto"/>
              </w:rPr>
            </w:pPr>
          </w:p>
        </w:tc>
        <w:tc>
          <w:tcPr>
            <w:tcW w:w="2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vMerge w:val="restart"/>
          </w:tcPr>
          <w:p>
            <w:pPr>
              <w:ind w:left="80"/>
              <w:spacing w:after="0"/>
              <w:rPr>
                <w:sz w:val="20"/>
                <w:szCs w:val="20"/>
                <w:color w:val="auto"/>
              </w:rPr>
            </w:pPr>
            <w:r>
              <w:rPr>
                <w:rFonts w:ascii="Arial" w:cs="Arial" w:eastAsia="Arial" w:hAnsi="Arial"/>
                <w:sz w:val="14"/>
                <w:szCs w:val="14"/>
                <w:color w:val="auto"/>
              </w:rPr>
              <w:t>Performance</w:t>
            </w:r>
          </w:p>
        </w:tc>
        <w:tc>
          <w:tcPr>
            <w:tcW w:w="20" w:type="dxa"/>
            <w:vAlign w:val="bottom"/>
            <w:shd w:val="clear" w:color="auto" w:fill="1414D2"/>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1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300" w:type="dxa"/>
            <w:vAlign w:val="bottom"/>
            <w:vMerge w:val="continue"/>
            <w:shd w:val="clear" w:color="auto" w:fill="1414D2"/>
          </w:tcPr>
          <w:p>
            <w:pPr>
              <w:spacing w:after="0"/>
              <w:rPr>
                <w:sz w:val="3"/>
                <w:szCs w:val="3"/>
                <w:color w:val="auto"/>
              </w:rPr>
            </w:pPr>
          </w:p>
        </w:tc>
        <w:tc>
          <w:tcPr>
            <w:tcW w:w="1180" w:type="dxa"/>
            <w:vAlign w:val="bottom"/>
            <w:vMerge w:val="continue"/>
            <w:shd w:val="clear" w:color="auto" w:fill="1414D2"/>
          </w:tcPr>
          <w:p>
            <w:pPr>
              <w:spacing w:after="0"/>
              <w:rPr>
                <w:sz w:val="3"/>
                <w:szCs w:val="3"/>
                <w:color w:val="auto"/>
              </w:rPr>
            </w:pPr>
          </w:p>
        </w:tc>
        <w:tc>
          <w:tcPr>
            <w:tcW w:w="200" w:type="dxa"/>
            <w:vAlign w:val="bottom"/>
            <w:tcBorders>
              <w:right w:val="single" w:sz="8" w:color="1414D2"/>
            </w:tcBorders>
          </w:tcPr>
          <w:p>
            <w:pPr>
              <w:spacing w:after="0"/>
              <w:rPr>
                <w:sz w:val="3"/>
                <w:szCs w:val="3"/>
                <w:color w:val="auto"/>
              </w:rPr>
            </w:pPr>
          </w:p>
        </w:tc>
        <w:tc>
          <w:tcPr>
            <w:tcW w:w="280" w:type="dxa"/>
            <w:vAlign w:val="bottom"/>
            <w:vMerge w:val="continue"/>
          </w:tcPr>
          <w:p>
            <w:pPr>
              <w:spacing w:after="0"/>
              <w:rPr>
                <w:sz w:val="3"/>
                <w:szCs w:val="3"/>
                <w:color w:val="auto"/>
              </w:rPr>
            </w:pPr>
          </w:p>
        </w:tc>
        <w:tc>
          <w:tcPr>
            <w:tcW w:w="1180" w:type="dxa"/>
            <w:vAlign w:val="bottom"/>
            <w:tcBorders>
              <w:right w:val="single" w:sz="8" w:color="1414D2"/>
            </w:tcBorders>
            <w:vMerge w:val="continue"/>
          </w:tcPr>
          <w:p>
            <w:pPr>
              <w:spacing w:after="0"/>
              <w:rPr>
                <w:sz w:val="3"/>
                <w:szCs w:val="3"/>
                <w:color w:val="auto"/>
              </w:rPr>
            </w:pPr>
          </w:p>
        </w:tc>
        <w:tc>
          <w:tcPr>
            <w:tcW w:w="180" w:type="dxa"/>
            <w:vAlign w:val="bottom"/>
            <w:tcBorders>
              <w:right w:val="single" w:sz="8" w:color="1414D2"/>
            </w:tcBorders>
          </w:tcPr>
          <w:p>
            <w:pPr>
              <w:spacing w:after="0"/>
              <w:rPr>
                <w:sz w:val="3"/>
                <w:szCs w:val="3"/>
                <w:color w:val="auto"/>
              </w:rPr>
            </w:pPr>
          </w:p>
        </w:tc>
        <w:tc>
          <w:tcPr>
            <w:tcW w:w="280" w:type="dxa"/>
            <w:vAlign w:val="bottom"/>
            <w:vMerge w:val="continue"/>
          </w:tcPr>
          <w:p>
            <w:pPr>
              <w:spacing w:after="0"/>
              <w:rPr>
                <w:sz w:val="3"/>
                <w:szCs w:val="3"/>
                <w:color w:val="auto"/>
              </w:rPr>
            </w:pPr>
          </w:p>
        </w:tc>
        <w:tc>
          <w:tcPr>
            <w:tcW w:w="1160" w:type="dxa"/>
            <w:vAlign w:val="bottom"/>
            <w:vMerge w:val="continue"/>
          </w:tcPr>
          <w:p>
            <w:pPr>
              <w:spacing w:after="0"/>
              <w:rPr>
                <w:sz w:val="3"/>
                <w:szCs w:val="3"/>
                <w:color w:val="auto"/>
              </w:rPr>
            </w:pPr>
          </w:p>
        </w:tc>
        <w:tc>
          <w:tcPr>
            <w:tcW w:w="20" w:type="dxa"/>
            <w:vAlign w:val="bottom"/>
            <w:shd w:val="clear" w:color="auto" w:fill="1414D2"/>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1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shd w:val="clear" w:color="auto" w:fill="1414D2"/>
          </w:tcPr>
          <w:p>
            <w:pPr>
              <w:spacing w:after="0"/>
              <w:rPr>
                <w:sz w:val="15"/>
                <w:szCs w:val="15"/>
                <w:color w:val="auto"/>
              </w:rPr>
            </w:pPr>
          </w:p>
        </w:tc>
        <w:tc>
          <w:tcPr>
            <w:tcW w:w="1180" w:type="dxa"/>
            <w:vAlign w:val="bottom"/>
            <w:shd w:val="clear" w:color="auto" w:fill="1414D2"/>
          </w:tcPr>
          <w:p>
            <w:pPr>
              <w:ind w:left="80"/>
              <w:spacing w:after="0"/>
              <w:rPr>
                <w:sz w:val="20"/>
                <w:szCs w:val="20"/>
                <w:color w:val="auto"/>
              </w:rPr>
            </w:pPr>
            <w:r>
              <w:rPr>
                <w:rFonts w:ascii="Arial" w:cs="Arial" w:eastAsia="Arial" w:hAnsi="Arial"/>
                <w:sz w:val="14"/>
                <w:szCs w:val="14"/>
                <w:color w:val="FFFFFF"/>
              </w:rPr>
              <w:t>but  excluding</w:t>
            </w:r>
          </w:p>
        </w:tc>
        <w:tc>
          <w:tcPr>
            <w:tcW w:w="200" w:type="dxa"/>
            <w:vAlign w:val="bottom"/>
            <w:tcBorders>
              <w:right w:val="single" w:sz="8" w:color="1414D2"/>
            </w:tcBorders>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Borders>
              <w:right w:val="single" w:sz="8" w:color="1414D2"/>
            </w:tcBorders>
          </w:tcPr>
          <w:p>
            <w:pPr>
              <w:ind w:left="60"/>
              <w:spacing w:after="0"/>
              <w:rPr>
                <w:sz w:val="20"/>
                <w:szCs w:val="20"/>
                <w:color w:val="auto"/>
              </w:rPr>
            </w:pPr>
            <w:r>
              <w:rPr>
                <w:rFonts w:ascii="Arial" w:cs="Arial" w:eastAsia="Arial" w:hAnsi="Arial"/>
                <w:sz w:val="14"/>
                <w:szCs w:val="14"/>
                <w:color w:val="auto"/>
              </w:rPr>
              <w:t>measures</w:t>
            </w:r>
          </w:p>
        </w:tc>
        <w:tc>
          <w:tcPr>
            <w:tcW w:w="180" w:type="dxa"/>
            <w:vAlign w:val="bottom"/>
            <w:tcBorders>
              <w:right w:val="single" w:sz="8" w:color="1414D2"/>
            </w:tcBorders>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ind w:left="80"/>
              <w:spacing w:after="0"/>
              <w:rPr>
                <w:sz w:val="20"/>
                <w:szCs w:val="20"/>
                <w:color w:val="auto"/>
              </w:rPr>
            </w:pPr>
            <w:r>
              <w:rPr>
                <w:rFonts w:ascii="Arial" w:cs="Arial" w:eastAsia="Arial" w:hAnsi="Arial"/>
                <w:sz w:val="14"/>
                <w:szCs w:val="14"/>
                <w:color w:val="auto"/>
              </w:rPr>
              <w:t>measures  to  be</w:t>
            </w:r>
          </w:p>
        </w:tc>
        <w:tc>
          <w:tcPr>
            <w:tcW w:w="20" w:type="dxa"/>
            <w:vAlign w:val="bottom"/>
            <w:shd w:val="clear" w:color="auto" w:fill="1414D2"/>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shd w:val="clear" w:color="auto" w:fill="1414D2"/>
          </w:tcPr>
          <w:p>
            <w:pPr>
              <w:spacing w:after="0"/>
              <w:rPr>
                <w:sz w:val="15"/>
                <w:szCs w:val="15"/>
                <w:color w:val="auto"/>
              </w:rPr>
            </w:pPr>
          </w:p>
        </w:tc>
        <w:tc>
          <w:tcPr>
            <w:tcW w:w="1180" w:type="dxa"/>
            <w:vAlign w:val="bottom"/>
            <w:shd w:val="clear" w:color="auto" w:fill="1414D2"/>
          </w:tcPr>
          <w:p>
            <w:pPr>
              <w:ind w:left="80"/>
              <w:spacing w:after="0"/>
              <w:rPr>
                <w:sz w:val="20"/>
                <w:szCs w:val="20"/>
                <w:color w:val="auto"/>
              </w:rPr>
            </w:pPr>
            <w:r>
              <w:rPr>
                <w:rFonts w:ascii="Arial" w:cs="Arial" w:eastAsia="Arial" w:hAnsi="Arial"/>
                <w:sz w:val="14"/>
                <w:szCs w:val="14"/>
                <w:color w:val="FFFFFF"/>
              </w:rPr>
              <w:t>relative  TSR</w:t>
            </w:r>
          </w:p>
        </w:tc>
        <w:tc>
          <w:tcPr>
            <w:tcW w:w="200" w:type="dxa"/>
            <w:vAlign w:val="bottom"/>
            <w:tcBorders>
              <w:right w:val="single" w:sz="8" w:color="1414D2"/>
            </w:tcBorders>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Borders>
              <w:right w:val="single" w:sz="8" w:color="1414D2"/>
            </w:tcBorders>
          </w:tcPr>
          <w:p>
            <w:pPr>
              <w:ind w:left="60"/>
              <w:spacing w:after="0"/>
              <w:rPr>
                <w:sz w:val="20"/>
                <w:szCs w:val="20"/>
                <w:color w:val="auto"/>
              </w:rPr>
            </w:pPr>
            <w:r>
              <w:rPr>
                <w:rFonts w:ascii="Arial" w:cs="Arial" w:eastAsia="Arial" w:hAnsi="Arial"/>
                <w:sz w:val="14"/>
                <w:szCs w:val="14"/>
                <w:color w:val="auto"/>
              </w:rPr>
              <w:t>determined  in</w:t>
            </w:r>
          </w:p>
        </w:tc>
        <w:tc>
          <w:tcPr>
            <w:tcW w:w="180" w:type="dxa"/>
            <w:vAlign w:val="bottom"/>
            <w:tcBorders>
              <w:right w:val="single" w:sz="8" w:color="1414D2"/>
            </w:tcBorders>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ind w:left="80"/>
              <w:spacing w:after="0"/>
              <w:rPr>
                <w:sz w:val="20"/>
                <w:szCs w:val="20"/>
                <w:color w:val="auto"/>
              </w:rPr>
            </w:pPr>
            <w:r>
              <w:rPr>
                <w:rFonts w:ascii="Arial" w:cs="Arial" w:eastAsia="Arial" w:hAnsi="Arial"/>
                <w:sz w:val="14"/>
                <w:szCs w:val="14"/>
                <w:color w:val="auto"/>
              </w:rPr>
              <w:t>determined  in</w:t>
            </w:r>
          </w:p>
        </w:tc>
        <w:tc>
          <w:tcPr>
            <w:tcW w:w="20" w:type="dxa"/>
            <w:vAlign w:val="bottom"/>
            <w:shd w:val="clear" w:color="auto" w:fill="1414D2"/>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shd w:val="clear" w:color="auto" w:fill="1414D2"/>
          </w:tcPr>
          <w:p>
            <w:pPr>
              <w:spacing w:after="0"/>
              <w:rPr>
                <w:sz w:val="18"/>
                <w:szCs w:val="18"/>
                <w:color w:val="auto"/>
              </w:rPr>
            </w:pPr>
          </w:p>
        </w:tc>
        <w:tc>
          <w:tcPr>
            <w:tcW w:w="1180" w:type="dxa"/>
            <w:vAlign w:val="bottom"/>
            <w:shd w:val="clear" w:color="auto" w:fill="1414D2"/>
          </w:tcPr>
          <w:p>
            <w:pPr>
              <w:ind w:left="80"/>
              <w:spacing w:after="0"/>
              <w:rPr>
                <w:sz w:val="20"/>
                <w:szCs w:val="20"/>
                <w:color w:val="auto"/>
              </w:rPr>
            </w:pPr>
            <w:r>
              <w:rPr>
                <w:rFonts w:ascii="Arial" w:cs="Arial" w:eastAsia="Arial" w:hAnsi="Arial"/>
                <w:sz w:val="14"/>
                <w:szCs w:val="14"/>
                <w:color w:val="FFFFFF"/>
              </w:rPr>
              <w:t>modifer</w:t>
            </w:r>
          </w:p>
        </w:tc>
        <w:tc>
          <w:tcPr>
            <w:tcW w:w="200" w:type="dxa"/>
            <w:vAlign w:val="bottom"/>
            <w:tcBorders>
              <w:right w:val="single" w:sz="8" w:color="1414D2"/>
            </w:tcBorders>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Borders>
              <w:right w:val="single" w:sz="8" w:color="1414D2"/>
            </w:tcBorders>
          </w:tcPr>
          <w:p>
            <w:pPr>
              <w:ind w:left="60"/>
              <w:spacing w:after="0"/>
              <w:rPr>
                <w:sz w:val="20"/>
                <w:szCs w:val="20"/>
                <w:color w:val="auto"/>
              </w:rPr>
            </w:pPr>
            <w:r>
              <w:rPr>
                <w:rFonts w:ascii="Arial" w:cs="Arial" w:eastAsia="Arial" w:hAnsi="Arial"/>
                <w:sz w:val="14"/>
                <w:szCs w:val="14"/>
                <w:color w:val="auto"/>
              </w:rPr>
              <w:t>2026</w:t>
            </w:r>
          </w:p>
        </w:tc>
        <w:tc>
          <w:tcPr>
            <w:tcW w:w="180" w:type="dxa"/>
            <w:vAlign w:val="bottom"/>
            <w:tcBorders>
              <w:right w:val="single" w:sz="8" w:color="1414D2"/>
            </w:tcBorders>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ind w:left="80"/>
              <w:spacing w:after="0"/>
              <w:rPr>
                <w:sz w:val="20"/>
                <w:szCs w:val="20"/>
                <w:color w:val="auto"/>
              </w:rPr>
            </w:pPr>
            <w:r>
              <w:rPr>
                <w:rFonts w:ascii="Arial" w:cs="Arial" w:eastAsia="Arial" w:hAnsi="Arial"/>
                <w:sz w:val="14"/>
                <w:szCs w:val="14"/>
                <w:color w:val="auto"/>
              </w:rPr>
              <w:t>2027</w:t>
            </w:r>
          </w:p>
        </w:tc>
        <w:tc>
          <w:tcPr>
            <w:tcW w:w="20" w:type="dxa"/>
            <w:vAlign w:val="bottom"/>
            <w:shd w:val="clear" w:color="auto" w:fill="1414D2"/>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1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Borders>
              <w:bottom w:val="single" w:sz="8" w:color="1414D2"/>
            </w:tcBorders>
            <w:shd w:val="clear" w:color="auto" w:fill="1414D2"/>
          </w:tcPr>
          <w:p>
            <w:pPr>
              <w:spacing w:after="0"/>
              <w:rPr>
                <w:sz w:val="5"/>
                <w:szCs w:val="5"/>
                <w:color w:val="auto"/>
              </w:rPr>
            </w:pPr>
          </w:p>
        </w:tc>
        <w:tc>
          <w:tcPr>
            <w:tcW w:w="1180" w:type="dxa"/>
            <w:vAlign w:val="bottom"/>
            <w:tcBorders>
              <w:bottom w:val="single" w:sz="8" w:color="1414D2"/>
            </w:tcBorders>
            <w:shd w:val="clear" w:color="auto" w:fill="1414D2"/>
          </w:tcPr>
          <w:p>
            <w:pPr>
              <w:spacing w:after="0"/>
              <w:rPr>
                <w:sz w:val="5"/>
                <w:szCs w:val="5"/>
                <w:color w:val="auto"/>
              </w:rPr>
            </w:pPr>
          </w:p>
        </w:tc>
        <w:tc>
          <w:tcPr>
            <w:tcW w:w="200" w:type="dxa"/>
            <w:vAlign w:val="bottom"/>
            <w:tcBorders>
              <w:right w:val="single" w:sz="8" w:color="1414D2"/>
            </w:tcBorders>
          </w:tcPr>
          <w:p>
            <w:pPr>
              <w:spacing w:after="0"/>
              <w:rPr>
                <w:sz w:val="5"/>
                <w:szCs w:val="5"/>
                <w:color w:val="auto"/>
              </w:rPr>
            </w:pPr>
          </w:p>
        </w:tc>
        <w:tc>
          <w:tcPr>
            <w:tcW w:w="280" w:type="dxa"/>
            <w:vAlign w:val="bottom"/>
            <w:tcBorders>
              <w:bottom w:val="single" w:sz="8" w:color="1414D2"/>
            </w:tcBorders>
          </w:tcPr>
          <w:p>
            <w:pPr>
              <w:spacing w:after="0"/>
              <w:rPr>
                <w:sz w:val="5"/>
                <w:szCs w:val="5"/>
                <w:color w:val="auto"/>
              </w:rPr>
            </w:pPr>
          </w:p>
        </w:tc>
        <w:tc>
          <w:tcPr>
            <w:tcW w:w="1180" w:type="dxa"/>
            <w:vAlign w:val="bottom"/>
            <w:tcBorders>
              <w:bottom w:val="single" w:sz="8" w:color="1414D2"/>
              <w:right w:val="single" w:sz="8" w:color="1414D2"/>
            </w:tcBorders>
          </w:tcPr>
          <w:p>
            <w:pPr>
              <w:spacing w:after="0"/>
              <w:rPr>
                <w:sz w:val="5"/>
                <w:szCs w:val="5"/>
                <w:color w:val="auto"/>
              </w:rPr>
            </w:pPr>
          </w:p>
        </w:tc>
        <w:tc>
          <w:tcPr>
            <w:tcW w:w="180" w:type="dxa"/>
            <w:vAlign w:val="bottom"/>
            <w:tcBorders>
              <w:right w:val="single" w:sz="8" w:color="1414D2"/>
            </w:tcBorders>
          </w:tcPr>
          <w:p>
            <w:pPr>
              <w:spacing w:after="0"/>
              <w:rPr>
                <w:sz w:val="5"/>
                <w:szCs w:val="5"/>
                <w:color w:val="auto"/>
              </w:rPr>
            </w:pPr>
          </w:p>
        </w:tc>
        <w:tc>
          <w:tcPr>
            <w:tcW w:w="280" w:type="dxa"/>
            <w:vAlign w:val="bottom"/>
            <w:tcBorders>
              <w:bottom w:val="single" w:sz="8" w:color="1414D2"/>
            </w:tcBorders>
          </w:tcPr>
          <w:p>
            <w:pPr>
              <w:spacing w:after="0"/>
              <w:rPr>
                <w:sz w:val="5"/>
                <w:szCs w:val="5"/>
                <w:color w:val="auto"/>
              </w:rPr>
            </w:pPr>
          </w:p>
        </w:tc>
        <w:tc>
          <w:tcPr>
            <w:tcW w:w="1160" w:type="dxa"/>
            <w:vAlign w:val="bottom"/>
            <w:tcBorders>
              <w:bottom w:val="single" w:sz="8" w:color="1414D2"/>
            </w:tcBorders>
          </w:tcPr>
          <w:p>
            <w:pPr>
              <w:spacing w:after="0"/>
              <w:rPr>
                <w:sz w:val="5"/>
                <w:szCs w:val="5"/>
                <w:color w:val="auto"/>
              </w:rPr>
            </w:pPr>
          </w:p>
        </w:tc>
        <w:tc>
          <w:tcPr>
            <w:tcW w:w="20" w:type="dxa"/>
            <w:vAlign w:val="bottom"/>
            <w:tcBorders>
              <w:bottom w:val="single" w:sz="8" w:color="1414D2"/>
            </w:tcBorders>
            <w:shd w:val="clear" w:color="auto" w:fill="1414D2"/>
          </w:tcPr>
          <w:p>
            <w:pPr>
              <w:spacing w:after="0"/>
              <w:rPr>
                <w:sz w:val="5"/>
                <w:szCs w:val="5"/>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320" w:right="160" w:hanging="316"/>
        <w:spacing w:after="0" w:line="278" w:lineRule="auto"/>
        <w:tabs>
          <w:tab w:leader="none" w:pos="320" w:val="left"/>
        </w:tabs>
        <w:numPr>
          <w:ilvl w:val="0"/>
          <w:numId w:val="109"/>
        </w:numPr>
        <w:rPr>
          <w:rFonts w:ascii="Arial" w:cs="Arial" w:eastAsia="Arial" w:hAnsi="Arial"/>
          <w:sz w:val="11"/>
          <w:szCs w:val="11"/>
          <w:color w:val="auto"/>
        </w:rPr>
      </w:pPr>
      <w:r>
        <w:rPr>
          <w:rFonts w:ascii="Arial" w:cs="Arial" w:eastAsia="Arial" w:hAnsi="Arial"/>
          <w:sz w:val="14"/>
          <w:szCs w:val="14"/>
          <w:color w:val="auto"/>
        </w:rPr>
        <w:t xml:space="preserve">CASM-ex (adjusted cost or operating expense per available seat mile) is a measure that is not calculated in accordance with GAAP. CASM-ex is calculated </w:t>
      </w:r>
      <w:r>
        <w:rPr>
          <w:rFonts w:ascii="Arial" w:cs="Arial" w:eastAsia="Arial" w:hAnsi="Arial"/>
          <w:sz w:val="14"/>
          <w:szCs w:val="14"/>
          <w:color w:val="auto"/>
          <w:highlight w:val="white"/>
        </w:rPr>
        <w:t xml:space="preserve">as cost or operating expense per available seat mile excluding fuel expense, profit sharing, third-party business expenses and special charges (credits). </w:t>
      </w:r>
      <w:r>
        <w:rPr>
          <w:rFonts w:ascii="Arial" w:cs="Arial" w:eastAsia="Arial" w:hAnsi="Arial"/>
          <w:sz w:val="14"/>
          <w:szCs w:val="14"/>
          <w:color w:val="auto"/>
        </w:rPr>
        <w:t xml:space="preserve">For tranche 1 of the 2023 Performance-Based RSUs, the relative CASM-ex metric measures the relative change in CASM-ex from 2019 compared to the </w:t>
      </w:r>
      <w:r>
        <w:rPr>
          <w:rFonts w:ascii="Arial" w:cs="Arial" w:eastAsia="Arial" w:hAnsi="Arial"/>
          <w:sz w:val="14"/>
          <w:szCs w:val="14"/>
          <w:color w:val="auto"/>
          <w:highlight w:val="white"/>
        </w:rPr>
        <w:t>industry average.</w:t>
      </w:r>
    </w:p>
    <w:p>
      <w:pPr>
        <w:spacing w:after="0" w:line="118" w:lineRule="exact"/>
        <w:rPr>
          <w:rFonts w:ascii="Arial" w:cs="Arial" w:eastAsia="Arial" w:hAnsi="Arial"/>
          <w:sz w:val="11"/>
          <w:szCs w:val="11"/>
          <w:color w:val="auto"/>
        </w:rPr>
      </w:pPr>
    </w:p>
    <w:p>
      <w:pPr>
        <w:ind w:left="320" w:right="180" w:hanging="316"/>
        <w:spacing w:after="0" w:line="331" w:lineRule="auto"/>
        <w:tabs>
          <w:tab w:leader="none" w:pos="320" w:val="left"/>
        </w:tabs>
        <w:numPr>
          <w:ilvl w:val="0"/>
          <w:numId w:val="109"/>
        </w:numPr>
        <w:rPr>
          <w:rFonts w:ascii="Arial" w:cs="Arial" w:eastAsia="Arial" w:hAnsi="Arial"/>
          <w:sz w:val="11"/>
          <w:szCs w:val="11"/>
          <w:color w:val="auto"/>
        </w:rPr>
      </w:pPr>
      <w:r>
        <w:rPr>
          <w:rFonts w:ascii="Arial" w:cs="Arial" w:eastAsia="Arial" w:hAnsi="Arial"/>
          <w:sz w:val="14"/>
          <w:szCs w:val="14"/>
          <w:color w:val="auto"/>
          <w:highlight w:val="white"/>
        </w:rPr>
        <w:t>Adjusted Pre-Tax Margin is a measure that is not calculated in accordance with GAAP. Please refer to Appendix A for additional information and a reconciliation of Adjusted Pre-Tax Margin to the most directly comparable GAAP fnancial measure.</w:t>
      </w:r>
    </w:p>
    <w:p>
      <w:pPr>
        <w:spacing w:after="0" w:line="82" w:lineRule="exact"/>
        <w:rPr>
          <w:rFonts w:ascii="Arial" w:cs="Arial" w:eastAsia="Arial" w:hAnsi="Arial"/>
          <w:sz w:val="11"/>
          <w:szCs w:val="11"/>
          <w:color w:val="auto"/>
        </w:rPr>
      </w:pPr>
    </w:p>
    <w:p>
      <w:pPr>
        <w:ind w:left="320" w:right="880" w:hanging="316"/>
        <w:spacing w:after="0" w:line="311" w:lineRule="auto"/>
        <w:tabs>
          <w:tab w:leader="none" w:pos="320" w:val="left"/>
        </w:tabs>
        <w:numPr>
          <w:ilvl w:val="0"/>
          <w:numId w:val="109"/>
        </w:numPr>
        <w:rPr>
          <w:rFonts w:ascii="Arial" w:cs="Arial" w:eastAsia="Arial" w:hAnsi="Arial"/>
          <w:sz w:val="11"/>
          <w:szCs w:val="11"/>
          <w:color w:val="auto"/>
        </w:rPr>
      </w:pPr>
      <w:r>
        <w:rPr>
          <w:rFonts w:ascii="Arial" w:cs="Arial" w:eastAsia="Arial" w:hAnsi="Arial"/>
          <w:sz w:val="14"/>
          <w:szCs w:val="14"/>
          <w:color w:val="auto"/>
          <w:highlight w:val="white"/>
        </w:rPr>
        <w:t>Adjusted EPS is a measure that is not calculated in accordance with GAAP. Please refer to Appendix A for additional information and a reconciliation of Adjusted EPS to the most directly comparable GAAP fnancial measure.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2026  Proxy  Statement</w:t>
      </w:r>
    </w:p>
    <w:p>
      <w:pPr>
        <w:spacing w:after="0" w:line="167" w:lineRule="exact"/>
        <w:rPr>
          <w:sz w:val="20"/>
          <w:szCs w:val="20"/>
          <w:color w:val="auto"/>
        </w:rPr>
      </w:pPr>
    </w:p>
    <w:p>
      <w:pPr>
        <w:ind w:left="9540"/>
        <w:spacing w:after="0"/>
        <w:rPr>
          <w:sz w:val="20"/>
          <w:szCs w:val="20"/>
          <w:color w:val="auto"/>
        </w:rPr>
      </w:pPr>
      <w:r>
        <w:rPr>
          <w:rFonts w:ascii="Arial" w:cs="Arial" w:eastAsia="Arial" w:hAnsi="Arial"/>
          <w:sz w:val="16"/>
          <w:szCs w:val="16"/>
          <w:b w:val="1"/>
          <w:bCs w:val="1"/>
          <w:color w:val="1414D2"/>
        </w:rPr>
        <w:t>99</w:t>
      </w:r>
    </w:p>
    <w:p>
      <w:pPr>
        <w:sectPr>
          <w:pgSz w:w="11900" w:h="16838" w:orient="portrait"/>
          <w:cols w:equalWidth="0" w:num="1">
            <w:col w:w="9740"/>
          </w:cols>
          <w:pgMar w:left="1080" w:top="695" w:right="1079" w:bottom="1440" w:gutter="0" w:footer="0" w:header="0"/>
        </w:sectPr>
      </w:pPr>
    </w:p>
    <w:bookmarkStart w:id="110" w:name="page111"/>
    <w:bookmarkEnd w:id="110"/>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6D6F71"/>
        </w:rPr>
        <w:t>Compensation  Discussion  and  Analysis</w:t>
      </w:r>
    </w:p>
    <w:p>
      <w:pPr>
        <w:spacing w:after="0" w:line="225" w:lineRule="exact"/>
        <w:rPr>
          <w:sz w:val="20"/>
          <w:szCs w:val="20"/>
          <w:color w:val="auto"/>
        </w:rPr>
      </w:pPr>
    </w:p>
    <w:p>
      <w:pPr>
        <w:ind w:left="320" w:right="240" w:hanging="316"/>
        <w:spacing w:after="0" w:line="274" w:lineRule="auto"/>
        <w:tabs>
          <w:tab w:leader="none" w:pos="320" w:val="left"/>
        </w:tabs>
        <w:numPr>
          <w:ilvl w:val="0"/>
          <w:numId w:val="110"/>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Time-Based RSUs: </w:t>
      </w:r>
      <w:r>
        <w:rPr>
          <w:rFonts w:ascii="Arial" w:cs="Arial" w:eastAsia="Arial" w:hAnsi="Arial"/>
          <w:sz w:val="16"/>
          <w:szCs w:val="16"/>
          <w:color w:val="auto"/>
        </w:rPr>
        <w:t>reward long-term Company performance, support executives’ stock ownership and align with</w:t>
      </w:r>
      <w:r>
        <w:rPr>
          <w:rFonts w:ascii="Arial" w:cs="Arial" w:eastAsia="Arial" w:hAnsi="Arial"/>
          <w:sz w:val="16"/>
          <w:szCs w:val="16"/>
          <w:b w:val="1"/>
          <w:bCs w:val="1"/>
          <w:color w:val="auto"/>
        </w:rPr>
        <w:t xml:space="preserve"> </w:t>
      </w:r>
      <w:r>
        <w:rPr>
          <w:rFonts w:ascii="Arial" w:cs="Arial" w:eastAsia="Arial" w:hAnsi="Arial"/>
          <w:sz w:val="16"/>
          <w:szCs w:val="16"/>
          <w:color w:val="auto"/>
        </w:rPr>
        <w:t>stockholders’ interests. In addition, time-based RSUs are designed to balance performance with stability and retention of our executive leadership team by vesting ratably over three years, generally subject to continued employment requirements. Granting time-based RSUs is also consistent with our compensation peer group’s practices.</w:t>
      </w:r>
    </w:p>
    <w:p>
      <w:pPr>
        <w:spacing w:after="0" w:line="36" w:lineRule="exact"/>
        <w:rPr>
          <w:sz w:val="20"/>
          <w:szCs w:val="20"/>
          <w:color w:val="auto"/>
        </w:rPr>
      </w:pPr>
    </w:p>
    <w:p>
      <w:pPr>
        <w:ind w:right="500"/>
        <w:spacing w:after="0" w:line="313" w:lineRule="auto"/>
        <w:rPr>
          <w:sz w:val="20"/>
          <w:szCs w:val="20"/>
          <w:color w:val="auto"/>
        </w:rPr>
      </w:pPr>
      <w:r>
        <w:rPr>
          <w:rFonts w:ascii="Arial" w:cs="Arial" w:eastAsia="Arial" w:hAnsi="Arial"/>
          <w:sz w:val="16"/>
          <w:szCs w:val="16"/>
          <w:color w:val="auto"/>
        </w:rPr>
        <w:t>The following table provides an overview of the key elements of our 2025 Performance-Based RSUs and Time-Based RSUs granted to our NEOs.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2880" w:type="dxa"/>
            <w:vAlign w:val="bottom"/>
            <w:tcBorders>
              <w:top w:val="single" w:sz="8" w:color="1414D2"/>
            </w:tcBorders>
            <w:shd w:val="clear" w:color="auto" w:fill="F2F2F2"/>
          </w:tcPr>
          <w:p>
            <w:pPr>
              <w:spacing w:after="0"/>
              <w:rPr>
                <w:sz w:val="22"/>
                <w:szCs w:val="22"/>
                <w:color w:val="auto"/>
              </w:rPr>
            </w:pPr>
          </w:p>
        </w:tc>
        <w:tc>
          <w:tcPr>
            <w:tcW w:w="3640" w:type="dxa"/>
            <w:vAlign w:val="bottom"/>
            <w:tcBorders>
              <w:top w:val="single" w:sz="8" w:color="1414D2"/>
            </w:tcBorders>
            <w:shd w:val="clear" w:color="auto" w:fill="F2F2F2"/>
          </w:tcPr>
          <w:p>
            <w:pPr>
              <w:ind w:left="1140"/>
              <w:spacing w:after="0"/>
              <w:rPr>
                <w:sz w:val="20"/>
                <w:szCs w:val="20"/>
                <w:color w:val="auto"/>
              </w:rPr>
            </w:pPr>
            <w:r>
              <w:rPr>
                <w:rFonts w:ascii="Arial" w:cs="Arial" w:eastAsia="Arial" w:hAnsi="Arial"/>
                <w:sz w:val="14"/>
                <w:szCs w:val="14"/>
                <w:b w:val="1"/>
                <w:bCs w:val="1"/>
                <w:color w:val="auto"/>
              </w:rPr>
              <w:t>Performance-Based RSUs</w:t>
            </w:r>
          </w:p>
        </w:tc>
        <w:tc>
          <w:tcPr>
            <w:tcW w:w="3200" w:type="dxa"/>
            <w:vAlign w:val="bottom"/>
            <w:tcBorders>
              <w:top w:val="single" w:sz="8" w:color="1414D2"/>
            </w:tcBorders>
            <w:shd w:val="clear" w:color="auto" w:fill="F2F2F2"/>
          </w:tcPr>
          <w:p>
            <w:pPr>
              <w:ind w:left="1000"/>
              <w:spacing w:after="0"/>
              <w:rPr>
                <w:sz w:val="20"/>
                <w:szCs w:val="20"/>
                <w:color w:val="auto"/>
              </w:rPr>
            </w:pPr>
            <w:r>
              <w:rPr>
                <w:rFonts w:ascii="Arial" w:cs="Arial" w:eastAsia="Arial" w:hAnsi="Arial"/>
                <w:sz w:val="14"/>
                <w:szCs w:val="14"/>
                <w:b w:val="1"/>
                <w:bCs w:val="1"/>
                <w:color w:val="auto"/>
              </w:rPr>
              <w:t>Time-Based RSUs</w:t>
            </w:r>
          </w:p>
        </w:tc>
        <w:tc>
          <w:tcPr>
            <w:tcW w:w="0" w:type="dxa"/>
            <w:vAlign w:val="bottom"/>
          </w:tcPr>
          <w:p>
            <w:pPr>
              <w:spacing w:after="0"/>
              <w:rPr>
                <w:sz w:val="1"/>
                <w:szCs w:val="1"/>
                <w:color w:val="auto"/>
              </w:rPr>
            </w:pPr>
          </w:p>
        </w:tc>
      </w:tr>
      <w:tr>
        <w:trPr>
          <w:trHeight w:val="232"/>
        </w:trPr>
        <w:tc>
          <w:tcPr>
            <w:tcW w:w="2880" w:type="dxa"/>
            <w:vAlign w:val="bottom"/>
          </w:tcPr>
          <w:p>
            <w:pPr>
              <w:spacing w:after="0"/>
              <w:rPr>
                <w:sz w:val="20"/>
                <w:szCs w:val="20"/>
                <w:color w:val="auto"/>
              </w:rPr>
            </w:pPr>
          </w:p>
        </w:tc>
        <w:tc>
          <w:tcPr>
            <w:tcW w:w="3640" w:type="dxa"/>
            <w:vAlign w:val="bottom"/>
          </w:tcPr>
          <w:p>
            <w:pPr>
              <w:ind w:left="540"/>
              <w:spacing w:after="0"/>
              <w:rPr>
                <w:sz w:val="20"/>
                <w:szCs w:val="20"/>
                <w:color w:val="auto"/>
              </w:rPr>
            </w:pPr>
            <w:r>
              <w:rPr>
                <w:rFonts w:ascii="Arial" w:cs="Arial" w:eastAsia="Arial" w:hAnsi="Arial"/>
                <w:sz w:val="16"/>
                <w:szCs w:val="16"/>
                <w:color w:val="auto"/>
              </w:rPr>
              <w:t>PBRSUs  represent  50%  of  each  annual</w:t>
            </w:r>
          </w:p>
        </w:tc>
        <w:tc>
          <w:tcPr>
            <w:tcW w:w="3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880" w:type="dxa"/>
            <w:vAlign w:val="bottom"/>
            <w:vMerge w:val="restart"/>
          </w:tcPr>
          <w:p>
            <w:pPr>
              <w:ind w:left="100"/>
              <w:spacing w:after="0"/>
              <w:rPr>
                <w:sz w:val="20"/>
                <w:szCs w:val="20"/>
                <w:color w:val="auto"/>
              </w:rPr>
            </w:pPr>
            <w:r>
              <w:rPr>
                <w:rFonts w:ascii="Arial" w:cs="Arial" w:eastAsia="Arial" w:hAnsi="Arial"/>
                <w:sz w:val="16"/>
                <w:szCs w:val="16"/>
                <w:b w:val="1"/>
                <w:bCs w:val="1"/>
                <w:color w:val="auto"/>
              </w:rPr>
              <w:t>Proportion of Annual Grant</w:t>
            </w:r>
          </w:p>
        </w:tc>
        <w:tc>
          <w:tcPr>
            <w:tcW w:w="3640" w:type="dxa"/>
            <w:vAlign w:val="bottom"/>
          </w:tcPr>
          <w:p>
            <w:pPr>
              <w:ind w:left="540"/>
              <w:spacing w:after="0"/>
              <w:rPr>
                <w:sz w:val="20"/>
                <w:szCs w:val="20"/>
                <w:color w:val="auto"/>
              </w:rPr>
            </w:pPr>
            <w:r>
              <w:rPr>
                <w:rFonts w:ascii="Arial" w:cs="Arial" w:eastAsia="Arial" w:hAnsi="Arial"/>
                <w:sz w:val="16"/>
                <w:szCs w:val="16"/>
                <w:color w:val="auto"/>
              </w:rPr>
              <w:t>LTI  grant  at  target  and  each  tranche  of</w:t>
            </w:r>
          </w:p>
        </w:tc>
        <w:tc>
          <w:tcPr>
            <w:tcW w:w="3200" w:type="dxa"/>
            <w:vAlign w:val="bottom"/>
          </w:tcPr>
          <w:p>
            <w:pPr>
              <w:ind w:left="100"/>
              <w:spacing w:after="0"/>
              <w:rPr>
                <w:sz w:val="20"/>
                <w:szCs w:val="20"/>
                <w:color w:val="auto"/>
              </w:rPr>
            </w:pPr>
            <w:r>
              <w:rPr>
                <w:rFonts w:ascii="Arial" w:cs="Arial" w:eastAsia="Arial" w:hAnsi="Arial"/>
                <w:sz w:val="16"/>
                <w:szCs w:val="16"/>
                <w:color w:val="auto"/>
              </w:rPr>
              <w:t>Time-based  RSUs  represent  50%  of</w:t>
            </w:r>
          </w:p>
        </w:tc>
        <w:tc>
          <w:tcPr>
            <w:tcW w:w="0" w:type="dxa"/>
            <w:vAlign w:val="bottom"/>
          </w:tcPr>
          <w:p>
            <w:pPr>
              <w:spacing w:after="0"/>
              <w:rPr>
                <w:sz w:val="1"/>
                <w:szCs w:val="1"/>
                <w:color w:val="auto"/>
              </w:rPr>
            </w:pPr>
          </w:p>
        </w:tc>
      </w:tr>
      <w:tr>
        <w:trPr>
          <w:trHeight w:val="127"/>
        </w:trPr>
        <w:tc>
          <w:tcPr>
            <w:tcW w:w="2880" w:type="dxa"/>
            <w:vAlign w:val="bottom"/>
            <w:vMerge w:val="continue"/>
          </w:tcPr>
          <w:p>
            <w:pPr>
              <w:spacing w:after="0"/>
              <w:rPr>
                <w:sz w:val="11"/>
                <w:szCs w:val="11"/>
                <w:color w:val="auto"/>
              </w:rPr>
            </w:pPr>
          </w:p>
        </w:tc>
        <w:tc>
          <w:tcPr>
            <w:tcW w:w="3640" w:type="dxa"/>
            <w:vAlign w:val="bottom"/>
            <w:vMerge w:val="restart"/>
          </w:tcPr>
          <w:p>
            <w:pPr>
              <w:ind w:left="540"/>
              <w:spacing w:after="0"/>
              <w:rPr>
                <w:sz w:val="20"/>
                <w:szCs w:val="20"/>
                <w:color w:val="auto"/>
              </w:rPr>
            </w:pPr>
            <w:r>
              <w:rPr>
                <w:rFonts w:ascii="Arial" w:cs="Arial" w:eastAsia="Arial" w:hAnsi="Arial"/>
                <w:sz w:val="16"/>
                <w:szCs w:val="16"/>
                <w:color w:val="auto"/>
              </w:rPr>
              <w:t>PBRSUs  represents  one-third  of  the</w:t>
            </w:r>
          </w:p>
        </w:tc>
        <w:tc>
          <w:tcPr>
            <w:tcW w:w="3200" w:type="dxa"/>
            <w:vAlign w:val="bottom"/>
            <w:vMerge w:val="restart"/>
          </w:tcPr>
          <w:p>
            <w:pPr>
              <w:ind w:left="100"/>
              <w:spacing w:after="0"/>
              <w:rPr>
                <w:sz w:val="20"/>
                <w:szCs w:val="20"/>
                <w:color w:val="auto"/>
              </w:rPr>
            </w:pPr>
            <w:r>
              <w:rPr>
                <w:rFonts w:ascii="Arial" w:cs="Arial" w:eastAsia="Arial" w:hAnsi="Arial"/>
                <w:sz w:val="16"/>
                <w:szCs w:val="16"/>
                <w:color w:val="auto"/>
              </w:rPr>
              <w:t>each  annual  grant</w:t>
            </w:r>
          </w:p>
        </w:tc>
        <w:tc>
          <w:tcPr>
            <w:tcW w:w="0" w:type="dxa"/>
            <w:vAlign w:val="bottom"/>
          </w:tcPr>
          <w:p>
            <w:pPr>
              <w:spacing w:after="0"/>
              <w:rPr>
                <w:sz w:val="1"/>
                <w:szCs w:val="1"/>
                <w:color w:val="auto"/>
              </w:rPr>
            </w:pPr>
          </w:p>
        </w:tc>
      </w:tr>
      <w:tr>
        <w:trPr>
          <w:trHeight w:val="75"/>
        </w:trPr>
        <w:tc>
          <w:tcPr>
            <w:tcW w:w="2880" w:type="dxa"/>
            <w:vAlign w:val="bottom"/>
          </w:tcPr>
          <w:p>
            <w:pPr>
              <w:spacing w:after="0"/>
              <w:rPr>
                <w:sz w:val="6"/>
                <w:szCs w:val="6"/>
                <w:color w:val="auto"/>
              </w:rPr>
            </w:pPr>
          </w:p>
        </w:tc>
        <w:tc>
          <w:tcPr>
            <w:tcW w:w="3640" w:type="dxa"/>
            <w:vAlign w:val="bottom"/>
            <w:vMerge w:val="continue"/>
          </w:tcPr>
          <w:p>
            <w:pPr>
              <w:spacing w:after="0"/>
              <w:rPr>
                <w:sz w:val="6"/>
                <w:szCs w:val="6"/>
                <w:color w:val="auto"/>
              </w:rPr>
            </w:pPr>
          </w:p>
        </w:tc>
        <w:tc>
          <w:tcPr>
            <w:tcW w:w="32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2880" w:type="dxa"/>
            <w:vAlign w:val="bottom"/>
            <w:tcBorders>
              <w:bottom w:val="single" w:sz="8" w:color="808080"/>
            </w:tcBorders>
          </w:tcPr>
          <w:p>
            <w:pPr>
              <w:spacing w:after="0"/>
              <w:rPr>
                <w:sz w:val="21"/>
                <w:szCs w:val="21"/>
                <w:color w:val="auto"/>
              </w:rPr>
            </w:pPr>
          </w:p>
        </w:tc>
        <w:tc>
          <w:tcPr>
            <w:tcW w:w="3640" w:type="dxa"/>
            <w:vAlign w:val="bottom"/>
            <w:tcBorders>
              <w:bottom w:val="single" w:sz="8" w:color="808080"/>
            </w:tcBorders>
          </w:tcPr>
          <w:p>
            <w:pPr>
              <w:ind w:left="540"/>
              <w:spacing w:after="0"/>
              <w:rPr>
                <w:sz w:val="20"/>
                <w:szCs w:val="20"/>
                <w:color w:val="auto"/>
              </w:rPr>
            </w:pPr>
            <w:r>
              <w:rPr>
                <w:rFonts w:ascii="Arial" w:cs="Arial" w:eastAsia="Arial" w:hAnsi="Arial"/>
                <w:sz w:val="16"/>
                <w:szCs w:val="16"/>
                <w:color w:val="auto"/>
              </w:rPr>
              <w:t>annual  grant  of  PBRSUs</w:t>
            </w:r>
          </w:p>
        </w:tc>
        <w:tc>
          <w:tcPr>
            <w:tcW w:w="320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2880" w:type="dxa"/>
            <w:vAlign w:val="bottom"/>
          </w:tcPr>
          <w:p>
            <w:pPr>
              <w:spacing w:after="0"/>
              <w:rPr>
                <w:sz w:val="22"/>
                <w:szCs w:val="22"/>
                <w:color w:val="auto"/>
              </w:rPr>
            </w:pPr>
          </w:p>
        </w:tc>
        <w:tc>
          <w:tcPr>
            <w:tcW w:w="3640" w:type="dxa"/>
            <w:vAlign w:val="bottom"/>
          </w:tcPr>
          <w:p>
            <w:pPr>
              <w:ind w:left="540"/>
              <w:spacing w:after="0"/>
              <w:rPr>
                <w:sz w:val="20"/>
                <w:szCs w:val="20"/>
                <w:color w:val="auto"/>
              </w:rPr>
            </w:pPr>
            <w:r>
              <w:rPr>
                <w:rFonts w:ascii="Arial" w:cs="Arial" w:eastAsia="Arial" w:hAnsi="Arial"/>
                <w:sz w:val="16"/>
                <w:szCs w:val="16"/>
                <w:color w:val="auto"/>
              </w:rPr>
              <w:t>Absolute  Adjusted  EPS:  40%</w:t>
            </w:r>
          </w:p>
        </w:tc>
        <w:tc>
          <w:tcPr>
            <w:tcW w:w="3200" w:type="dxa"/>
            <w:vAlign w:val="bottom"/>
            <w:vMerge w:val="restart"/>
          </w:tcPr>
          <w:p>
            <w:pPr>
              <w:ind w:left="100"/>
              <w:spacing w:after="0"/>
              <w:rPr>
                <w:sz w:val="20"/>
                <w:szCs w:val="20"/>
                <w:color w:val="auto"/>
              </w:rPr>
            </w:pPr>
            <w:r>
              <w:rPr>
                <w:rFonts w:ascii="Arial" w:cs="Arial" w:eastAsia="Arial" w:hAnsi="Arial"/>
                <w:sz w:val="16"/>
                <w:szCs w:val="16"/>
                <w:color w:val="auto"/>
              </w:rPr>
              <w:t>Number  of  shares  earned  based  on</w:t>
            </w:r>
          </w:p>
        </w:tc>
        <w:tc>
          <w:tcPr>
            <w:tcW w:w="0" w:type="dxa"/>
            <w:vAlign w:val="bottom"/>
          </w:tcPr>
          <w:p>
            <w:pPr>
              <w:spacing w:after="0"/>
              <w:rPr>
                <w:sz w:val="1"/>
                <w:szCs w:val="1"/>
                <w:color w:val="auto"/>
              </w:rPr>
            </w:pPr>
          </w:p>
        </w:tc>
      </w:tr>
      <w:tr>
        <w:trPr>
          <w:trHeight w:val="122"/>
        </w:trPr>
        <w:tc>
          <w:tcPr>
            <w:tcW w:w="2880" w:type="dxa"/>
            <w:vAlign w:val="bottom"/>
          </w:tcPr>
          <w:p>
            <w:pPr>
              <w:spacing w:after="0"/>
              <w:rPr>
                <w:sz w:val="10"/>
                <w:szCs w:val="10"/>
                <w:color w:val="auto"/>
              </w:rPr>
            </w:pPr>
          </w:p>
        </w:tc>
        <w:tc>
          <w:tcPr>
            <w:tcW w:w="3640" w:type="dxa"/>
            <w:vAlign w:val="bottom"/>
            <w:vMerge w:val="restart"/>
          </w:tcPr>
          <w:p>
            <w:pPr>
              <w:ind w:left="540"/>
              <w:spacing w:after="0"/>
              <w:rPr>
                <w:sz w:val="20"/>
                <w:szCs w:val="20"/>
                <w:color w:val="auto"/>
              </w:rPr>
            </w:pPr>
            <w:r>
              <w:rPr>
                <w:rFonts w:ascii="Arial" w:cs="Arial" w:eastAsia="Arial" w:hAnsi="Arial"/>
                <w:sz w:val="16"/>
                <w:szCs w:val="16"/>
                <w:color w:val="auto"/>
              </w:rPr>
              <w:t>Relative  Adjusted  Pre-Tax  Margin:  40%</w:t>
            </w:r>
          </w:p>
        </w:tc>
        <w:tc>
          <w:tcPr>
            <w:tcW w:w="3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2880" w:type="dxa"/>
            <w:vAlign w:val="bottom"/>
          </w:tcPr>
          <w:p>
            <w:pPr>
              <w:spacing w:after="0"/>
              <w:rPr>
                <w:sz w:val="9"/>
                <w:szCs w:val="9"/>
                <w:color w:val="auto"/>
              </w:rPr>
            </w:pPr>
          </w:p>
        </w:tc>
        <w:tc>
          <w:tcPr>
            <w:tcW w:w="3640" w:type="dxa"/>
            <w:vAlign w:val="bottom"/>
            <w:vMerge w:val="continue"/>
          </w:tcPr>
          <w:p>
            <w:pPr>
              <w:spacing w:after="0"/>
              <w:rPr>
                <w:sz w:val="9"/>
                <w:szCs w:val="9"/>
                <w:color w:val="auto"/>
              </w:rPr>
            </w:pPr>
          </w:p>
        </w:tc>
        <w:tc>
          <w:tcPr>
            <w:tcW w:w="3200" w:type="dxa"/>
            <w:vAlign w:val="bottom"/>
            <w:vMerge w:val="restart"/>
          </w:tcPr>
          <w:p>
            <w:pPr>
              <w:ind w:left="100"/>
              <w:spacing w:after="0"/>
              <w:rPr>
                <w:sz w:val="20"/>
                <w:szCs w:val="20"/>
                <w:color w:val="auto"/>
              </w:rPr>
            </w:pPr>
            <w:r>
              <w:rPr>
                <w:rFonts w:ascii="Arial" w:cs="Arial" w:eastAsia="Arial" w:hAnsi="Arial"/>
                <w:sz w:val="16"/>
                <w:szCs w:val="16"/>
                <w:color w:val="auto"/>
              </w:rPr>
              <w:t>continued  employment,  the  value  of</w:t>
            </w:r>
          </w:p>
        </w:tc>
        <w:tc>
          <w:tcPr>
            <w:tcW w:w="0" w:type="dxa"/>
            <w:vAlign w:val="bottom"/>
          </w:tcPr>
          <w:p>
            <w:pPr>
              <w:spacing w:after="0"/>
              <w:rPr>
                <w:sz w:val="1"/>
                <w:szCs w:val="1"/>
                <w:color w:val="auto"/>
              </w:rPr>
            </w:pPr>
          </w:p>
        </w:tc>
      </w:tr>
      <w:tr>
        <w:trPr>
          <w:trHeight w:val="89"/>
        </w:trPr>
        <w:tc>
          <w:tcPr>
            <w:tcW w:w="2880" w:type="dxa"/>
            <w:vAlign w:val="bottom"/>
          </w:tcPr>
          <w:p>
            <w:pPr>
              <w:spacing w:after="0"/>
              <w:rPr>
                <w:sz w:val="7"/>
                <w:szCs w:val="7"/>
                <w:color w:val="auto"/>
              </w:rPr>
            </w:pPr>
          </w:p>
        </w:tc>
        <w:tc>
          <w:tcPr>
            <w:tcW w:w="3640" w:type="dxa"/>
            <w:vAlign w:val="bottom"/>
            <w:vMerge w:val="restart"/>
          </w:tcPr>
          <w:p>
            <w:pPr>
              <w:ind w:left="540"/>
              <w:spacing w:after="0"/>
              <w:rPr>
                <w:sz w:val="20"/>
                <w:szCs w:val="20"/>
                <w:color w:val="auto"/>
              </w:rPr>
            </w:pPr>
            <w:r>
              <w:rPr>
                <w:rFonts w:ascii="Arial" w:cs="Arial" w:eastAsia="Arial" w:hAnsi="Arial"/>
                <w:sz w:val="16"/>
                <w:szCs w:val="16"/>
                <w:color w:val="auto"/>
              </w:rPr>
              <w:t>Strategic  (three  strategic  initiatives</w:t>
            </w:r>
          </w:p>
        </w:tc>
        <w:tc>
          <w:tcPr>
            <w:tcW w:w="3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2880" w:type="dxa"/>
            <w:vAlign w:val="bottom"/>
            <w:vMerge w:val="restart"/>
          </w:tcPr>
          <w:p>
            <w:pPr>
              <w:ind w:left="120"/>
              <w:spacing w:after="0"/>
              <w:rPr>
                <w:sz w:val="20"/>
                <w:szCs w:val="20"/>
                <w:color w:val="auto"/>
              </w:rPr>
            </w:pPr>
            <w:r>
              <w:rPr>
                <w:rFonts w:ascii="Arial" w:cs="Arial" w:eastAsia="Arial" w:hAnsi="Arial"/>
                <w:sz w:val="16"/>
                <w:szCs w:val="16"/>
                <w:b w:val="1"/>
                <w:bCs w:val="1"/>
                <w:color w:val="auto"/>
              </w:rPr>
              <w:t>2025 Measures &amp; Weighting</w:t>
            </w:r>
          </w:p>
        </w:tc>
        <w:tc>
          <w:tcPr>
            <w:tcW w:w="3640" w:type="dxa"/>
            <w:vAlign w:val="bottom"/>
            <w:vMerge w:val="continue"/>
          </w:tcPr>
          <w:p>
            <w:pPr>
              <w:spacing w:after="0"/>
              <w:rPr>
                <w:sz w:val="10"/>
                <w:szCs w:val="10"/>
                <w:color w:val="auto"/>
              </w:rPr>
            </w:pPr>
          </w:p>
        </w:tc>
        <w:tc>
          <w:tcPr>
            <w:tcW w:w="3200" w:type="dxa"/>
            <w:vAlign w:val="bottom"/>
            <w:vMerge w:val="restart"/>
          </w:tcPr>
          <w:p>
            <w:pPr>
              <w:ind w:left="100"/>
              <w:spacing w:after="0"/>
              <w:rPr>
                <w:sz w:val="20"/>
                <w:szCs w:val="20"/>
                <w:color w:val="auto"/>
              </w:rPr>
            </w:pPr>
            <w:r>
              <w:rPr>
                <w:rFonts w:ascii="Arial" w:cs="Arial" w:eastAsia="Arial" w:hAnsi="Arial"/>
                <w:sz w:val="16"/>
                <w:szCs w:val="16"/>
                <w:color w:val="auto"/>
              </w:rPr>
              <w:t>which  increases  or  decreases  with</w:t>
            </w:r>
          </w:p>
        </w:tc>
        <w:tc>
          <w:tcPr>
            <w:tcW w:w="0" w:type="dxa"/>
            <w:vAlign w:val="bottom"/>
          </w:tcPr>
          <w:p>
            <w:pPr>
              <w:spacing w:after="0"/>
              <w:rPr>
                <w:sz w:val="1"/>
                <w:szCs w:val="1"/>
                <w:color w:val="auto"/>
              </w:rPr>
            </w:pPr>
          </w:p>
        </w:tc>
      </w:tr>
      <w:tr>
        <w:trPr>
          <w:trHeight w:val="81"/>
        </w:trPr>
        <w:tc>
          <w:tcPr>
            <w:tcW w:w="2880" w:type="dxa"/>
            <w:vAlign w:val="bottom"/>
            <w:vMerge w:val="continue"/>
          </w:tcPr>
          <w:p>
            <w:pPr>
              <w:spacing w:after="0"/>
              <w:rPr>
                <w:sz w:val="7"/>
                <w:szCs w:val="7"/>
                <w:color w:val="auto"/>
              </w:rPr>
            </w:pPr>
          </w:p>
        </w:tc>
        <w:tc>
          <w:tcPr>
            <w:tcW w:w="3640" w:type="dxa"/>
            <w:vAlign w:val="bottom"/>
            <w:vMerge w:val="restart"/>
          </w:tcPr>
          <w:p>
            <w:pPr>
              <w:ind w:left="540"/>
              <w:spacing w:after="0"/>
              <w:rPr>
                <w:sz w:val="20"/>
                <w:szCs w:val="20"/>
                <w:color w:val="auto"/>
              </w:rPr>
            </w:pPr>
            <w:r>
              <w:rPr>
                <w:rFonts w:ascii="Arial" w:cs="Arial" w:eastAsia="Arial" w:hAnsi="Arial"/>
                <w:sz w:val="16"/>
                <w:szCs w:val="16"/>
                <w:color w:val="auto"/>
              </w:rPr>
              <w:t>related  to  technology):  20%</w:t>
            </w:r>
          </w:p>
        </w:tc>
        <w:tc>
          <w:tcPr>
            <w:tcW w:w="3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2880" w:type="dxa"/>
            <w:vAlign w:val="bottom"/>
          </w:tcPr>
          <w:p>
            <w:pPr>
              <w:spacing w:after="0"/>
              <w:rPr>
                <w:sz w:val="13"/>
                <w:szCs w:val="13"/>
                <w:color w:val="auto"/>
              </w:rPr>
            </w:pPr>
          </w:p>
        </w:tc>
        <w:tc>
          <w:tcPr>
            <w:tcW w:w="3640" w:type="dxa"/>
            <w:vAlign w:val="bottom"/>
            <w:vMerge w:val="continue"/>
          </w:tcPr>
          <w:p>
            <w:pPr>
              <w:spacing w:after="0"/>
              <w:rPr>
                <w:sz w:val="13"/>
                <w:szCs w:val="13"/>
                <w:color w:val="auto"/>
              </w:rPr>
            </w:pPr>
          </w:p>
        </w:tc>
        <w:tc>
          <w:tcPr>
            <w:tcW w:w="3200" w:type="dxa"/>
            <w:vAlign w:val="bottom"/>
            <w:vMerge w:val="restart"/>
          </w:tcPr>
          <w:p>
            <w:pPr>
              <w:ind w:left="100"/>
              <w:spacing w:after="0"/>
              <w:rPr>
                <w:sz w:val="20"/>
                <w:szCs w:val="20"/>
                <w:color w:val="auto"/>
              </w:rPr>
            </w:pPr>
            <w:r>
              <w:rPr>
                <w:rFonts w:ascii="Arial" w:cs="Arial" w:eastAsia="Arial" w:hAnsi="Arial"/>
                <w:sz w:val="16"/>
                <w:szCs w:val="16"/>
                <w:color w:val="auto"/>
              </w:rPr>
              <w:t>fuctuations  in  the  value  of  Common</w:t>
            </w:r>
          </w:p>
        </w:tc>
        <w:tc>
          <w:tcPr>
            <w:tcW w:w="0" w:type="dxa"/>
            <w:vAlign w:val="bottom"/>
          </w:tcPr>
          <w:p>
            <w:pPr>
              <w:spacing w:after="0"/>
              <w:rPr>
                <w:sz w:val="1"/>
                <w:szCs w:val="1"/>
                <w:color w:val="auto"/>
              </w:rPr>
            </w:pPr>
          </w:p>
        </w:tc>
      </w:tr>
      <w:tr>
        <w:trPr>
          <w:trHeight w:val="48"/>
        </w:trPr>
        <w:tc>
          <w:tcPr>
            <w:tcW w:w="2880" w:type="dxa"/>
            <w:vAlign w:val="bottom"/>
          </w:tcPr>
          <w:p>
            <w:pPr>
              <w:spacing w:after="0"/>
              <w:rPr>
                <w:sz w:val="4"/>
                <w:szCs w:val="4"/>
                <w:color w:val="auto"/>
              </w:rPr>
            </w:pPr>
          </w:p>
        </w:tc>
        <w:tc>
          <w:tcPr>
            <w:tcW w:w="3640" w:type="dxa"/>
            <w:vAlign w:val="bottom"/>
            <w:vMerge w:val="restart"/>
          </w:tcPr>
          <w:p>
            <w:pPr>
              <w:ind w:left="540"/>
              <w:spacing w:after="0"/>
              <w:rPr>
                <w:sz w:val="20"/>
                <w:szCs w:val="20"/>
                <w:color w:val="auto"/>
              </w:rPr>
            </w:pPr>
            <w:r>
              <w:rPr>
                <w:rFonts w:ascii="Arial" w:cs="Arial" w:eastAsia="Arial" w:hAnsi="Arial"/>
                <w:sz w:val="16"/>
                <w:szCs w:val="16"/>
                <w:color w:val="auto"/>
              </w:rPr>
              <w:t>Liquidity  hurdle:  $8  billion  in  liquidity  at</w:t>
            </w:r>
          </w:p>
        </w:tc>
        <w:tc>
          <w:tcPr>
            <w:tcW w:w="32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880" w:type="dxa"/>
            <w:vAlign w:val="bottom"/>
          </w:tcPr>
          <w:p>
            <w:pPr>
              <w:spacing w:after="0"/>
              <w:rPr>
                <w:sz w:val="14"/>
                <w:szCs w:val="14"/>
                <w:color w:val="auto"/>
              </w:rPr>
            </w:pPr>
          </w:p>
        </w:tc>
        <w:tc>
          <w:tcPr>
            <w:tcW w:w="3640" w:type="dxa"/>
            <w:vAlign w:val="bottom"/>
            <w:vMerge w:val="continue"/>
          </w:tcPr>
          <w:p>
            <w:pPr>
              <w:spacing w:after="0"/>
              <w:rPr>
                <w:sz w:val="14"/>
                <w:szCs w:val="14"/>
                <w:color w:val="auto"/>
              </w:rPr>
            </w:pPr>
          </w:p>
        </w:tc>
        <w:tc>
          <w:tcPr>
            <w:tcW w:w="3200" w:type="dxa"/>
            <w:vAlign w:val="bottom"/>
          </w:tcPr>
          <w:p>
            <w:pPr>
              <w:ind w:left="100"/>
              <w:spacing w:after="0" w:line="162" w:lineRule="exact"/>
              <w:rPr>
                <w:sz w:val="20"/>
                <w:szCs w:val="20"/>
                <w:color w:val="auto"/>
              </w:rPr>
            </w:pPr>
            <w:r>
              <w:rPr>
                <w:rFonts w:ascii="Arial" w:cs="Arial" w:eastAsia="Arial" w:hAnsi="Arial"/>
                <w:sz w:val="16"/>
                <w:szCs w:val="16"/>
                <w:color w:val="auto"/>
              </w:rPr>
              <w:t>Stock</w:t>
            </w:r>
          </w:p>
        </w:tc>
        <w:tc>
          <w:tcPr>
            <w:tcW w:w="0" w:type="dxa"/>
            <w:vAlign w:val="bottom"/>
          </w:tcPr>
          <w:p>
            <w:pPr>
              <w:spacing w:after="0"/>
              <w:rPr>
                <w:sz w:val="1"/>
                <w:szCs w:val="1"/>
                <w:color w:val="auto"/>
              </w:rPr>
            </w:pPr>
          </w:p>
        </w:tc>
      </w:tr>
      <w:tr>
        <w:trPr>
          <w:trHeight w:val="248"/>
        </w:trPr>
        <w:tc>
          <w:tcPr>
            <w:tcW w:w="2880" w:type="dxa"/>
            <w:vAlign w:val="bottom"/>
            <w:tcBorders>
              <w:bottom w:val="single" w:sz="8" w:color="808080"/>
            </w:tcBorders>
          </w:tcPr>
          <w:p>
            <w:pPr>
              <w:spacing w:after="0"/>
              <w:rPr>
                <w:sz w:val="21"/>
                <w:szCs w:val="21"/>
                <w:color w:val="auto"/>
              </w:rPr>
            </w:pPr>
          </w:p>
        </w:tc>
        <w:tc>
          <w:tcPr>
            <w:tcW w:w="3640" w:type="dxa"/>
            <w:vAlign w:val="bottom"/>
            <w:tcBorders>
              <w:bottom w:val="single" w:sz="8" w:color="808080"/>
            </w:tcBorders>
          </w:tcPr>
          <w:p>
            <w:pPr>
              <w:ind w:left="540"/>
              <w:spacing w:after="0"/>
              <w:rPr>
                <w:sz w:val="20"/>
                <w:szCs w:val="20"/>
                <w:color w:val="auto"/>
              </w:rPr>
            </w:pPr>
            <w:r>
              <w:rPr>
                <w:rFonts w:ascii="Arial" w:cs="Arial" w:eastAsia="Arial" w:hAnsi="Arial"/>
                <w:sz w:val="16"/>
                <w:szCs w:val="16"/>
                <w:color w:val="auto"/>
              </w:rPr>
              <w:t>end  of  three-year  performance  period</w:t>
            </w:r>
          </w:p>
        </w:tc>
        <w:tc>
          <w:tcPr>
            <w:tcW w:w="320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2880" w:type="dxa"/>
            <w:vAlign w:val="bottom"/>
          </w:tcPr>
          <w:p>
            <w:pPr>
              <w:ind w:left="120"/>
              <w:spacing w:after="0"/>
              <w:rPr>
                <w:sz w:val="20"/>
                <w:szCs w:val="20"/>
                <w:color w:val="auto"/>
              </w:rPr>
            </w:pPr>
            <w:r>
              <w:rPr>
                <w:rFonts w:ascii="Arial" w:cs="Arial" w:eastAsia="Arial" w:hAnsi="Arial"/>
                <w:sz w:val="16"/>
                <w:szCs w:val="16"/>
                <w:b w:val="1"/>
                <w:bCs w:val="1"/>
                <w:color w:val="auto"/>
              </w:rPr>
              <w:t>Min / Max Payout</w:t>
            </w:r>
          </w:p>
        </w:tc>
        <w:tc>
          <w:tcPr>
            <w:tcW w:w="3640" w:type="dxa"/>
            <w:vAlign w:val="bottom"/>
            <w:vMerge w:val="restart"/>
          </w:tcPr>
          <w:p>
            <w:pPr>
              <w:ind w:left="540"/>
              <w:spacing w:after="0"/>
              <w:rPr>
                <w:sz w:val="20"/>
                <w:szCs w:val="20"/>
                <w:color w:val="auto"/>
              </w:rPr>
            </w:pPr>
            <w:r>
              <w:rPr>
                <w:rFonts w:ascii="Arial" w:cs="Arial" w:eastAsia="Arial" w:hAnsi="Arial"/>
                <w:sz w:val="16"/>
                <w:szCs w:val="16"/>
                <w:color w:val="auto"/>
              </w:rPr>
              <w:t>0%  /  200%</w:t>
            </w:r>
          </w:p>
        </w:tc>
        <w:tc>
          <w:tcPr>
            <w:tcW w:w="3200" w:type="dxa"/>
            <w:vAlign w:val="bottom"/>
            <w:vMerge w:val="restart"/>
          </w:tcPr>
          <w:p>
            <w:pPr>
              <w:ind w:left="10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27"/>
        </w:trPr>
        <w:tc>
          <w:tcPr>
            <w:tcW w:w="2880" w:type="dxa"/>
            <w:vAlign w:val="bottom"/>
            <w:vMerge w:val="restart"/>
          </w:tcPr>
          <w:p>
            <w:pPr>
              <w:ind w:left="120"/>
              <w:spacing w:after="0"/>
              <w:rPr>
                <w:sz w:val="20"/>
                <w:szCs w:val="20"/>
                <w:color w:val="auto"/>
              </w:rPr>
            </w:pPr>
            <w:r>
              <w:rPr>
                <w:rFonts w:ascii="Arial" w:cs="Arial" w:eastAsia="Arial" w:hAnsi="Arial"/>
                <w:sz w:val="16"/>
                <w:szCs w:val="16"/>
                <w:b w:val="1"/>
                <w:bCs w:val="1"/>
                <w:color w:val="auto"/>
              </w:rPr>
              <w:t>(% of Target Units)</w:t>
            </w:r>
          </w:p>
        </w:tc>
        <w:tc>
          <w:tcPr>
            <w:tcW w:w="3640" w:type="dxa"/>
            <w:vAlign w:val="bottom"/>
            <w:vMerge w:val="continue"/>
          </w:tcPr>
          <w:p>
            <w:pPr>
              <w:spacing w:after="0"/>
              <w:rPr>
                <w:sz w:val="11"/>
                <w:szCs w:val="11"/>
                <w:color w:val="auto"/>
              </w:rPr>
            </w:pPr>
          </w:p>
        </w:tc>
        <w:tc>
          <w:tcPr>
            <w:tcW w:w="3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880" w:type="dxa"/>
            <w:vAlign w:val="bottom"/>
            <w:tcBorders>
              <w:bottom w:val="single" w:sz="8" w:color="808080"/>
            </w:tcBorders>
            <w:vMerge w:val="continue"/>
          </w:tcPr>
          <w:p>
            <w:pPr>
              <w:spacing w:after="0"/>
              <w:rPr>
                <w:sz w:val="10"/>
                <w:szCs w:val="10"/>
                <w:color w:val="auto"/>
              </w:rPr>
            </w:pPr>
          </w:p>
        </w:tc>
        <w:tc>
          <w:tcPr>
            <w:tcW w:w="3640" w:type="dxa"/>
            <w:vAlign w:val="bottom"/>
            <w:tcBorders>
              <w:bottom w:val="single" w:sz="8" w:color="808080"/>
            </w:tcBorders>
          </w:tcPr>
          <w:p>
            <w:pPr>
              <w:spacing w:after="0"/>
              <w:rPr>
                <w:sz w:val="10"/>
                <w:szCs w:val="10"/>
                <w:color w:val="auto"/>
              </w:rPr>
            </w:pPr>
          </w:p>
        </w:tc>
        <w:tc>
          <w:tcPr>
            <w:tcW w:w="32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232"/>
        </w:trPr>
        <w:tc>
          <w:tcPr>
            <w:tcW w:w="2880" w:type="dxa"/>
            <w:vAlign w:val="bottom"/>
            <w:vMerge w:val="restart"/>
          </w:tcPr>
          <w:p>
            <w:pPr>
              <w:ind w:left="120"/>
              <w:spacing w:after="0"/>
              <w:rPr>
                <w:sz w:val="20"/>
                <w:szCs w:val="20"/>
                <w:color w:val="auto"/>
              </w:rPr>
            </w:pPr>
            <w:r>
              <w:rPr>
                <w:rFonts w:ascii="Arial" w:cs="Arial" w:eastAsia="Arial" w:hAnsi="Arial"/>
                <w:sz w:val="16"/>
                <w:szCs w:val="16"/>
                <w:b w:val="1"/>
                <w:bCs w:val="1"/>
                <w:color w:val="auto"/>
              </w:rPr>
              <w:t>Vesting</w:t>
            </w:r>
          </w:p>
        </w:tc>
        <w:tc>
          <w:tcPr>
            <w:tcW w:w="3640" w:type="dxa"/>
            <w:vAlign w:val="bottom"/>
            <w:vMerge w:val="restart"/>
          </w:tcPr>
          <w:p>
            <w:pPr>
              <w:ind w:left="540"/>
              <w:spacing w:after="0"/>
              <w:rPr>
                <w:sz w:val="20"/>
                <w:szCs w:val="20"/>
                <w:color w:val="auto"/>
              </w:rPr>
            </w:pPr>
            <w:r>
              <w:rPr>
                <w:rFonts w:ascii="Arial" w:cs="Arial" w:eastAsia="Arial" w:hAnsi="Arial"/>
                <w:sz w:val="16"/>
                <w:szCs w:val="16"/>
                <w:color w:val="auto"/>
              </w:rPr>
              <w:t>Three-Year  Clif</w:t>
            </w:r>
          </w:p>
        </w:tc>
        <w:tc>
          <w:tcPr>
            <w:tcW w:w="3200" w:type="dxa"/>
            <w:vAlign w:val="bottom"/>
          </w:tcPr>
          <w:p>
            <w:pPr>
              <w:ind w:left="100"/>
              <w:spacing w:after="0"/>
              <w:rPr>
                <w:sz w:val="20"/>
                <w:szCs w:val="20"/>
                <w:color w:val="auto"/>
              </w:rPr>
            </w:pPr>
            <w:r>
              <w:rPr>
                <w:rFonts w:ascii="Arial" w:cs="Arial" w:eastAsia="Arial" w:hAnsi="Arial"/>
                <w:sz w:val="16"/>
                <w:szCs w:val="16"/>
                <w:color w:val="auto"/>
              </w:rPr>
              <w:t>Three-Year  Ratable,  with  vesting</w:t>
            </w:r>
          </w:p>
        </w:tc>
        <w:tc>
          <w:tcPr>
            <w:tcW w:w="0" w:type="dxa"/>
            <w:vAlign w:val="bottom"/>
          </w:tcPr>
          <w:p>
            <w:pPr>
              <w:spacing w:after="0"/>
              <w:rPr>
                <w:sz w:val="1"/>
                <w:szCs w:val="1"/>
                <w:color w:val="auto"/>
              </w:rPr>
            </w:pPr>
          </w:p>
        </w:tc>
      </w:tr>
      <w:tr>
        <w:trPr>
          <w:trHeight w:val="127"/>
        </w:trPr>
        <w:tc>
          <w:tcPr>
            <w:tcW w:w="2880" w:type="dxa"/>
            <w:vAlign w:val="bottom"/>
            <w:vMerge w:val="continue"/>
          </w:tcPr>
          <w:p>
            <w:pPr>
              <w:spacing w:after="0"/>
              <w:rPr>
                <w:sz w:val="11"/>
                <w:szCs w:val="11"/>
                <w:color w:val="auto"/>
              </w:rPr>
            </w:pPr>
          </w:p>
        </w:tc>
        <w:tc>
          <w:tcPr>
            <w:tcW w:w="3640" w:type="dxa"/>
            <w:vAlign w:val="bottom"/>
            <w:vMerge w:val="continue"/>
          </w:tcPr>
          <w:p>
            <w:pPr>
              <w:spacing w:after="0"/>
              <w:rPr>
                <w:sz w:val="11"/>
                <w:szCs w:val="11"/>
                <w:color w:val="auto"/>
              </w:rPr>
            </w:pPr>
          </w:p>
        </w:tc>
        <w:tc>
          <w:tcPr>
            <w:tcW w:w="3200" w:type="dxa"/>
            <w:vAlign w:val="bottom"/>
            <w:vMerge w:val="restart"/>
          </w:tcPr>
          <w:p>
            <w:pPr>
              <w:ind w:left="100"/>
              <w:spacing w:after="0"/>
              <w:rPr>
                <w:sz w:val="20"/>
                <w:szCs w:val="20"/>
                <w:color w:val="auto"/>
              </w:rPr>
            </w:pPr>
            <w:r>
              <w:rPr>
                <w:rFonts w:ascii="Arial" w:cs="Arial" w:eastAsia="Arial" w:hAnsi="Arial"/>
                <w:sz w:val="16"/>
                <w:szCs w:val="16"/>
                <w:color w:val="auto"/>
              </w:rPr>
              <w:t>occurring  on  an  annual  basis</w:t>
            </w:r>
          </w:p>
        </w:tc>
        <w:tc>
          <w:tcPr>
            <w:tcW w:w="0" w:type="dxa"/>
            <w:vAlign w:val="bottom"/>
          </w:tcPr>
          <w:p>
            <w:pPr>
              <w:spacing w:after="0"/>
              <w:rPr>
                <w:sz w:val="1"/>
                <w:szCs w:val="1"/>
                <w:color w:val="auto"/>
              </w:rPr>
            </w:pPr>
          </w:p>
        </w:tc>
      </w:tr>
      <w:tr>
        <w:trPr>
          <w:trHeight w:val="121"/>
        </w:trPr>
        <w:tc>
          <w:tcPr>
            <w:tcW w:w="2880" w:type="dxa"/>
            <w:vAlign w:val="bottom"/>
            <w:tcBorders>
              <w:bottom w:val="single" w:sz="8" w:color="808080"/>
            </w:tcBorders>
          </w:tcPr>
          <w:p>
            <w:pPr>
              <w:spacing w:after="0"/>
              <w:rPr>
                <w:sz w:val="10"/>
                <w:szCs w:val="10"/>
                <w:color w:val="auto"/>
              </w:rPr>
            </w:pPr>
          </w:p>
        </w:tc>
        <w:tc>
          <w:tcPr>
            <w:tcW w:w="3640" w:type="dxa"/>
            <w:vAlign w:val="bottom"/>
            <w:tcBorders>
              <w:bottom w:val="single" w:sz="8" w:color="808080"/>
            </w:tcBorders>
          </w:tcPr>
          <w:p>
            <w:pPr>
              <w:spacing w:after="0"/>
              <w:rPr>
                <w:sz w:val="10"/>
                <w:szCs w:val="10"/>
                <w:color w:val="auto"/>
              </w:rPr>
            </w:pPr>
          </w:p>
        </w:tc>
        <w:tc>
          <w:tcPr>
            <w:tcW w:w="3200" w:type="dxa"/>
            <w:vAlign w:val="bottom"/>
            <w:tcBorders>
              <w:bottom w:val="single" w:sz="8" w:color="808080"/>
            </w:tcBorders>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summarizes  the  equity  awards  awarded  to  our  NEOs  in  2025.  The  Committee  increased  LTI  opportunities  for</w:t>
      </w:r>
    </w:p>
    <w:p>
      <w:pPr>
        <w:spacing w:after="0" w:line="30" w:lineRule="exact"/>
        <w:rPr>
          <w:sz w:val="20"/>
          <w:szCs w:val="20"/>
          <w:color w:val="auto"/>
        </w:rPr>
      </w:pPr>
    </w:p>
    <w:p>
      <w:pPr>
        <w:ind w:right="160"/>
        <w:spacing w:after="0" w:line="250" w:lineRule="auto"/>
        <w:rPr>
          <w:sz w:val="20"/>
          <w:szCs w:val="20"/>
          <w:color w:val="auto"/>
        </w:rPr>
      </w:pPr>
      <w:r>
        <w:rPr>
          <w:rFonts w:ascii="Arial" w:cs="Arial" w:eastAsia="Arial" w:hAnsi="Arial"/>
          <w:sz w:val="16"/>
          <w:szCs w:val="16"/>
          <w:color w:val="auto"/>
        </w:rPr>
        <w:t>each of our NEOs in 2025 after consulting with Exequity and considering the competitive market data. In determining the size of the individual LTI awards granted to our NEOs in 2025 (including whether to make potential increases to 2024 levels), the Committee considered each NEO’s total pay and each individual element of pay to similarly-situated executives in our peer group; individual performance; the NEO’s experience; the breadth, scope and complexity of the NEO’s role; internal pay parity;</w:t>
      </w:r>
    </w:p>
    <w:p>
      <w:pPr>
        <w:spacing w:after="0" w:line="3" w:lineRule="exact"/>
        <w:rPr>
          <w:sz w:val="20"/>
          <w:szCs w:val="20"/>
          <w:color w:val="auto"/>
        </w:rPr>
      </w:pPr>
    </w:p>
    <w:p>
      <w:pPr>
        <w:jc w:val="both"/>
        <w:ind w:right="500"/>
        <w:spacing w:after="0" w:line="252" w:lineRule="auto"/>
        <w:rPr>
          <w:sz w:val="20"/>
          <w:szCs w:val="20"/>
          <w:color w:val="auto"/>
        </w:rPr>
      </w:pPr>
      <w:r>
        <w:rPr>
          <w:rFonts w:ascii="Arial" w:cs="Arial" w:eastAsia="Arial" w:hAnsi="Arial"/>
          <w:sz w:val="16"/>
          <w:szCs w:val="16"/>
          <w:color w:val="auto"/>
        </w:rPr>
        <w:t>the NEO’s total target compensation; as well as any outstanding or recently paid special awards and recent compensation adjustments, among other factors. The Committee also considered business factors, including annual fnancial forecasts, capital expenditure budgets and United’s annual business plan. Ultimately, the Committee determined to increase the LTI</w:t>
      </w:r>
    </w:p>
    <w:p>
      <w:pPr>
        <w:spacing w:after="0" w:line="1" w:lineRule="exact"/>
        <w:rPr>
          <w:sz w:val="20"/>
          <w:szCs w:val="20"/>
          <w:color w:val="auto"/>
        </w:rPr>
      </w:pPr>
    </w:p>
    <w:p>
      <w:pPr>
        <w:ind w:right="280"/>
        <w:spacing w:after="0" w:line="279" w:lineRule="auto"/>
        <w:rPr>
          <w:sz w:val="20"/>
          <w:szCs w:val="20"/>
          <w:color w:val="auto"/>
        </w:rPr>
      </w:pPr>
      <w:r>
        <w:rPr>
          <w:rFonts w:ascii="Arial" w:cs="Arial" w:eastAsia="Arial" w:hAnsi="Arial"/>
          <w:sz w:val="16"/>
          <w:szCs w:val="16"/>
          <w:color w:val="auto"/>
        </w:rPr>
        <w:t>opportunities for each of our NEOs primarily in order to align the NEOs’ total target pay with the total target pay of similarly-situated executives in our peer group while ensuring that the NEOs’ total target pay primarily consists of at-risk elements designed to retain executives and support stockholder value creation.</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20" w:type="dxa"/>
            <w:vAlign w:val="bottom"/>
            <w:tcBorders>
              <w:top w:val="single" w:sz="8" w:color="1414D2"/>
            </w:tcBorders>
            <w:shd w:val="clear" w:color="auto" w:fill="F2F2F2"/>
          </w:tcPr>
          <w:p>
            <w:pPr>
              <w:spacing w:after="0"/>
              <w:rPr>
                <w:sz w:val="15"/>
                <w:szCs w:val="15"/>
                <w:color w:val="auto"/>
              </w:rPr>
            </w:pPr>
          </w:p>
        </w:tc>
        <w:tc>
          <w:tcPr>
            <w:tcW w:w="1700" w:type="dxa"/>
            <w:vAlign w:val="bottom"/>
            <w:tcBorders>
              <w:top w:val="single" w:sz="8" w:color="1414D2"/>
            </w:tcBorders>
            <w:gridSpan w:val="2"/>
            <w:shd w:val="clear" w:color="auto" w:fill="F2F2F2"/>
          </w:tcPr>
          <w:p>
            <w:pPr>
              <w:jc w:val="right"/>
              <w:spacing w:after="0"/>
              <w:rPr>
                <w:sz w:val="20"/>
                <w:szCs w:val="20"/>
                <w:color w:val="auto"/>
              </w:rPr>
            </w:pPr>
            <w:r>
              <w:rPr>
                <w:rFonts w:ascii="Arial" w:cs="Arial" w:eastAsia="Arial" w:hAnsi="Arial"/>
                <w:sz w:val="14"/>
                <w:szCs w:val="14"/>
                <w:b w:val="1"/>
                <w:bCs w:val="1"/>
                <w:color w:val="auto"/>
              </w:rPr>
              <w:t>​​​ Target Grant Value</w:t>
            </w:r>
          </w:p>
        </w:tc>
        <w:tc>
          <w:tcPr>
            <w:tcW w:w="400" w:type="dxa"/>
            <w:vAlign w:val="bottom"/>
            <w:tcBorders>
              <w:top w:val="single" w:sz="8" w:color="1414D2"/>
            </w:tcBorders>
            <w:shd w:val="clear" w:color="auto" w:fill="F2F2F2"/>
          </w:tcPr>
          <w:p>
            <w:pPr>
              <w:jc w:val="right"/>
              <w:ind w:right="101"/>
              <w:spacing w:after="0"/>
              <w:rPr>
                <w:sz w:val="20"/>
                <w:szCs w:val="20"/>
                <w:color w:val="auto"/>
              </w:rPr>
            </w:pPr>
            <w:r>
              <w:rPr>
                <w:rFonts w:ascii="Arial" w:cs="Arial" w:eastAsia="Arial" w:hAnsi="Arial"/>
                <w:sz w:val="14"/>
                <w:szCs w:val="14"/>
                <w:b w:val="1"/>
                <w:bCs w:val="1"/>
                <w:color w:val="auto"/>
              </w:rPr>
              <w:t>​​​</w:t>
            </w:r>
          </w:p>
        </w:tc>
        <w:tc>
          <w:tcPr>
            <w:tcW w:w="1180" w:type="dxa"/>
            <w:vAlign w:val="bottom"/>
            <w:tcBorders>
              <w:top w:val="single" w:sz="8" w:color="1414D2"/>
            </w:tcBorders>
            <w:shd w:val="clear" w:color="auto" w:fill="F2F2F2"/>
          </w:tcPr>
          <w:p>
            <w:pPr>
              <w:jc w:val="center"/>
              <w:ind w:right="123"/>
              <w:spacing w:after="0"/>
              <w:rPr>
                <w:sz w:val="20"/>
                <w:szCs w:val="20"/>
                <w:color w:val="auto"/>
              </w:rPr>
            </w:pPr>
            <w:r>
              <w:rPr>
                <w:rFonts w:ascii="Arial" w:cs="Arial" w:eastAsia="Arial" w:hAnsi="Arial"/>
                <w:sz w:val="14"/>
                <w:szCs w:val="14"/>
                <w:b w:val="1"/>
                <w:bCs w:val="1"/>
                <w:color w:val="auto"/>
              </w:rPr>
              <w:t>Grant Value</w:t>
            </w:r>
          </w:p>
        </w:tc>
        <w:tc>
          <w:tcPr>
            <w:tcW w:w="340" w:type="dxa"/>
            <w:vAlign w:val="bottom"/>
            <w:tcBorders>
              <w:top w:val="single" w:sz="8" w:color="1414D2"/>
            </w:tcBorders>
            <w:shd w:val="clear" w:color="auto" w:fill="F2F2F2"/>
          </w:tcPr>
          <w:p>
            <w:pPr>
              <w:jc w:val="right"/>
              <w:ind w:right="62"/>
              <w:spacing w:after="0"/>
              <w:rPr>
                <w:sz w:val="20"/>
                <w:szCs w:val="20"/>
                <w:color w:val="auto"/>
              </w:rPr>
            </w:pPr>
            <w:r>
              <w:rPr>
                <w:rFonts w:ascii="Arial" w:cs="Arial" w:eastAsia="Arial" w:hAnsi="Arial"/>
                <w:sz w:val="14"/>
                <w:szCs w:val="14"/>
                <w:b w:val="1"/>
                <w:bCs w:val="1"/>
                <w:color w:val="auto"/>
              </w:rPr>
              <w:t>​​​</w:t>
            </w:r>
          </w:p>
        </w:tc>
        <w:tc>
          <w:tcPr>
            <w:tcW w:w="1580" w:type="dxa"/>
            <w:vAlign w:val="bottom"/>
            <w:tcBorders>
              <w:top w:val="single" w:sz="8" w:color="1414D2"/>
            </w:tcBorders>
            <w:shd w:val="clear" w:color="auto" w:fill="F2F2F2"/>
          </w:tcPr>
          <w:p>
            <w:pPr>
              <w:spacing w:after="0"/>
              <w:rPr>
                <w:sz w:val="15"/>
                <w:szCs w:val="15"/>
                <w:color w:val="auto"/>
              </w:rPr>
            </w:pPr>
          </w:p>
        </w:tc>
      </w:tr>
      <w:tr>
        <w:trPr>
          <w:trHeight w:val="175"/>
        </w:trPr>
        <w:tc>
          <w:tcPr>
            <w:tcW w:w="4520" w:type="dxa"/>
            <w:vAlign w:val="bottom"/>
            <w:shd w:val="clear" w:color="auto" w:fill="F2F2F2"/>
          </w:tcPr>
          <w:p>
            <w:pPr>
              <w:spacing w:after="0"/>
              <w:rPr>
                <w:sz w:val="15"/>
                <w:szCs w:val="15"/>
                <w:color w:val="auto"/>
              </w:rPr>
            </w:pPr>
          </w:p>
        </w:tc>
        <w:tc>
          <w:tcPr>
            <w:tcW w:w="460" w:type="dxa"/>
            <w:vAlign w:val="bottom"/>
            <w:shd w:val="clear" w:color="auto" w:fill="F2F2F2"/>
          </w:tcPr>
          <w:p>
            <w:pPr>
              <w:spacing w:after="0"/>
              <w:rPr>
                <w:sz w:val="15"/>
                <w:szCs w:val="15"/>
                <w:color w:val="auto"/>
              </w:rPr>
            </w:pPr>
          </w:p>
        </w:tc>
        <w:tc>
          <w:tcPr>
            <w:tcW w:w="1240" w:type="dxa"/>
            <w:vAlign w:val="bottom"/>
            <w:shd w:val="clear" w:color="auto" w:fill="F2F2F2"/>
          </w:tcPr>
          <w:p>
            <w:pPr>
              <w:jc w:val="center"/>
              <w:ind w:right="122"/>
              <w:spacing w:after="0"/>
              <w:rPr>
                <w:sz w:val="20"/>
                <w:szCs w:val="20"/>
                <w:color w:val="auto"/>
              </w:rPr>
            </w:pPr>
            <w:r>
              <w:rPr>
                <w:rFonts w:ascii="Arial" w:cs="Arial" w:eastAsia="Arial" w:hAnsi="Arial"/>
                <w:sz w:val="14"/>
                <w:szCs w:val="14"/>
                <w:b w:val="1"/>
                <w:bCs w:val="1"/>
                <w:color w:val="auto"/>
                <w:w w:val="97"/>
              </w:rPr>
              <w:t>of PBRSUs</w:t>
            </w:r>
          </w:p>
        </w:tc>
        <w:tc>
          <w:tcPr>
            <w:tcW w:w="400" w:type="dxa"/>
            <w:vAlign w:val="bottom"/>
            <w:shd w:val="clear" w:color="auto" w:fill="F2F2F2"/>
          </w:tcPr>
          <w:p>
            <w:pPr>
              <w:spacing w:after="0"/>
              <w:rPr>
                <w:sz w:val="15"/>
                <w:szCs w:val="15"/>
                <w:color w:val="auto"/>
              </w:rPr>
            </w:pPr>
          </w:p>
        </w:tc>
        <w:tc>
          <w:tcPr>
            <w:tcW w:w="1180" w:type="dxa"/>
            <w:vAlign w:val="bottom"/>
            <w:shd w:val="clear" w:color="auto" w:fill="F2F2F2"/>
          </w:tcPr>
          <w:p>
            <w:pPr>
              <w:jc w:val="center"/>
              <w:ind w:right="123"/>
              <w:spacing w:after="0"/>
              <w:rPr>
                <w:sz w:val="20"/>
                <w:szCs w:val="20"/>
                <w:color w:val="auto"/>
              </w:rPr>
            </w:pPr>
            <w:r>
              <w:rPr>
                <w:rFonts w:ascii="Arial" w:cs="Arial" w:eastAsia="Arial" w:hAnsi="Arial"/>
                <w:sz w:val="14"/>
                <w:szCs w:val="14"/>
                <w:b w:val="1"/>
                <w:bCs w:val="1"/>
                <w:color w:val="auto"/>
                <w:w w:val="99"/>
              </w:rPr>
              <w:t>of RSUs</w:t>
            </w:r>
          </w:p>
        </w:tc>
        <w:tc>
          <w:tcPr>
            <w:tcW w:w="340" w:type="dxa"/>
            <w:vAlign w:val="bottom"/>
            <w:shd w:val="clear" w:color="auto" w:fill="F2F2F2"/>
          </w:tcPr>
          <w:p>
            <w:pPr>
              <w:spacing w:after="0"/>
              <w:rPr>
                <w:sz w:val="15"/>
                <w:szCs w:val="15"/>
                <w:color w:val="auto"/>
              </w:rPr>
            </w:pPr>
          </w:p>
        </w:tc>
        <w:tc>
          <w:tcPr>
            <w:tcW w:w="1580" w:type="dxa"/>
            <w:vAlign w:val="bottom"/>
            <w:shd w:val="clear" w:color="auto" w:fill="F2F2F2"/>
          </w:tcPr>
          <w:p>
            <w:pPr>
              <w:jc w:val="center"/>
              <w:ind w:right="165"/>
              <w:spacing w:after="0"/>
              <w:rPr>
                <w:sz w:val="20"/>
                <w:szCs w:val="20"/>
                <w:color w:val="auto"/>
              </w:rPr>
            </w:pPr>
            <w:r>
              <w:rPr>
                <w:rFonts w:ascii="Arial" w:cs="Arial" w:eastAsia="Arial" w:hAnsi="Arial"/>
                <w:sz w:val="14"/>
                <w:szCs w:val="14"/>
                <w:b w:val="1"/>
                <w:bCs w:val="1"/>
                <w:color w:val="auto"/>
              </w:rPr>
              <w:t>Total Target 2025</w:t>
            </w:r>
          </w:p>
        </w:tc>
      </w:tr>
      <w:tr>
        <w:trPr>
          <w:trHeight w:val="173"/>
        </w:trPr>
        <w:tc>
          <w:tcPr>
            <w:tcW w:w="4520" w:type="dxa"/>
            <w:vAlign w:val="bottom"/>
            <w:shd w:val="clear" w:color="auto" w:fill="F2F2F2"/>
          </w:tcPr>
          <w:p>
            <w:pPr>
              <w:spacing w:after="0"/>
              <w:rPr>
                <w:sz w:val="15"/>
                <w:szCs w:val="15"/>
                <w:color w:val="auto"/>
              </w:rPr>
            </w:pPr>
          </w:p>
        </w:tc>
        <w:tc>
          <w:tcPr>
            <w:tcW w:w="460" w:type="dxa"/>
            <w:vAlign w:val="bottom"/>
            <w:shd w:val="clear" w:color="auto" w:fill="F2F2F2"/>
          </w:tcPr>
          <w:p>
            <w:pPr>
              <w:spacing w:after="0"/>
              <w:rPr>
                <w:sz w:val="15"/>
                <w:szCs w:val="15"/>
                <w:color w:val="auto"/>
              </w:rPr>
            </w:pPr>
          </w:p>
        </w:tc>
        <w:tc>
          <w:tcPr>
            <w:tcW w:w="1240" w:type="dxa"/>
            <w:vAlign w:val="bottom"/>
            <w:shd w:val="clear" w:color="auto" w:fill="F2F2F2"/>
          </w:tcPr>
          <w:p>
            <w:pPr>
              <w:jc w:val="center"/>
              <w:ind w:right="122"/>
              <w:spacing w:after="0"/>
              <w:rPr>
                <w:sz w:val="20"/>
                <w:szCs w:val="20"/>
                <w:color w:val="auto"/>
              </w:rPr>
            </w:pPr>
            <w:r>
              <w:rPr>
                <w:rFonts w:ascii="Arial" w:cs="Arial" w:eastAsia="Arial" w:hAnsi="Arial"/>
                <w:sz w:val="14"/>
                <w:szCs w:val="14"/>
                <w:b w:val="1"/>
                <w:bCs w:val="1"/>
                <w:color w:val="auto"/>
              </w:rPr>
              <w:t>Awarded in</w:t>
            </w:r>
          </w:p>
        </w:tc>
        <w:tc>
          <w:tcPr>
            <w:tcW w:w="400" w:type="dxa"/>
            <w:vAlign w:val="bottom"/>
            <w:shd w:val="clear" w:color="auto" w:fill="F2F2F2"/>
          </w:tcPr>
          <w:p>
            <w:pPr>
              <w:spacing w:after="0"/>
              <w:rPr>
                <w:sz w:val="15"/>
                <w:szCs w:val="15"/>
                <w:color w:val="auto"/>
              </w:rPr>
            </w:pPr>
          </w:p>
        </w:tc>
        <w:tc>
          <w:tcPr>
            <w:tcW w:w="1180" w:type="dxa"/>
            <w:vAlign w:val="bottom"/>
            <w:shd w:val="clear" w:color="auto" w:fill="F2F2F2"/>
          </w:tcPr>
          <w:p>
            <w:pPr>
              <w:jc w:val="center"/>
              <w:ind w:right="103"/>
              <w:spacing w:after="0"/>
              <w:rPr>
                <w:sz w:val="20"/>
                <w:szCs w:val="20"/>
                <w:color w:val="auto"/>
              </w:rPr>
            </w:pPr>
            <w:r>
              <w:rPr>
                <w:rFonts w:ascii="Arial" w:cs="Arial" w:eastAsia="Arial" w:hAnsi="Arial"/>
                <w:sz w:val="14"/>
                <w:szCs w:val="14"/>
                <w:b w:val="1"/>
                <w:bCs w:val="1"/>
                <w:color w:val="auto"/>
              </w:rPr>
              <w:t>Granted in</w:t>
            </w:r>
          </w:p>
        </w:tc>
        <w:tc>
          <w:tcPr>
            <w:tcW w:w="1920" w:type="dxa"/>
            <w:vAlign w:val="bottom"/>
            <w:gridSpan w:val="2"/>
            <w:shd w:val="clear" w:color="auto" w:fill="F2F2F2"/>
          </w:tcPr>
          <w:p>
            <w:pPr>
              <w:jc w:val="center"/>
              <w:ind w:left="22"/>
              <w:spacing w:after="0"/>
              <w:rPr>
                <w:sz w:val="20"/>
                <w:szCs w:val="20"/>
                <w:color w:val="auto"/>
              </w:rPr>
            </w:pPr>
            <w:r>
              <w:rPr>
                <w:rFonts w:ascii="Arial" w:cs="Arial" w:eastAsia="Arial" w:hAnsi="Arial"/>
                <w:sz w:val="14"/>
                <w:szCs w:val="14"/>
                <w:b w:val="1"/>
                <w:bCs w:val="1"/>
                <w:color w:val="auto"/>
              </w:rPr>
              <w:t>Equity Compensation</w:t>
            </w:r>
          </w:p>
        </w:tc>
      </w:tr>
      <w:tr>
        <w:trPr>
          <w:trHeight w:val="217"/>
        </w:trPr>
        <w:tc>
          <w:tcPr>
            <w:tcW w:w="4520" w:type="dxa"/>
            <w:vAlign w:val="bottom"/>
            <w:tcBorders>
              <w:bottom w:val="single" w:sz="8" w:color="F2F2F2"/>
            </w:tcBorders>
            <w:shd w:val="clear" w:color="auto" w:fill="F2F2F2"/>
          </w:tcPr>
          <w:p>
            <w:pPr>
              <w:ind w:left="120"/>
              <w:spacing w:after="0"/>
              <w:rPr>
                <w:sz w:val="20"/>
                <w:szCs w:val="20"/>
                <w:color w:val="auto"/>
              </w:rPr>
            </w:pPr>
            <w:r>
              <w:rPr>
                <w:rFonts w:ascii="Arial" w:cs="Arial" w:eastAsia="Arial" w:hAnsi="Arial"/>
                <w:sz w:val="14"/>
                <w:szCs w:val="14"/>
                <w:b w:val="1"/>
                <w:bCs w:val="1"/>
                <w:color w:val="auto"/>
              </w:rPr>
              <w:t>Named Executive Ofcer</w:t>
            </w:r>
          </w:p>
        </w:tc>
        <w:tc>
          <w:tcPr>
            <w:tcW w:w="460" w:type="dxa"/>
            <w:vAlign w:val="bottom"/>
            <w:tcBorders>
              <w:bottom w:val="single" w:sz="8" w:color="F2F2F2"/>
            </w:tcBorders>
            <w:shd w:val="clear" w:color="auto" w:fill="F2F2F2"/>
          </w:tcPr>
          <w:p>
            <w:pPr>
              <w:spacing w:after="0"/>
              <w:rPr>
                <w:sz w:val="18"/>
                <w:szCs w:val="18"/>
                <w:color w:val="auto"/>
              </w:rPr>
            </w:pPr>
          </w:p>
        </w:tc>
        <w:tc>
          <w:tcPr>
            <w:tcW w:w="1240" w:type="dxa"/>
            <w:vAlign w:val="bottom"/>
            <w:tcBorders>
              <w:bottom w:val="single" w:sz="8" w:color="F2F2F2"/>
            </w:tcBorders>
            <w:shd w:val="clear" w:color="auto" w:fill="F2F2F2"/>
          </w:tcPr>
          <w:p>
            <w:pPr>
              <w:jc w:val="center"/>
              <w:ind w:right="142"/>
              <w:spacing w:after="0" w:line="210" w:lineRule="exact"/>
              <w:rPr>
                <w:sz w:val="20"/>
                <w:szCs w:val="20"/>
                <w:color w:val="auto"/>
              </w:rPr>
            </w:pPr>
            <w:r>
              <w:rPr>
                <w:rFonts w:ascii="Arial" w:cs="Arial" w:eastAsia="Arial" w:hAnsi="Arial"/>
                <w:sz w:val="14"/>
                <w:szCs w:val="14"/>
                <w:b w:val="1"/>
                <w:bCs w:val="1"/>
                <w:color w:val="auto"/>
                <w:w w:val="95"/>
              </w:rPr>
              <w:t xml:space="preserve">2025 </w:t>
            </w:r>
            <w:r>
              <w:rPr>
                <w:rFonts w:ascii="Arial" w:cs="Arial" w:eastAsia="Arial" w:hAnsi="Arial"/>
                <w:sz w:val="21"/>
                <w:szCs w:val="21"/>
                <w:b w:val="1"/>
                <w:bCs w:val="1"/>
                <w:color w:val="auto"/>
                <w:w w:val="95"/>
                <w:vertAlign w:val="superscript"/>
              </w:rPr>
              <w:t>(1)</w:t>
            </w:r>
          </w:p>
        </w:tc>
        <w:tc>
          <w:tcPr>
            <w:tcW w:w="400" w:type="dxa"/>
            <w:vAlign w:val="bottom"/>
            <w:tcBorders>
              <w:bottom w:val="single" w:sz="8" w:color="F2F2F2"/>
            </w:tcBorders>
            <w:shd w:val="clear" w:color="auto" w:fill="F2F2F2"/>
          </w:tcPr>
          <w:p>
            <w:pPr>
              <w:spacing w:after="0"/>
              <w:rPr>
                <w:sz w:val="18"/>
                <w:szCs w:val="18"/>
                <w:color w:val="auto"/>
              </w:rPr>
            </w:pPr>
          </w:p>
        </w:tc>
        <w:tc>
          <w:tcPr>
            <w:tcW w:w="1180" w:type="dxa"/>
            <w:vAlign w:val="bottom"/>
            <w:tcBorders>
              <w:bottom w:val="single" w:sz="8" w:color="F2F2F2"/>
            </w:tcBorders>
            <w:shd w:val="clear" w:color="auto" w:fill="F2F2F2"/>
          </w:tcPr>
          <w:p>
            <w:pPr>
              <w:jc w:val="center"/>
              <w:ind w:right="123"/>
              <w:spacing w:after="0"/>
              <w:rPr>
                <w:sz w:val="20"/>
                <w:szCs w:val="20"/>
                <w:color w:val="auto"/>
              </w:rPr>
            </w:pPr>
            <w:r>
              <w:rPr>
                <w:rFonts w:ascii="Arial" w:cs="Arial" w:eastAsia="Arial" w:hAnsi="Arial"/>
                <w:sz w:val="14"/>
                <w:szCs w:val="14"/>
                <w:b w:val="1"/>
                <w:bCs w:val="1"/>
                <w:color w:val="auto"/>
              </w:rPr>
              <w:t>2025</w:t>
            </w:r>
          </w:p>
        </w:tc>
        <w:tc>
          <w:tcPr>
            <w:tcW w:w="340" w:type="dxa"/>
            <w:vAlign w:val="bottom"/>
            <w:tcBorders>
              <w:bottom w:val="single" w:sz="8" w:color="F2F2F2"/>
            </w:tcBorders>
            <w:shd w:val="clear" w:color="auto" w:fill="F2F2F2"/>
          </w:tcPr>
          <w:p>
            <w:pPr>
              <w:spacing w:after="0"/>
              <w:rPr>
                <w:sz w:val="18"/>
                <w:szCs w:val="18"/>
                <w:color w:val="auto"/>
              </w:rPr>
            </w:pPr>
          </w:p>
        </w:tc>
        <w:tc>
          <w:tcPr>
            <w:tcW w:w="1580" w:type="dxa"/>
            <w:vAlign w:val="bottom"/>
            <w:tcBorders>
              <w:bottom w:val="single" w:sz="8" w:color="F2F2F2"/>
            </w:tcBorders>
            <w:shd w:val="clear" w:color="auto" w:fill="F2F2F2"/>
          </w:tcPr>
          <w:p>
            <w:pPr>
              <w:jc w:val="center"/>
              <w:ind w:right="185"/>
              <w:spacing w:after="0" w:line="210" w:lineRule="exact"/>
              <w:rPr>
                <w:sz w:val="20"/>
                <w:szCs w:val="20"/>
                <w:color w:val="auto"/>
              </w:rPr>
            </w:pPr>
            <w:r>
              <w:rPr>
                <w:rFonts w:ascii="Arial" w:cs="Arial" w:eastAsia="Arial" w:hAnsi="Arial"/>
                <w:sz w:val="24"/>
                <w:szCs w:val="24"/>
                <w:b w:val="1"/>
                <w:bCs w:val="1"/>
                <w:color w:val="auto"/>
                <w:vertAlign w:val="subscript"/>
              </w:rPr>
              <w:t>($)</w:t>
            </w:r>
            <w:r>
              <w:rPr>
                <w:rFonts w:ascii="Arial" w:cs="Arial" w:eastAsia="Arial" w:hAnsi="Arial"/>
                <w:sz w:val="10"/>
                <w:szCs w:val="10"/>
                <w:b w:val="1"/>
                <w:bCs w:val="1"/>
                <w:color w:val="auto"/>
              </w:rPr>
              <w:t>(2)</w:t>
            </w:r>
          </w:p>
        </w:tc>
      </w:tr>
      <w:tr>
        <w:trPr>
          <w:trHeight w:val="189"/>
        </w:trPr>
        <w:tc>
          <w:tcPr>
            <w:tcW w:w="4520" w:type="dxa"/>
            <w:vAlign w:val="bottom"/>
            <w:tcBorders>
              <w:bottom w:val="single" w:sz="8" w:color="808080"/>
            </w:tcBorders>
          </w:tcPr>
          <w:p>
            <w:pPr>
              <w:ind w:left="120"/>
              <w:spacing w:after="0"/>
              <w:rPr>
                <w:sz w:val="20"/>
                <w:szCs w:val="20"/>
                <w:color w:val="auto"/>
              </w:rPr>
            </w:pPr>
            <w:r>
              <w:rPr>
                <w:rFonts w:ascii="Arial" w:cs="Arial" w:eastAsia="Arial" w:hAnsi="Arial"/>
                <w:sz w:val="16"/>
                <w:szCs w:val="16"/>
                <w:b w:val="1"/>
                <w:bCs w:val="1"/>
                <w:color w:val="1414D2"/>
              </w:rPr>
              <w:t>Scott Kirby</w:t>
            </w:r>
          </w:p>
        </w:tc>
        <w:tc>
          <w:tcPr>
            <w:tcW w:w="460" w:type="dxa"/>
            <w:vAlign w:val="bottom"/>
            <w:tcBorders>
              <w:bottom w:val="single" w:sz="8" w:color="808080"/>
            </w:tcBorders>
          </w:tcPr>
          <w:p>
            <w:pPr>
              <w:jc w:val="right"/>
              <w:ind w:right="21"/>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808080"/>
            </w:tcBorders>
          </w:tcPr>
          <w:p>
            <w:pPr>
              <w:jc w:val="right"/>
              <w:spacing w:after="0"/>
              <w:rPr>
                <w:sz w:val="20"/>
                <w:szCs w:val="20"/>
                <w:color w:val="auto"/>
              </w:rPr>
            </w:pPr>
            <w:r>
              <w:rPr>
                <w:rFonts w:ascii="Arial" w:cs="Arial" w:eastAsia="Arial" w:hAnsi="Arial"/>
                <w:sz w:val="16"/>
                <w:szCs w:val="16"/>
                <w:color w:val="auto"/>
              </w:rPr>
              <w:t>8,250,000</w:t>
            </w:r>
          </w:p>
        </w:tc>
        <w:tc>
          <w:tcPr>
            <w:tcW w:w="400" w:type="dxa"/>
            <w:vAlign w:val="bottom"/>
            <w:tcBorders>
              <w:bottom w:val="single" w:sz="8" w:color="808080"/>
            </w:tcBorders>
          </w:tcPr>
          <w:p>
            <w:pPr>
              <w:jc w:val="right"/>
              <w:ind w:right="1"/>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808080"/>
            </w:tcBorders>
          </w:tcPr>
          <w:p>
            <w:pPr>
              <w:jc w:val="right"/>
              <w:ind w:right="3"/>
              <w:spacing w:after="0"/>
              <w:rPr>
                <w:sz w:val="20"/>
                <w:szCs w:val="20"/>
                <w:color w:val="auto"/>
              </w:rPr>
            </w:pPr>
            <w:r>
              <w:rPr>
                <w:rFonts w:ascii="Arial" w:cs="Arial" w:eastAsia="Arial" w:hAnsi="Arial"/>
                <w:sz w:val="16"/>
                <w:szCs w:val="16"/>
                <w:color w:val="auto"/>
              </w:rPr>
              <w:t>8,250,000</w:t>
            </w:r>
          </w:p>
        </w:tc>
        <w:tc>
          <w:tcPr>
            <w:tcW w:w="340" w:type="dxa"/>
            <w:vAlign w:val="bottom"/>
            <w:tcBorders>
              <w:bottom w:val="single" w:sz="8" w:color="808080"/>
            </w:tcBorders>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808080"/>
            </w:tcBorders>
          </w:tcPr>
          <w:p>
            <w:pPr>
              <w:jc w:val="right"/>
              <w:ind w:right="105"/>
              <w:spacing w:after="0"/>
              <w:rPr>
                <w:sz w:val="20"/>
                <w:szCs w:val="20"/>
                <w:color w:val="auto"/>
              </w:rPr>
            </w:pPr>
            <w:r>
              <w:rPr>
                <w:rFonts w:ascii="Arial" w:cs="Arial" w:eastAsia="Arial" w:hAnsi="Arial"/>
                <w:sz w:val="16"/>
                <w:szCs w:val="16"/>
                <w:color w:val="auto"/>
              </w:rPr>
              <w:t>16,500,000</w:t>
            </w:r>
          </w:p>
        </w:tc>
      </w:tr>
      <w:tr>
        <w:trPr>
          <w:trHeight w:val="183"/>
        </w:trPr>
        <w:tc>
          <w:tcPr>
            <w:tcW w:w="4520" w:type="dxa"/>
            <w:vAlign w:val="bottom"/>
            <w:tcBorders>
              <w:bottom w:val="single" w:sz="8" w:color="808080"/>
            </w:tcBorders>
          </w:tcPr>
          <w:p>
            <w:pPr>
              <w:ind w:left="120"/>
              <w:spacing w:after="0" w:line="183" w:lineRule="exact"/>
              <w:rPr>
                <w:sz w:val="20"/>
                <w:szCs w:val="20"/>
                <w:color w:val="auto"/>
              </w:rPr>
            </w:pPr>
            <w:r>
              <w:rPr>
                <w:rFonts w:ascii="Arial" w:cs="Arial" w:eastAsia="Arial" w:hAnsi="Arial"/>
                <w:sz w:val="16"/>
                <w:szCs w:val="16"/>
                <w:b w:val="1"/>
                <w:bCs w:val="1"/>
                <w:color w:val="1414D2"/>
              </w:rPr>
              <w:t>Brett Hart</w:t>
            </w:r>
          </w:p>
        </w:tc>
        <w:tc>
          <w:tcPr>
            <w:tcW w:w="460" w:type="dxa"/>
            <w:vAlign w:val="bottom"/>
            <w:tcBorders>
              <w:bottom w:val="single" w:sz="8" w:color="808080"/>
            </w:tcBorders>
          </w:tcPr>
          <w:p>
            <w:pPr>
              <w:jc w:val="right"/>
              <w:ind w:right="21"/>
              <w:spacing w:after="0" w:line="183" w:lineRule="exact"/>
              <w:rPr>
                <w:sz w:val="20"/>
                <w:szCs w:val="20"/>
                <w:color w:val="auto"/>
              </w:rPr>
            </w:pPr>
            <w:r>
              <w:rPr>
                <w:rFonts w:ascii="Arial" w:cs="Arial" w:eastAsia="Arial" w:hAnsi="Arial"/>
                <w:sz w:val="16"/>
                <w:szCs w:val="16"/>
                <w:color w:val="auto"/>
              </w:rPr>
              <w:t>$</w:t>
            </w:r>
          </w:p>
        </w:tc>
        <w:tc>
          <w:tcPr>
            <w:tcW w:w="1240" w:type="dxa"/>
            <w:vAlign w:val="bottom"/>
            <w:tcBorders>
              <w:bottom w:val="single" w:sz="8" w:color="808080"/>
            </w:tcBorders>
          </w:tcPr>
          <w:p>
            <w:pPr>
              <w:jc w:val="right"/>
              <w:spacing w:after="0" w:line="183" w:lineRule="exact"/>
              <w:rPr>
                <w:sz w:val="20"/>
                <w:szCs w:val="20"/>
                <w:color w:val="auto"/>
              </w:rPr>
            </w:pPr>
            <w:r>
              <w:rPr>
                <w:rFonts w:ascii="Arial" w:cs="Arial" w:eastAsia="Arial" w:hAnsi="Arial"/>
                <w:sz w:val="16"/>
                <w:szCs w:val="16"/>
                <w:color w:val="auto"/>
              </w:rPr>
              <w:t>5,125,000</w:t>
            </w:r>
          </w:p>
        </w:tc>
        <w:tc>
          <w:tcPr>
            <w:tcW w:w="400" w:type="dxa"/>
            <w:vAlign w:val="bottom"/>
            <w:tcBorders>
              <w:bottom w:val="single" w:sz="8" w:color="808080"/>
            </w:tcBorders>
          </w:tcPr>
          <w:p>
            <w:pPr>
              <w:jc w:val="right"/>
              <w:ind w:right="1"/>
              <w:spacing w:after="0" w:line="183" w:lineRule="exact"/>
              <w:rPr>
                <w:sz w:val="20"/>
                <w:szCs w:val="20"/>
                <w:color w:val="auto"/>
              </w:rPr>
            </w:pPr>
            <w:r>
              <w:rPr>
                <w:rFonts w:ascii="Arial" w:cs="Arial" w:eastAsia="Arial" w:hAnsi="Arial"/>
                <w:sz w:val="16"/>
                <w:szCs w:val="16"/>
                <w:color w:val="auto"/>
              </w:rPr>
              <w:t>$</w:t>
            </w:r>
          </w:p>
        </w:tc>
        <w:tc>
          <w:tcPr>
            <w:tcW w:w="1180" w:type="dxa"/>
            <w:vAlign w:val="bottom"/>
            <w:tcBorders>
              <w:bottom w:val="single" w:sz="8" w:color="808080"/>
            </w:tcBorders>
          </w:tcPr>
          <w:p>
            <w:pPr>
              <w:jc w:val="right"/>
              <w:ind w:right="3"/>
              <w:spacing w:after="0" w:line="183" w:lineRule="exact"/>
              <w:rPr>
                <w:sz w:val="20"/>
                <w:szCs w:val="20"/>
                <w:color w:val="auto"/>
              </w:rPr>
            </w:pPr>
            <w:r>
              <w:rPr>
                <w:rFonts w:ascii="Arial" w:cs="Arial" w:eastAsia="Arial" w:hAnsi="Arial"/>
                <w:sz w:val="16"/>
                <w:szCs w:val="16"/>
                <w:color w:val="auto"/>
              </w:rPr>
              <w:t>5,125,000</w:t>
            </w:r>
          </w:p>
        </w:tc>
        <w:tc>
          <w:tcPr>
            <w:tcW w:w="340" w:type="dxa"/>
            <w:vAlign w:val="bottom"/>
            <w:tcBorders>
              <w:bottom w:val="single" w:sz="8" w:color="808080"/>
            </w:tcBorders>
          </w:tcPr>
          <w:p>
            <w:pPr>
              <w:jc w:val="right"/>
              <w:spacing w:after="0" w:line="183" w:lineRule="exact"/>
              <w:rPr>
                <w:sz w:val="20"/>
                <w:szCs w:val="20"/>
                <w:color w:val="auto"/>
              </w:rPr>
            </w:pPr>
            <w:r>
              <w:rPr>
                <w:rFonts w:ascii="Arial" w:cs="Arial" w:eastAsia="Arial" w:hAnsi="Arial"/>
                <w:sz w:val="16"/>
                <w:szCs w:val="16"/>
                <w:color w:val="auto"/>
              </w:rPr>
              <w:t>$</w:t>
            </w:r>
          </w:p>
        </w:tc>
        <w:tc>
          <w:tcPr>
            <w:tcW w:w="1580" w:type="dxa"/>
            <w:vAlign w:val="bottom"/>
            <w:tcBorders>
              <w:bottom w:val="single" w:sz="8" w:color="808080"/>
            </w:tcBorders>
          </w:tcPr>
          <w:p>
            <w:pPr>
              <w:jc w:val="right"/>
              <w:ind w:right="105"/>
              <w:spacing w:after="0" w:line="183" w:lineRule="exact"/>
              <w:rPr>
                <w:sz w:val="20"/>
                <w:szCs w:val="20"/>
                <w:color w:val="auto"/>
              </w:rPr>
            </w:pPr>
            <w:r>
              <w:rPr>
                <w:rFonts w:ascii="Arial" w:cs="Arial" w:eastAsia="Arial" w:hAnsi="Arial"/>
                <w:sz w:val="16"/>
                <w:szCs w:val="16"/>
                <w:color w:val="auto"/>
              </w:rPr>
              <w:t>10,250,000</w:t>
            </w:r>
          </w:p>
        </w:tc>
      </w:tr>
      <w:tr>
        <w:trPr>
          <w:trHeight w:val="183"/>
        </w:trPr>
        <w:tc>
          <w:tcPr>
            <w:tcW w:w="4520" w:type="dxa"/>
            <w:vAlign w:val="bottom"/>
            <w:tcBorders>
              <w:bottom w:val="single" w:sz="8" w:color="808080"/>
            </w:tcBorders>
          </w:tcPr>
          <w:p>
            <w:pPr>
              <w:ind w:left="120"/>
              <w:spacing w:after="0" w:line="183" w:lineRule="exact"/>
              <w:rPr>
                <w:sz w:val="20"/>
                <w:szCs w:val="20"/>
                <w:color w:val="auto"/>
              </w:rPr>
            </w:pPr>
            <w:r>
              <w:rPr>
                <w:rFonts w:ascii="Arial" w:cs="Arial" w:eastAsia="Arial" w:hAnsi="Arial"/>
                <w:sz w:val="16"/>
                <w:szCs w:val="16"/>
                <w:b w:val="1"/>
                <w:bCs w:val="1"/>
                <w:color w:val="1414D2"/>
              </w:rPr>
              <w:t>Torbjorn Enqvist</w:t>
            </w:r>
          </w:p>
        </w:tc>
        <w:tc>
          <w:tcPr>
            <w:tcW w:w="460" w:type="dxa"/>
            <w:vAlign w:val="bottom"/>
            <w:tcBorders>
              <w:bottom w:val="single" w:sz="8" w:color="808080"/>
            </w:tcBorders>
          </w:tcPr>
          <w:p>
            <w:pPr>
              <w:jc w:val="right"/>
              <w:ind w:right="21"/>
              <w:spacing w:after="0" w:line="183" w:lineRule="exact"/>
              <w:rPr>
                <w:sz w:val="20"/>
                <w:szCs w:val="20"/>
                <w:color w:val="auto"/>
              </w:rPr>
            </w:pPr>
            <w:r>
              <w:rPr>
                <w:rFonts w:ascii="Arial" w:cs="Arial" w:eastAsia="Arial" w:hAnsi="Arial"/>
                <w:sz w:val="16"/>
                <w:szCs w:val="16"/>
                <w:color w:val="auto"/>
              </w:rPr>
              <w:t>$</w:t>
            </w:r>
          </w:p>
        </w:tc>
        <w:tc>
          <w:tcPr>
            <w:tcW w:w="1240" w:type="dxa"/>
            <w:vAlign w:val="bottom"/>
            <w:tcBorders>
              <w:bottom w:val="single" w:sz="8" w:color="808080"/>
            </w:tcBorders>
          </w:tcPr>
          <w:p>
            <w:pPr>
              <w:jc w:val="right"/>
              <w:spacing w:after="0" w:line="183" w:lineRule="exact"/>
              <w:rPr>
                <w:sz w:val="20"/>
                <w:szCs w:val="20"/>
                <w:color w:val="auto"/>
              </w:rPr>
            </w:pPr>
            <w:r>
              <w:rPr>
                <w:rFonts w:ascii="Arial" w:cs="Arial" w:eastAsia="Arial" w:hAnsi="Arial"/>
                <w:sz w:val="16"/>
                <w:szCs w:val="16"/>
                <w:color w:val="auto"/>
              </w:rPr>
              <w:t>2,332,000</w:t>
            </w:r>
          </w:p>
        </w:tc>
        <w:tc>
          <w:tcPr>
            <w:tcW w:w="400" w:type="dxa"/>
            <w:vAlign w:val="bottom"/>
            <w:tcBorders>
              <w:bottom w:val="single" w:sz="8" w:color="808080"/>
            </w:tcBorders>
          </w:tcPr>
          <w:p>
            <w:pPr>
              <w:jc w:val="right"/>
              <w:ind w:right="1"/>
              <w:spacing w:after="0" w:line="183" w:lineRule="exact"/>
              <w:rPr>
                <w:sz w:val="20"/>
                <w:szCs w:val="20"/>
                <w:color w:val="auto"/>
              </w:rPr>
            </w:pPr>
            <w:r>
              <w:rPr>
                <w:rFonts w:ascii="Arial" w:cs="Arial" w:eastAsia="Arial" w:hAnsi="Arial"/>
                <w:sz w:val="16"/>
                <w:szCs w:val="16"/>
                <w:color w:val="auto"/>
              </w:rPr>
              <w:t>$</w:t>
            </w:r>
          </w:p>
        </w:tc>
        <w:tc>
          <w:tcPr>
            <w:tcW w:w="1180" w:type="dxa"/>
            <w:vAlign w:val="bottom"/>
            <w:tcBorders>
              <w:bottom w:val="single" w:sz="8" w:color="808080"/>
            </w:tcBorders>
          </w:tcPr>
          <w:p>
            <w:pPr>
              <w:jc w:val="right"/>
              <w:ind w:right="3"/>
              <w:spacing w:after="0" w:line="183" w:lineRule="exact"/>
              <w:rPr>
                <w:sz w:val="20"/>
                <w:szCs w:val="20"/>
                <w:color w:val="auto"/>
              </w:rPr>
            </w:pPr>
            <w:r>
              <w:rPr>
                <w:rFonts w:ascii="Arial" w:cs="Arial" w:eastAsia="Arial" w:hAnsi="Arial"/>
                <w:sz w:val="16"/>
                <w:szCs w:val="16"/>
                <w:color w:val="auto"/>
              </w:rPr>
              <w:t>2,332,000</w:t>
            </w:r>
          </w:p>
        </w:tc>
        <w:tc>
          <w:tcPr>
            <w:tcW w:w="340" w:type="dxa"/>
            <w:vAlign w:val="bottom"/>
            <w:tcBorders>
              <w:bottom w:val="single" w:sz="8" w:color="808080"/>
            </w:tcBorders>
          </w:tcPr>
          <w:p>
            <w:pPr>
              <w:jc w:val="right"/>
              <w:spacing w:after="0" w:line="183" w:lineRule="exact"/>
              <w:rPr>
                <w:sz w:val="20"/>
                <w:szCs w:val="20"/>
                <w:color w:val="auto"/>
              </w:rPr>
            </w:pPr>
            <w:r>
              <w:rPr>
                <w:rFonts w:ascii="Arial" w:cs="Arial" w:eastAsia="Arial" w:hAnsi="Arial"/>
                <w:sz w:val="16"/>
                <w:szCs w:val="16"/>
                <w:color w:val="auto"/>
              </w:rPr>
              <w:t>$</w:t>
            </w:r>
          </w:p>
        </w:tc>
        <w:tc>
          <w:tcPr>
            <w:tcW w:w="1580" w:type="dxa"/>
            <w:vAlign w:val="bottom"/>
            <w:tcBorders>
              <w:bottom w:val="single" w:sz="8" w:color="808080"/>
            </w:tcBorders>
          </w:tcPr>
          <w:p>
            <w:pPr>
              <w:jc w:val="right"/>
              <w:ind w:right="105"/>
              <w:spacing w:after="0" w:line="183" w:lineRule="exact"/>
              <w:rPr>
                <w:sz w:val="20"/>
                <w:szCs w:val="20"/>
                <w:color w:val="auto"/>
              </w:rPr>
            </w:pPr>
            <w:r>
              <w:rPr>
                <w:rFonts w:ascii="Arial" w:cs="Arial" w:eastAsia="Arial" w:hAnsi="Arial"/>
                <w:sz w:val="16"/>
                <w:szCs w:val="16"/>
                <w:color w:val="auto"/>
              </w:rPr>
              <w:t>4,664,000</w:t>
            </w:r>
          </w:p>
        </w:tc>
      </w:tr>
      <w:tr>
        <w:trPr>
          <w:trHeight w:val="183"/>
        </w:trPr>
        <w:tc>
          <w:tcPr>
            <w:tcW w:w="4520" w:type="dxa"/>
            <w:vAlign w:val="bottom"/>
            <w:tcBorders>
              <w:bottom w:val="single" w:sz="8" w:color="808080"/>
            </w:tcBorders>
          </w:tcPr>
          <w:p>
            <w:pPr>
              <w:ind w:left="120"/>
              <w:spacing w:after="0" w:line="183" w:lineRule="exact"/>
              <w:rPr>
                <w:sz w:val="20"/>
                <w:szCs w:val="20"/>
                <w:color w:val="auto"/>
              </w:rPr>
            </w:pPr>
            <w:r>
              <w:rPr>
                <w:rFonts w:ascii="Arial" w:cs="Arial" w:eastAsia="Arial" w:hAnsi="Arial"/>
                <w:sz w:val="16"/>
                <w:szCs w:val="16"/>
                <w:b w:val="1"/>
                <w:bCs w:val="1"/>
                <w:color w:val="1414D2"/>
              </w:rPr>
              <w:t>Andrew Nocella</w:t>
            </w:r>
          </w:p>
        </w:tc>
        <w:tc>
          <w:tcPr>
            <w:tcW w:w="460" w:type="dxa"/>
            <w:vAlign w:val="bottom"/>
            <w:tcBorders>
              <w:bottom w:val="single" w:sz="8" w:color="808080"/>
            </w:tcBorders>
          </w:tcPr>
          <w:p>
            <w:pPr>
              <w:jc w:val="right"/>
              <w:ind w:right="21"/>
              <w:spacing w:after="0" w:line="183" w:lineRule="exact"/>
              <w:rPr>
                <w:sz w:val="20"/>
                <w:szCs w:val="20"/>
                <w:color w:val="auto"/>
              </w:rPr>
            </w:pPr>
            <w:r>
              <w:rPr>
                <w:rFonts w:ascii="Arial" w:cs="Arial" w:eastAsia="Arial" w:hAnsi="Arial"/>
                <w:sz w:val="16"/>
                <w:szCs w:val="16"/>
                <w:color w:val="auto"/>
              </w:rPr>
              <w:t>$</w:t>
            </w:r>
          </w:p>
        </w:tc>
        <w:tc>
          <w:tcPr>
            <w:tcW w:w="1240" w:type="dxa"/>
            <w:vAlign w:val="bottom"/>
            <w:tcBorders>
              <w:bottom w:val="single" w:sz="8" w:color="808080"/>
            </w:tcBorders>
          </w:tcPr>
          <w:p>
            <w:pPr>
              <w:jc w:val="right"/>
              <w:spacing w:after="0" w:line="183" w:lineRule="exact"/>
              <w:rPr>
                <w:sz w:val="20"/>
                <w:szCs w:val="20"/>
                <w:color w:val="auto"/>
              </w:rPr>
            </w:pPr>
            <w:r>
              <w:rPr>
                <w:rFonts w:ascii="Arial" w:cs="Arial" w:eastAsia="Arial" w:hAnsi="Arial"/>
                <w:sz w:val="16"/>
                <w:szCs w:val="16"/>
                <w:color w:val="auto"/>
              </w:rPr>
              <w:t>2,021,250</w:t>
            </w:r>
          </w:p>
        </w:tc>
        <w:tc>
          <w:tcPr>
            <w:tcW w:w="400" w:type="dxa"/>
            <w:vAlign w:val="bottom"/>
            <w:tcBorders>
              <w:bottom w:val="single" w:sz="8" w:color="808080"/>
            </w:tcBorders>
          </w:tcPr>
          <w:p>
            <w:pPr>
              <w:jc w:val="right"/>
              <w:ind w:right="1"/>
              <w:spacing w:after="0" w:line="183" w:lineRule="exact"/>
              <w:rPr>
                <w:sz w:val="20"/>
                <w:szCs w:val="20"/>
                <w:color w:val="auto"/>
              </w:rPr>
            </w:pPr>
            <w:r>
              <w:rPr>
                <w:rFonts w:ascii="Arial" w:cs="Arial" w:eastAsia="Arial" w:hAnsi="Arial"/>
                <w:sz w:val="16"/>
                <w:szCs w:val="16"/>
                <w:color w:val="auto"/>
              </w:rPr>
              <w:t>$</w:t>
            </w:r>
          </w:p>
        </w:tc>
        <w:tc>
          <w:tcPr>
            <w:tcW w:w="1180" w:type="dxa"/>
            <w:vAlign w:val="bottom"/>
            <w:tcBorders>
              <w:bottom w:val="single" w:sz="8" w:color="808080"/>
            </w:tcBorders>
          </w:tcPr>
          <w:p>
            <w:pPr>
              <w:jc w:val="right"/>
              <w:ind w:right="3"/>
              <w:spacing w:after="0" w:line="183" w:lineRule="exact"/>
              <w:rPr>
                <w:sz w:val="20"/>
                <w:szCs w:val="20"/>
                <w:color w:val="auto"/>
              </w:rPr>
            </w:pPr>
            <w:r>
              <w:rPr>
                <w:rFonts w:ascii="Arial" w:cs="Arial" w:eastAsia="Arial" w:hAnsi="Arial"/>
                <w:sz w:val="16"/>
                <w:szCs w:val="16"/>
                <w:color w:val="auto"/>
              </w:rPr>
              <w:t>2,021,250</w:t>
            </w:r>
          </w:p>
        </w:tc>
        <w:tc>
          <w:tcPr>
            <w:tcW w:w="340" w:type="dxa"/>
            <w:vAlign w:val="bottom"/>
            <w:tcBorders>
              <w:bottom w:val="single" w:sz="8" w:color="808080"/>
            </w:tcBorders>
          </w:tcPr>
          <w:p>
            <w:pPr>
              <w:jc w:val="right"/>
              <w:spacing w:after="0" w:line="183" w:lineRule="exact"/>
              <w:rPr>
                <w:sz w:val="20"/>
                <w:szCs w:val="20"/>
                <w:color w:val="auto"/>
              </w:rPr>
            </w:pPr>
            <w:r>
              <w:rPr>
                <w:rFonts w:ascii="Arial" w:cs="Arial" w:eastAsia="Arial" w:hAnsi="Arial"/>
                <w:sz w:val="16"/>
                <w:szCs w:val="16"/>
                <w:color w:val="auto"/>
              </w:rPr>
              <w:t>$</w:t>
            </w:r>
          </w:p>
        </w:tc>
        <w:tc>
          <w:tcPr>
            <w:tcW w:w="1580" w:type="dxa"/>
            <w:vAlign w:val="bottom"/>
            <w:tcBorders>
              <w:bottom w:val="single" w:sz="8" w:color="808080"/>
            </w:tcBorders>
          </w:tcPr>
          <w:p>
            <w:pPr>
              <w:jc w:val="right"/>
              <w:ind w:right="105"/>
              <w:spacing w:after="0" w:line="183" w:lineRule="exact"/>
              <w:rPr>
                <w:sz w:val="20"/>
                <w:szCs w:val="20"/>
                <w:color w:val="auto"/>
              </w:rPr>
            </w:pPr>
            <w:r>
              <w:rPr>
                <w:rFonts w:ascii="Arial" w:cs="Arial" w:eastAsia="Arial" w:hAnsi="Arial"/>
                <w:sz w:val="16"/>
                <w:szCs w:val="16"/>
                <w:color w:val="auto"/>
              </w:rPr>
              <w:t>4,042,500</w:t>
            </w:r>
          </w:p>
        </w:tc>
      </w:tr>
      <w:tr>
        <w:trPr>
          <w:trHeight w:val="183"/>
        </w:trPr>
        <w:tc>
          <w:tcPr>
            <w:tcW w:w="4520" w:type="dxa"/>
            <w:vAlign w:val="bottom"/>
            <w:tcBorders>
              <w:bottom w:val="single" w:sz="8" w:color="808080"/>
            </w:tcBorders>
          </w:tcPr>
          <w:p>
            <w:pPr>
              <w:ind w:left="120"/>
              <w:spacing w:after="0" w:line="183" w:lineRule="exact"/>
              <w:rPr>
                <w:sz w:val="20"/>
                <w:szCs w:val="20"/>
                <w:color w:val="auto"/>
              </w:rPr>
            </w:pPr>
            <w:r>
              <w:rPr>
                <w:rFonts w:ascii="Arial" w:cs="Arial" w:eastAsia="Arial" w:hAnsi="Arial"/>
                <w:sz w:val="16"/>
                <w:szCs w:val="16"/>
                <w:b w:val="1"/>
                <w:bCs w:val="1"/>
                <w:color w:val="1414D2"/>
              </w:rPr>
              <w:t>Michael Leskinen</w:t>
            </w:r>
          </w:p>
        </w:tc>
        <w:tc>
          <w:tcPr>
            <w:tcW w:w="460" w:type="dxa"/>
            <w:vAlign w:val="bottom"/>
            <w:tcBorders>
              <w:bottom w:val="single" w:sz="8" w:color="808080"/>
            </w:tcBorders>
          </w:tcPr>
          <w:p>
            <w:pPr>
              <w:jc w:val="right"/>
              <w:ind w:right="21"/>
              <w:spacing w:after="0" w:line="183" w:lineRule="exact"/>
              <w:rPr>
                <w:sz w:val="20"/>
                <w:szCs w:val="20"/>
                <w:color w:val="auto"/>
              </w:rPr>
            </w:pPr>
            <w:r>
              <w:rPr>
                <w:rFonts w:ascii="Arial" w:cs="Arial" w:eastAsia="Arial" w:hAnsi="Arial"/>
                <w:sz w:val="16"/>
                <w:szCs w:val="16"/>
                <w:color w:val="auto"/>
              </w:rPr>
              <w:t>$</w:t>
            </w:r>
          </w:p>
        </w:tc>
        <w:tc>
          <w:tcPr>
            <w:tcW w:w="1240" w:type="dxa"/>
            <w:vAlign w:val="bottom"/>
            <w:tcBorders>
              <w:bottom w:val="single" w:sz="8" w:color="808080"/>
            </w:tcBorders>
          </w:tcPr>
          <w:p>
            <w:pPr>
              <w:jc w:val="right"/>
              <w:spacing w:after="0" w:line="183" w:lineRule="exact"/>
              <w:rPr>
                <w:sz w:val="20"/>
                <w:szCs w:val="20"/>
                <w:color w:val="auto"/>
              </w:rPr>
            </w:pPr>
            <w:r>
              <w:rPr>
                <w:rFonts w:ascii="Arial" w:cs="Arial" w:eastAsia="Arial" w:hAnsi="Arial"/>
                <w:sz w:val="16"/>
                <w:szCs w:val="16"/>
                <w:color w:val="auto"/>
              </w:rPr>
              <w:t>1,800,000</w:t>
            </w:r>
          </w:p>
        </w:tc>
        <w:tc>
          <w:tcPr>
            <w:tcW w:w="400" w:type="dxa"/>
            <w:vAlign w:val="bottom"/>
            <w:tcBorders>
              <w:bottom w:val="single" w:sz="8" w:color="808080"/>
            </w:tcBorders>
          </w:tcPr>
          <w:p>
            <w:pPr>
              <w:jc w:val="right"/>
              <w:ind w:right="1"/>
              <w:spacing w:after="0" w:line="183" w:lineRule="exact"/>
              <w:rPr>
                <w:sz w:val="20"/>
                <w:szCs w:val="20"/>
                <w:color w:val="auto"/>
              </w:rPr>
            </w:pPr>
            <w:r>
              <w:rPr>
                <w:rFonts w:ascii="Arial" w:cs="Arial" w:eastAsia="Arial" w:hAnsi="Arial"/>
                <w:sz w:val="16"/>
                <w:szCs w:val="16"/>
                <w:color w:val="auto"/>
              </w:rPr>
              <w:t>$</w:t>
            </w:r>
          </w:p>
        </w:tc>
        <w:tc>
          <w:tcPr>
            <w:tcW w:w="1180" w:type="dxa"/>
            <w:vAlign w:val="bottom"/>
            <w:tcBorders>
              <w:bottom w:val="single" w:sz="8" w:color="808080"/>
            </w:tcBorders>
          </w:tcPr>
          <w:p>
            <w:pPr>
              <w:jc w:val="right"/>
              <w:ind w:right="3"/>
              <w:spacing w:after="0" w:line="183" w:lineRule="exact"/>
              <w:rPr>
                <w:sz w:val="20"/>
                <w:szCs w:val="20"/>
                <w:color w:val="auto"/>
              </w:rPr>
            </w:pPr>
            <w:r>
              <w:rPr>
                <w:rFonts w:ascii="Arial" w:cs="Arial" w:eastAsia="Arial" w:hAnsi="Arial"/>
                <w:sz w:val="16"/>
                <w:szCs w:val="16"/>
                <w:color w:val="auto"/>
              </w:rPr>
              <w:t>1,800,000</w:t>
            </w:r>
          </w:p>
        </w:tc>
        <w:tc>
          <w:tcPr>
            <w:tcW w:w="340" w:type="dxa"/>
            <w:vAlign w:val="bottom"/>
            <w:tcBorders>
              <w:bottom w:val="single" w:sz="8" w:color="808080"/>
            </w:tcBorders>
          </w:tcPr>
          <w:p>
            <w:pPr>
              <w:jc w:val="right"/>
              <w:spacing w:after="0" w:line="183" w:lineRule="exact"/>
              <w:rPr>
                <w:sz w:val="20"/>
                <w:szCs w:val="20"/>
                <w:color w:val="auto"/>
              </w:rPr>
            </w:pPr>
            <w:r>
              <w:rPr>
                <w:rFonts w:ascii="Arial" w:cs="Arial" w:eastAsia="Arial" w:hAnsi="Arial"/>
                <w:sz w:val="16"/>
                <w:szCs w:val="16"/>
                <w:color w:val="auto"/>
              </w:rPr>
              <w:t>$</w:t>
            </w:r>
          </w:p>
        </w:tc>
        <w:tc>
          <w:tcPr>
            <w:tcW w:w="1580" w:type="dxa"/>
            <w:vAlign w:val="bottom"/>
            <w:tcBorders>
              <w:bottom w:val="single" w:sz="8" w:color="808080"/>
            </w:tcBorders>
          </w:tcPr>
          <w:p>
            <w:pPr>
              <w:jc w:val="right"/>
              <w:ind w:right="105"/>
              <w:spacing w:after="0" w:line="183" w:lineRule="exact"/>
              <w:rPr>
                <w:sz w:val="20"/>
                <w:szCs w:val="20"/>
                <w:color w:val="auto"/>
              </w:rPr>
            </w:pPr>
            <w:r>
              <w:rPr>
                <w:rFonts w:ascii="Arial" w:cs="Arial" w:eastAsia="Arial" w:hAnsi="Arial"/>
                <w:sz w:val="16"/>
                <w:szCs w:val="16"/>
                <w:color w:val="auto"/>
              </w:rPr>
              <w:t>3,600,000</w:t>
            </w:r>
          </w:p>
        </w:tc>
      </w:tr>
    </w:tbl>
    <w:p>
      <w:pPr>
        <w:spacing w:after="0" w:line="89" w:lineRule="exact"/>
        <w:rPr>
          <w:sz w:val="20"/>
          <w:szCs w:val="20"/>
          <w:color w:val="auto"/>
        </w:rPr>
      </w:pPr>
    </w:p>
    <w:p>
      <w:pPr>
        <w:ind w:left="320" w:right="20" w:hanging="316"/>
        <w:spacing w:after="0" w:line="296" w:lineRule="auto"/>
        <w:tabs>
          <w:tab w:leader="none" w:pos="320" w:val="left"/>
        </w:tabs>
        <w:numPr>
          <w:ilvl w:val="0"/>
          <w:numId w:val="111"/>
        </w:numPr>
        <w:rPr>
          <w:rFonts w:ascii="Arial" w:cs="Arial" w:eastAsia="Arial" w:hAnsi="Arial"/>
          <w:sz w:val="11"/>
          <w:szCs w:val="11"/>
          <w:color w:val="auto"/>
        </w:rPr>
      </w:pPr>
      <w:r>
        <w:rPr>
          <w:rFonts w:ascii="Arial" w:cs="Arial" w:eastAsia="Arial" w:hAnsi="Arial"/>
          <w:sz w:val="14"/>
          <w:szCs w:val="14"/>
          <w:color w:val="auto"/>
        </w:rPr>
        <w:t>Represents the annual RSU and Performance-Based RSU awards made in February 2025, assuming target performance for PBRSUs. The number of shares of Common Stock subject to the awards was determined by dividing the applicable value in the table by the closing stock price on the grant date and rounding down to the nearest whole unit.</w:t>
      </w:r>
    </w:p>
    <w:p>
      <w:pPr>
        <w:sectPr>
          <w:pgSz w:w="11900" w:h="16838" w:orient="portrait"/>
          <w:cols w:equalWidth="0" w:num="1">
            <w:col w:w="9720"/>
          </w:cols>
          <w:pgMar w:left="1080" w:top="695"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right"/>
        <w:ind w:right="7720"/>
        <w:spacing w:after="0"/>
        <w:rPr>
          <w:sz w:val="20"/>
          <w:szCs w:val="20"/>
          <w:color w:val="auto"/>
        </w:rPr>
      </w:pPr>
      <w:r>
        <w:rPr>
          <w:rFonts w:ascii="Arial" w:cs="Arial" w:eastAsia="Arial" w:hAnsi="Arial"/>
          <w:sz w:val="16"/>
          <w:szCs w:val="16"/>
          <w:color w:val="auto"/>
        </w:rPr>
        <w:t>​​2026​  Proxy</w:t>
      </w:r>
    </w:p>
    <w:p>
      <w:pPr>
        <w:spacing w:after="0" w:line="5" w:lineRule="exact"/>
        <w:rPr>
          <w:sz w:val="20"/>
          <w:szCs w:val="20"/>
          <w:color w:val="auto"/>
        </w:rPr>
      </w:pPr>
    </w:p>
    <w:p>
      <w:pPr>
        <w:ind w:left="660" w:hanging="656"/>
        <w:spacing w:after="0"/>
        <w:tabs>
          <w:tab w:leader="none" w:pos="660" w:val="left"/>
        </w:tabs>
        <w:numPr>
          <w:ilvl w:val="0"/>
          <w:numId w:val="112"/>
        </w:numPr>
        <w:rPr>
          <w:rFonts w:ascii="Arial" w:cs="Arial" w:eastAsia="Arial" w:hAnsi="Arial"/>
          <w:sz w:val="16"/>
          <w:szCs w:val="16"/>
          <w:b w:val="1"/>
          <w:bCs w:val="1"/>
          <w:color w:val="1414D2"/>
        </w:rPr>
      </w:pPr>
      <w:r>
        <w:rPr>
          <w:rFonts w:ascii="Arial" w:cs="Arial" w:eastAsia="Arial" w:hAnsi="Arial"/>
          <w:sz w:val="16"/>
          <w:szCs w:val="16"/>
          <w:color w:val="auto"/>
        </w:rPr>
        <w:t>Statement</w:t>
      </w:r>
    </w:p>
    <w:p>
      <w:pPr>
        <w:sectPr>
          <w:pgSz w:w="11900" w:h="16838" w:orient="portrait"/>
          <w:cols w:equalWidth="0" w:num="1">
            <w:col w:w="9720"/>
          </w:cols>
          <w:pgMar w:left="1080" w:top="695" w:right="1099" w:bottom="1440" w:gutter="0" w:footer="0" w:header="0"/>
          <w:type w:val="continuous"/>
        </w:sectPr>
      </w:pPr>
    </w:p>
    <w:bookmarkStart w:id="111" w:name="page112"/>
    <w:bookmarkEnd w:id="111"/>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27" w:lineRule="exact"/>
        <w:rPr>
          <w:sz w:val="20"/>
          <w:szCs w:val="20"/>
          <w:color w:val="auto"/>
        </w:rPr>
      </w:pPr>
    </w:p>
    <w:p>
      <w:pPr>
        <w:jc w:val="right"/>
        <w:spacing w:after="0"/>
        <w:rPr>
          <w:sz w:val="20"/>
          <w:szCs w:val="20"/>
          <w:color w:val="auto"/>
        </w:rPr>
      </w:pPr>
      <w:r>
        <w:rPr>
          <w:rFonts w:ascii="Arial" w:cs="Arial" w:eastAsia="Arial" w:hAnsi="Arial"/>
          <w:sz w:val="14"/>
          <w:szCs w:val="14"/>
          <w:color w:val="6D6F71"/>
        </w:rPr>
        <w:t>Compensation  Discussion  and  Analysis</w:t>
      </w:r>
    </w:p>
    <w:p>
      <w:pPr>
        <w:spacing w:after="0" w:line="231" w:lineRule="exact"/>
        <w:rPr>
          <w:sz w:val="20"/>
          <w:szCs w:val="20"/>
          <w:color w:val="auto"/>
        </w:rPr>
      </w:pPr>
    </w:p>
    <w:p>
      <w:pPr>
        <w:ind w:left="320" w:right="160" w:hanging="316"/>
        <w:spacing w:after="0" w:line="268" w:lineRule="auto"/>
        <w:tabs>
          <w:tab w:leader="none" w:pos="320" w:val="left"/>
        </w:tabs>
        <w:numPr>
          <w:ilvl w:val="0"/>
          <w:numId w:val="113"/>
        </w:numPr>
        <w:rPr>
          <w:rFonts w:ascii="Arial" w:cs="Arial" w:eastAsia="Arial" w:hAnsi="Arial"/>
          <w:sz w:val="11"/>
          <w:szCs w:val="11"/>
          <w:color w:val="auto"/>
        </w:rPr>
      </w:pPr>
      <w:r>
        <w:rPr>
          <w:rFonts w:ascii="Arial" w:cs="Arial" w:eastAsia="Arial" w:hAnsi="Arial"/>
          <w:sz w:val="14"/>
          <w:szCs w:val="14"/>
          <w:color w:val="auto"/>
        </w:rPr>
        <w:t>The target grant values associated with the 2025 Performance-Based RSUs in this table refect the full target value of all three regular annual tranches of such awards, despite the fact that the portions attributable to performance measures in 2026 and 2027 will not be treated as formally “granted” for purposes of the executive compensation tables following this CD&amp;A until the performance measures for those future tranches are established. Accordingly, the target values refected in this table difer from those of the subsequent tables, which, consistent with disclosure rules, include the value of PBRSU grants only when the performance measures for each year are established.</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2025  Performance-Based  RSUs</w:t>
      </w:r>
    </w:p>
    <w:p>
      <w:pPr>
        <w:spacing w:after="0" w:line="113" w:lineRule="exact"/>
        <w:rPr>
          <w:sz w:val="20"/>
          <w:szCs w:val="20"/>
          <w:color w:val="auto"/>
        </w:rPr>
      </w:pPr>
    </w:p>
    <w:p>
      <w:pPr>
        <w:spacing w:after="0"/>
        <w:rPr>
          <w:sz w:val="20"/>
          <w:szCs w:val="20"/>
          <w:color w:val="auto"/>
        </w:rPr>
      </w:pPr>
      <w:r>
        <w:rPr>
          <w:rFonts w:ascii="Arial" w:cs="Arial" w:eastAsia="Arial" w:hAnsi="Arial"/>
          <w:sz w:val="15"/>
          <w:szCs w:val="15"/>
          <w:color w:val="auto"/>
        </w:rPr>
        <w:t>2025  Performance-Based  RSU  awards  have  a  target  opportunity  of  100%  of  the  target  award  value  and  a  maximum  or  “stretch”</w:t>
      </w:r>
    </w:p>
    <w:p>
      <w:pPr>
        <w:spacing w:after="0" w:line="30" w:lineRule="exact"/>
        <w:rPr>
          <w:sz w:val="20"/>
          <w:szCs w:val="20"/>
          <w:color w:val="auto"/>
        </w:rPr>
      </w:pPr>
    </w:p>
    <w:p>
      <w:pPr>
        <w:ind w:right="700"/>
        <w:spacing w:after="0" w:line="290" w:lineRule="auto"/>
        <w:rPr>
          <w:sz w:val="20"/>
          <w:szCs w:val="20"/>
          <w:color w:val="auto"/>
        </w:rPr>
      </w:pPr>
      <w:r>
        <w:rPr>
          <w:rFonts w:ascii="Arial" w:cs="Arial" w:eastAsia="Arial" w:hAnsi="Arial"/>
          <w:sz w:val="16"/>
          <w:szCs w:val="16"/>
          <w:color w:val="auto"/>
        </w:rPr>
        <w:t>opportunity equal to 200% of the target award value. Payment opportunities under PBRSU awards are subject to linear interpolation between performance levels.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The  primary  performance  measures  and  weights  used  for  tranche  3  of  the  2023  Performance-Based  RSUs,  tranche  2  of  the</w:t>
      </w:r>
    </w:p>
    <w:p>
      <w:pPr>
        <w:spacing w:after="0" w:line="19"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2024 Performance-Based RSUs and tranche 1 of the 2025 Performance Based RSUs, are identical to each other and are set forth in the table below. The Committee chose the below three performance measures because it believed that, together, they represented an appropriate mix of fnancial goals and other business objectives to deliver long-term value to our stockholders,</w:t>
      </w:r>
    </w:p>
    <w:p>
      <w:pPr>
        <w:spacing w:after="0" w:line="1" w:lineRule="exact"/>
        <w:rPr>
          <w:sz w:val="20"/>
          <w:szCs w:val="20"/>
          <w:color w:val="auto"/>
        </w:rPr>
      </w:pPr>
    </w:p>
    <w:p>
      <w:pPr>
        <w:ind w:right="180"/>
        <w:spacing w:after="0" w:line="250" w:lineRule="auto"/>
        <w:rPr>
          <w:sz w:val="20"/>
          <w:szCs w:val="20"/>
          <w:color w:val="auto"/>
        </w:rPr>
      </w:pPr>
      <w:r>
        <w:rPr>
          <w:rFonts w:ascii="Arial" w:cs="Arial" w:eastAsia="Arial" w:hAnsi="Arial"/>
          <w:sz w:val="16"/>
          <w:szCs w:val="16"/>
          <w:color w:val="auto"/>
        </w:rPr>
        <w:t>transform the customer experience, attract more brand-loyal customers and assist with achieving our fnancial objectives that help us meet our fnancial guidance. The performance metrics and goals were established based on the Company’s fnancial plan and operating and strategic initiatives and were designed to be challenging but attainable with strong management performance. To balance transparency with the need to protect competitively sensitive information, the Company has not</w:t>
      </w:r>
    </w:p>
    <w:p>
      <w:pPr>
        <w:spacing w:after="0" w:line="3" w:lineRule="exact"/>
        <w:rPr>
          <w:sz w:val="20"/>
          <w:szCs w:val="20"/>
          <w:color w:val="auto"/>
        </w:rPr>
      </w:pPr>
    </w:p>
    <w:p>
      <w:pPr>
        <w:ind w:right="180"/>
        <w:spacing w:after="0" w:line="279" w:lineRule="auto"/>
        <w:rPr>
          <w:sz w:val="20"/>
          <w:szCs w:val="20"/>
          <w:color w:val="auto"/>
        </w:rPr>
      </w:pPr>
      <w:r>
        <w:rPr>
          <w:rFonts w:ascii="Arial" w:cs="Arial" w:eastAsia="Arial" w:hAnsi="Arial"/>
          <w:sz w:val="16"/>
          <w:szCs w:val="16"/>
          <w:color w:val="auto"/>
        </w:rPr>
        <w:t>disclosed certain specifc performance targets and results, particularly those relating to longer-term strategic and operational initiatives, where such disclosure could cause competitive harm. However, the Company believes the information provided conveys the rigor of the performance goals and the extent to which they were achieved.</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
        </w:trPr>
        <w:tc>
          <w:tcPr>
            <w:tcW w:w="5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5120" w:type="dxa"/>
            <w:vAlign w:val="bottom"/>
            <w:shd w:val="clear" w:color="auto" w:fill="1414D2"/>
          </w:tcPr>
          <w:p>
            <w:pPr>
              <w:spacing w:after="0"/>
              <w:rPr>
                <w:sz w:val="14"/>
                <w:szCs w:val="14"/>
                <w:color w:val="auto"/>
              </w:rPr>
            </w:pPr>
          </w:p>
        </w:tc>
        <w:tc>
          <w:tcPr>
            <w:tcW w:w="1940" w:type="dxa"/>
            <w:vAlign w:val="bottom"/>
            <w:shd w:val="clear" w:color="auto" w:fill="1414D2"/>
          </w:tcPr>
          <w:p>
            <w:pPr>
              <w:ind w:left="760"/>
              <w:spacing w:after="0" w:line="165" w:lineRule="exact"/>
              <w:rPr>
                <w:sz w:val="20"/>
                <w:szCs w:val="20"/>
                <w:color w:val="auto"/>
              </w:rPr>
            </w:pPr>
            <w:r>
              <w:rPr>
                <w:rFonts w:ascii="Arial" w:cs="Arial" w:eastAsia="Arial" w:hAnsi="Arial"/>
                <w:sz w:val="16"/>
                <w:szCs w:val="16"/>
                <w:b w:val="1"/>
                <w:bCs w:val="1"/>
                <w:color w:val="FFFFFF"/>
              </w:rPr>
              <w:t>Entry</w:t>
            </w:r>
          </w:p>
        </w:tc>
        <w:tc>
          <w:tcPr>
            <w:tcW w:w="1340" w:type="dxa"/>
            <w:vAlign w:val="bottom"/>
            <w:gridSpan w:val="2"/>
            <w:shd w:val="clear" w:color="auto" w:fill="1414D2"/>
          </w:tcPr>
          <w:p>
            <w:pPr>
              <w:ind w:left="140"/>
              <w:spacing w:after="0" w:line="165" w:lineRule="exact"/>
              <w:rPr>
                <w:sz w:val="20"/>
                <w:szCs w:val="20"/>
                <w:color w:val="auto"/>
              </w:rPr>
            </w:pPr>
            <w:r>
              <w:rPr>
                <w:rFonts w:ascii="Arial" w:cs="Arial" w:eastAsia="Arial" w:hAnsi="Arial"/>
                <w:sz w:val="16"/>
                <w:szCs w:val="16"/>
                <w:b w:val="1"/>
                <w:bCs w:val="1"/>
                <w:color w:val="FFFFFF"/>
              </w:rPr>
              <w:t>Target (100%)</w:t>
            </w:r>
          </w:p>
        </w:tc>
        <w:tc>
          <w:tcPr>
            <w:tcW w:w="280" w:type="dxa"/>
            <w:vAlign w:val="bottom"/>
            <w:shd w:val="clear" w:color="auto" w:fill="1414D2"/>
          </w:tcPr>
          <w:p>
            <w:pPr>
              <w:spacing w:after="0"/>
              <w:rPr>
                <w:sz w:val="14"/>
                <w:szCs w:val="14"/>
                <w:color w:val="auto"/>
              </w:rPr>
            </w:pPr>
          </w:p>
        </w:tc>
        <w:tc>
          <w:tcPr>
            <w:tcW w:w="1040" w:type="dxa"/>
            <w:vAlign w:val="bottom"/>
            <w:shd w:val="clear" w:color="auto" w:fill="1414D2"/>
          </w:tcPr>
          <w:p>
            <w:pPr>
              <w:ind w:left="80"/>
              <w:spacing w:after="0" w:line="165" w:lineRule="exact"/>
              <w:rPr>
                <w:sz w:val="20"/>
                <w:szCs w:val="20"/>
                <w:color w:val="auto"/>
              </w:rPr>
            </w:pPr>
            <w:r>
              <w:rPr>
                <w:rFonts w:ascii="Arial" w:cs="Arial" w:eastAsia="Arial" w:hAnsi="Arial"/>
                <w:sz w:val="16"/>
                <w:szCs w:val="16"/>
                <w:b w:val="1"/>
                <w:bCs w:val="1"/>
                <w:color w:val="FFFFFF"/>
              </w:rPr>
              <w:t>Stretch</w:t>
            </w:r>
          </w:p>
        </w:tc>
        <w:tc>
          <w:tcPr>
            <w:tcW w:w="0" w:type="dxa"/>
            <w:vAlign w:val="bottom"/>
          </w:tcPr>
          <w:p>
            <w:pPr>
              <w:spacing w:after="0"/>
              <w:rPr>
                <w:sz w:val="1"/>
                <w:szCs w:val="1"/>
                <w:color w:val="auto"/>
              </w:rPr>
            </w:pPr>
          </w:p>
        </w:tc>
      </w:tr>
      <w:tr>
        <w:trPr>
          <w:trHeight w:val="235"/>
        </w:trPr>
        <w:tc>
          <w:tcPr>
            <w:tcW w:w="5120" w:type="dxa"/>
            <w:vAlign w:val="bottom"/>
            <w:shd w:val="clear" w:color="auto" w:fill="1414D2"/>
          </w:tcPr>
          <w:p>
            <w:pPr>
              <w:ind w:left="100"/>
              <w:spacing w:after="0"/>
              <w:rPr>
                <w:sz w:val="20"/>
                <w:szCs w:val="20"/>
                <w:color w:val="auto"/>
              </w:rPr>
            </w:pPr>
            <w:r>
              <w:rPr>
                <w:rFonts w:ascii="Arial" w:cs="Arial" w:eastAsia="Arial" w:hAnsi="Arial"/>
                <w:sz w:val="16"/>
                <w:szCs w:val="16"/>
                <w:b w:val="1"/>
                <w:bCs w:val="1"/>
                <w:color w:val="FFFFFF"/>
              </w:rPr>
              <w:t>Performance Measures</w:t>
            </w:r>
          </w:p>
        </w:tc>
        <w:tc>
          <w:tcPr>
            <w:tcW w:w="1940" w:type="dxa"/>
            <w:vAlign w:val="bottom"/>
            <w:shd w:val="clear" w:color="auto" w:fill="1414D2"/>
          </w:tcPr>
          <w:p>
            <w:pPr>
              <w:jc w:val="right"/>
              <w:ind w:right="674"/>
              <w:spacing w:after="0"/>
              <w:rPr>
                <w:sz w:val="20"/>
                <w:szCs w:val="20"/>
                <w:color w:val="auto"/>
              </w:rPr>
            </w:pPr>
            <w:r>
              <w:rPr>
                <w:rFonts w:ascii="Arial" w:cs="Arial" w:eastAsia="Arial" w:hAnsi="Arial"/>
                <w:sz w:val="16"/>
                <w:szCs w:val="16"/>
                <w:b w:val="1"/>
                <w:bCs w:val="1"/>
                <w:color w:val="FFFFFF"/>
              </w:rPr>
              <w:t>(50%)</w:t>
            </w:r>
          </w:p>
        </w:tc>
        <w:tc>
          <w:tcPr>
            <w:tcW w:w="220" w:type="dxa"/>
            <w:vAlign w:val="bottom"/>
            <w:shd w:val="clear" w:color="auto" w:fill="1414D2"/>
          </w:tcPr>
          <w:p>
            <w:pPr>
              <w:spacing w:after="0"/>
              <w:rPr>
                <w:sz w:val="20"/>
                <w:szCs w:val="20"/>
                <w:color w:val="auto"/>
              </w:rPr>
            </w:pPr>
          </w:p>
        </w:tc>
        <w:tc>
          <w:tcPr>
            <w:tcW w:w="1120" w:type="dxa"/>
            <w:vAlign w:val="bottom"/>
            <w:shd w:val="clear" w:color="auto" w:fill="1414D2"/>
          </w:tcPr>
          <w:p>
            <w:pPr>
              <w:spacing w:after="0"/>
              <w:rPr>
                <w:sz w:val="20"/>
                <w:szCs w:val="20"/>
                <w:color w:val="auto"/>
              </w:rPr>
            </w:pPr>
          </w:p>
        </w:tc>
        <w:tc>
          <w:tcPr>
            <w:tcW w:w="280" w:type="dxa"/>
            <w:vAlign w:val="bottom"/>
            <w:shd w:val="clear" w:color="auto" w:fill="1414D2"/>
          </w:tcPr>
          <w:p>
            <w:pPr>
              <w:spacing w:after="0"/>
              <w:rPr>
                <w:sz w:val="20"/>
                <w:szCs w:val="20"/>
                <w:color w:val="auto"/>
              </w:rPr>
            </w:pPr>
          </w:p>
        </w:tc>
        <w:tc>
          <w:tcPr>
            <w:tcW w:w="1040" w:type="dxa"/>
            <w:vAlign w:val="bottom"/>
            <w:shd w:val="clear" w:color="auto" w:fill="1414D2"/>
          </w:tcPr>
          <w:p>
            <w:pPr>
              <w:jc w:val="right"/>
              <w:ind w:right="327"/>
              <w:spacing w:after="0"/>
              <w:rPr>
                <w:sz w:val="20"/>
                <w:szCs w:val="20"/>
                <w:color w:val="auto"/>
              </w:rPr>
            </w:pPr>
            <w:r>
              <w:rPr>
                <w:rFonts w:ascii="Arial" w:cs="Arial" w:eastAsia="Arial" w:hAnsi="Arial"/>
                <w:sz w:val="16"/>
                <w:szCs w:val="16"/>
                <w:b w:val="1"/>
                <w:bCs w:val="1"/>
                <w:color w:val="FFFFFF"/>
              </w:rPr>
              <w:t>(200%)</w:t>
            </w:r>
          </w:p>
        </w:tc>
        <w:tc>
          <w:tcPr>
            <w:tcW w:w="0" w:type="dxa"/>
            <w:vAlign w:val="bottom"/>
          </w:tcPr>
          <w:p>
            <w:pPr>
              <w:spacing w:after="0"/>
              <w:rPr>
                <w:sz w:val="1"/>
                <w:szCs w:val="1"/>
                <w:color w:val="auto"/>
              </w:rPr>
            </w:pPr>
          </w:p>
        </w:tc>
      </w:tr>
      <w:tr>
        <w:trPr>
          <w:trHeight w:val="384"/>
        </w:trPr>
        <w:tc>
          <w:tcPr>
            <w:tcW w:w="5120" w:type="dxa"/>
            <w:vAlign w:val="bottom"/>
            <w:shd w:val="clear" w:color="auto" w:fill="1414D2"/>
          </w:tcPr>
          <w:p>
            <w:pPr>
              <w:ind w:left="100"/>
              <w:spacing w:after="0"/>
              <w:rPr>
                <w:sz w:val="20"/>
                <w:szCs w:val="20"/>
                <w:color w:val="auto"/>
              </w:rPr>
            </w:pPr>
            <w:r>
              <w:rPr>
                <w:rFonts w:ascii="Arial" w:cs="Arial" w:eastAsia="Arial" w:hAnsi="Arial"/>
                <w:sz w:val="16"/>
                <w:szCs w:val="16"/>
                <w:b w:val="1"/>
                <w:bCs w:val="1"/>
                <w:color w:val="FFFFFF"/>
              </w:rPr>
              <w:t>Absolute Adjusted EPS (40%)</w:t>
            </w:r>
          </w:p>
        </w:tc>
        <w:tc>
          <w:tcPr>
            <w:tcW w:w="1940" w:type="dxa"/>
            <w:vAlign w:val="bottom"/>
            <w:shd w:val="clear" w:color="auto" w:fill="1414D2"/>
          </w:tcPr>
          <w:p>
            <w:pPr>
              <w:spacing w:after="0"/>
              <w:rPr>
                <w:sz w:val="24"/>
                <w:szCs w:val="24"/>
                <w:color w:val="auto"/>
              </w:rPr>
            </w:pPr>
          </w:p>
        </w:tc>
        <w:tc>
          <w:tcPr>
            <w:tcW w:w="220" w:type="dxa"/>
            <w:vAlign w:val="bottom"/>
            <w:shd w:val="clear" w:color="auto" w:fill="1414D2"/>
          </w:tcPr>
          <w:p>
            <w:pPr>
              <w:spacing w:after="0"/>
              <w:rPr>
                <w:sz w:val="24"/>
                <w:szCs w:val="24"/>
                <w:color w:val="auto"/>
              </w:rPr>
            </w:pPr>
          </w:p>
        </w:tc>
        <w:tc>
          <w:tcPr>
            <w:tcW w:w="1120" w:type="dxa"/>
            <w:vAlign w:val="bottom"/>
            <w:shd w:val="clear" w:color="auto" w:fill="1414D2"/>
          </w:tcPr>
          <w:p>
            <w:pPr>
              <w:spacing w:after="0"/>
              <w:rPr>
                <w:sz w:val="24"/>
                <w:szCs w:val="24"/>
                <w:color w:val="auto"/>
              </w:rPr>
            </w:pPr>
          </w:p>
        </w:tc>
        <w:tc>
          <w:tcPr>
            <w:tcW w:w="280" w:type="dxa"/>
            <w:vAlign w:val="bottom"/>
            <w:shd w:val="clear" w:color="auto" w:fill="1414D2"/>
          </w:tcPr>
          <w:p>
            <w:pPr>
              <w:spacing w:after="0"/>
              <w:rPr>
                <w:sz w:val="24"/>
                <w:szCs w:val="24"/>
                <w:color w:val="auto"/>
              </w:rPr>
            </w:pPr>
          </w:p>
        </w:tc>
        <w:tc>
          <w:tcPr>
            <w:tcW w:w="1040" w:type="dxa"/>
            <w:vAlign w:val="bottom"/>
            <w:shd w:val="clear" w:color="auto" w:fill="1414D2"/>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120" w:type="dxa"/>
            <w:vAlign w:val="bottom"/>
          </w:tcPr>
          <w:p>
            <w:pPr>
              <w:ind w:left="100"/>
              <w:spacing w:after="0"/>
              <w:rPr>
                <w:sz w:val="20"/>
                <w:szCs w:val="20"/>
                <w:color w:val="auto"/>
              </w:rPr>
            </w:pPr>
            <w:r>
              <w:rPr>
                <w:rFonts w:ascii="Arial" w:cs="Arial" w:eastAsia="Arial" w:hAnsi="Arial"/>
                <w:sz w:val="14"/>
                <w:szCs w:val="14"/>
                <w:color w:val="auto"/>
              </w:rPr>
              <w:t>United’s  2025  Adjusted  EPS</w:t>
            </w:r>
          </w:p>
        </w:tc>
        <w:tc>
          <w:tcPr>
            <w:tcW w:w="1940" w:type="dxa"/>
            <w:vAlign w:val="bottom"/>
          </w:tcPr>
          <w:p>
            <w:pPr>
              <w:jc w:val="right"/>
              <w:ind w:right="714"/>
              <w:spacing w:after="0"/>
              <w:rPr>
                <w:sz w:val="20"/>
                <w:szCs w:val="20"/>
                <w:color w:val="auto"/>
              </w:rPr>
            </w:pPr>
            <w:r>
              <w:rPr>
                <w:rFonts w:ascii="Arial" w:cs="Arial" w:eastAsia="Arial" w:hAnsi="Arial"/>
                <w:sz w:val="14"/>
                <w:szCs w:val="14"/>
                <w:color w:val="auto"/>
              </w:rPr>
              <w:t>$7.50</w:t>
            </w:r>
          </w:p>
        </w:tc>
        <w:tc>
          <w:tcPr>
            <w:tcW w:w="1340" w:type="dxa"/>
            <w:vAlign w:val="bottom"/>
            <w:gridSpan w:val="2"/>
          </w:tcPr>
          <w:p>
            <w:pPr>
              <w:ind w:left="140"/>
              <w:spacing w:after="0"/>
              <w:rPr>
                <w:sz w:val="20"/>
                <w:szCs w:val="20"/>
                <w:color w:val="auto"/>
              </w:rPr>
            </w:pPr>
            <w:r>
              <w:rPr>
                <w:rFonts w:ascii="Arial" w:cs="Arial" w:eastAsia="Arial" w:hAnsi="Arial"/>
                <w:sz w:val="14"/>
                <w:szCs w:val="14"/>
                <w:color w:val="auto"/>
              </w:rPr>
              <w:t>$11.50   -   $13.50</w:t>
            </w:r>
          </w:p>
        </w:tc>
        <w:tc>
          <w:tcPr>
            <w:tcW w:w="280" w:type="dxa"/>
            <w:vAlign w:val="bottom"/>
          </w:tcPr>
          <w:p>
            <w:pPr>
              <w:spacing w:after="0"/>
              <w:rPr>
                <w:sz w:val="21"/>
                <w:szCs w:val="21"/>
                <w:color w:val="auto"/>
              </w:rPr>
            </w:pPr>
          </w:p>
        </w:tc>
        <w:tc>
          <w:tcPr>
            <w:tcW w:w="1040" w:type="dxa"/>
            <w:vAlign w:val="bottom"/>
          </w:tcPr>
          <w:p>
            <w:pPr>
              <w:jc w:val="right"/>
              <w:ind w:right="367"/>
              <w:spacing w:after="0"/>
              <w:rPr>
                <w:sz w:val="20"/>
                <w:szCs w:val="20"/>
                <w:color w:val="auto"/>
              </w:rPr>
            </w:pPr>
            <w:r>
              <w:rPr>
                <w:rFonts w:ascii="Arial" w:cs="Arial" w:eastAsia="Arial" w:hAnsi="Arial"/>
                <w:sz w:val="14"/>
                <w:szCs w:val="14"/>
                <w:color w:val="auto"/>
              </w:rPr>
              <w:t>$15.50</w:t>
            </w:r>
          </w:p>
        </w:tc>
        <w:tc>
          <w:tcPr>
            <w:tcW w:w="0" w:type="dxa"/>
            <w:vAlign w:val="bottom"/>
          </w:tcPr>
          <w:p>
            <w:pPr>
              <w:spacing w:after="0"/>
              <w:rPr>
                <w:sz w:val="1"/>
                <w:szCs w:val="1"/>
                <w:color w:val="auto"/>
              </w:rPr>
            </w:pPr>
          </w:p>
        </w:tc>
      </w:tr>
      <w:tr>
        <w:trPr>
          <w:trHeight w:val="40"/>
        </w:trPr>
        <w:tc>
          <w:tcPr>
            <w:tcW w:w="51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1414D2"/>
          </w:tcPr>
          <w:p>
            <w:pPr>
              <w:ind w:left="100"/>
              <w:spacing w:after="0"/>
              <w:rPr>
                <w:sz w:val="20"/>
                <w:szCs w:val="20"/>
                <w:color w:val="auto"/>
              </w:rPr>
            </w:pPr>
            <w:r>
              <w:rPr>
                <w:rFonts w:ascii="Arial" w:cs="Arial" w:eastAsia="Arial" w:hAnsi="Arial"/>
                <w:sz w:val="16"/>
                <w:szCs w:val="16"/>
                <w:b w:val="1"/>
                <w:bCs w:val="1"/>
                <w:color w:val="FFFFFF"/>
              </w:rPr>
              <w:t>Relative Adjusted Pre-Tax Margin (40%)</w:t>
            </w:r>
          </w:p>
        </w:tc>
        <w:tc>
          <w:tcPr>
            <w:tcW w:w="1940" w:type="dxa"/>
            <w:vAlign w:val="bottom"/>
            <w:shd w:val="clear" w:color="auto" w:fill="1414D2"/>
          </w:tcPr>
          <w:p>
            <w:pPr>
              <w:spacing w:after="0"/>
              <w:rPr>
                <w:sz w:val="17"/>
                <w:szCs w:val="17"/>
                <w:color w:val="auto"/>
              </w:rPr>
            </w:pPr>
          </w:p>
        </w:tc>
        <w:tc>
          <w:tcPr>
            <w:tcW w:w="220" w:type="dxa"/>
            <w:vAlign w:val="bottom"/>
            <w:shd w:val="clear" w:color="auto" w:fill="1414D2"/>
          </w:tcPr>
          <w:p>
            <w:pPr>
              <w:spacing w:after="0"/>
              <w:rPr>
                <w:sz w:val="17"/>
                <w:szCs w:val="17"/>
                <w:color w:val="auto"/>
              </w:rPr>
            </w:pPr>
          </w:p>
        </w:tc>
        <w:tc>
          <w:tcPr>
            <w:tcW w:w="1120" w:type="dxa"/>
            <w:vAlign w:val="bottom"/>
            <w:shd w:val="clear" w:color="auto" w:fill="1414D2"/>
          </w:tcPr>
          <w:p>
            <w:pPr>
              <w:spacing w:after="0"/>
              <w:rPr>
                <w:sz w:val="17"/>
                <w:szCs w:val="17"/>
                <w:color w:val="auto"/>
              </w:rPr>
            </w:pPr>
          </w:p>
        </w:tc>
        <w:tc>
          <w:tcPr>
            <w:tcW w:w="280" w:type="dxa"/>
            <w:vAlign w:val="bottom"/>
            <w:shd w:val="clear" w:color="auto" w:fill="1414D2"/>
          </w:tcPr>
          <w:p>
            <w:pPr>
              <w:spacing w:after="0"/>
              <w:rPr>
                <w:sz w:val="17"/>
                <w:szCs w:val="17"/>
                <w:color w:val="auto"/>
              </w:rPr>
            </w:pPr>
          </w:p>
        </w:tc>
        <w:tc>
          <w:tcPr>
            <w:tcW w:w="1040" w:type="dxa"/>
            <w:vAlign w:val="bottom"/>
            <w:shd w:val="clear" w:color="auto" w:fill="1414D2"/>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5120" w:type="dxa"/>
            <w:vAlign w:val="bottom"/>
          </w:tcPr>
          <w:p>
            <w:pPr>
              <w:ind w:left="100"/>
              <w:spacing w:after="0" w:line="143" w:lineRule="exact"/>
              <w:rPr>
                <w:sz w:val="20"/>
                <w:szCs w:val="20"/>
                <w:color w:val="auto"/>
              </w:rPr>
            </w:pPr>
            <w:r>
              <w:rPr>
                <w:rFonts w:ascii="Arial" w:cs="Arial" w:eastAsia="Arial" w:hAnsi="Arial"/>
                <w:sz w:val="14"/>
                <w:szCs w:val="14"/>
                <w:color w:val="auto"/>
              </w:rPr>
              <w:t>Adjusted  Pre-Tax  Margin  relative  to  the  weighted  average  Adjusted  Pre-</w:t>
            </w:r>
          </w:p>
        </w:tc>
        <w:tc>
          <w:tcPr>
            <w:tcW w:w="1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120" w:type="dxa"/>
            <w:vAlign w:val="bottom"/>
          </w:tcPr>
          <w:p>
            <w:pPr>
              <w:ind w:left="100"/>
              <w:spacing w:after="0"/>
              <w:rPr>
                <w:sz w:val="20"/>
                <w:szCs w:val="20"/>
                <w:color w:val="auto"/>
              </w:rPr>
            </w:pPr>
            <w:r>
              <w:rPr>
                <w:rFonts w:ascii="Arial" w:cs="Arial" w:eastAsia="Arial" w:hAnsi="Arial"/>
                <w:sz w:val="14"/>
                <w:szCs w:val="14"/>
                <w:color w:val="auto"/>
              </w:rPr>
              <w:t>Tax  Margin  of  a  focused  set  of  industry  peers.   Achievement  at  the  entry</w:t>
            </w:r>
          </w:p>
        </w:tc>
        <w:tc>
          <w:tcPr>
            <w:tcW w:w="1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120" w:type="dxa"/>
            <w:vAlign w:val="bottom"/>
          </w:tcPr>
          <w:p>
            <w:pPr>
              <w:ind w:left="100"/>
              <w:spacing w:after="0"/>
              <w:rPr>
                <w:sz w:val="20"/>
                <w:szCs w:val="20"/>
                <w:color w:val="auto"/>
              </w:rPr>
            </w:pPr>
            <w:r>
              <w:rPr>
                <w:rFonts w:ascii="Arial" w:cs="Arial" w:eastAsia="Arial" w:hAnsi="Arial"/>
                <w:sz w:val="14"/>
                <w:szCs w:val="14"/>
                <w:color w:val="auto"/>
              </w:rPr>
              <w:t>level  required  United’s  performance  to  be  greater  than  the  industry</w:t>
            </w:r>
          </w:p>
        </w:tc>
        <w:tc>
          <w:tcPr>
            <w:tcW w:w="1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vMerge w:val="restart"/>
          </w:tcPr>
          <w:p>
            <w:pPr>
              <w:jc w:val="center"/>
              <w:ind w:right="128"/>
              <w:spacing w:after="0"/>
              <w:rPr>
                <w:sz w:val="20"/>
                <w:szCs w:val="20"/>
                <w:color w:val="auto"/>
              </w:rPr>
            </w:pPr>
            <w:r>
              <w:rPr>
                <w:rFonts w:ascii="Arial" w:cs="Arial" w:eastAsia="Arial" w:hAnsi="Arial"/>
                <w:sz w:val="14"/>
                <w:szCs w:val="14"/>
                <w:color w:val="auto"/>
                <w:w w:val="99"/>
              </w:rPr>
              <w:t>40%-70%  of</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7"/>
        </w:trPr>
        <w:tc>
          <w:tcPr>
            <w:tcW w:w="5120" w:type="dxa"/>
            <w:vAlign w:val="bottom"/>
            <w:vMerge w:val="restart"/>
          </w:tcPr>
          <w:p>
            <w:pPr>
              <w:ind w:left="100"/>
              <w:spacing w:after="0"/>
              <w:rPr>
                <w:sz w:val="20"/>
                <w:szCs w:val="20"/>
                <w:color w:val="auto"/>
              </w:rPr>
            </w:pPr>
            <w:r>
              <w:rPr>
                <w:rFonts w:ascii="Arial" w:cs="Arial" w:eastAsia="Arial" w:hAnsi="Arial"/>
                <w:sz w:val="14"/>
                <w:szCs w:val="14"/>
                <w:color w:val="auto"/>
              </w:rPr>
              <w:t>weighted  average  and  achievement  at  the  stretch  level  required  United</w:t>
            </w:r>
          </w:p>
        </w:tc>
        <w:tc>
          <w:tcPr>
            <w:tcW w:w="19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5120" w:type="dxa"/>
            <w:vAlign w:val="bottom"/>
            <w:vMerge w:val="continue"/>
          </w:tcPr>
          <w:p>
            <w:pPr>
              <w:spacing w:after="0"/>
              <w:rPr>
                <w:sz w:val="8"/>
                <w:szCs w:val="8"/>
                <w:color w:val="auto"/>
              </w:rPr>
            </w:pPr>
          </w:p>
        </w:tc>
        <w:tc>
          <w:tcPr>
            <w:tcW w:w="1940" w:type="dxa"/>
            <w:vAlign w:val="bottom"/>
          </w:tcPr>
          <w:p>
            <w:pPr>
              <w:spacing w:after="0"/>
              <w:rPr>
                <w:sz w:val="8"/>
                <w:szCs w:val="8"/>
                <w:color w:val="auto"/>
              </w:rPr>
            </w:pPr>
          </w:p>
        </w:tc>
        <w:tc>
          <w:tcPr>
            <w:tcW w:w="1340" w:type="dxa"/>
            <w:vAlign w:val="bottom"/>
            <w:gridSpan w:val="2"/>
            <w:vMerge w:val="restart"/>
          </w:tcPr>
          <w:p>
            <w:pPr>
              <w:jc w:val="center"/>
              <w:spacing w:after="0"/>
              <w:rPr>
                <w:sz w:val="20"/>
                <w:szCs w:val="20"/>
                <w:color w:val="auto"/>
              </w:rPr>
            </w:pPr>
            <w:r>
              <w:rPr>
                <w:rFonts w:ascii="Arial" w:cs="Arial" w:eastAsia="Arial" w:hAnsi="Arial"/>
                <w:sz w:val="14"/>
                <w:szCs w:val="14"/>
                <w:color w:val="auto"/>
              </w:rPr>
              <w:t>range  between</w:t>
            </w:r>
          </w:p>
        </w:tc>
        <w:tc>
          <w:tcPr>
            <w:tcW w:w="2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5120" w:type="dxa"/>
            <w:vAlign w:val="bottom"/>
            <w:vMerge w:val="restart"/>
          </w:tcPr>
          <w:p>
            <w:pPr>
              <w:ind w:left="100"/>
              <w:spacing w:after="0"/>
              <w:rPr>
                <w:sz w:val="20"/>
                <w:szCs w:val="20"/>
                <w:color w:val="auto"/>
              </w:rPr>
            </w:pPr>
            <w:r>
              <w:rPr>
                <w:rFonts w:ascii="Arial" w:cs="Arial" w:eastAsia="Arial" w:hAnsi="Arial"/>
                <w:sz w:val="14"/>
                <w:szCs w:val="14"/>
                <w:color w:val="auto"/>
              </w:rPr>
              <w:t>to  be  the  leader  relative  to  the  selected  industry  peers.   The  target  range</w:t>
            </w:r>
          </w:p>
        </w:tc>
        <w:tc>
          <w:tcPr>
            <w:tcW w:w="1940" w:type="dxa"/>
            <w:vAlign w:val="bottom"/>
            <w:vMerge w:val="restart"/>
          </w:tcPr>
          <w:p>
            <w:pPr>
              <w:ind w:left="100"/>
              <w:spacing w:after="0"/>
              <w:rPr>
                <w:sz w:val="20"/>
                <w:szCs w:val="20"/>
                <w:color w:val="auto"/>
              </w:rPr>
            </w:pPr>
            <w:r>
              <w:rPr>
                <w:rFonts w:ascii="Arial" w:cs="Arial" w:eastAsia="Arial" w:hAnsi="Arial"/>
                <w:sz w:val="14"/>
                <w:szCs w:val="14"/>
                <w:color w:val="auto"/>
              </w:rPr>
              <w:t>Greater  than  average</w:t>
            </w:r>
          </w:p>
        </w:tc>
        <w:tc>
          <w:tcPr>
            <w:tcW w:w="134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1040" w:type="dxa"/>
            <w:vAlign w:val="bottom"/>
            <w:vMerge w:val="restart"/>
          </w:tcPr>
          <w:p>
            <w:pPr>
              <w:ind w:left="100"/>
              <w:spacing w:after="0"/>
              <w:rPr>
                <w:sz w:val="20"/>
                <w:szCs w:val="20"/>
                <w:color w:val="auto"/>
              </w:rPr>
            </w:pPr>
            <w:r>
              <w:rPr>
                <w:rFonts w:ascii="Arial" w:cs="Arial" w:eastAsia="Arial" w:hAnsi="Arial"/>
                <w:sz w:val="14"/>
                <w:szCs w:val="14"/>
                <w:color w:val="auto"/>
              </w:rPr>
              <w:t>#1  Rank</w:t>
            </w:r>
          </w:p>
        </w:tc>
        <w:tc>
          <w:tcPr>
            <w:tcW w:w="0" w:type="dxa"/>
            <w:vAlign w:val="bottom"/>
          </w:tcPr>
          <w:p>
            <w:pPr>
              <w:spacing w:after="0"/>
              <w:rPr>
                <w:sz w:val="1"/>
                <w:szCs w:val="1"/>
                <w:color w:val="auto"/>
              </w:rPr>
            </w:pPr>
          </w:p>
        </w:tc>
      </w:tr>
      <w:tr>
        <w:trPr>
          <w:trHeight w:val="94"/>
        </w:trPr>
        <w:tc>
          <w:tcPr>
            <w:tcW w:w="5120" w:type="dxa"/>
            <w:vAlign w:val="bottom"/>
            <w:vMerge w:val="continue"/>
          </w:tcPr>
          <w:p>
            <w:pPr>
              <w:spacing w:after="0"/>
              <w:rPr>
                <w:sz w:val="8"/>
                <w:szCs w:val="8"/>
                <w:color w:val="auto"/>
              </w:rPr>
            </w:pPr>
          </w:p>
        </w:tc>
        <w:tc>
          <w:tcPr>
            <w:tcW w:w="19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vMerge w:val="restart"/>
          </w:tcPr>
          <w:p>
            <w:pPr>
              <w:jc w:val="center"/>
              <w:ind w:right="128"/>
              <w:spacing w:after="0"/>
              <w:rPr>
                <w:sz w:val="20"/>
                <w:szCs w:val="20"/>
                <w:color w:val="auto"/>
              </w:rPr>
            </w:pPr>
            <w:r>
              <w:rPr>
                <w:rFonts w:ascii="Arial" w:cs="Arial" w:eastAsia="Arial" w:hAnsi="Arial"/>
                <w:sz w:val="14"/>
                <w:szCs w:val="14"/>
                <w:color w:val="auto"/>
              </w:rPr>
              <w:t>entry  and</w:t>
            </w:r>
          </w:p>
        </w:tc>
        <w:tc>
          <w:tcPr>
            <w:tcW w:w="28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5120" w:type="dxa"/>
            <w:vAlign w:val="bottom"/>
            <w:vMerge w:val="restart"/>
          </w:tcPr>
          <w:p>
            <w:pPr>
              <w:ind w:left="100"/>
              <w:spacing w:after="0"/>
              <w:rPr>
                <w:sz w:val="20"/>
                <w:szCs w:val="20"/>
                <w:color w:val="auto"/>
              </w:rPr>
            </w:pPr>
            <w:r>
              <w:rPr>
                <w:rFonts w:ascii="Arial" w:cs="Arial" w:eastAsia="Arial" w:hAnsi="Arial"/>
                <w:sz w:val="14"/>
                <w:szCs w:val="14"/>
                <w:color w:val="auto"/>
              </w:rPr>
              <w:t>for  the  relative  Adjusted  Pre-Tax  Margin  metric  was  achievement</w:t>
            </w:r>
          </w:p>
        </w:tc>
        <w:tc>
          <w:tcPr>
            <w:tcW w:w="19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5120" w:type="dxa"/>
            <w:vAlign w:val="bottom"/>
            <w:vMerge w:val="continue"/>
          </w:tcPr>
          <w:p>
            <w:pPr>
              <w:spacing w:after="0"/>
              <w:rPr>
                <w:sz w:val="8"/>
                <w:szCs w:val="8"/>
                <w:color w:val="auto"/>
              </w:rPr>
            </w:pPr>
          </w:p>
        </w:tc>
        <w:tc>
          <w:tcPr>
            <w:tcW w:w="19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vMerge w:val="restart"/>
          </w:tcPr>
          <w:p>
            <w:pPr>
              <w:jc w:val="center"/>
              <w:ind w:right="128"/>
              <w:spacing w:after="0"/>
              <w:rPr>
                <w:sz w:val="20"/>
                <w:szCs w:val="20"/>
                <w:color w:val="auto"/>
              </w:rPr>
            </w:pPr>
            <w:r>
              <w:rPr>
                <w:rFonts w:ascii="Arial" w:cs="Arial" w:eastAsia="Arial" w:hAnsi="Arial"/>
                <w:sz w:val="14"/>
                <w:szCs w:val="14"/>
                <w:color w:val="auto"/>
              </w:rPr>
              <w:t>stretch  levels</w:t>
            </w:r>
          </w:p>
        </w:tc>
        <w:tc>
          <w:tcPr>
            <w:tcW w:w="2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5120" w:type="dxa"/>
            <w:vAlign w:val="bottom"/>
            <w:vMerge w:val="restart"/>
          </w:tcPr>
          <w:p>
            <w:pPr>
              <w:ind w:left="100"/>
              <w:spacing w:after="0"/>
              <w:rPr>
                <w:sz w:val="20"/>
                <w:szCs w:val="20"/>
                <w:color w:val="auto"/>
              </w:rPr>
            </w:pPr>
            <w:r>
              <w:rPr>
                <w:rFonts w:ascii="Arial" w:cs="Arial" w:eastAsia="Arial" w:hAnsi="Arial"/>
                <w:sz w:val="14"/>
                <w:szCs w:val="14"/>
                <w:color w:val="auto"/>
              </w:rPr>
              <w:t>between  40-70%  of  the  diference  between  the  industry  weighted</w:t>
            </w:r>
          </w:p>
        </w:tc>
        <w:tc>
          <w:tcPr>
            <w:tcW w:w="1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9"/>
        </w:trPr>
        <w:tc>
          <w:tcPr>
            <w:tcW w:w="5120" w:type="dxa"/>
            <w:vAlign w:val="bottom"/>
            <w:vMerge w:val="continue"/>
          </w:tcPr>
          <w:p>
            <w:pPr>
              <w:spacing w:after="0"/>
              <w:rPr>
                <w:sz w:val="4"/>
                <w:szCs w:val="4"/>
                <w:color w:val="auto"/>
              </w:rPr>
            </w:pPr>
          </w:p>
        </w:tc>
        <w:tc>
          <w:tcPr>
            <w:tcW w:w="19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5120" w:type="dxa"/>
            <w:vAlign w:val="bottom"/>
          </w:tcPr>
          <w:p>
            <w:pPr>
              <w:ind w:left="100"/>
              <w:spacing w:after="0"/>
              <w:rPr>
                <w:sz w:val="20"/>
                <w:szCs w:val="20"/>
                <w:color w:val="auto"/>
              </w:rPr>
            </w:pPr>
            <w:r>
              <w:rPr>
                <w:rFonts w:ascii="Arial" w:cs="Arial" w:eastAsia="Arial" w:hAnsi="Arial"/>
                <w:sz w:val="14"/>
                <w:szCs w:val="14"/>
                <w:color w:val="auto"/>
              </w:rPr>
              <w:t>average  Adjusted  Pre-Tax  Margin  and  the  Adjusted  Pre-Tax  Margin  of  the</w:t>
            </w:r>
          </w:p>
        </w:tc>
        <w:tc>
          <w:tcPr>
            <w:tcW w:w="1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5120" w:type="dxa"/>
            <w:vAlign w:val="bottom"/>
          </w:tcPr>
          <w:p>
            <w:pPr>
              <w:ind w:left="100"/>
              <w:spacing w:after="0"/>
              <w:rPr>
                <w:sz w:val="20"/>
                <w:szCs w:val="20"/>
                <w:color w:val="auto"/>
              </w:rPr>
            </w:pPr>
            <w:r>
              <w:rPr>
                <w:rFonts w:ascii="Arial" w:cs="Arial" w:eastAsia="Arial" w:hAnsi="Arial"/>
                <w:sz w:val="14"/>
                <w:szCs w:val="14"/>
                <w:color w:val="auto"/>
              </w:rPr>
              <w:t>peer  with  highest  Adjusted  Pre-Tax  Margin  among  the  peer  group.</w:t>
            </w:r>
          </w:p>
        </w:tc>
        <w:tc>
          <w:tcPr>
            <w:tcW w:w="1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120" w:type="dxa"/>
            <w:vAlign w:val="bottom"/>
            <w:tcBorders>
              <w:bottom w:val="single" w:sz="8" w:color="1414D2"/>
            </w:tcBorders>
            <w:shd w:val="clear" w:color="auto" w:fill="1414D2"/>
          </w:tcPr>
          <w:p>
            <w:pPr>
              <w:ind w:left="100"/>
              <w:spacing w:after="0"/>
              <w:rPr>
                <w:sz w:val="20"/>
                <w:szCs w:val="20"/>
                <w:color w:val="auto"/>
              </w:rPr>
            </w:pPr>
            <w:r>
              <w:rPr>
                <w:rFonts w:ascii="Arial" w:cs="Arial" w:eastAsia="Arial" w:hAnsi="Arial"/>
                <w:sz w:val="16"/>
                <w:szCs w:val="16"/>
                <w:b w:val="1"/>
                <w:bCs w:val="1"/>
                <w:color w:val="FFFFFF"/>
              </w:rPr>
              <w:t>STRATEGIC (20%)</w:t>
            </w:r>
          </w:p>
        </w:tc>
        <w:tc>
          <w:tcPr>
            <w:tcW w:w="1940" w:type="dxa"/>
            <w:vAlign w:val="bottom"/>
            <w:tcBorders>
              <w:bottom w:val="single" w:sz="8" w:color="1414D2"/>
            </w:tcBorders>
            <w:shd w:val="clear" w:color="auto" w:fill="1414D2"/>
          </w:tcPr>
          <w:p>
            <w:pPr>
              <w:spacing w:after="0"/>
              <w:rPr>
                <w:sz w:val="20"/>
                <w:szCs w:val="20"/>
                <w:color w:val="auto"/>
              </w:rPr>
            </w:pPr>
          </w:p>
        </w:tc>
        <w:tc>
          <w:tcPr>
            <w:tcW w:w="220" w:type="dxa"/>
            <w:vAlign w:val="bottom"/>
            <w:tcBorders>
              <w:bottom w:val="single" w:sz="8" w:color="1414D2"/>
            </w:tcBorders>
            <w:shd w:val="clear" w:color="auto" w:fill="1414D2"/>
          </w:tcPr>
          <w:p>
            <w:pPr>
              <w:spacing w:after="0"/>
              <w:rPr>
                <w:sz w:val="20"/>
                <w:szCs w:val="20"/>
                <w:color w:val="auto"/>
              </w:rPr>
            </w:pPr>
          </w:p>
        </w:tc>
        <w:tc>
          <w:tcPr>
            <w:tcW w:w="1120" w:type="dxa"/>
            <w:vAlign w:val="bottom"/>
            <w:tcBorders>
              <w:bottom w:val="single" w:sz="8" w:color="1414D2"/>
            </w:tcBorders>
            <w:shd w:val="clear" w:color="auto" w:fill="1414D2"/>
          </w:tcPr>
          <w:p>
            <w:pPr>
              <w:spacing w:after="0"/>
              <w:rPr>
                <w:sz w:val="20"/>
                <w:szCs w:val="20"/>
                <w:color w:val="auto"/>
              </w:rPr>
            </w:pPr>
          </w:p>
        </w:tc>
        <w:tc>
          <w:tcPr>
            <w:tcW w:w="280" w:type="dxa"/>
            <w:vAlign w:val="bottom"/>
            <w:tcBorders>
              <w:bottom w:val="single" w:sz="8" w:color="1414D2"/>
            </w:tcBorders>
            <w:shd w:val="clear" w:color="auto" w:fill="1414D2"/>
          </w:tcPr>
          <w:p>
            <w:pPr>
              <w:spacing w:after="0"/>
              <w:rPr>
                <w:sz w:val="20"/>
                <w:szCs w:val="20"/>
                <w:color w:val="auto"/>
              </w:rPr>
            </w:pPr>
          </w:p>
        </w:tc>
        <w:tc>
          <w:tcPr>
            <w:tcW w:w="1040" w:type="dxa"/>
            <w:vAlign w:val="bottom"/>
            <w:tcBorders>
              <w:bottom w:val="single" w:sz="8" w:color="1414D2"/>
            </w:tcBorders>
            <w:shd w:val="clear" w:color="auto" w:fill="1414D2"/>
          </w:tcPr>
          <w:p>
            <w:pPr>
              <w:spacing w:after="0"/>
              <w:rPr>
                <w:sz w:val="20"/>
                <w:szCs w:val="20"/>
                <w:color w:val="auto"/>
              </w:rPr>
            </w:pPr>
          </w:p>
        </w:tc>
        <w:tc>
          <w:tcPr>
            <w:tcW w:w="0" w:type="dxa"/>
            <w:vAlign w:val="bottom"/>
          </w:tcPr>
          <w:p>
            <w:pPr>
              <w:spacing w:after="0"/>
              <w:rPr>
                <w:sz w:val="1"/>
                <w:szCs w:val="1"/>
                <w:color w:val="auto"/>
              </w:rPr>
            </w:pPr>
          </w:p>
        </w:tc>
      </w:tr>
      <w:tr>
        <w:trPr>
          <w:trHeight w:val="143"/>
        </w:trPr>
        <w:tc>
          <w:tcPr>
            <w:tcW w:w="5120" w:type="dxa"/>
            <w:vAlign w:val="bottom"/>
          </w:tcPr>
          <w:p>
            <w:pPr>
              <w:ind w:left="100"/>
              <w:spacing w:after="0" w:line="143" w:lineRule="exact"/>
              <w:rPr>
                <w:sz w:val="20"/>
                <w:szCs w:val="20"/>
                <w:color w:val="auto"/>
              </w:rPr>
            </w:pPr>
            <w:r>
              <w:rPr>
                <w:rFonts w:ascii="Arial" w:cs="Arial" w:eastAsia="Arial" w:hAnsi="Arial"/>
                <w:sz w:val="14"/>
                <w:szCs w:val="14"/>
                <w:color w:val="auto"/>
              </w:rPr>
              <w:t>Increase  mobile  app  usage  on  the  day  of  travel</w:t>
            </w:r>
          </w:p>
        </w:tc>
        <w:tc>
          <w:tcPr>
            <w:tcW w:w="1940" w:type="dxa"/>
            <w:vAlign w:val="bottom"/>
          </w:tcPr>
          <w:p>
            <w:pPr>
              <w:ind w:left="100"/>
              <w:spacing w:after="0" w:line="143" w:lineRule="exact"/>
              <w:rPr>
                <w:sz w:val="20"/>
                <w:szCs w:val="20"/>
                <w:color w:val="auto"/>
              </w:rPr>
            </w:pPr>
            <w:r>
              <w:rPr>
                <w:rFonts w:ascii="Arial" w:cs="Arial" w:eastAsia="Arial" w:hAnsi="Arial"/>
                <w:sz w:val="14"/>
                <w:szCs w:val="14"/>
                <w:color w:val="auto"/>
              </w:rPr>
              <w:t>79%  of  customer</w:t>
            </w:r>
          </w:p>
        </w:tc>
        <w:tc>
          <w:tcPr>
            <w:tcW w:w="1340" w:type="dxa"/>
            <w:vAlign w:val="bottom"/>
            <w:gridSpan w:val="2"/>
            <w:vMerge w:val="restart"/>
          </w:tcPr>
          <w:p>
            <w:pPr>
              <w:ind w:left="120"/>
              <w:spacing w:after="0"/>
              <w:rPr>
                <w:sz w:val="20"/>
                <w:szCs w:val="20"/>
                <w:color w:val="auto"/>
              </w:rPr>
            </w:pPr>
            <w:r>
              <w:rPr>
                <w:rFonts w:ascii="Arial" w:cs="Arial" w:eastAsia="Arial" w:hAnsi="Arial"/>
                <w:sz w:val="14"/>
                <w:szCs w:val="14"/>
                <w:color w:val="auto"/>
              </w:rPr>
              <w:t>83%  of</w:t>
            </w:r>
          </w:p>
        </w:tc>
        <w:tc>
          <w:tcPr>
            <w:tcW w:w="1320" w:type="dxa"/>
            <w:vAlign w:val="bottom"/>
            <w:gridSpan w:val="2"/>
            <w:vMerge w:val="restart"/>
          </w:tcPr>
          <w:p>
            <w:pPr>
              <w:ind w:left="100"/>
              <w:spacing w:after="0"/>
              <w:rPr>
                <w:sz w:val="20"/>
                <w:szCs w:val="20"/>
                <w:color w:val="auto"/>
              </w:rPr>
            </w:pPr>
            <w:r>
              <w:rPr>
                <w:rFonts w:ascii="Arial" w:cs="Arial" w:eastAsia="Arial" w:hAnsi="Arial"/>
                <w:sz w:val="14"/>
                <w:szCs w:val="14"/>
                <w:color w:val="auto"/>
              </w:rPr>
              <w:t>86%  of</w:t>
            </w:r>
          </w:p>
        </w:tc>
        <w:tc>
          <w:tcPr>
            <w:tcW w:w="0" w:type="dxa"/>
            <w:vAlign w:val="bottom"/>
          </w:tcPr>
          <w:p>
            <w:pPr>
              <w:spacing w:after="0"/>
              <w:rPr>
                <w:sz w:val="1"/>
                <w:szCs w:val="1"/>
                <w:color w:val="auto"/>
              </w:rPr>
            </w:pPr>
          </w:p>
        </w:tc>
      </w:tr>
      <w:tr>
        <w:trPr>
          <w:trHeight w:val="81"/>
        </w:trPr>
        <w:tc>
          <w:tcPr>
            <w:tcW w:w="5120" w:type="dxa"/>
            <w:vAlign w:val="bottom"/>
          </w:tcPr>
          <w:p>
            <w:pPr>
              <w:spacing w:after="0"/>
              <w:rPr>
                <w:sz w:val="7"/>
                <w:szCs w:val="7"/>
                <w:color w:val="auto"/>
              </w:rPr>
            </w:pPr>
          </w:p>
        </w:tc>
        <w:tc>
          <w:tcPr>
            <w:tcW w:w="1940" w:type="dxa"/>
            <w:vAlign w:val="bottom"/>
            <w:vMerge w:val="restart"/>
          </w:tcPr>
          <w:p>
            <w:pPr>
              <w:ind w:left="100"/>
              <w:spacing w:after="0"/>
              <w:rPr>
                <w:sz w:val="20"/>
                <w:szCs w:val="20"/>
                <w:color w:val="auto"/>
              </w:rPr>
            </w:pPr>
            <w:r>
              <w:rPr>
                <w:rFonts w:ascii="Arial" w:cs="Arial" w:eastAsia="Arial" w:hAnsi="Arial"/>
                <w:sz w:val="14"/>
                <w:szCs w:val="14"/>
                <w:color w:val="auto"/>
              </w:rPr>
              <w:t>passenger  name  records</w:t>
            </w:r>
          </w:p>
        </w:tc>
        <w:tc>
          <w:tcPr>
            <w:tcW w:w="1340" w:type="dxa"/>
            <w:vAlign w:val="bottom"/>
            <w:gridSpan w:val="2"/>
            <w:vMerge w:val="continue"/>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5120" w:type="dxa"/>
            <w:vAlign w:val="bottom"/>
          </w:tcPr>
          <w:p>
            <w:pPr>
              <w:spacing w:after="0"/>
              <w:rPr>
                <w:sz w:val="8"/>
                <w:szCs w:val="8"/>
                <w:color w:val="auto"/>
              </w:rPr>
            </w:pPr>
          </w:p>
        </w:tc>
        <w:tc>
          <w:tcPr>
            <w:tcW w:w="1940" w:type="dxa"/>
            <w:vAlign w:val="bottom"/>
            <w:vMerge w:val="continue"/>
          </w:tcPr>
          <w:p>
            <w:pPr>
              <w:spacing w:after="0"/>
              <w:rPr>
                <w:sz w:val="8"/>
                <w:szCs w:val="8"/>
                <w:color w:val="auto"/>
              </w:rPr>
            </w:pPr>
          </w:p>
        </w:tc>
        <w:tc>
          <w:tcPr>
            <w:tcW w:w="1340" w:type="dxa"/>
            <w:vAlign w:val="bottom"/>
            <w:gridSpan w:val="2"/>
            <w:vMerge w:val="restart"/>
          </w:tcPr>
          <w:p>
            <w:pPr>
              <w:ind w:left="120"/>
              <w:spacing w:after="0"/>
              <w:rPr>
                <w:sz w:val="20"/>
                <w:szCs w:val="20"/>
                <w:color w:val="auto"/>
              </w:rPr>
            </w:pPr>
            <w:r>
              <w:rPr>
                <w:rFonts w:ascii="Arial" w:cs="Arial" w:eastAsia="Arial" w:hAnsi="Arial"/>
                <w:sz w:val="14"/>
                <w:szCs w:val="14"/>
                <w:color w:val="auto"/>
              </w:rPr>
              <w:t>customer  PNRs</w:t>
            </w:r>
          </w:p>
        </w:tc>
        <w:tc>
          <w:tcPr>
            <w:tcW w:w="1320" w:type="dxa"/>
            <w:vAlign w:val="bottom"/>
            <w:gridSpan w:val="2"/>
            <w:vMerge w:val="restart"/>
          </w:tcPr>
          <w:p>
            <w:pPr>
              <w:ind w:left="100"/>
              <w:spacing w:after="0"/>
              <w:rPr>
                <w:sz w:val="20"/>
                <w:szCs w:val="20"/>
                <w:color w:val="auto"/>
              </w:rPr>
            </w:pPr>
            <w:r>
              <w:rPr>
                <w:rFonts w:ascii="Arial" w:cs="Arial" w:eastAsia="Arial" w:hAnsi="Arial"/>
                <w:sz w:val="14"/>
                <w:szCs w:val="14"/>
                <w:color w:val="auto"/>
              </w:rPr>
              <w:t>customer  PNRs</w:t>
            </w:r>
          </w:p>
        </w:tc>
        <w:tc>
          <w:tcPr>
            <w:tcW w:w="0" w:type="dxa"/>
            <w:vAlign w:val="bottom"/>
          </w:tcPr>
          <w:p>
            <w:pPr>
              <w:spacing w:after="0"/>
              <w:rPr>
                <w:sz w:val="1"/>
                <w:szCs w:val="1"/>
                <w:color w:val="auto"/>
              </w:rPr>
            </w:pPr>
          </w:p>
        </w:tc>
      </w:tr>
      <w:tr>
        <w:trPr>
          <w:trHeight w:val="113"/>
        </w:trPr>
        <w:tc>
          <w:tcPr>
            <w:tcW w:w="5120" w:type="dxa"/>
            <w:vAlign w:val="bottom"/>
          </w:tcPr>
          <w:p>
            <w:pPr>
              <w:spacing w:after="0"/>
              <w:rPr>
                <w:sz w:val="9"/>
                <w:szCs w:val="9"/>
                <w:color w:val="auto"/>
              </w:rPr>
            </w:pPr>
          </w:p>
        </w:tc>
        <w:tc>
          <w:tcPr>
            <w:tcW w:w="1940" w:type="dxa"/>
            <w:vAlign w:val="bottom"/>
            <w:vMerge w:val="restart"/>
          </w:tcPr>
          <w:p>
            <w:pPr>
              <w:ind w:left="100"/>
              <w:spacing w:after="0"/>
              <w:rPr>
                <w:sz w:val="20"/>
                <w:szCs w:val="20"/>
                <w:color w:val="auto"/>
              </w:rPr>
            </w:pPr>
            <w:r>
              <w:rPr>
                <w:rFonts w:ascii="Arial" w:cs="Arial" w:eastAsia="Arial" w:hAnsi="Arial"/>
                <w:sz w:val="14"/>
                <w:szCs w:val="14"/>
                <w:color w:val="auto"/>
              </w:rPr>
              <w:t>(“PNRs”)</w:t>
            </w:r>
          </w:p>
        </w:tc>
        <w:tc>
          <w:tcPr>
            <w:tcW w:w="1340" w:type="dxa"/>
            <w:vAlign w:val="bottom"/>
            <w:gridSpan w:val="2"/>
            <w:vMerge w:val="continue"/>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5120" w:type="dxa"/>
            <w:vAlign w:val="bottom"/>
            <w:tcBorders>
              <w:bottom w:val="single" w:sz="8" w:color="1414D2"/>
            </w:tcBorders>
          </w:tcPr>
          <w:p>
            <w:pPr>
              <w:spacing w:after="0"/>
              <w:rPr>
                <w:sz w:val="7"/>
                <w:szCs w:val="7"/>
                <w:color w:val="auto"/>
              </w:rPr>
            </w:pPr>
          </w:p>
        </w:tc>
        <w:tc>
          <w:tcPr>
            <w:tcW w:w="1940" w:type="dxa"/>
            <w:vAlign w:val="bottom"/>
            <w:tcBorders>
              <w:bottom w:val="single" w:sz="8" w:color="1414D2"/>
            </w:tcBorders>
            <w:vMerge w:val="continue"/>
          </w:tcPr>
          <w:p>
            <w:pPr>
              <w:spacing w:after="0"/>
              <w:rPr>
                <w:sz w:val="7"/>
                <w:szCs w:val="7"/>
                <w:color w:val="auto"/>
              </w:rPr>
            </w:pPr>
          </w:p>
        </w:tc>
        <w:tc>
          <w:tcPr>
            <w:tcW w:w="220" w:type="dxa"/>
            <w:vAlign w:val="bottom"/>
            <w:tcBorders>
              <w:bottom w:val="single" w:sz="8" w:color="1414D2"/>
            </w:tcBorders>
          </w:tcPr>
          <w:p>
            <w:pPr>
              <w:spacing w:after="0"/>
              <w:rPr>
                <w:sz w:val="7"/>
                <w:szCs w:val="7"/>
                <w:color w:val="auto"/>
              </w:rPr>
            </w:pPr>
          </w:p>
        </w:tc>
        <w:tc>
          <w:tcPr>
            <w:tcW w:w="1120" w:type="dxa"/>
            <w:vAlign w:val="bottom"/>
            <w:tcBorders>
              <w:bottom w:val="single" w:sz="8" w:color="1414D2"/>
            </w:tcBorders>
          </w:tcPr>
          <w:p>
            <w:pPr>
              <w:spacing w:after="0"/>
              <w:rPr>
                <w:sz w:val="7"/>
                <w:szCs w:val="7"/>
                <w:color w:val="auto"/>
              </w:rPr>
            </w:pPr>
          </w:p>
        </w:tc>
        <w:tc>
          <w:tcPr>
            <w:tcW w:w="280" w:type="dxa"/>
            <w:vAlign w:val="bottom"/>
            <w:tcBorders>
              <w:bottom w:val="single" w:sz="8" w:color="1414D2"/>
            </w:tcBorders>
          </w:tcPr>
          <w:p>
            <w:pPr>
              <w:spacing w:after="0"/>
              <w:rPr>
                <w:sz w:val="7"/>
                <w:szCs w:val="7"/>
                <w:color w:val="auto"/>
              </w:rPr>
            </w:pPr>
          </w:p>
        </w:tc>
        <w:tc>
          <w:tcPr>
            <w:tcW w:w="1040" w:type="dxa"/>
            <w:vAlign w:val="bottom"/>
            <w:tcBorders>
              <w:bottom w:val="single" w:sz="8" w:color="1414D2"/>
            </w:tcBorders>
          </w:tcPr>
          <w:p>
            <w:pPr>
              <w:spacing w:after="0"/>
              <w:rPr>
                <w:sz w:val="7"/>
                <w:szCs w:val="7"/>
                <w:color w:val="auto"/>
              </w:rPr>
            </w:pPr>
          </w:p>
        </w:tc>
        <w:tc>
          <w:tcPr>
            <w:tcW w:w="0" w:type="dxa"/>
            <w:vAlign w:val="bottom"/>
          </w:tcPr>
          <w:p>
            <w:pPr>
              <w:spacing w:after="0"/>
              <w:rPr>
                <w:sz w:val="1"/>
                <w:szCs w:val="1"/>
                <w:color w:val="auto"/>
              </w:rPr>
            </w:pPr>
          </w:p>
        </w:tc>
      </w:tr>
      <w:tr>
        <w:trPr>
          <w:trHeight w:val="143"/>
        </w:trPr>
        <w:tc>
          <w:tcPr>
            <w:tcW w:w="5120" w:type="dxa"/>
            <w:vAlign w:val="bottom"/>
          </w:tcPr>
          <w:p>
            <w:pPr>
              <w:ind w:left="100"/>
              <w:spacing w:after="0" w:line="143" w:lineRule="exact"/>
              <w:rPr>
                <w:sz w:val="20"/>
                <w:szCs w:val="20"/>
                <w:color w:val="auto"/>
              </w:rPr>
            </w:pPr>
            <w:r>
              <w:rPr>
                <w:rFonts w:ascii="Arial" w:cs="Arial" w:eastAsia="Arial" w:hAnsi="Arial"/>
                <w:sz w:val="14"/>
                <w:szCs w:val="14"/>
                <w:color w:val="auto"/>
              </w:rPr>
              <w:t>Installation  of  Starlink  connectivity  on  United  Express  aircraft  and  enable</w:t>
            </w:r>
          </w:p>
        </w:tc>
        <w:tc>
          <w:tcPr>
            <w:tcW w:w="1940" w:type="dxa"/>
            <w:vAlign w:val="bottom"/>
          </w:tcPr>
          <w:p>
            <w:pPr>
              <w:ind w:left="100"/>
              <w:spacing w:after="0" w:line="143" w:lineRule="exact"/>
              <w:rPr>
                <w:sz w:val="20"/>
                <w:szCs w:val="20"/>
                <w:color w:val="auto"/>
              </w:rPr>
            </w:pPr>
            <w:r>
              <w:rPr>
                <w:rFonts w:ascii="Arial" w:cs="Arial" w:eastAsia="Arial" w:hAnsi="Arial"/>
                <w:sz w:val="14"/>
                <w:szCs w:val="14"/>
                <w:color w:val="auto"/>
              </w:rPr>
              <w:t>Complete  initial</w:t>
            </w:r>
          </w:p>
        </w:tc>
        <w:tc>
          <w:tcPr>
            <w:tcW w:w="1340" w:type="dxa"/>
            <w:vAlign w:val="bottom"/>
            <w:gridSpan w:val="2"/>
          </w:tcPr>
          <w:p>
            <w:pPr>
              <w:ind w:left="120"/>
              <w:spacing w:after="0" w:line="143" w:lineRule="exact"/>
              <w:rPr>
                <w:sz w:val="20"/>
                <w:szCs w:val="20"/>
                <w:color w:val="auto"/>
              </w:rPr>
            </w:pPr>
            <w:r>
              <w:rPr>
                <w:rFonts w:ascii="Arial" w:cs="Arial" w:eastAsia="Arial" w:hAnsi="Arial"/>
                <w:sz w:val="14"/>
                <w:szCs w:val="14"/>
                <w:color w:val="auto"/>
              </w:rPr>
              <w:t>247  UAX  aircraft</w:t>
            </w:r>
          </w:p>
        </w:tc>
        <w:tc>
          <w:tcPr>
            <w:tcW w:w="1320" w:type="dxa"/>
            <w:vAlign w:val="bottom"/>
            <w:gridSpan w:val="2"/>
          </w:tcPr>
          <w:p>
            <w:pPr>
              <w:ind w:left="100"/>
              <w:spacing w:after="0" w:line="143" w:lineRule="exact"/>
              <w:rPr>
                <w:sz w:val="20"/>
                <w:szCs w:val="20"/>
                <w:color w:val="auto"/>
              </w:rPr>
            </w:pPr>
            <w:r>
              <w:rPr>
                <w:rFonts w:ascii="Arial" w:cs="Arial" w:eastAsia="Arial" w:hAnsi="Arial"/>
                <w:sz w:val="14"/>
                <w:szCs w:val="14"/>
                <w:color w:val="auto"/>
              </w:rPr>
              <w:t>330  UAX  aircraft</w:t>
            </w:r>
          </w:p>
        </w:tc>
        <w:tc>
          <w:tcPr>
            <w:tcW w:w="0" w:type="dxa"/>
            <w:vAlign w:val="bottom"/>
          </w:tcPr>
          <w:p>
            <w:pPr>
              <w:spacing w:after="0"/>
              <w:rPr>
                <w:sz w:val="1"/>
                <w:szCs w:val="1"/>
                <w:color w:val="auto"/>
              </w:rPr>
            </w:pPr>
          </w:p>
        </w:tc>
      </w:tr>
      <w:tr>
        <w:trPr>
          <w:trHeight w:val="175"/>
        </w:trPr>
        <w:tc>
          <w:tcPr>
            <w:tcW w:w="5120" w:type="dxa"/>
            <w:vAlign w:val="bottom"/>
          </w:tcPr>
          <w:p>
            <w:pPr>
              <w:ind w:left="100"/>
              <w:spacing w:after="0"/>
              <w:rPr>
                <w:sz w:val="20"/>
                <w:szCs w:val="20"/>
                <w:color w:val="auto"/>
              </w:rPr>
            </w:pPr>
            <w:r>
              <w:rPr>
                <w:rFonts w:ascii="Arial" w:cs="Arial" w:eastAsia="Arial" w:hAnsi="Arial"/>
                <w:sz w:val="14"/>
                <w:szCs w:val="14"/>
                <w:color w:val="auto"/>
              </w:rPr>
              <w:t>new  advertising  channels</w:t>
            </w:r>
          </w:p>
        </w:tc>
        <w:tc>
          <w:tcPr>
            <w:tcW w:w="1940" w:type="dxa"/>
            <w:vAlign w:val="bottom"/>
          </w:tcPr>
          <w:p>
            <w:pPr>
              <w:ind w:left="100"/>
              <w:spacing w:after="0"/>
              <w:rPr>
                <w:sz w:val="20"/>
                <w:szCs w:val="20"/>
                <w:color w:val="auto"/>
              </w:rPr>
            </w:pPr>
            <w:r>
              <w:rPr>
                <w:rFonts w:ascii="Arial" w:cs="Arial" w:eastAsia="Arial" w:hAnsi="Arial"/>
                <w:sz w:val="14"/>
                <w:szCs w:val="14"/>
                <w:color w:val="auto"/>
              </w:rPr>
              <w:t>installation  of  Starlink  on</w:t>
            </w: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120" w:type="dxa"/>
            <w:vAlign w:val="bottom"/>
          </w:tcPr>
          <w:p>
            <w:pPr>
              <w:spacing w:after="0"/>
              <w:rPr>
                <w:sz w:val="15"/>
                <w:szCs w:val="15"/>
                <w:color w:val="auto"/>
              </w:rPr>
            </w:pPr>
          </w:p>
        </w:tc>
        <w:tc>
          <w:tcPr>
            <w:tcW w:w="1940" w:type="dxa"/>
            <w:vAlign w:val="bottom"/>
          </w:tcPr>
          <w:p>
            <w:pPr>
              <w:ind w:left="100"/>
              <w:spacing w:after="0"/>
              <w:rPr>
                <w:sz w:val="20"/>
                <w:szCs w:val="20"/>
                <w:color w:val="auto"/>
              </w:rPr>
            </w:pPr>
            <w:r>
              <w:rPr>
                <w:rFonts w:ascii="Arial" w:cs="Arial" w:eastAsia="Arial" w:hAnsi="Arial"/>
                <w:sz w:val="14"/>
                <w:szCs w:val="14"/>
                <w:color w:val="auto"/>
              </w:rPr>
              <w:t>UAX  aircraft  and  enable</w:t>
            </w: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5120" w:type="dxa"/>
            <w:vAlign w:val="bottom"/>
            <w:tcBorders>
              <w:bottom w:val="single" w:sz="8" w:color="1414D2"/>
            </w:tcBorders>
          </w:tcPr>
          <w:p>
            <w:pPr>
              <w:spacing w:after="0"/>
              <w:rPr>
                <w:sz w:val="18"/>
                <w:szCs w:val="18"/>
                <w:color w:val="auto"/>
              </w:rPr>
            </w:pPr>
          </w:p>
        </w:tc>
        <w:tc>
          <w:tcPr>
            <w:tcW w:w="1940" w:type="dxa"/>
            <w:vAlign w:val="bottom"/>
            <w:tcBorders>
              <w:bottom w:val="single" w:sz="8" w:color="1414D2"/>
            </w:tcBorders>
          </w:tcPr>
          <w:p>
            <w:pPr>
              <w:ind w:left="100"/>
              <w:spacing w:after="0"/>
              <w:rPr>
                <w:sz w:val="20"/>
                <w:szCs w:val="20"/>
                <w:color w:val="auto"/>
              </w:rPr>
            </w:pPr>
            <w:r>
              <w:rPr>
                <w:rFonts w:ascii="Arial" w:cs="Arial" w:eastAsia="Arial" w:hAnsi="Arial"/>
                <w:sz w:val="14"/>
                <w:szCs w:val="14"/>
                <w:color w:val="auto"/>
              </w:rPr>
              <w:t>new  advertising  channels</w:t>
            </w:r>
          </w:p>
        </w:tc>
        <w:tc>
          <w:tcPr>
            <w:tcW w:w="220" w:type="dxa"/>
            <w:vAlign w:val="bottom"/>
            <w:tcBorders>
              <w:bottom w:val="single" w:sz="8" w:color="1414D2"/>
            </w:tcBorders>
          </w:tcPr>
          <w:p>
            <w:pPr>
              <w:spacing w:after="0"/>
              <w:rPr>
                <w:sz w:val="18"/>
                <w:szCs w:val="18"/>
                <w:color w:val="auto"/>
              </w:rPr>
            </w:pPr>
          </w:p>
        </w:tc>
        <w:tc>
          <w:tcPr>
            <w:tcW w:w="1120" w:type="dxa"/>
            <w:vAlign w:val="bottom"/>
            <w:tcBorders>
              <w:bottom w:val="single" w:sz="8" w:color="1414D2"/>
            </w:tcBorders>
          </w:tcPr>
          <w:p>
            <w:pPr>
              <w:spacing w:after="0"/>
              <w:rPr>
                <w:sz w:val="18"/>
                <w:szCs w:val="18"/>
                <w:color w:val="auto"/>
              </w:rPr>
            </w:pPr>
          </w:p>
        </w:tc>
        <w:tc>
          <w:tcPr>
            <w:tcW w:w="280" w:type="dxa"/>
            <w:vAlign w:val="bottom"/>
            <w:tcBorders>
              <w:bottom w:val="single" w:sz="8" w:color="1414D2"/>
            </w:tcBorders>
          </w:tcPr>
          <w:p>
            <w:pPr>
              <w:spacing w:after="0"/>
              <w:rPr>
                <w:sz w:val="18"/>
                <w:szCs w:val="18"/>
                <w:color w:val="auto"/>
              </w:rPr>
            </w:pPr>
          </w:p>
        </w:tc>
        <w:tc>
          <w:tcPr>
            <w:tcW w:w="1040" w:type="dxa"/>
            <w:vAlign w:val="bottom"/>
            <w:tcBorders>
              <w:bottom w:val="single" w:sz="8" w:color="1414D2"/>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5120" w:type="dxa"/>
            <w:vAlign w:val="bottom"/>
          </w:tcPr>
          <w:p>
            <w:pPr>
              <w:ind w:left="100"/>
              <w:spacing w:after="0" w:line="143" w:lineRule="exact"/>
              <w:rPr>
                <w:sz w:val="20"/>
                <w:szCs w:val="20"/>
                <w:color w:val="auto"/>
              </w:rPr>
            </w:pPr>
            <w:r>
              <w:rPr>
                <w:rFonts w:ascii="Arial" w:cs="Arial" w:eastAsia="Arial" w:hAnsi="Arial"/>
                <w:sz w:val="14"/>
                <w:szCs w:val="14"/>
                <w:color w:val="auto"/>
              </w:rPr>
              <w:t>One  quantitative  and  one  qualitative  indicator,  each  weighted  equally,</w:t>
            </w:r>
          </w:p>
        </w:tc>
        <w:tc>
          <w:tcPr>
            <w:tcW w:w="1940" w:type="dxa"/>
            <w:vAlign w:val="bottom"/>
          </w:tcPr>
          <w:p>
            <w:pPr>
              <w:spacing w:after="0"/>
              <w:rPr>
                <w:sz w:val="12"/>
                <w:szCs w:val="12"/>
                <w:color w:val="auto"/>
              </w:rPr>
            </w:pPr>
          </w:p>
        </w:tc>
        <w:tc>
          <w:tcPr>
            <w:tcW w:w="22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w w:val="94"/>
              </w:rPr>
              <w:t>●</w:t>
            </w:r>
          </w:p>
        </w:tc>
        <w:tc>
          <w:tcPr>
            <w:tcW w:w="1120" w:type="dxa"/>
            <w:vAlign w:val="bottom"/>
            <w:vMerge w:val="restart"/>
          </w:tcPr>
          <w:p>
            <w:pPr>
              <w:ind w:left="220"/>
              <w:spacing w:after="0"/>
              <w:rPr>
                <w:sz w:val="20"/>
                <w:szCs w:val="20"/>
                <w:color w:val="auto"/>
              </w:rPr>
            </w:pPr>
            <w:r>
              <w:rPr>
                <w:rFonts w:ascii="Arial" w:cs="Arial" w:eastAsia="Arial" w:hAnsi="Arial"/>
                <w:sz w:val="14"/>
                <w:szCs w:val="14"/>
                <w:color w:val="auto"/>
              </w:rPr>
              <w:t>80%  of</w:t>
            </w:r>
          </w:p>
        </w:tc>
        <w:tc>
          <w:tcPr>
            <w:tcW w:w="28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vMerge w:val="restart"/>
          </w:tcPr>
          <w:p>
            <w:pPr>
              <w:ind w:left="140"/>
              <w:spacing w:after="0"/>
              <w:rPr>
                <w:sz w:val="20"/>
                <w:szCs w:val="20"/>
                <w:color w:val="auto"/>
              </w:rPr>
            </w:pPr>
            <w:r>
              <w:rPr>
                <w:rFonts w:ascii="Arial" w:cs="Arial" w:eastAsia="Arial" w:hAnsi="Arial"/>
                <w:sz w:val="14"/>
                <w:szCs w:val="14"/>
                <w:color w:val="auto"/>
              </w:rPr>
              <w:t>100%  of</w:t>
            </w:r>
          </w:p>
        </w:tc>
        <w:tc>
          <w:tcPr>
            <w:tcW w:w="0" w:type="dxa"/>
            <w:vAlign w:val="bottom"/>
          </w:tcPr>
          <w:p>
            <w:pPr>
              <w:spacing w:after="0"/>
              <w:rPr>
                <w:sz w:val="1"/>
                <w:szCs w:val="1"/>
                <w:color w:val="auto"/>
              </w:rPr>
            </w:pPr>
          </w:p>
        </w:tc>
      </w:tr>
      <w:tr>
        <w:trPr>
          <w:trHeight w:val="154"/>
        </w:trPr>
        <w:tc>
          <w:tcPr>
            <w:tcW w:w="5120" w:type="dxa"/>
            <w:vAlign w:val="bottom"/>
          </w:tcPr>
          <w:p>
            <w:pPr>
              <w:ind w:left="100"/>
              <w:spacing w:after="0" w:line="154" w:lineRule="exact"/>
              <w:rPr>
                <w:sz w:val="20"/>
                <w:szCs w:val="20"/>
                <w:color w:val="auto"/>
              </w:rPr>
            </w:pPr>
            <w:r>
              <w:rPr>
                <w:rFonts w:ascii="Arial" w:cs="Arial" w:eastAsia="Arial" w:hAnsi="Arial"/>
                <w:sz w:val="14"/>
                <w:szCs w:val="14"/>
                <w:color w:val="auto"/>
              </w:rPr>
              <w:t>related  to  transitioning  towards  retiring  legacy  mainframe  systems</w:t>
            </w:r>
          </w:p>
        </w:tc>
        <w:tc>
          <w:tcPr>
            <w:tcW w:w="1940" w:type="dxa"/>
            <w:vAlign w:val="bottom"/>
          </w:tcPr>
          <w:p>
            <w:pPr>
              <w:spacing w:after="0"/>
              <w:rPr>
                <w:sz w:val="13"/>
                <w:szCs w:val="13"/>
                <w:color w:val="auto"/>
              </w:rPr>
            </w:pPr>
          </w:p>
        </w:tc>
        <w:tc>
          <w:tcPr>
            <w:tcW w:w="22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5120" w:type="dxa"/>
            <w:vAlign w:val="bottom"/>
          </w:tcPr>
          <w:p>
            <w:pPr>
              <w:ind w:left="100"/>
              <w:spacing w:after="0"/>
              <w:rPr>
                <w:sz w:val="20"/>
                <w:szCs w:val="20"/>
                <w:color w:val="auto"/>
              </w:rPr>
            </w:pPr>
            <w:r>
              <w:rPr>
                <w:rFonts w:ascii="Arial" w:cs="Arial" w:eastAsia="Arial" w:hAnsi="Arial"/>
                <w:sz w:val="14"/>
                <w:szCs w:val="14"/>
                <w:color w:val="auto"/>
              </w:rPr>
              <w:t>required  for  daily  operations</w:t>
            </w:r>
          </w:p>
        </w:tc>
        <w:tc>
          <w:tcPr>
            <w:tcW w:w="194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w:t>
            </w:r>
            <w:r>
              <w:rPr>
                <w:rFonts w:ascii="Arial" w:cs="Arial" w:eastAsia="Arial" w:hAnsi="Arial"/>
                <w:sz w:val="14"/>
                <w:szCs w:val="14"/>
                <w:color w:val="auto"/>
              </w:rPr>
              <w:t>60%  of  quantitative</w:t>
            </w:r>
          </w:p>
        </w:tc>
        <w:tc>
          <w:tcPr>
            <w:tcW w:w="220" w:type="dxa"/>
            <w:vAlign w:val="bottom"/>
          </w:tcPr>
          <w:p>
            <w:pPr>
              <w:spacing w:after="0"/>
              <w:rPr>
                <w:sz w:val="15"/>
                <w:szCs w:val="15"/>
                <w:color w:val="auto"/>
              </w:rPr>
            </w:pPr>
          </w:p>
        </w:tc>
        <w:tc>
          <w:tcPr>
            <w:tcW w:w="1120" w:type="dxa"/>
            <w:vAlign w:val="bottom"/>
          </w:tcPr>
          <w:p>
            <w:pPr>
              <w:ind w:left="220"/>
              <w:spacing w:after="0"/>
              <w:rPr>
                <w:sz w:val="20"/>
                <w:szCs w:val="20"/>
                <w:color w:val="auto"/>
              </w:rPr>
            </w:pPr>
            <w:r>
              <w:rPr>
                <w:rFonts w:ascii="Arial" w:cs="Arial" w:eastAsia="Arial" w:hAnsi="Arial"/>
                <w:sz w:val="14"/>
                <w:szCs w:val="14"/>
                <w:color w:val="auto"/>
              </w:rPr>
              <w:t>quantitative</w:t>
            </w:r>
          </w:p>
        </w:tc>
        <w:tc>
          <w:tcPr>
            <w:tcW w:w="280" w:type="dxa"/>
            <w:vAlign w:val="bottom"/>
          </w:tcPr>
          <w:p>
            <w:pPr>
              <w:spacing w:after="0"/>
              <w:rPr>
                <w:sz w:val="15"/>
                <w:szCs w:val="15"/>
                <w:color w:val="auto"/>
              </w:rPr>
            </w:pPr>
          </w:p>
        </w:tc>
        <w:tc>
          <w:tcPr>
            <w:tcW w:w="1040" w:type="dxa"/>
            <w:vAlign w:val="bottom"/>
          </w:tcPr>
          <w:p>
            <w:pPr>
              <w:ind w:left="140"/>
              <w:spacing w:after="0"/>
              <w:rPr>
                <w:sz w:val="20"/>
                <w:szCs w:val="20"/>
                <w:color w:val="auto"/>
              </w:rPr>
            </w:pPr>
            <w:r>
              <w:rPr>
                <w:rFonts w:ascii="Arial" w:cs="Arial" w:eastAsia="Arial" w:hAnsi="Arial"/>
                <w:sz w:val="14"/>
                <w:szCs w:val="14"/>
                <w:color w:val="auto"/>
              </w:rPr>
              <w:t>quantitative</w:t>
            </w:r>
          </w:p>
        </w:tc>
        <w:tc>
          <w:tcPr>
            <w:tcW w:w="0" w:type="dxa"/>
            <w:vAlign w:val="bottom"/>
          </w:tcPr>
          <w:p>
            <w:pPr>
              <w:spacing w:after="0"/>
              <w:rPr>
                <w:sz w:val="1"/>
                <w:szCs w:val="1"/>
                <w:color w:val="auto"/>
              </w:rPr>
            </w:pPr>
          </w:p>
        </w:tc>
      </w:tr>
      <w:tr>
        <w:trPr>
          <w:trHeight w:val="62"/>
        </w:trPr>
        <w:tc>
          <w:tcPr>
            <w:tcW w:w="5120" w:type="dxa"/>
            <w:vAlign w:val="bottom"/>
          </w:tcPr>
          <w:p>
            <w:pPr>
              <w:spacing w:after="0"/>
              <w:rPr>
                <w:sz w:val="5"/>
                <w:szCs w:val="5"/>
                <w:color w:val="auto"/>
              </w:rPr>
            </w:pPr>
          </w:p>
        </w:tc>
        <w:tc>
          <w:tcPr>
            <w:tcW w:w="19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120" w:type="dxa"/>
            <w:vAlign w:val="bottom"/>
            <w:vMerge w:val="restart"/>
          </w:tcPr>
          <w:p>
            <w:pPr>
              <w:ind w:left="220"/>
              <w:spacing w:after="0"/>
              <w:rPr>
                <w:sz w:val="20"/>
                <w:szCs w:val="20"/>
                <w:color w:val="auto"/>
              </w:rPr>
            </w:pPr>
            <w:r>
              <w:rPr>
                <w:rFonts w:ascii="Arial" w:cs="Arial" w:eastAsia="Arial" w:hAnsi="Arial"/>
                <w:sz w:val="14"/>
                <w:szCs w:val="14"/>
                <w:color w:val="auto"/>
              </w:rPr>
              <w:t>indicator</w:t>
            </w:r>
          </w:p>
        </w:tc>
        <w:tc>
          <w:tcPr>
            <w:tcW w:w="280" w:type="dxa"/>
            <w:vAlign w:val="bottom"/>
          </w:tcPr>
          <w:p>
            <w:pPr>
              <w:spacing w:after="0"/>
              <w:rPr>
                <w:sz w:val="5"/>
                <w:szCs w:val="5"/>
                <w:color w:val="auto"/>
              </w:rPr>
            </w:pPr>
          </w:p>
        </w:tc>
        <w:tc>
          <w:tcPr>
            <w:tcW w:w="1040" w:type="dxa"/>
            <w:vAlign w:val="bottom"/>
            <w:vMerge w:val="restart"/>
          </w:tcPr>
          <w:p>
            <w:pPr>
              <w:ind w:left="140"/>
              <w:spacing w:after="0"/>
              <w:rPr>
                <w:sz w:val="20"/>
                <w:szCs w:val="20"/>
                <w:color w:val="auto"/>
              </w:rPr>
            </w:pPr>
            <w:r>
              <w:rPr>
                <w:rFonts w:ascii="Arial" w:cs="Arial" w:eastAsia="Arial" w:hAnsi="Arial"/>
                <w:sz w:val="14"/>
                <w:szCs w:val="14"/>
                <w:color w:val="auto"/>
              </w:rPr>
              <w:t>indicator</w:t>
            </w:r>
          </w:p>
        </w:tc>
        <w:tc>
          <w:tcPr>
            <w:tcW w:w="0" w:type="dxa"/>
            <w:vAlign w:val="bottom"/>
          </w:tcPr>
          <w:p>
            <w:pPr>
              <w:spacing w:after="0"/>
              <w:rPr>
                <w:sz w:val="1"/>
                <w:szCs w:val="1"/>
                <w:color w:val="auto"/>
              </w:rPr>
            </w:pPr>
          </w:p>
        </w:tc>
      </w:tr>
      <w:tr>
        <w:trPr>
          <w:trHeight w:val="146"/>
        </w:trPr>
        <w:tc>
          <w:tcPr>
            <w:tcW w:w="5120" w:type="dxa"/>
            <w:vAlign w:val="bottom"/>
          </w:tcPr>
          <w:p>
            <w:pPr>
              <w:spacing w:after="0"/>
              <w:rPr>
                <w:sz w:val="12"/>
                <w:szCs w:val="12"/>
                <w:color w:val="auto"/>
              </w:rPr>
            </w:pPr>
          </w:p>
        </w:tc>
        <w:tc>
          <w:tcPr>
            <w:tcW w:w="1940" w:type="dxa"/>
            <w:vAlign w:val="bottom"/>
            <w:vMerge w:val="restart"/>
          </w:tcPr>
          <w:p>
            <w:pPr>
              <w:ind w:left="420"/>
              <w:spacing w:after="0"/>
              <w:rPr>
                <w:sz w:val="20"/>
                <w:szCs w:val="20"/>
                <w:color w:val="auto"/>
              </w:rPr>
            </w:pPr>
            <w:r>
              <w:rPr>
                <w:rFonts w:ascii="Arial" w:cs="Arial" w:eastAsia="Arial" w:hAnsi="Arial"/>
                <w:sz w:val="14"/>
                <w:szCs w:val="14"/>
                <w:color w:val="auto"/>
              </w:rPr>
              <w:t>indicator</w:t>
            </w:r>
          </w:p>
        </w:tc>
        <w:tc>
          <w:tcPr>
            <w:tcW w:w="2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5120" w:type="dxa"/>
            <w:vAlign w:val="bottom"/>
          </w:tcPr>
          <w:p>
            <w:pPr>
              <w:spacing w:after="0"/>
              <w:rPr>
                <w:sz w:val="5"/>
                <w:szCs w:val="5"/>
                <w:color w:val="auto"/>
              </w:rPr>
            </w:pPr>
          </w:p>
        </w:tc>
        <w:tc>
          <w:tcPr>
            <w:tcW w:w="19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120" w:type="dxa"/>
            <w:vAlign w:val="bottom"/>
            <w:vMerge w:val="restart"/>
          </w:tcPr>
          <w:p>
            <w:pPr>
              <w:ind w:left="220"/>
              <w:spacing w:after="0"/>
              <w:rPr>
                <w:sz w:val="20"/>
                <w:szCs w:val="20"/>
                <w:color w:val="auto"/>
              </w:rPr>
            </w:pPr>
            <w:r>
              <w:rPr>
                <w:rFonts w:ascii="Arial" w:cs="Arial" w:eastAsia="Arial" w:hAnsi="Arial"/>
                <w:sz w:val="14"/>
                <w:szCs w:val="14"/>
                <w:color w:val="auto"/>
              </w:rPr>
              <w:t>Completion</w:t>
            </w:r>
          </w:p>
        </w:tc>
        <w:tc>
          <w:tcPr>
            <w:tcW w:w="280" w:type="dxa"/>
            <w:vAlign w:val="bottom"/>
          </w:tcPr>
          <w:p>
            <w:pPr>
              <w:spacing w:after="0"/>
              <w:rPr>
                <w:sz w:val="5"/>
                <w:szCs w:val="5"/>
                <w:color w:val="auto"/>
              </w:rPr>
            </w:pPr>
          </w:p>
        </w:tc>
        <w:tc>
          <w:tcPr>
            <w:tcW w:w="1040" w:type="dxa"/>
            <w:vAlign w:val="bottom"/>
            <w:vMerge w:val="restart"/>
          </w:tcPr>
          <w:p>
            <w:pPr>
              <w:ind w:left="140"/>
              <w:spacing w:after="0"/>
              <w:rPr>
                <w:sz w:val="20"/>
                <w:szCs w:val="20"/>
                <w:color w:val="auto"/>
              </w:rPr>
            </w:pPr>
            <w:r>
              <w:rPr>
                <w:rFonts w:ascii="Arial" w:cs="Arial" w:eastAsia="Arial" w:hAnsi="Arial"/>
                <w:sz w:val="14"/>
                <w:szCs w:val="14"/>
                <w:color w:val="auto"/>
              </w:rPr>
              <w:t>Completion</w:t>
            </w:r>
          </w:p>
        </w:tc>
        <w:tc>
          <w:tcPr>
            <w:tcW w:w="0" w:type="dxa"/>
            <w:vAlign w:val="bottom"/>
          </w:tcPr>
          <w:p>
            <w:pPr>
              <w:spacing w:after="0"/>
              <w:rPr>
                <w:sz w:val="1"/>
                <w:szCs w:val="1"/>
                <w:color w:val="auto"/>
              </w:rPr>
            </w:pPr>
          </w:p>
        </w:tc>
      </w:tr>
      <w:tr>
        <w:trPr>
          <w:trHeight w:val="157"/>
        </w:trPr>
        <w:tc>
          <w:tcPr>
            <w:tcW w:w="5120" w:type="dxa"/>
            <w:vAlign w:val="bottom"/>
          </w:tcPr>
          <w:p>
            <w:pPr>
              <w:spacing w:after="0"/>
              <w:rPr>
                <w:sz w:val="13"/>
                <w:szCs w:val="13"/>
                <w:color w:val="auto"/>
              </w:rPr>
            </w:pPr>
          </w:p>
        </w:tc>
        <w:tc>
          <w:tcPr>
            <w:tcW w:w="194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w:t>
            </w:r>
            <w:r>
              <w:rPr>
                <w:rFonts w:ascii="Arial" w:cs="Arial" w:eastAsia="Arial" w:hAnsi="Arial"/>
                <w:sz w:val="14"/>
                <w:szCs w:val="14"/>
                <w:color w:val="auto"/>
              </w:rPr>
              <w:t>Completion  of  pre-</w:t>
            </w:r>
          </w:p>
        </w:tc>
        <w:tc>
          <w:tcPr>
            <w:tcW w:w="220" w:type="dxa"/>
            <w:vAlign w:val="bottom"/>
          </w:tcPr>
          <w:p>
            <w:pPr>
              <w:ind w:left="120"/>
              <w:spacing w:after="0" w:line="157" w:lineRule="exact"/>
              <w:rPr>
                <w:sz w:val="20"/>
                <w:szCs w:val="20"/>
                <w:color w:val="auto"/>
              </w:rPr>
            </w:pPr>
            <w:r>
              <w:rPr>
                <w:rFonts w:ascii="Times New Roman" w:cs="Times New Roman" w:eastAsia="Times New Roman" w:hAnsi="Times New Roman"/>
                <w:sz w:val="14"/>
                <w:szCs w:val="14"/>
                <w:color w:val="auto"/>
                <w:w w:val="94"/>
              </w:rPr>
              <w:t>●</w:t>
            </w:r>
          </w:p>
        </w:tc>
        <w:tc>
          <w:tcPr>
            <w:tcW w:w="1120" w:type="dxa"/>
            <w:vAlign w:val="bottom"/>
            <w:vMerge w:val="continue"/>
          </w:tcPr>
          <w:p>
            <w:pPr>
              <w:spacing w:after="0"/>
              <w:rPr>
                <w:sz w:val="13"/>
                <w:szCs w:val="13"/>
                <w:color w:val="auto"/>
              </w:rPr>
            </w:pPr>
          </w:p>
        </w:tc>
        <w:tc>
          <w:tcPr>
            <w:tcW w:w="280" w:type="dxa"/>
            <w:vAlign w:val="bottom"/>
          </w:tcPr>
          <w:p>
            <w:pPr>
              <w:ind w:left="100"/>
              <w:spacing w:after="0" w:line="157"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5120" w:type="dxa"/>
            <w:vAlign w:val="bottom"/>
          </w:tcPr>
          <w:p>
            <w:pPr>
              <w:spacing w:after="0"/>
              <w:rPr>
                <w:sz w:val="7"/>
                <w:szCs w:val="7"/>
                <w:color w:val="auto"/>
              </w:rPr>
            </w:pPr>
          </w:p>
        </w:tc>
        <w:tc>
          <w:tcPr>
            <w:tcW w:w="19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120" w:type="dxa"/>
            <w:vAlign w:val="bottom"/>
            <w:vMerge w:val="restart"/>
          </w:tcPr>
          <w:p>
            <w:pPr>
              <w:ind w:left="220"/>
              <w:spacing w:after="0"/>
              <w:rPr>
                <w:sz w:val="20"/>
                <w:szCs w:val="20"/>
                <w:color w:val="auto"/>
              </w:rPr>
            </w:pPr>
            <w:r>
              <w:rPr>
                <w:rFonts w:ascii="Arial" w:cs="Arial" w:eastAsia="Arial" w:hAnsi="Arial"/>
                <w:sz w:val="14"/>
                <w:szCs w:val="14"/>
                <w:color w:val="auto"/>
              </w:rPr>
              <w:t>of  pre-</w:t>
            </w:r>
          </w:p>
        </w:tc>
        <w:tc>
          <w:tcPr>
            <w:tcW w:w="280" w:type="dxa"/>
            <w:vAlign w:val="bottom"/>
          </w:tcPr>
          <w:p>
            <w:pPr>
              <w:spacing w:after="0"/>
              <w:rPr>
                <w:sz w:val="7"/>
                <w:szCs w:val="7"/>
                <w:color w:val="auto"/>
              </w:rPr>
            </w:pPr>
          </w:p>
        </w:tc>
        <w:tc>
          <w:tcPr>
            <w:tcW w:w="1040" w:type="dxa"/>
            <w:vAlign w:val="bottom"/>
            <w:vMerge w:val="restart"/>
          </w:tcPr>
          <w:p>
            <w:pPr>
              <w:ind w:left="140"/>
              <w:spacing w:after="0"/>
              <w:rPr>
                <w:sz w:val="20"/>
                <w:szCs w:val="20"/>
                <w:color w:val="auto"/>
              </w:rPr>
            </w:pPr>
            <w:r>
              <w:rPr>
                <w:rFonts w:ascii="Arial" w:cs="Arial" w:eastAsia="Arial" w:hAnsi="Arial"/>
                <w:sz w:val="14"/>
                <w:szCs w:val="14"/>
                <w:color w:val="auto"/>
              </w:rPr>
              <w:t>of  pre-</w:t>
            </w:r>
          </w:p>
        </w:tc>
        <w:tc>
          <w:tcPr>
            <w:tcW w:w="0" w:type="dxa"/>
            <w:vAlign w:val="bottom"/>
          </w:tcPr>
          <w:p>
            <w:pPr>
              <w:spacing w:after="0"/>
              <w:rPr>
                <w:sz w:val="1"/>
                <w:szCs w:val="1"/>
                <w:color w:val="auto"/>
              </w:rPr>
            </w:pPr>
          </w:p>
        </w:tc>
      </w:tr>
      <w:tr>
        <w:trPr>
          <w:trHeight w:val="95"/>
        </w:trPr>
        <w:tc>
          <w:tcPr>
            <w:tcW w:w="5120" w:type="dxa"/>
            <w:vAlign w:val="bottom"/>
          </w:tcPr>
          <w:p>
            <w:pPr>
              <w:spacing w:after="0"/>
              <w:rPr>
                <w:sz w:val="8"/>
                <w:szCs w:val="8"/>
                <w:color w:val="auto"/>
              </w:rPr>
            </w:pPr>
          </w:p>
        </w:tc>
        <w:tc>
          <w:tcPr>
            <w:tcW w:w="1940" w:type="dxa"/>
            <w:vAlign w:val="bottom"/>
            <w:vMerge w:val="restart"/>
          </w:tcPr>
          <w:p>
            <w:pPr>
              <w:ind w:left="420"/>
              <w:spacing w:after="0"/>
              <w:rPr>
                <w:sz w:val="20"/>
                <w:szCs w:val="20"/>
                <w:color w:val="auto"/>
              </w:rPr>
            </w:pPr>
            <w:r>
              <w:rPr>
                <w:rFonts w:ascii="Arial" w:cs="Arial" w:eastAsia="Arial" w:hAnsi="Arial"/>
                <w:sz w:val="14"/>
                <w:szCs w:val="14"/>
                <w:color w:val="auto"/>
              </w:rPr>
              <w:t>established</w:t>
            </w:r>
          </w:p>
        </w:tc>
        <w:tc>
          <w:tcPr>
            <w:tcW w:w="22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5120" w:type="dxa"/>
            <w:vAlign w:val="bottom"/>
          </w:tcPr>
          <w:p>
            <w:pPr>
              <w:spacing w:after="0"/>
              <w:rPr>
                <w:sz w:val="7"/>
                <w:szCs w:val="7"/>
                <w:color w:val="auto"/>
              </w:rPr>
            </w:pPr>
          </w:p>
        </w:tc>
        <w:tc>
          <w:tcPr>
            <w:tcW w:w="19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120" w:type="dxa"/>
            <w:vAlign w:val="bottom"/>
            <w:vMerge w:val="restart"/>
          </w:tcPr>
          <w:p>
            <w:pPr>
              <w:ind w:left="220"/>
              <w:spacing w:after="0"/>
              <w:rPr>
                <w:sz w:val="20"/>
                <w:szCs w:val="20"/>
                <w:color w:val="auto"/>
              </w:rPr>
            </w:pPr>
            <w:r>
              <w:rPr>
                <w:rFonts w:ascii="Arial" w:cs="Arial" w:eastAsia="Arial" w:hAnsi="Arial"/>
                <w:sz w:val="14"/>
                <w:szCs w:val="14"/>
                <w:color w:val="auto"/>
              </w:rPr>
              <w:t>established</w:t>
            </w:r>
          </w:p>
        </w:tc>
        <w:tc>
          <w:tcPr>
            <w:tcW w:w="280" w:type="dxa"/>
            <w:vAlign w:val="bottom"/>
          </w:tcPr>
          <w:p>
            <w:pPr>
              <w:spacing w:after="0"/>
              <w:rPr>
                <w:sz w:val="7"/>
                <w:szCs w:val="7"/>
                <w:color w:val="auto"/>
              </w:rPr>
            </w:pPr>
          </w:p>
        </w:tc>
        <w:tc>
          <w:tcPr>
            <w:tcW w:w="1040" w:type="dxa"/>
            <w:vAlign w:val="bottom"/>
            <w:vMerge w:val="restart"/>
          </w:tcPr>
          <w:p>
            <w:pPr>
              <w:ind w:left="140"/>
              <w:spacing w:after="0"/>
              <w:rPr>
                <w:sz w:val="20"/>
                <w:szCs w:val="20"/>
                <w:color w:val="auto"/>
              </w:rPr>
            </w:pPr>
            <w:r>
              <w:rPr>
                <w:rFonts w:ascii="Arial" w:cs="Arial" w:eastAsia="Arial" w:hAnsi="Arial"/>
                <w:sz w:val="14"/>
                <w:szCs w:val="14"/>
                <w:color w:val="auto"/>
              </w:rPr>
              <w:t>established</w:t>
            </w:r>
          </w:p>
        </w:tc>
        <w:tc>
          <w:tcPr>
            <w:tcW w:w="0" w:type="dxa"/>
            <w:vAlign w:val="bottom"/>
          </w:tcPr>
          <w:p>
            <w:pPr>
              <w:spacing w:after="0"/>
              <w:rPr>
                <w:sz w:val="1"/>
                <w:szCs w:val="1"/>
                <w:color w:val="auto"/>
              </w:rPr>
            </w:pPr>
          </w:p>
        </w:tc>
      </w:tr>
      <w:tr>
        <w:trPr>
          <w:trHeight w:val="95"/>
        </w:trPr>
        <w:tc>
          <w:tcPr>
            <w:tcW w:w="5120" w:type="dxa"/>
            <w:vAlign w:val="bottom"/>
          </w:tcPr>
          <w:p>
            <w:pPr>
              <w:spacing w:after="0"/>
              <w:rPr>
                <w:sz w:val="8"/>
                <w:szCs w:val="8"/>
                <w:color w:val="auto"/>
              </w:rPr>
            </w:pPr>
          </w:p>
        </w:tc>
        <w:tc>
          <w:tcPr>
            <w:tcW w:w="1940" w:type="dxa"/>
            <w:vAlign w:val="bottom"/>
            <w:vMerge w:val="restart"/>
          </w:tcPr>
          <w:p>
            <w:pPr>
              <w:ind w:left="420"/>
              <w:spacing w:after="0"/>
              <w:rPr>
                <w:sz w:val="20"/>
                <w:szCs w:val="20"/>
                <w:color w:val="auto"/>
              </w:rPr>
            </w:pPr>
            <w:r>
              <w:rPr>
                <w:rFonts w:ascii="Arial" w:cs="Arial" w:eastAsia="Arial" w:hAnsi="Arial"/>
                <w:sz w:val="14"/>
                <w:szCs w:val="14"/>
                <w:color w:val="auto"/>
              </w:rPr>
              <w:t>qualitative  indicator</w:t>
            </w:r>
          </w:p>
        </w:tc>
        <w:tc>
          <w:tcPr>
            <w:tcW w:w="22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5120" w:type="dxa"/>
            <w:vAlign w:val="bottom"/>
          </w:tcPr>
          <w:p>
            <w:pPr>
              <w:spacing w:after="0"/>
              <w:rPr>
                <w:sz w:val="9"/>
                <w:szCs w:val="9"/>
                <w:color w:val="auto"/>
              </w:rPr>
            </w:pPr>
          </w:p>
        </w:tc>
        <w:tc>
          <w:tcPr>
            <w:tcW w:w="19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vMerge w:val="restart"/>
          </w:tcPr>
          <w:p>
            <w:pPr>
              <w:ind w:left="220"/>
              <w:spacing w:after="0"/>
              <w:rPr>
                <w:sz w:val="20"/>
                <w:szCs w:val="20"/>
                <w:color w:val="auto"/>
              </w:rPr>
            </w:pPr>
            <w:r>
              <w:rPr>
                <w:rFonts w:ascii="Arial" w:cs="Arial" w:eastAsia="Arial" w:hAnsi="Arial"/>
                <w:sz w:val="14"/>
                <w:szCs w:val="14"/>
                <w:color w:val="auto"/>
              </w:rPr>
              <w:t>qualitative</w:t>
            </w:r>
          </w:p>
        </w:tc>
        <w:tc>
          <w:tcPr>
            <w:tcW w:w="280" w:type="dxa"/>
            <w:vAlign w:val="bottom"/>
          </w:tcPr>
          <w:p>
            <w:pPr>
              <w:spacing w:after="0"/>
              <w:rPr>
                <w:sz w:val="9"/>
                <w:szCs w:val="9"/>
                <w:color w:val="auto"/>
              </w:rPr>
            </w:pPr>
          </w:p>
        </w:tc>
        <w:tc>
          <w:tcPr>
            <w:tcW w:w="1040" w:type="dxa"/>
            <w:vAlign w:val="bottom"/>
            <w:vMerge w:val="restart"/>
          </w:tcPr>
          <w:p>
            <w:pPr>
              <w:ind w:left="140"/>
              <w:spacing w:after="0"/>
              <w:rPr>
                <w:sz w:val="20"/>
                <w:szCs w:val="20"/>
                <w:color w:val="auto"/>
              </w:rPr>
            </w:pPr>
            <w:r>
              <w:rPr>
                <w:rFonts w:ascii="Arial" w:cs="Arial" w:eastAsia="Arial" w:hAnsi="Arial"/>
                <w:sz w:val="14"/>
                <w:szCs w:val="14"/>
                <w:color w:val="auto"/>
              </w:rPr>
              <w:t>qualitative</w:t>
            </w:r>
          </w:p>
        </w:tc>
        <w:tc>
          <w:tcPr>
            <w:tcW w:w="0" w:type="dxa"/>
            <w:vAlign w:val="bottom"/>
          </w:tcPr>
          <w:p>
            <w:pPr>
              <w:spacing w:after="0"/>
              <w:rPr>
                <w:sz w:val="1"/>
                <w:szCs w:val="1"/>
                <w:color w:val="auto"/>
              </w:rPr>
            </w:pPr>
          </w:p>
        </w:tc>
      </w:tr>
      <w:tr>
        <w:trPr>
          <w:trHeight w:val="49"/>
        </w:trPr>
        <w:tc>
          <w:tcPr>
            <w:tcW w:w="5120" w:type="dxa"/>
            <w:vAlign w:val="bottom"/>
          </w:tcPr>
          <w:p>
            <w:pPr>
              <w:spacing w:after="0"/>
              <w:rPr>
                <w:sz w:val="4"/>
                <w:szCs w:val="4"/>
                <w:color w:val="auto"/>
              </w:rPr>
            </w:pPr>
          </w:p>
        </w:tc>
        <w:tc>
          <w:tcPr>
            <w:tcW w:w="19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5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ind w:left="220"/>
              <w:spacing w:after="0"/>
              <w:rPr>
                <w:sz w:val="20"/>
                <w:szCs w:val="20"/>
                <w:color w:val="auto"/>
              </w:rPr>
            </w:pPr>
            <w:r>
              <w:rPr>
                <w:rFonts w:ascii="Arial" w:cs="Arial" w:eastAsia="Arial" w:hAnsi="Arial"/>
                <w:sz w:val="14"/>
                <w:szCs w:val="14"/>
                <w:color w:val="auto"/>
              </w:rPr>
              <w:t>indicator</w:t>
            </w:r>
          </w:p>
        </w:tc>
        <w:tc>
          <w:tcPr>
            <w:tcW w:w="280" w:type="dxa"/>
            <w:vAlign w:val="bottom"/>
          </w:tcPr>
          <w:p>
            <w:pPr>
              <w:spacing w:after="0"/>
              <w:rPr>
                <w:sz w:val="18"/>
                <w:szCs w:val="18"/>
                <w:color w:val="auto"/>
              </w:rPr>
            </w:pPr>
          </w:p>
        </w:tc>
        <w:tc>
          <w:tcPr>
            <w:tcW w:w="1040" w:type="dxa"/>
            <w:vAlign w:val="bottom"/>
          </w:tcPr>
          <w:p>
            <w:pPr>
              <w:ind w:left="140"/>
              <w:spacing w:after="0"/>
              <w:rPr>
                <w:sz w:val="20"/>
                <w:szCs w:val="20"/>
                <w:color w:val="auto"/>
              </w:rPr>
            </w:pPr>
            <w:r>
              <w:rPr>
                <w:rFonts w:ascii="Arial" w:cs="Arial" w:eastAsia="Arial" w:hAnsi="Arial"/>
                <w:sz w:val="14"/>
                <w:szCs w:val="14"/>
                <w:color w:val="auto"/>
              </w:rPr>
              <w:t>indicator</w:t>
            </w:r>
          </w:p>
        </w:tc>
        <w:tc>
          <w:tcPr>
            <w:tcW w:w="0" w:type="dxa"/>
            <w:vAlign w:val="bottom"/>
          </w:tcPr>
          <w:p>
            <w:pPr>
              <w:spacing w:after="0"/>
              <w:rPr>
                <w:sz w:val="1"/>
                <w:szCs w:val="1"/>
                <w:color w:val="auto"/>
              </w:rPr>
            </w:pPr>
          </w:p>
        </w:tc>
      </w:tr>
      <w:tr>
        <w:trPr>
          <w:trHeight w:val="129"/>
        </w:trPr>
        <w:tc>
          <w:tcPr>
            <w:tcW w:w="5120" w:type="dxa"/>
            <w:vAlign w:val="bottom"/>
            <w:tcBorders>
              <w:bottom w:val="single" w:sz="8" w:color="1414D2"/>
            </w:tcBorders>
          </w:tcPr>
          <w:p>
            <w:pPr>
              <w:spacing w:after="0"/>
              <w:rPr>
                <w:sz w:val="11"/>
                <w:szCs w:val="11"/>
                <w:color w:val="auto"/>
              </w:rPr>
            </w:pPr>
          </w:p>
        </w:tc>
        <w:tc>
          <w:tcPr>
            <w:tcW w:w="1940" w:type="dxa"/>
            <w:vAlign w:val="bottom"/>
            <w:tcBorders>
              <w:bottom w:val="single" w:sz="8" w:color="1414D2"/>
            </w:tcBorders>
          </w:tcPr>
          <w:p>
            <w:pPr>
              <w:spacing w:after="0"/>
              <w:rPr>
                <w:sz w:val="11"/>
                <w:szCs w:val="11"/>
                <w:color w:val="auto"/>
              </w:rPr>
            </w:pPr>
          </w:p>
        </w:tc>
        <w:tc>
          <w:tcPr>
            <w:tcW w:w="220" w:type="dxa"/>
            <w:vAlign w:val="bottom"/>
            <w:tcBorders>
              <w:bottom w:val="single" w:sz="8" w:color="1414D2"/>
            </w:tcBorders>
          </w:tcPr>
          <w:p>
            <w:pPr>
              <w:spacing w:after="0"/>
              <w:rPr>
                <w:sz w:val="11"/>
                <w:szCs w:val="11"/>
                <w:color w:val="auto"/>
              </w:rPr>
            </w:pPr>
          </w:p>
        </w:tc>
        <w:tc>
          <w:tcPr>
            <w:tcW w:w="1120" w:type="dxa"/>
            <w:vAlign w:val="bottom"/>
            <w:tcBorders>
              <w:bottom w:val="single" w:sz="8" w:color="1414D2"/>
            </w:tcBorders>
          </w:tcPr>
          <w:p>
            <w:pPr>
              <w:spacing w:after="0"/>
              <w:rPr>
                <w:sz w:val="11"/>
                <w:szCs w:val="11"/>
                <w:color w:val="auto"/>
              </w:rPr>
            </w:pPr>
          </w:p>
        </w:tc>
        <w:tc>
          <w:tcPr>
            <w:tcW w:w="280" w:type="dxa"/>
            <w:vAlign w:val="bottom"/>
            <w:tcBorders>
              <w:bottom w:val="single" w:sz="8" w:color="1414D2"/>
            </w:tcBorders>
          </w:tcPr>
          <w:p>
            <w:pPr>
              <w:spacing w:after="0"/>
              <w:rPr>
                <w:sz w:val="11"/>
                <w:szCs w:val="11"/>
                <w:color w:val="auto"/>
              </w:rPr>
            </w:pPr>
          </w:p>
        </w:tc>
        <w:tc>
          <w:tcPr>
            <w:tcW w:w="1040" w:type="dxa"/>
            <w:vAlign w:val="bottom"/>
            <w:tcBorders>
              <w:bottom w:val="single" w:sz="8" w:color="1414D2"/>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2026  Proxy  Statement</w:t>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1414D2"/>
        </w:rPr>
        <w:t>101</w:t>
      </w:r>
    </w:p>
    <w:p>
      <w:pPr>
        <w:sectPr>
          <w:pgSz w:w="11900" w:h="16838" w:orient="portrait"/>
          <w:cols w:equalWidth="0" w:num="1">
            <w:col w:w="9720"/>
          </w:cols>
          <w:pgMar w:left="1080" w:top="695" w:right="1099" w:bottom="1440" w:gutter="0" w:footer="0" w:header="0"/>
        </w:sectPr>
      </w:pPr>
    </w:p>
    <w:bookmarkStart w:id="112" w:name="page113"/>
    <w:bookmarkEnd w:id="112"/>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6D6F71"/>
        </w:rPr>
        <w:t>Compensation  Discussion  and  Analysis</w:t>
      </w:r>
    </w:p>
    <w:p>
      <w:pPr>
        <w:spacing w:after="0" w:line="238" w:lineRule="exact"/>
        <w:rPr>
          <w:sz w:val="20"/>
          <w:szCs w:val="20"/>
          <w:color w:val="auto"/>
        </w:rPr>
      </w:pPr>
    </w:p>
    <w:p>
      <w:pPr>
        <w:ind w:right="80"/>
        <w:spacing w:after="0" w:line="330" w:lineRule="auto"/>
        <w:rPr>
          <w:sz w:val="20"/>
          <w:szCs w:val="20"/>
          <w:color w:val="auto"/>
        </w:rPr>
      </w:pPr>
      <w:r>
        <w:rPr>
          <w:rFonts w:ascii="Arial" w:cs="Arial" w:eastAsia="Arial" w:hAnsi="Arial"/>
          <w:sz w:val="16"/>
          <w:szCs w:val="16"/>
          <w:color w:val="auto"/>
        </w:rPr>
        <w:t>In addition to the above performance measures for calendar year 2025, payout of the Performance-Based RSUs are contingent on the achievement of a cash liquidity hurdle ($8 billion) as of the end of the three-year performance period.</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2025  Time-Based  RSUs</w:t>
      </w:r>
    </w:p>
    <w:p>
      <w:pPr>
        <w:spacing w:after="0" w:line="127" w:lineRule="exact"/>
        <w:rPr>
          <w:sz w:val="20"/>
          <w:szCs w:val="20"/>
          <w:color w:val="auto"/>
        </w:rPr>
      </w:pPr>
    </w:p>
    <w:p>
      <w:pPr>
        <w:ind w:right="160"/>
        <w:spacing w:after="0" w:line="279" w:lineRule="auto"/>
        <w:rPr>
          <w:sz w:val="20"/>
          <w:szCs w:val="20"/>
          <w:color w:val="auto"/>
        </w:rPr>
      </w:pPr>
      <w:r>
        <w:rPr>
          <w:rFonts w:ascii="Arial" w:cs="Arial" w:eastAsia="Arial" w:hAnsi="Arial"/>
          <w:sz w:val="16"/>
          <w:szCs w:val="16"/>
          <w:color w:val="auto"/>
        </w:rPr>
        <w:t>Time-Based RSUs make up the remaining 50% of our executives’ target long-term equity incentives. Each grant of RSUs vests one-third on each of February 28, 2026, February 28, 2027 and February 28, 2028. Time-based RSUs enhance retention of our NEOs, align with compensation practices of our peers and support stockholder value creation.</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2023  Performance-Based  RSUs  and  2024  Performance-Based  RSUs</w:t>
      </w:r>
    </w:p>
    <w:p>
      <w:pPr>
        <w:spacing w:after="0" w:line="113"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Details relating to the performance measures established in 2023 for the 2023 Performance-Based RSUs (applies to tranche 1 of the 2023 Performance-Based RSUs, tranche 2 of the 2024 Performance-Based RSUs and tranche 3 of the 2025 Performance-Based RSUs) are set forth on pages 102 through 104 of United’s 2024 proxy statement fled with the SEC on April 12, 2024.</w:t>
      </w:r>
    </w:p>
    <w:p>
      <w:pPr>
        <w:spacing w:after="0" w:line="47"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Details relating to the performance measures established in 2024 for the 2024 Performance-Based RSUs (applies to tranche 1 of the 2024 Performance-Based RSUs and tranche 2 of the 2025 Performance-Based RSUs) are set forth on pages 100 through 101 of United’s 2025 proxy statement fled with the SEC on April 10, 2025.</w:t>
      </w:r>
    </w:p>
    <w:p>
      <w:pPr>
        <w:sectPr>
          <w:pgSz w:w="11900" w:h="16838" w:orient="portrait"/>
          <w:cols w:equalWidth="0" w:num="1">
            <w:col w:w="9700"/>
          </w:cols>
          <w:pgMar w:left="1080" w:top="695" w:right="11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right"/>
        <w:ind w:right="7700"/>
        <w:spacing w:after="0"/>
        <w:rPr>
          <w:sz w:val="20"/>
          <w:szCs w:val="20"/>
          <w:color w:val="auto"/>
        </w:rPr>
      </w:pPr>
      <w:r>
        <w:rPr>
          <w:rFonts w:ascii="Arial" w:cs="Arial" w:eastAsia="Arial" w:hAnsi="Arial"/>
          <w:sz w:val="16"/>
          <w:szCs w:val="16"/>
          <w:color w:val="auto"/>
        </w:rPr>
        <w:t>​​2026​  Proxy</w:t>
      </w:r>
    </w:p>
    <w:p>
      <w:pPr>
        <w:spacing w:after="0" w:line="5" w:lineRule="exact"/>
        <w:rPr>
          <w:sz w:val="20"/>
          <w:szCs w:val="20"/>
          <w:color w:val="auto"/>
        </w:rPr>
      </w:pPr>
    </w:p>
    <w:p>
      <w:pPr>
        <w:ind w:left="660" w:hanging="656"/>
        <w:spacing w:after="0"/>
        <w:tabs>
          <w:tab w:leader="none" w:pos="660" w:val="left"/>
        </w:tabs>
        <w:numPr>
          <w:ilvl w:val="0"/>
          <w:numId w:val="114"/>
        </w:numPr>
        <w:rPr>
          <w:rFonts w:ascii="Arial" w:cs="Arial" w:eastAsia="Arial" w:hAnsi="Arial"/>
          <w:sz w:val="16"/>
          <w:szCs w:val="16"/>
          <w:b w:val="1"/>
          <w:bCs w:val="1"/>
          <w:color w:val="1414D2"/>
        </w:rPr>
      </w:pPr>
      <w:r>
        <w:rPr>
          <w:rFonts w:ascii="Arial" w:cs="Arial" w:eastAsia="Arial" w:hAnsi="Arial"/>
          <w:sz w:val="16"/>
          <w:szCs w:val="16"/>
          <w:color w:val="auto"/>
        </w:rPr>
        <w:t>Statement</w:t>
      </w:r>
    </w:p>
    <w:p>
      <w:pPr>
        <w:sectPr>
          <w:pgSz w:w="11900" w:h="16838" w:orient="portrait"/>
          <w:cols w:equalWidth="0" w:num="1">
            <w:col w:w="9700"/>
          </w:cols>
          <w:pgMar w:left="1080" w:top="695" w:right="1119" w:bottom="1440" w:gutter="0" w:footer="0" w:header="0"/>
          <w:type w:val="continuous"/>
        </w:sectPr>
      </w:pPr>
    </w:p>
    <w:bookmarkStart w:id="113" w:name="page114"/>
    <w:bookmarkEnd w:id="113"/>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27" w:lineRule="exact"/>
        <w:rPr>
          <w:sz w:val="20"/>
          <w:szCs w:val="20"/>
          <w:color w:val="auto"/>
        </w:rPr>
      </w:pPr>
    </w:p>
    <w:p>
      <w:pPr>
        <w:ind w:left="7100"/>
        <w:spacing w:after="0"/>
        <w:rPr>
          <w:sz w:val="20"/>
          <w:szCs w:val="20"/>
          <w:color w:val="auto"/>
        </w:rPr>
      </w:pPr>
      <w:r>
        <w:rPr>
          <w:rFonts w:ascii="Arial" w:cs="Arial" w:eastAsia="Arial" w:hAnsi="Arial"/>
          <w:sz w:val="14"/>
          <w:szCs w:val="14"/>
          <w:color w:val="6D6F71"/>
        </w:rPr>
        <w:t>Compensation  Discussion  and  Analysis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Payout  of  2023  Performance-Based  RSUs  (Completed  Performance  Period)</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Under  the  terms  of  the  2023  Performance-Based  RSUs,  2025  represented  the  fnal  year  of  the  three-year  performance  period.</w:t>
      </w:r>
    </w:p>
    <w:p>
      <w:pPr>
        <w:spacing w:after="0" w:line="19" w:lineRule="exact"/>
        <w:rPr>
          <w:sz w:val="20"/>
          <w:szCs w:val="20"/>
          <w:color w:val="auto"/>
        </w:rPr>
      </w:pPr>
    </w:p>
    <w:p>
      <w:pPr>
        <w:ind w:right="120"/>
        <w:spacing w:after="0" w:line="250" w:lineRule="auto"/>
        <w:rPr>
          <w:sz w:val="20"/>
          <w:szCs w:val="20"/>
          <w:color w:val="auto"/>
        </w:rPr>
      </w:pPr>
      <w:r>
        <w:rPr>
          <w:rFonts w:ascii="Arial" w:cs="Arial" w:eastAsia="Arial" w:hAnsi="Arial"/>
          <w:sz w:val="16"/>
          <w:szCs w:val="16"/>
          <w:color w:val="auto"/>
        </w:rPr>
        <w:t>The 2023 Performance-Based RSUs vested based on performance measures established on an annual basis during the three-year performance period commencing January 1, 2023 and ending December 31, 2025. The 2023 Performance-Based RSUs were divided into three tranches that were each weighted as 1/3 of the target 2023 Performance-Based RSUs. The 2023 Performance-Based RSUs had a continued service condition, generally requiring the NEO’s continued employment through the</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end  of  2025  to  vest.</w:t>
      </w:r>
    </w:p>
    <w:p>
      <w:pPr>
        <w:spacing w:after="0" w:line="113" w:lineRule="exact"/>
        <w:rPr>
          <w:sz w:val="20"/>
          <w:szCs w:val="20"/>
          <w:color w:val="auto"/>
        </w:rPr>
      </w:pPr>
    </w:p>
    <w:p>
      <w:pPr>
        <w:ind w:right="80"/>
        <w:spacing w:after="0" w:line="252" w:lineRule="auto"/>
        <w:rPr>
          <w:sz w:val="20"/>
          <w:szCs w:val="20"/>
          <w:color w:val="auto"/>
        </w:rPr>
      </w:pPr>
      <w:r>
        <w:rPr>
          <w:rFonts w:ascii="Arial" w:cs="Arial" w:eastAsia="Arial" w:hAnsi="Arial"/>
          <w:sz w:val="16"/>
          <w:szCs w:val="16"/>
          <w:color w:val="auto"/>
        </w:rPr>
        <w:t>Below is a summary of the Company’s performance results under the performance measures of the 2023 Performance-Based RSUs, which resulted in an overall vesting level 134% of target. The performance measures and targets were designed to be challenging to attain and require strong management performance and execution to achieve, which was ultimately refected by</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the  overall  vesting  level  of  134%  of  target.</w:t>
      </w:r>
    </w:p>
    <w:p>
      <w:pPr>
        <w:spacing w:after="0" w:line="113" w:lineRule="exact"/>
        <w:rPr>
          <w:sz w:val="20"/>
          <w:szCs w:val="20"/>
          <w:color w:val="auto"/>
        </w:rPr>
      </w:pPr>
    </w:p>
    <w:p>
      <w:pPr>
        <w:ind w:right="60"/>
        <w:spacing w:after="0" w:line="313" w:lineRule="auto"/>
        <w:rPr>
          <w:sz w:val="20"/>
          <w:szCs w:val="20"/>
          <w:color w:val="auto"/>
        </w:rPr>
      </w:pPr>
      <w:r>
        <w:rPr>
          <w:rFonts w:ascii="Arial" w:cs="Arial" w:eastAsia="Arial" w:hAnsi="Arial"/>
          <w:sz w:val="16"/>
          <w:szCs w:val="16"/>
          <w:color w:val="auto"/>
        </w:rPr>
        <w:t>The awards vested at the end of 2025 and were settled in the frst quarter of 2026 and are included in the “Option Exercises and Stock Vested for 2025” table.</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 w:type="dxa"/>
            <w:vAlign w:val="bottom"/>
            <w:tcBorders>
              <w:top w:val="single" w:sz="8" w:color="auto"/>
            </w:tcBorders>
            <w:shd w:val="clear" w:color="auto" w:fill="1414D2"/>
          </w:tcPr>
          <w:p>
            <w:pPr>
              <w:spacing w:after="0"/>
              <w:rPr>
                <w:sz w:val="21"/>
                <w:szCs w:val="21"/>
                <w:color w:val="auto"/>
              </w:rPr>
            </w:pPr>
          </w:p>
        </w:tc>
        <w:tc>
          <w:tcPr>
            <w:tcW w:w="180" w:type="dxa"/>
            <w:vAlign w:val="bottom"/>
            <w:tcBorders>
              <w:top w:val="single" w:sz="8" w:color="auto"/>
            </w:tcBorders>
            <w:shd w:val="clear" w:color="auto" w:fill="1414D2"/>
          </w:tcPr>
          <w:p>
            <w:pPr>
              <w:spacing w:after="0"/>
              <w:rPr>
                <w:sz w:val="21"/>
                <w:szCs w:val="21"/>
                <w:color w:val="auto"/>
              </w:rPr>
            </w:pPr>
          </w:p>
        </w:tc>
        <w:tc>
          <w:tcPr>
            <w:tcW w:w="20" w:type="dxa"/>
            <w:vAlign w:val="bottom"/>
            <w:tcBorders>
              <w:top w:val="single" w:sz="8" w:color="auto"/>
            </w:tcBorders>
            <w:shd w:val="clear" w:color="auto" w:fill="1414D2"/>
          </w:tcPr>
          <w:p>
            <w:pPr>
              <w:spacing w:after="0"/>
              <w:rPr>
                <w:sz w:val="21"/>
                <w:szCs w:val="21"/>
                <w:color w:val="auto"/>
              </w:rPr>
            </w:pPr>
          </w:p>
        </w:tc>
        <w:tc>
          <w:tcPr>
            <w:tcW w:w="2460" w:type="dxa"/>
            <w:vAlign w:val="bottom"/>
            <w:tcBorders>
              <w:top w:val="single" w:sz="8" w:color="auto"/>
              <w:left w:val="single" w:sz="8" w:color="1414D2"/>
            </w:tcBorders>
            <w:shd w:val="clear" w:color="auto" w:fill="1414D2"/>
          </w:tcPr>
          <w:p>
            <w:pPr>
              <w:spacing w:after="0"/>
              <w:rPr>
                <w:sz w:val="21"/>
                <w:szCs w:val="21"/>
                <w:color w:val="auto"/>
              </w:rPr>
            </w:pPr>
          </w:p>
        </w:tc>
        <w:tc>
          <w:tcPr>
            <w:tcW w:w="560" w:type="dxa"/>
            <w:vAlign w:val="bottom"/>
            <w:tcBorders>
              <w:top w:val="single" w:sz="8" w:color="auto"/>
              <w:right w:val="single" w:sz="8" w:color="auto"/>
            </w:tcBorders>
            <w:shd w:val="clear" w:color="auto" w:fill="1414D2"/>
          </w:tcPr>
          <w:p>
            <w:pPr>
              <w:spacing w:after="0"/>
              <w:rPr>
                <w:sz w:val="21"/>
                <w:szCs w:val="21"/>
                <w:color w:val="auto"/>
              </w:rPr>
            </w:pPr>
          </w:p>
        </w:tc>
        <w:tc>
          <w:tcPr>
            <w:tcW w:w="1360" w:type="dxa"/>
            <w:vAlign w:val="bottom"/>
            <w:tcBorders>
              <w:top w:val="single" w:sz="8" w:color="auto"/>
              <w:right w:val="single" w:sz="8" w:color="auto"/>
            </w:tcBorders>
            <w:shd w:val="clear" w:color="auto" w:fill="1414D2"/>
          </w:tcPr>
          <w:p>
            <w:pPr>
              <w:spacing w:after="0"/>
              <w:rPr>
                <w:sz w:val="21"/>
                <w:szCs w:val="21"/>
                <w:color w:val="auto"/>
              </w:rPr>
            </w:pPr>
          </w:p>
        </w:tc>
        <w:tc>
          <w:tcPr>
            <w:tcW w:w="1360" w:type="dxa"/>
            <w:vAlign w:val="bottom"/>
            <w:tcBorders>
              <w:top w:val="single" w:sz="8" w:color="auto"/>
              <w:right w:val="single" w:sz="8" w:color="auto"/>
            </w:tcBorders>
            <w:shd w:val="clear" w:color="auto" w:fill="1414D2"/>
          </w:tcPr>
          <w:p>
            <w:pPr>
              <w:spacing w:after="0"/>
              <w:rPr>
                <w:sz w:val="21"/>
                <w:szCs w:val="21"/>
                <w:color w:val="auto"/>
              </w:rPr>
            </w:pPr>
          </w:p>
        </w:tc>
        <w:tc>
          <w:tcPr>
            <w:tcW w:w="1320" w:type="dxa"/>
            <w:vAlign w:val="bottom"/>
            <w:tcBorders>
              <w:top w:val="single" w:sz="8" w:color="auto"/>
              <w:right w:val="single" w:sz="8" w:color="auto"/>
            </w:tcBorders>
            <w:shd w:val="clear" w:color="auto" w:fill="1414D2"/>
          </w:tcPr>
          <w:p>
            <w:pPr>
              <w:spacing w:after="0"/>
              <w:rPr>
                <w:sz w:val="21"/>
                <w:szCs w:val="21"/>
                <w:color w:val="auto"/>
              </w:rPr>
            </w:pPr>
          </w:p>
        </w:tc>
        <w:tc>
          <w:tcPr>
            <w:tcW w:w="1380" w:type="dxa"/>
            <w:vAlign w:val="bottom"/>
            <w:tcBorders>
              <w:top w:val="single" w:sz="8" w:color="auto"/>
              <w:right w:val="single" w:sz="8" w:color="auto"/>
            </w:tcBorders>
            <w:shd w:val="clear" w:color="auto" w:fill="1414D2"/>
          </w:tcPr>
          <w:p>
            <w:pPr>
              <w:spacing w:after="0"/>
              <w:rPr>
                <w:sz w:val="21"/>
                <w:szCs w:val="21"/>
                <w:color w:val="auto"/>
              </w:rPr>
            </w:pPr>
          </w:p>
        </w:tc>
        <w:tc>
          <w:tcPr>
            <w:tcW w:w="480" w:type="dxa"/>
            <w:vAlign w:val="bottom"/>
            <w:tcBorders>
              <w:top w:val="single" w:sz="8" w:color="auto"/>
            </w:tcBorders>
            <w:shd w:val="clear" w:color="auto" w:fill="1414D2"/>
          </w:tcPr>
          <w:p>
            <w:pPr>
              <w:spacing w:after="0"/>
              <w:rPr>
                <w:sz w:val="21"/>
                <w:szCs w:val="21"/>
                <w:color w:val="auto"/>
              </w:rPr>
            </w:pPr>
          </w:p>
        </w:tc>
        <w:tc>
          <w:tcPr>
            <w:tcW w:w="560" w:type="dxa"/>
            <w:vAlign w:val="bottom"/>
            <w:tcBorders>
              <w:top w:val="single" w:sz="8" w:color="auto"/>
            </w:tcBorders>
            <w:shd w:val="clear" w:color="auto" w:fill="1414D2"/>
          </w:tcPr>
          <w:p>
            <w:pPr>
              <w:jc w:val="center"/>
              <w:ind w:right="15"/>
              <w:spacing w:after="0"/>
              <w:rPr>
                <w:sz w:val="20"/>
                <w:szCs w:val="20"/>
                <w:color w:val="auto"/>
              </w:rPr>
            </w:pPr>
            <w:r>
              <w:rPr>
                <w:rFonts w:ascii="Arial" w:cs="Arial" w:eastAsia="Arial" w:hAnsi="Arial"/>
                <w:sz w:val="9"/>
                <w:szCs w:val="9"/>
                <w:b w:val="1"/>
                <w:bCs w:val="1"/>
                <w:color w:val="FFFFFF"/>
              </w:rPr>
              <w:t>Final</w:t>
            </w:r>
          </w:p>
        </w:tc>
        <w:tc>
          <w:tcPr>
            <w:tcW w:w="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40" w:type="dxa"/>
            <w:vAlign w:val="bottom"/>
            <w:shd w:val="clear" w:color="auto" w:fill="1414D2"/>
          </w:tcPr>
          <w:p>
            <w:pPr>
              <w:spacing w:after="0"/>
              <w:rPr>
                <w:sz w:val="9"/>
                <w:szCs w:val="9"/>
                <w:color w:val="auto"/>
              </w:rPr>
            </w:pPr>
          </w:p>
        </w:tc>
        <w:tc>
          <w:tcPr>
            <w:tcW w:w="180" w:type="dxa"/>
            <w:vAlign w:val="bottom"/>
            <w:shd w:val="clear" w:color="auto" w:fill="1414D2"/>
          </w:tcPr>
          <w:p>
            <w:pPr>
              <w:spacing w:after="0"/>
              <w:rPr>
                <w:sz w:val="9"/>
                <w:szCs w:val="9"/>
                <w:color w:val="auto"/>
              </w:rPr>
            </w:pPr>
          </w:p>
        </w:tc>
        <w:tc>
          <w:tcPr>
            <w:tcW w:w="20" w:type="dxa"/>
            <w:vAlign w:val="bottom"/>
            <w:shd w:val="clear" w:color="auto" w:fill="1414D2"/>
          </w:tcPr>
          <w:p>
            <w:pPr>
              <w:spacing w:after="0"/>
              <w:rPr>
                <w:sz w:val="9"/>
                <w:szCs w:val="9"/>
                <w:color w:val="auto"/>
              </w:rPr>
            </w:pPr>
          </w:p>
        </w:tc>
        <w:tc>
          <w:tcPr>
            <w:tcW w:w="2460" w:type="dxa"/>
            <w:vAlign w:val="bottom"/>
            <w:tcBorders>
              <w:left w:val="single" w:sz="8" w:color="1414D2"/>
            </w:tcBorders>
            <w:shd w:val="clear" w:color="auto" w:fill="1414D2"/>
          </w:tcPr>
          <w:p>
            <w:pPr>
              <w:spacing w:after="0"/>
              <w:rPr>
                <w:sz w:val="9"/>
                <w:szCs w:val="9"/>
                <w:color w:val="auto"/>
              </w:rPr>
            </w:pPr>
          </w:p>
        </w:tc>
        <w:tc>
          <w:tcPr>
            <w:tcW w:w="560" w:type="dxa"/>
            <w:vAlign w:val="bottom"/>
            <w:tcBorders>
              <w:right w:val="single" w:sz="8" w:color="auto"/>
            </w:tcBorders>
            <w:shd w:val="clear" w:color="auto" w:fill="1414D2"/>
          </w:tcPr>
          <w:p>
            <w:pPr>
              <w:spacing w:after="0"/>
              <w:rPr>
                <w:sz w:val="9"/>
                <w:szCs w:val="9"/>
                <w:color w:val="auto"/>
              </w:rPr>
            </w:pPr>
          </w:p>
        </w:tc>
        <w:tc>
          <w:tcPr>
            <w:tcW w:w="1360" w:type="dxa"/>
            <w:vAlign w:val="bottom"/>
            <w:tcBorders>
              <w:right w:val="single" w:sz="8" w:color="auto"/>
            </w:tcBorders>
            <w:shd w:val="clear" w:color="auto" w:fill="1414D2"/>
          </w:tcPr>
          <w:p>
            <w:pPr>
              <w:spacing w:after="0"/>
              <w:rPr>
                <w:sz w:val="9"/>
                <w:szCs w:val="9"/>
                <w:color w:val="auto"/>
              </w:rPr>
            </w:pPr>
          </w:p>
        </w:tc>
        <w:tc>
          <w:tcPr>
            <w:tcW w:w="1360" w:type="dxa"/>
            <w:vAlign w:val="bottom"/>
            <w:tcBorders>
              <w:right w:val="single" w:sz="8" w:color="auto"/>
            </w:tcBorders>
            <w:shd w:val="clear" w:color="auto" w:fill="1414D2"/>
          </w:tcPr>
          <w:p>
            <w:pPr>
              <w:spacing w:after="0"/>
              <w:rPr>
                <w:sz w:val="9"/>
                <w:szCs w:val="9"/>
                <w:color w:val="auto"/>
              </w:rPr>
            </w:pPr>
          </w:p>
        </w:tc>
        <w:tc>
          <w:tcPr>
            <w:tcW w:w="1320" w:type="dxa"/>
            <w:vAlign w:val="bottom"/>
            <w:tcBorders>
              <w:right w:val="single" w:sz="8" w:color="auto"/>
            </w:tcBorders>
            <w:shd w:val="clear" w:color="auto" w:fill="1414D2"/>
          </w:tcPr>
          <w:p>
            <w:pPr>
              <w:spacing w:after="0"/>
              <w:rPr>
                <w:sz w:val="9"/>
                <w:szCs w:val="9"/>
                <w:color w:val="auto"/>
              </w:rPr>
            </w:pPr>
          </w:p>
        </w:tc>
        <w:tc>
          <w:tcPr>
            <w:tcW w:w="1380" w:type="dxa"/>
            <w:vAlign w:val="bottom"/>
            <w:tcBorders>
              <w:right w:val="single" w:sz="8" w:color="auto"/>
            </w:tcBorders>
            <w:shd w:val="clear" w:color="auto" w:fill="1414D2"/>
          </w:tcPr>
          <w:p>
            <w:pPr>
              <w:spacing w:after="0"/>
              <w:rPr>
                <w:sz w:val="9"/>
                <w:szCs w:val="9"/>
                <w:color w:val="auto"/>
              </w:rPr>
            </w:pPr>
          </w:p>
        </w:tc>
        <w:tc>
          <w:tcPr>
            <w:tcW w:w="480" w:type="dxa"/>
            <w:vAlign w:val="bottom"/>
            <w:shd w:val="clear" w:color="auto" w:fill="1414D2"/>
          </w:tcPr>
          <w:p>
            <w:pPr>
              <w:jc w:val="center"/>
              <w:ind w:right="35"/>
              <w:spacing w:after="0"/>
              <w:rPr>
                <w:sz w:val="20"/>
                <w:szCs w:val="20"/>
                <w:color w:val="auto"/>
              </w:rPr>
            </w:pPr>
            <w:r>
              <w:rPr>
                <w:rFonts w:ascii="Arial" w:cs="Arial" w:eastAsia="Arial" w:hAnsi="Arial"/>
                <w:sz w:val="9"/>
                <w:szCs w:val="9"/>
                <w:b w:val="1"/>
                <w:bCs w:val="1"/>
                <w:color w:val="FFFFFF"/>
              </w:rPr>
              <w:t>Payout</w:t>
            </w:r>
          </w:p>
        </w:tc>
        <w:tc>
          <w:tcPr>
            <w:tcW w:w="560" w:type="dxa"/>
            <w:vAlign w:val="bottom"/>
            <w:shd w:val="clear" w:color="auto" w:fill="1414D2"/>
          </w:tcPr>
          <w:p>
            <w:pPr>
              <w:jc w:val="center"/>
              <w:spacing w:after="0"/>
              <w:rPr>
                <w:sz w:val="20"/>
                <w:szCs w:val="20"/>
                <w:color w:val="auto"/>
              </w:rPr>
            </w:pPr>
            <w:r>
              <w:rPr>
                <w:rFonts w:ascii="Arial" w:cs="Arial" w:eastAsia="Arial" w:hAnsi="Arial"/>
                <w:sz w:val="9"/>
                <w:szCs w:val="9"/>
                <w:b w:val="1"/>
                <w:bCs w:val="1"/>
                <w:color w:val="FFFFFF"/>
              </w:rPr>
              <w:t>Payout</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shd w:val="clear" w:color="auto" w:fill="1414D2"/>
          </w:tcPr>
          <w:p>
            <w:pPr>
              <w:spacing w:after="0"/>
              <w:rPr>
                <w:sz w:val="9"/>
                <w:szCs w:val="9"/>
                <w:color w:val="auto"/>
              </w:rPr>
            </w:pPr>
          </w:p>
        </w:tc>
        <w:tc>
          <w:tcPr>
            <w:tcW w:w="180" w:type="dxa"/>
            <w:vAlign w:val="bottom"/>
            <w:shd w:val="clear" w:color="auto" w:fill="1414D2"/>
          </w:tcPr>
          <w:p>
            <w:pPr>
              <w:spacing w:after="0"/>
              <w:rPr>
                <w:sz w:val="9"/>
                <w:szCs w:val="9"/>
                <w:color w:val="auto"/>
              </w:rPr>
            </w:pPr>
          </w:p>
        </w:tc>
        <w:tc>
          <w:tcPr>
            <w:tcW w:w="20" w:type="dxa"/>
            <w:vAlign w:val="bottom"/>
            <w:shd w:val="clear" w:color="auto" w:fill="1414D2"/>
          </w:tcPr>
          <w:p>
            <w:pPr>
              <w:spacing w:after="0"/>
              <w:rPr>
                <w:sz w:val="9"/>
                <w:szCs w:val="9"/>
                <w:color w:val="auto"/>
              </w:rPr>
            </w:pPr>
          </w:p>
        </w:tc>
        <w:tc>
          <w:tcPr>
            <w:tcW w:w="2460" w:type="dxa"/>
            <w:vAlign w:val="bottom"/>
            <w:tcBorders>
              <w:left w:val="single" w:sz="8" w:color="1414D2"/>
            </w:tcBorders>
            <w:shd w:val="clear" w:color="auto" w:fill="1414D2"/>
          </w:tcPr>
          <w:p>
            <w:pPr>
              <w:spacing w:after="0"/>
              <w:rPr>
                <w:sz w:val="9"/>
                <w:szCs w:val="9"/>
                <w:color w:val="auto"/>
              </w:rPr>
            </w:pPr>
          </w:p>
        </w:tc>
        <w:tc>
          <w:tcPr>
            <w:tcW w:w="560" w:type="dxa"/>
            <w:vAlign w:val="bottom"/>
            <w:tcBorders>
              <w:right w:val="single" w:sz="8" w:color="auto"/>
            </w:tcBorders>
            <w:shd w:val="clear" w:color="auto" w:fill="1414D2"/>
          </w:tcPr>
          <w:p>
            <w:pPr>
              <w:jc w:val="center"/>
              <w:spacing w:after="0"/>
              <w:rPr>
                <w:sz w:val="20"/>
                <w:szCs w:val="20"/>
                <w:color w:val="auto"/>
              </w:rPr>
            </w:pPr>
            <w:r>
              <w:rPr>
                <w:rFonts w:ascii="Arial" w:cs="Arial" w:eastAsia="Arial" w:hAnsi="Arial"/>
                <w:sz w:val="9"/>
                <w:szCs w:val="9"/>
                <w:b w:val="1"/>
                <w:bCs w:val="1"/>
                <w:color w:val="FFFFFF"/>
              </w:rPr>
              <w:t>Tranche</w:t>
            </w:r>
          </w:p>
        </w:tc>
        <w:tc>
          <w:tcPr>
            <w:tcW w:w="1360" w:type="dxa"/>
            <w:vAlign w:val="bottom"/>
            <w:tcBorders>
              <w:right w:val="single" w:sz="8" w:color="auto"/>
            </w:tcBorders>
            <w:shd w:val="clear" w:color="auto" w:fill="1414D2"/>
          </w:tcPr>
          <w:p>
            <w:pPr>
              <w:spacing w:after="0"/>
              <w:rPr>
                <w:sz w:val="9"/>
                <w:szCs w:val="9"/>
                <w:color w:val="auto"/>
              </w:rPr>
            </w:pPr>
          </w:p>
        </w:tc>
        <w:tc>
          <w:tcPr>
            <w:tcW w:w="1360" w:type="dxa"/>
            <w:vAlign w:val="bottom"/>
            <w:tcBorders>
              <w:right w:val="single" w:sz="8" w:color="auto"/>
            </w:tcBorders>
            <w:shd w:val="clear" w:color="auto" w:fill="1414D2"/>
          </w:tcPr>
          <w:p>
            <w:pPr>
              <w:spacing w:after="0"/>
              <w:rPr>
                <w:sz w:val="9"/>
                <w:szCs w:val="9"/>
                <w:color w:val="auto"/>
              </w:rPr>
            </w:pPr>
          </w:p>
        </w:tc>
        <w:tc>
          <w:tcPr>
            <w:tcW w:w="1320" w:type="dxa"/>
            <w:vAlign w:val="bottom"/>
            <w:tcBorders>
              <w:right w:val="single" w:sz="8" w:color="auto"/>
            </w:tcBorders>
            <w:shd w:val="clear" w:color="auto" w:fill="1414D2"/>
          </w:tcPr>
          <w:p>
            <w:pPr>
              <w:spacing w:after="0"/>
              <w:rPr>
                <w:sz w:val="9"/>
                <w:szCs w:val="9"/>
                <w:color w:val="auto"/>
              </w:rPr>
            </w:pPr>
          </w:p>
        </w:tc>
        <w:tc>
          <w:tcPr>
            <w:tcW w:w="1380" w:type="dxa"/>
            <w:vAlign w:val="bottom"/>
            <w:tcBorders>
              <w:right w:val="single" w:sz="8" w:color="auto"/>
            </w:tcBorders>
            <w:shd w:val="clear" w:color="auto" w:fill="1414D2"/>
          </w:tcPr>
          <w:p>
            <w:pPr>
              <w:spacing w:after="0"/>
              <w:rPr>
                <w:sz w:val="9"/>
                <w:szCs w:val="9"/>
                <w:color w:val="auto"/>
              </w:rPr>
            </w:pPr>
          </w:p>
        </w:tc>
        <w:tc>
          <w:tcPr>
            <w:tcW w:w="480" w:type="dxa"/>
            <w:vAlign w:val="bottom"/>
            <w:shd w:val="clear" w:color="auto" w:fill="1414D2"/>
          </w:tcPr>
          <w:p>
            <w:pPr>
              <w:jc w:val="center"/>
              <w:ind w:right="15"/>
              <w:spacing w:after="0"/>
              <w:rPr>
                <w:sz w:val="20"/>
                <w:szCs w:val="20"/>
                <w:color w:val="auto"/>
              </w:rPr>
            </w:pPr>
            <w:r>
              <w:rPr>
                <w:rFonts w:ascii="Arial" w:cs="Arial" w:eastAsia="Arial" w:hAnsi="Arial"/>
                <w:sz w:val="9"/>
                <w:szCs w:val="9"/>
                <w:b w:val="1"/>
                <w:bCs w:val="1"/>
                <w:color w:val="FFFFFF"/>
                <w:w w:val="98"/>
              </w:rPr>
              <w:t>(as % of</w:t>
            </w:r>
          </w:p>
        </w:tc>
        <w:tc>
          <w:tcPr>
            <w:tcW w:w="560" w:type="dxa"/>
            <w:vAlign w:val="bottom"/>
            <w:shd w:val="clear" w:color="auto" w:fill="1414D2"/>
          </w:tcPr>
          <w:p>
            <w:pPr>
              <w:jc w:val="center"/>
              <w:spacing w:after="0"/>
              <w:rPr>
                <w:sz w:val="20"/>
                <w:szCs w:val="20"/>
                <w:color w:val="auto"/>
              </w:rPr>
            </w:pPr>
            <w:r>
              <w:rPr>
                <w:rFonts w:ascii="Arial" w:cs="Arial" w:eastAsia="Arial" w:hAnsi="Arial"/>
                <w:sz w:val="9"/>
                <w:szCs w:val="9"/>
                <w:b w:val="1"/>
                <w:bCs w:val="1"/>
                <w:color w:val="FFFFFF"/>
              </w:rPr>
              <w:t>(as % of</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40" w:type="dxa"/>
            <w:vAlign w:val="bottom"/>
            <w:tcBorders>
              <w:bottom w:val="single" w:sz="8" w:color="auto"/>
            </w:tcBorders>
            <w:shd w:val="clear" w:color="auto" w:fill="1414D2"/>
          </w:tcPr>
          <w:p>
            <w:pPr>
              <w:spacing w:after="0"/>
              <w:rPr>
                <w:sz w:val="12"/>
                <w:szCs w:val="12"/>
                <w:color w:val="auto"/>
              </w:rPr>
            </w:pPr>
          </w:p>
        </w:tc>
        <w:tc>
          <w:tcPr>
            <w:tcW w:w="180" w:type="dxa"/>
            <w:vAlign w:val="bottom"/>
            <w:tcBorders>
              <w:bottom w:val="single" w:sz="8" w:color="auto"/>
            </w:tcBorders>
            <w:shd w:val="clear" w:color="auto" w:fill="1414D2"/>
          </w:tcPr>
          <w:p>
            <w:pPr>
              <w:spacing w:after="0"/>
              <w:rPr>
                <w:sz w:val="12"/>
                <w:szCs w:val="12"/>
                <w:color w:val="auto"/>
              </w:rPr>
            </w:pPr>
          </w:p>
        </w:tc>
        <w:tc>
          <w:tcPr>
            <w:tcW w:w="20" w:type="dxa"/>
            <w:vAlign w:val="bottom"/>
            <w:tcBorders>
              <w:bottom w:val="single" w:sz="8" w:color="auto"/>
            </w:tcBorders>
            <w:shd w:val="clear" w:color="auto" w:fill="1414D2"/>
          </w:tcPr>
          <w:p>
            <w:pPr>
              <w:spacing w:after="0"/>
              <w:rPr>
                <w:sz w:val="12"/>
                <w:szCs w:val="12"/>
                <w:color w:val="auto"/>
              </w:rPr>
            </w:pPr>
          </w:p>
        </w:tc>
        <w:tc>
          <w:tcPr>
            <w:tcW w:w="2460" w:type="dxa"/>
            <w:vAlign w:val="bottom"/>
            <w:tcBorders>
              <w:left w:val="single" w:sz="8" w:color="1414D2"/>
              <w:bottom w:val="single" w:sz="8" w:color="auto"/>
            </w:tcBorders>
            <w:shd w:val="clear" w:color="auto" w:fill="1414D2"/>
          </w:tcPr>
          <w:p>
            <w:pPr>
              <w:ind w:left="640"/>
              <w:spacing w:after="0"/>
              <w:rPr>
                <w:sz w:val="20"/>
                <w:szCs w:val="20"/>
                <w:color w:val="auto"/>
              </w:rPr>
            </w:pPr>
            <w:r>
              <w:rPr>
                <w:rFonts w:ascii="Arial" w:cs="Arial" w:eastAsia="Arial" w:hAnsi="Arial"/>
                <w:sz w:val="9"/>
                <w:szCs w:val="9"/>
                <w:b w:val="1"/>
                <w:bCs w:val="1"/>
                <w:color w:val="FFFFFF"/>
              </w:rPr>
              <w:t>Performance Measures (1)</w:t>
            </w:r>
          </w:p>
        </w:tc>
        <w:tc>
          <w:tcPr>
            <w:tcW w:w="560" w:type="dxa"/>
            <w:vAlign w:val="bottom"/>
            <w:tcBorders>
              <w:bottom w:val="single" w:sz="8" w:color="auto"/>
              <w:right w:val="single" w:sz="8" w:color="auto"/>
            </w:tcBorders>
            <w:shd w:val="clear" w:color="auto" w:fill="1414D2"/>
          </w:tcPr>
          <w:p>
            <w:pPr>
              <w:jc w:val="center"/>
              <w:spacing w:after="0"/>
              <w:rPr>
                <w:sz w:val="20"/>
                <w:szCs w:val="20"/>
                <w:color w:val="auto"/>
              </w:rPr>
            </w:pPr>
            <w:r>
              <w:rPr>
                <w:rFonts w:ascii="Arial" w:cs="Arial" w:eastAsia="Arial" w:hAnsi="Arial"/>
                <w:sz w:val="9"/>
                <w:szCs w:val="9"/>
                <w:b w:val="1"/>
                <w:bCs w:val="1"/>
                <w:color w:val="FFFFFF"/>
              </w:rPr>
              <w:t>Weighting</w:t>
            </w:r>
          </w:p>
        </w:tc>
        <w:tc>
          <w:tcPr>
            <w:tcW w:w="1360" w:type="dxa"/>
            <w:vAlign w:val="bottom"/>
            <w:tcBorders>
              <w:bottom w:val="single" w:sz="8" w:color="auto"/>
              <w:right w:val="single" w:sz="8" w:color="auto"/>
            </w:tcBorders>
            <w:shd w:val="clear" w:color="auto" w:fill="1414D2"/>
          </w:tcPr>
          <w:p>
            <w:pPr>
              <w:jc w:val="right"/>
              <w:ind w:right="398"/>
              <w:spacing w:after="0"/>
              <w:rPr>
                <w:sz w:val="20"/>
                <w:szCs w:val="20"/>
                <w:color w:val="auto"/>
              </w:rPr>
            </w:pPr>
            <w:r>
              <w:rPr>
                <w:rFonts w:ascii="Arial" w:cs="Arial" w:eastAsia="Arial" w:hAnsi="Arial"/>
                <w:sz w:val="9"/>
                <w:szCs w:val="9"/>
                <w:b w:val="1"/>
                <w:bCs w:val="1"/>
                <w:color w:val="FFFFFF"/>
              </w:rPr>
              <w:t>Entry (50%)</w:t>
            </w:r>
          </w:p>
        </w:tc>
        <w:tc>
          <w:tcPr>
            <w:tcW w:w="1360" w:type="dxa"/>
            <w:vAlign w:val="bottom"/>
            <w:tcBorders>
              <w:bottom w:val="single" w:sz="8" w:color="auto"/>
              <w:right w:val="single" w:sz="8" w:color="auto"/>
            </w:tcBorders>
            <w:shd w:val="clear" w:color="auto" w:fill="1414D2"/>
          </w:tcPr>
          <w:p>
            <w:pPr>
              <w:jc w:val="right"/>
              <w:ind w:right="337"/>
              <w:spacing w:after="0"/>
              <w:rPr>
                <w:sz w:val="20"/>
                <w:szCs w:val="20"/>
                <w:color w:val="auto"/>
              </w:rPr>
            </w:pPr>
            <w:r>
              <w:rPr>
                <w:rFonts w:ascii="Arial" w:cs="Arial" w:eastAsia="Arial" w:hAnsi="Arial"/>
                <w:sz w:val="9"/>
                <w:szCs w:val="9"/>
                <w:b w:val="1"/>
                <w:bCs w:val="1"/>
                <w:color w:val="FFFFFF"/>
              </w:rPr>
              <w:t>Target (100%)</w:t>
            </w:r>
          </w:p>
        </w:tc>
        <w:tc>
          <w:tcPr>
            <w:tcW w:w="1320" w:type="dxa"/>
            <w:vAlign w:val="bottom"/>
            <w:tcBorders>
              <w:bottom w:val="single" w:sz="8" w:color="auto"/>
              <w:right w:val="single" w:sz="8" w:color="auto"/>
            </w:tcBorders>
            <w:shd w:val="clear" w:color="auto" w:fill="1414D2"/>
          </w:tcPr>
          <w:p>
            <w:pPr>
              <w:jc w:val="right"/>
              <w:ind w:right="316"/>
              <w:spacing w:after="0"/>
              <w:rPr>
                <w:sz w:val="20"/>
                <w:szCs w:val="20"/>
                <w:color w:val="auto"/>
              </w:rPr>
            </w:pPr>
            <w:r>
              <w:rPr>
                <w:rFonts w:ascii="Arial" w:cs="Arial" w:eastAsia="Arial" w:hAnsi="Arial"/>
                <w:sz w:val="9"/>
                <w:szCs w:val="9"/>
                <w:b w:val="1"/>
                <w:bCs w:val="1"/>
                <w:color w:val="FFFFFF"/>
              </w:rPr>
              <w:t>Stretch (200%)</w:t>
            </w:r>
          </w:p>
        </w:tc>
        <w:tc>
          <w:tcPr>
            <w:tcW w:w="1380" w:type="dxa"/>
            <w:vAlign w:val="bottom"/>
            <w:tcBorders>
              <w:bottom w:val="single" w:sz="8" w:color="auto"/>
              <w:right w:val="single" w:sz="8" w:color="auto"/>
            </w:tcBorders>
            <w:shd w:val="clear" w:color="auto" w:fill="1414D2"/>
          </w:tcPr>
          <w:p>
            <w:pPr>
              <w:jc w:val="right"/>
              <w:ind w:right="336"/>
              <w:spacing w:after="0"/>
              <w:rPr>
                <w:sz w:val="20"/>
                <w:szCs w:val="20"/>
                <w:color w:val="auto"/>
              </w:rPr>
            </w:pPr>
            <w:r>
              <w:rPr>
                <w:rFonts w:ascii="Arial" w:cs="Arial" w:eastAsia="Arial" w:hAnsi="Arial"/>
                <w:sz w:val="9"/>
                <w:szCs w:val="9"/>
                <w:b w:val="1"/>
                <w:bCs w:val="1"/>
                <w:color w:val="FFFFFF"/>
              </w:rPr>
              <w:t>Actual Results</w:t>
            </w:r>
          </w:p>
        </w:tc>
        <w:tc>
          <w:tcPr>
            <w:tcW w:w="480" w:type="dxa"/>
            <w:vAlign w:val="bottom"/>
            <w:tcBorders>
              <w:bottom w:val="single" w:sz="8" w:color="auto"/>
            </w:tcBorders>
            <w:shd w:val="clear" w:color="auto" w:fill="1414D2"/>
          </w:tcPr>
          <w:p>
            <w:pPr>
              <w:jc w:val="center"/>
              <w:ind w:right="35"/>
              <w:spacing w:after="0"/>
              <w:rPr>
                <w:sz w:val="20"/>
                <w:szCs w:val="20"/>
                <w:color w:val="auto"/>
              </w:rPr>
            </w:pPr>
            <w:r>
              <w:rPr>
                <w:rFonts w:ascii="Arial" w:cs="Arial" w:eastAsia="Arial" w:hAnsi="Arial"/>
                <w:sz w:val="9"/>
                <w:szCs w:val="9"/>
                <w:b w:val="1"/>
                <w:bCs w:val="1"/>
                <w:color w:val="FFFFFF"/>
              </w:rPr>
              <w:t>Target)</w:t>
            </w:r>
          </w:p>
        </w:tc>
        <w:tc>
          <w:tcPr>
            <w:tcW w:w="560" w:type="dxa"/>
            <w:vAlign w:val="bottom"/>
            <w:tcBorders>
              <w:bottom w:val="single" w:sz="8" w:color="auto"/>
            </w:tcBorders>
            <w:shd w:val="clear" w:color="auto" w:fill="1414D2"/>
          </w:tcPr>
          <w:p>
            <w:pPr>
              <w:jc w:val="center"/>
              <w:spacing w:after="0"/>
              <w:rPr>
                <w:sz w:val="20"/>
                <w:szCs w:val="20"/>
                <w:color w:val="auto"/>
              </w:rPr>
            </w:pPr>
            <w:r>
              <w:rPr>
                <w:rFonts w:ascii="Arial" w:cs="Arial" w:eastAsia="Arial" w:hAnsi="Arial"/>
                <w:sz w:val="9"/>
                <w:szCs w:val="9"/>
                <w:b w:val="1"/>
                <w:bCs w:val="1"/>
                <w:color w:val="FFFFFF"/>
              </w:rPr>
              <w:t>Target)</w:t>
            </w: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78"/>
        </w:trPr>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2460" w:type="dxa"/>
            <w:vAlign w:val="bottom"/>
          </w:tcPr>
          <w:p>
            <w:pPr>
              <w:spacing w:after="0"/>
              <w:rPr>
                <w:sz w:val="6"/>
                <w:szCs w:val="6"/>
                <w:color w:val="auto"/>
              </w:rPr>
            </w:pPr>
          </w:p>
        </w:tc>
        <w:tc>
          <w:tcPr>
            <w:tcW w:w="560" w:type="dxa"/>
            <w:vAlign w:val="bottom"/>
            <w:tcBorders>
              <w:right w:val="single" w:sz="8" w:color="auto"/>
            </w:tcBorders>
          </w:tcPr>
          <w:p>
            <w:pPr>
              <w:spacing w:after="0"/>
              <w:rPr>
                <w:sz w:val="6"/>
                <w:szCs w:val="6"/>
                <w:color w:val="auto"/>
              </w:rPr>
            </w:pPr>
          </w:p>
        </w:tc>
        <w:tc>
          <w:tcPr>
            <w:tcW w:w="1360" w:type="dxa"/>
            <w:vAlign w:val="bottom"/>
            <w:tcBorders>
              <w:right w:val="single" w:sz="8" w:color="auto"/>
            </w:tcBorders>
          </w:tcPr>
          <w:p>
            <w:pPr>
              <w:spacing w:after="0"/>
              <w:rPr>
                <w:sz w:val="6"/>
                <w:szCs w:val="6"/>
                <w:color w:val="auto"/>
              </w:rPr>
            </w:pPr>
          </w:p>
        </w:tc>
        <w:tc>
          <w:tcPr>
            <w:tcW w:w="1360" w:type="dxa"/>
            <w:vAlign w:val="bottom"/>
            <w:tcBorders>
              <w:right w:val="single" w:sz="8" w:color="auto"/>
            </w:tcBorders>
          </w:tcPr>
          <w:p>
            <w:pPr>
              <w:jc w:val="right"/>
              <w:ind w:right="17"/>
              <w:spacing w:after="0" w:line="78" w:lineRule="exact"/>
              <w:rPr>
                <w:sz w:val="20"/>
                <w:szCs w:val="20"/>
                <w:color w:val="auto"/>
              </w:rPr>
            </w:pPr>
            <w:r>
              <w:rPr>
                <w:rFonts w:ascii="Arial" w:cs="Arial" w:eastAsia="Arial" w:hAnsi="Arial"/>
                <w:sz w:val="9"/>
                <w:szCs w:val="9"/>
                <w:color w:val="auto"/>
                <w:w w:val="97"/>
              </w:rPr>
              <w:t>1  to  2  pts  better  than  industry</w:t>
            </w:r>
          </w:p>
        </w:tc>
        <w:tc>
          <w:tcPr>
            <w:tcW w:w="1320" w:type="dxa"/>
            <w:vAlign w:val="bottom"/>
            <w:tcBorders>
              <w:right w:val="single" w:sz="8" w:color="auto"/>
            </w:tcBorders>
          </w:tcPr>
          <w:p>
            <w:pPr>
              <w:spacing w:after="0"/>
              <w:rPr>
                <w:sz w:val="6"/>
                <w:szCs w:val="6"/>
                <w:color w:val="auto"/>
              </w:rPr>
            </w:pPr>
          </w:p>
        </w:tc>
        <w:tc>
          <w:tcPr>
            <w:tcW w:w="1380" w:type="dxa"/>
            <w:vAlign w:val="bottom"/>
            <w:tcBorders>
              <w:right w:val="single" w:sz="8" w:color="auto"/>
            </w:tcBorders>
          </w:tcPr>
          <w:p>
            <w:pPr>
              <w:jc w:val="right"/>
              <w:ind w:right="16"/>
              <w:spacing w:after="0" w:line="78" w:lineRule="exact"/>
              <w:rPr>
                <w:sz w:val="20"/>
                <w:szCs w:val="20"/>
                <w:color w:val="auto"/>
              </w:rPr>
            </w:pPr>
            <w:r>
              <w:rPr>
                <w:rFonts w:ascii="Arial" w:cs="Arial" w:eastAsia="Arial" w:hAnsi="Arial"/>
                <w:sz w:val="9"/>
                <w:szCs w:val="9"/>
                <w:color w:val="auto"/>
              </w:rPr>
              <w:t>1.97  pts  better  than  industry</w:t>
            </w:r>
          </w:p>
        </w:tc>
        <w:tc>
          <w:tcPr>
            <w:tcW w:w="4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60" w:type="dxa"/>
            <w:vAlign w:val="bottom"/>
            <w:tcBorders>
              <w:bottom w:val="single" w:sz="8" w:color="auto"/>
            </w:tcBorders>
          </w:tcPr>
          <w:p>
            <w:pPr>
              <w:ind w:left="20"/>
              <w:spacing w:after="0"/>
              <w:rPr>
                <w:sz w:val="20"/>
                <w:szCs w:val="20"/>
                <w:color w:val="auto"/>
              </w:rPr>
            </w:pPr>
            <w:r>
              <w:rPr>
                <w:rFonts w:ascii="Arial" w:cs="Arial" w:eastAsia="Arial" w:hAnsi="Arial"/>
                <w:sz w:val="9"/>
                <w:szCs w:val="9"/>
                <w:color w:val="auto"/>
              </w:rPr>
              <w:t>CASM-ex  (2,  3)</w:t>
            </w:r>
          </w:p>
        </w:tc>
        <w:tc>
          <w:tcPr>
            <w:tcW w:w="560" w:type="dxa"/>
            <w:vAlign w:val="bottom"/>
            <w:tcBorders>
              <w:bottom w:val="single" w:sz="8" w:color="auto"/>
              <w:right w:val="single" w:sz="8" w:color="auto"/>
            </w:tcBorders>
          </w:tcPr>
          <w:p>
            <w:pPr>
              <w:jc w:val="center"/>
              <w:ind w:left="195"/>
              <w:spacing w:after="0"/>
              <w:rPr>
                <w:sz w:val="20"/>
                <w:szCs w:val="20"/>
                <w:color w:val="auto"/>
              </w:rPr>
            </w:pPr>
            <w:r>
              <w:rPr>
                <w:rFonts w:ascii="Arial" w:cs="Arial" w:eastAsia="Arial" w:hAnsi="Arial"/>
                <w:sz w:val="9"/>
                <w:szCs w:val="9"/>
                <w:color w:val="auto"/>
                <w:w w:val="88"/>
              </w:rPr>
              <w:t>40%</w:t>
            </w:r>
          </w:p>
        </w:tc>
        <w:tc>
          <w:tcPr>
            <w:tcW w:w="1360" w:type="dxa"/>
            <w:vAlign w:val="bottom"/>
            <w:tcBorders>
              <w:bottom w:val="single" w:sz="8" w:color="auto"/>
              <w:right w:val="single" w:sz="8" w:color="auto"/>
            </w:tcBorders>
          </w:tcPr>
          <w:p>
            <w:pPr>
              <w:jc w:val="right"/>
              <w:ind w:right="18"/>
              <w:spacing w:after="0"/>
              <w:rPr>
                <w:sz w:val="20"/>
                <w:szCs w:val="20"/>
                <w:color w:val="auto"/>
              </w:rPr>
            </w:pPr>
            <w:r>
              <w:rPr>
                <w:rFonts w:ascii="Arial" w:cs="Arial" w:eastAsia="Arial" w:hAnsi="Arial"/>
                <w:sz w:val="9"/>
                <w:szCs w:val="9"/>
                <w:color w:val="auto"/>
              </w:rPr>
              <w:t>Equal  to  industry  avg</w:t>
            </w:r>
          </w:p>
        </w:tc>
        <w:tc>
          <w:tcPr>
            <w:tcW w:w="1360" w:type="dxa"/>
            <w:vAlign w:val="bottom"/>
            <w:tcBorders>
              <w:bottom w:val="single" w:sz="8" w:color="auto"/>
              <w:right w:val="single" w:sz="8" w:color="auto"/>
            </w:tcBorders>
          </w:tcPr>
          <w:p>
            <w:pPr>
              <w:jc w:val="right"/>
              <w:ind w:right="17"/>
              <w:spacing w:after="0"/>
              <w:rPr>
                <w:sz w:val="20"/>
                <w:szCs w:val="20"/>
                <w:color w:val="auto"/>
              </w:rPr>
            </w:pPr>
            <w:r>
              <w:rPr>
                <w:rFonts w:ascii="Arial" w:cs="Arial" w:eastAsia="Arial" w:hAnsi="Arial"/>
                <w:sz w:val="9"/>
                <w:szCs w:val="9"/>
                <w:color w:val="auto"/>
              </w:rPr>
              <w:t>avg</w:t>
            </w:r>
          </w:p>
        </w:tc>
        <w:tc>
          <w:tcPr>
            <w:tcW w:w="1320" w:type="dxa"/>
            <w:vAlign w:val="bottom"/>
            <w:tcBorders>
              <w:bottom w:val="single" w:sz="8" w:color="auto"/>
              <w:right w:val="single" w:sz="8" w:color="auto"/>
            </w:tcBorders>
          </w:tcPr>
          <w:p>
            <w:pPr>
              <w:jc w:val="right"/>
              <w:ind w:right="16"/>
              <w:spacing w:after="0"/>
              <w:rPr>
                <w:sz w:val="20"/>
                <w:szCs w:val="20"/>
                <w:color w:val="auto"/>
              </w:rPr>
            </w:pPr>
            <w:r>
              <w:rPr>
                <w:rFonts w:ascii="Arial" w:cs="Arial" w:eastAsia="Arial" w:hAnsi="Arial"/>
                <w:sz w:val="9"/>
                <w:szCs w:val="9"/>
                <w:color w:val="auto"/>
                <w:w w:val="96"/>
              </w:rPr>
              <w:t>4  pts  better  than  industry  avg</w:t>
            </w:r>
          </w:p>
        </w:tc>
        <w:tc>
          <w:tcPr>
            <w:tcW w:w="1380" w:type="dxa"/>
            <w:vAlign w:val="bottom"/>
            <w:tcBorders>
              <w:bottom w:val="single" w:sz="8" w:color="auto"/>
              <w:right w:val="single" w:sz="8" w:color="auto"/>
            </w:tcBorders>
          </w:tcPr>
          <w:p>
            <w:pPr>
              <w:jc w:val="right"/>
              <w:ind w:right="16"/>
              <w:spacing w:after="0"/>
              <w:rPr>
                <w:sz w:val="20"/>
                <w:szCs w:val="20"/>
                <w:color w:val="auto"/>
              </w:rPr>
            </w:pPr>
            <w:r>
              <w:rPr>
                <w:rFonts w:ascii="Arial" w:cs="Arial" w:eastAsia="Arial" w:hAnsi="Arial"/>
                <w:sz w:val="9"/>
                <w:szCs w:val="9"/>
                <w:color w:val="auto"/>
              </w:rPr>
              <w:t>avg</w:t>
            </w:r>
          </w:p>
        </w:tc>
        <w:tc>
          <w:tcPr>
            <w:tcW w:w="480" w:type="dxa"/>
            <w:vAlign w:val="bottom"/>
            <w:tcBorders>
              <w:bottom w:val="single" w:sz="8" w:color="auto"/>
            </w:tcBorders>
          </w:tcPr>
          <w:p>
            <w:pPr>
              <w:jc w:val="right"/>
              <w:ind w:right="55"/>
              <w:spacing w:after="0"/>
              <w:rPr>
                <w:sz w:val="20"/>
                <w:szCs w:val="20"/>
                <w:color w:val="auto"/>
              </w:rPr>
            </w:pPr>
            <w:r>
              <w:rPr>
                <w:rFonts w:ascii="Arial" w:cs="Arial" w:eastAsia="Arial" w:hAnsi="Arial"/>
                <w:sz w:val="9"/>
                <w:szCs w:val="9"/>
                <w:color w:val="auto"/>
              </w:rPr>
              <w:t>100%</w:t>
            </w: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20" w:type="dxa"/>
            <w:vAlign w:val="bottom"/>
            <w:gridSpan w:val="2"/>
            <w:textDirection w:val="btLr"/>
          </w:tcPr>
          <w:p>
            <w:pPr>
              <w:spacing w:after="0"/>
              <w:rPr>
                <w:sz w:val="20"/>
                <w:szCs w:val="20"/>
                <w:color w:val="auto"/>
              </w:rPr>
            </w:pPr>
            <w:r>
              <w:rPr>
                <w:rFonts w:ascii="Arial" w:cs="Arial" w:eastAsia="Arial" w:hAnsi="Arial"/>
                <w:sz w:val="9"/>
                <w:szCs w:val="9"/>
                <w:b w:val="1"/>
                <w:bCs w:val="1"/>
                <w:color w:val="auto"/>
              </w:rPr>
              <w:t>1</w:t>
            </w:r>
          </w:p>
        </w:tc>
        <w:tc>
          <w:tcPr>
            <w:tcW w:w="20" w:type="dxa"/>
            <w:vAlign w:val="bottom"/>
          </w:tcPr>
          <w:p>
            <w:pPr>
              <w:spacing w:after="0"/>
              <w:rPr>
                <w:sz w:val="6"/>
                <w:szCs w:val="6"/>
                <w:color w:val="auto"/>
              </w:rPr>
            </w:pPr>
          </w:p>
        </w:tc>
        <w:tc>
          <w:tcPr>
            <w:tcW w:w="2460" w:type="dxa"/>
            <w:vAlign w:val="bottom"/>
          </w:tcPr>
          <w:p>
            <w:pPr>
              <w:spacing w:after="0"/>
              <w:rPr>
                <w:sz w:val="6"/>
                <w:szCs w:val="6"/>
                <w:color w:val="auto"/>
              </w:rPr>
            </w:pPr>
          </w:p>
        </w:tc>
        <w:tc>
          <w:tcPr>
            <w:tcW w:w="560" w:type="dxa"/>
            <w:vAlign w:val="bottom"/>
            <w:tcBorders>
              <w:right w:val="single" w:sz="8" w:color="auto"/>
            </w:tcBorders>
          </w:tcPr>
          <w:p>
            <w:pPr>
              <w:spacing w:after="0"/>
              <w:rPr>
                <w:sz w:val="6"/>
                <w:szCs w:val="6"/>
                <w:color w:val="auto"/>
              </w:rPr>
            </w:pPr>
          </w:p>
        </w:tc>
        <w:tc>
          <w:tcPr>
            <w:tcW w:w="1360" w:type="dxa"/>
            <w:vAlign w:val="bottom"/>
            <w:tcBorders>
              <w:right w:val="single" w:sz="8" w:color="auto"/>
            </w:tcBorders>
          </w:tcPr>
          <w:p>
            <w:pPr>
              <w:spacing w:after="0"/>
              <w:rPr>
                <w:sz w:val="6"/>
                <w:szCs w:val="6"/>
                <w:color w:val="auto"/>
              </w:rPr>
            </w:pPr>
          </w:p>
        </w:tc>
        <w:tc>
          <w:tcPr>
            <w:tcW w:w="1360" w:type="dxa"/>
            <w:vAlign w:val="bottom"/>
            <w:tcBorders>
              <w:right w:val="single" w:sz="8" w:color="auto"/>
            </w:tcBorders>
          </w:tcPr>
          <w:p>
            <w:pPr>
              <w:jc w:val="right"/>
              <w:ind w:right="17"/>
              <w:spacing w:after="0" w:line="75" w:lineRule="exact"/>
              <w:rPr>
                <w:sz w:val="20"/>
                <w:szCs w:val="20"/>
                <w:color w:val="auto"/>
              </w:rPr>
            </w:pPr>
            <w:r>
              <w:rPr>
                <w:rFonts w:ascii="Arial" w:cs="Arial" w:eastAsia="Arial" w:hAnsi="Arial"/>
                <w:sz w:val="8"/>
                <w:szCs w:val="8"/>
                <w:color w:val="auto"/>
              </w:rPr>
              <w:t>Signifcantly  higher  than</w:t>
            </w:r>
          </w:p>
        </w:tc>
        <w:tc>
          <w:tcPr>
            <w:tcW w:w="1320" w:type="dxa"/>
            <w:vAlign w:val="bottom"/>
            <w:tcBorders>
              <w:right w:val="single" w:sz="8" w:color="auto"/>
            </w:tcBorders>
          </w:tcPr>
          <w:p>
            <w:pPr>
              <w:spacing w:after="0"/>
              <w:rPr>
                <w:sz w:val="6"/>
                <w:szCs w:val="6"/>
                <w:color w:val="auto"/>
              </w:rPr>
            </w:pPr>
          </w:p>
        </w:tc>
        <w:tc>
          <w:tcPr>
            <w:tcW w:w="1380" w:type="dxa"/>
            <w:vAlign w:val="bottom"/>
            <w:tcBorders>
              <w:right w:val="single" w:sz="8" w:color="auto"/>
            </w:tcBorders>
          </w:tcPr>
          <w:p>
            <w:pPr>
              <w:spacing w:after="0"/>
              <w:rPr>
                <w:sz w:val="6"/>
                <w:szCs w:val="6"/>
                <w:color w:val="auto"/>
              </w:rPr>
            </w:pPr>
          </w:p>
        </w:tc>
        <w:tc>
          <w:tcPr>
            <w:tcW w:w="4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240" w:type="dxa"/>
            <w:vAlign w:val="bottom"/>
            <w:gridSpan w:val="3"/>
            <w:vMerge w:val="restart"/>
            <w:textDirection w:val="btLr"/>
          </w:tcPr>
          <w:p>
            <w:pPr>
              <w:spacing w:after="0"/>
              <w:rPr>
                <w:sz w:val="20"/>
                <w:szCs w:val="20"/>
                <w:color w:val="auto"/>
              </w:rPr>
            </w:pPr>
            <w:r>
              <w:rPr>
                <w:rFonts w:ascii="Arial" w:cs="Arial" w:eastAsia="Arial" w:hAnsi="Arial"/>
                <w:sz w:val="9"/>
                <w:szCs w:val="9"/>
                <w:b w:val="1"/>
                <w:bCs w:val="1"/>
                <w:color w:val="auto"/>
                <w:w w:val="91"/>
              </w:rPr>
              <w:t>Tranche</w:t>
            </w:r>
          </w:p>
        </w:tc>
        <w:tc>
          <w:tcPr>
            <w:tcW w:w="2460" w:type="dxa"/>
            <w:vAlign w:val="bottom"/>
            <w:tcBorders>
              <w:bottom w:val="single" w:sz="8" w:color="auto"/>
            </w:tcBorders>
          </w:tcPr>
          <w:p>
            <w:pPr>
              <w:ind w:left="20"/>
              <w:spacing w:after="0"/>
              <w:rPr>
                <w:sz w:val="20"/>
                <w:szCs w:val="20"/>
                <w:color w:val="auto"/>
              </w:rPr>
            </w:pPr>
            <w:r>
              <w:rPr>
                <w:rFonts w:ascii="Arial" w:cs="Arial" w:eastAsia="Arial" w:hAnsi="Arial"/>
                <w:sz w:val="9"/>
                <w:szCs w:val="9"/>
                <w:color w:val="auto"/>
              </w:rPr>
              <w:t>Technician  Hiring  (4)</w:t>
            </w:r>
          </w:p>
        </w:tc>
        <w:tc>
          <w:tcPr>
            <w:tcW w:w="560" w:type="dxa"/>
            <w:vAlign w:val="bottom"/>
            <w:tcBorders>
              <w:bottom w:val="single" w:sz="8" w:color="auto"/>
              <w:right w:val="single" w:sz="8" w:color="auto"/>
            </w:tcBorders>
          </w:tcPr>
          <w:p>
            <w:pPr>
              <w:jc w:val="center"/>
              <w:ind w:left="195"/>
              <w:spacing w:after="0"/>
              <w:rPr>
                <w:sz w:val="20"/>
                <w:szCs w:val="20"/>
                <w:color w:val="auto"/>
              </w:rPr>
            </w:pPr>
            <w:r>
              <w:rPr>
                <w:rFonts w:ascii="Arial" w:cs="Arial" w:eastAsia="Arial" w:hAnsi="Arial"/>
                <w:sz w:val="9"/>
                <w:szCs w:val="9"/>
                <w:color w:val="auto"/>
                <w:w w:val="88"/>
              </w:rPr>
              <w:t>13%</w:t>
            </w:r>
          </w:p>
        </w:tc>
        <w:tc>
          <w:tcPr>
            <w:tcW w:w="1360" w:type="dxa"/>
            <w:vAlign w:val="bottom"/>
            <w:tcBorders>
              <w:bottom w:val="single" w:sz="8" w:color="auto"/>
              <w:right w:val="single" w:sz="8" w:color="auto"/>
            </w:tcBorders>
          </w:tcPr>
          <w:p>
            <w:pPr>
              <w:jc w:val="right"/>
              <w:ind w:right="18"/>
              <w:spacing w:after="0"/>
              <w:rPr>
                <w:sz w:val="20"/>
                <w:szCs w:val="20"/>
                <w:color w:val="auto"/>
              </w:rPr>
            </w:pPr>
            <w:r>
              <w:rPr>
                <w:rFonts w:ascii="Arial" w:cs="Arial" w:eastAsia="Arial" w:hAnsi="Arial"/>
                <w:sz w:val="9"/>
                <w:szCs w:val="9"/>
                <w:color w:val="auto"/>
              </w:rPr>
              <w:t>Target  level  -5%</w:t>
            </w:r>
          </w:p>
        </w:tc>
        <w:tc>
          <w:tcPr>
            <w:tcW w:w="1360" w:type="dxa"/>
            <w:vAlign w:val="bottom"/>
            <w:tcBorders>
              <w:bottom w:val="single" w:sz="8" w:color="auto"/>
              <w:right w:val="single" w:sz="8" w:color="auto"/>
            </w:tcBorders>
          </w:tcPr>
          <w:p>
            <w:pPr>
              <w:jc w:val="right"/>
              <w:ind w:right="17"/>
              <w:spacing w:after="0"/>
              <w:rPr>
                <w:sz w:val="20"/>
                <w:szCs w:val="20"/>
                <w:color w:val="auto"/>
              </w:rPr>
            </w:pPr>
            <w:r>
              <w:rPr>
                <w:rFonts w:ascii="Arial" w:cs="Arial" w:eastAsia="Arial" w:hAnsi="Arial"/>
                <w:sz w:val="9"/>
                <w:szCs w:val="9"/>
                <w:color w:val="auto"/>
              </w:rPr>
              <w:t>historical  levels</w:t>
            </w:r>
          </w:p>
        </w:tc>
        <w:tc>
          <w:tcPr>
            <w:tcW w:w="1320" w:type="dxa"/>
            <w:vAlign w:val="bottom"/>
            <w:tcBorders>
              <w:bottom w:val="single" w:sz="8" w:color="auto"/>
              <w:right w:val="single" w:sz="8" w:color="auto"/>
            </w:tcBorders>
          </w:tcPr>
          <w:p>
            <w:pPr>
              <w:jc w:val="right"/>
              <w:ind w:right="16"/>
              <w:spacing w:after="0"/>
              <w:rPr>
                <w:sz w:val="20"/>
                <w:szCs w:val="20"/>
                <w:color w:val="auto"/>
              </w:rPr>
            </w:pPr>
            <w:r>
              <w:rPr>
                <w:rFonts w:ascii="Arial" w:cs="Arial" w:eastAsia="Arial" w:hAnsi="Arial"/>
                <w:sz w:val="9"/>
                <w:szCs w:val="9"/>
                <w:color w:val="auto"/>
              </w:rPr>
              <w:t>Target  level  +5%</w:t>
            </w:r>
          </w:p>
        </w:tc>
        <w:tc>
          <w:tcPr>
            <w:tcW w:w="1380" w:type="dxa"/>
            <w:vAlign w:val="bottom"/>
            <w:tcBorders>
              <w:bottom w:val="single" w:sz="8" w:color="auto"/>
              <w:right w:val="single" w:sz="8" w:color="auto"/>
            </w:tcBorders>
          </w:tcPr>
          <w:p>
            <w:pPr>
              <w:jc w:val="right"/>
              <w:ind w:right="16"/>
              <w:spacing w:after="0"/>
              <w:rPr>
                <w:sz w:val="20"/>
                <w:szCs w:val="20"/>
                <w:color w:val="auto"/>
              </w:rPr>
            </w:pPr>
            <w:r>
              <w:rPr>
                <w:rFonts w:ascii="Arial" w:cs="Arial" w:eastAsia="Arial" w:hAnsi="Arial"/>
                <w:sz w:val="9"/>
                <w:szCs w:val="9"/>
                <w:color w:val="auto"/>
              </w:rPr>
              <w:t>Between  Target  and  Stretch</w:t>
            </w:r>
          </w:p>
        </w:tc>
        <w:tc>
          <w:tcPr>
            <w:tcW w:w="480" w:type="dxa"/>
            <w:vAlign w:val="bottom"/>
            <w:tcBorders>
              <w:bottom w:val="single" w:sz="8" w:color="auto"/>
            </w:tcBorders>
          </w:tcPr>
          <w:p>
            <w:pPr>
              <w:jc w:val="right"/>
              <w:ind w:right="55"/>
              <w:spacing w:after="0"/>
              <w:rPr>
                <w:sz w:val="20"/>
                <w:szCs w:val="20"/>
                <w:color w:val="auto"/>
              </w:rPr>
            </w:pPr>
            <w:r>
              <w:rPr>
                <w:rFonts w:ascii="Arial" w:cs="Arial" w:eastAsia="Arial" w:hAnsi="Arial"/>
                <w:sz w:val="9"/>
                <w:szCs w:val="9"/>
                <w:color w:val="auto"/>
              </w:rPr>
              <w:t>160%</w:t>
            </w: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40" w:type="dxa"/>
            <w:vAlign w:val="bottom"/>
            <w:gridSpan w:val="3"/>
            <w:vMerge w:val="continue"/>
          </w:tcPr>
          <w:p>
            <w:pPr>
              <w:spacing w:after="0"/>
              <w:rPr>
                <w:sz w:val="13"/>
                <w:szCs w:val="13"/>
                <w:color w:val="auto"/>
              </w:rPr>
            </w:pPr>
          </w:p>
        </w:tc>
        <w:tc>
          <w:tcPr>
            <w:tcW w:w="2460" w:type="dxa"/>
            <w:vAlign w:val="bottom"/>
            <w:vMerge w:val="restart"/>
          </w:tcPr>
          <w:p>
            <w:pPr>
              <w:ind w:left="20"/>
              <w:spacing w:after="0"/>
              <w:rPr>
                <w:sz w:val="20"/>
                <w:szCs w:val="20"/>
                <w:color w:val="auto"/>
              </w:rPr>
            </w:pPr>
            <w:r>
              <w:rPr>
                <w:rFonts w:ascii="Arial" w:cs="Arial" w:eastAsia="Arial" w:hAnsi="Arial"/>
                <w:sz w:val="9"/>
                <w:szCs w:val="9"/>
                <w:color w:val="auto"/>
              </w:rPr>
              <w:t>United  Next  Actions</w:t>
            </w:r>
          </w:p>
        </w:tc>
        <w:tc>
          <w:tcPr>
            <w:tcW w:w="560" w:type="dxa"/>
            <w:vAlign w:val="bottom"/>
            <w:tcBorders>
              <w:right w:val="single" w:sz="8" w:color="auto"/>
            </w:tcBorders>
            <w:vMerge w:val="restart"/>
          </w:tcPr>
          <w:p>
            <w:pPr>
              <w:jc w:val="center"/>
              <w:ind w:left="195"/>
              <w:spacing w:after="0"/>
              <w:rPr>
                <w:sz w:val="20"/>
                <w:szCs w:val="20"/>
                <w:color w:val="auto"/>
              </w:rPr>
            </w:pPr>
            <w:r>
              <w:rPr>
                <w:rFonts w:ascii="Arial" w:cs="Arial" w:eastAsia="Arial" w:hAnsi="Arial"/>
                <w:sz w:val="9"/>
                <w:szCs w:val="9"/>
                <w:color w:val="auto"/>
                <w:w w:val="88"/>
              </w:rPr>
              <w:t>27%</w:t>
            </w:r>
          </w:p>
        </w:tc>
        <w:tc>
          <w:tcPr>
            <w:tcW w:w="1360" w:type="dxa"/>
            <w:vAlign w:val="bottom"/>
            <w:tcBorders>
              <w:right w:val="single" w:sz="8" w:color="auto"/>
            </w:tcBorders>
            <w:vMerge w:val="restart"/>
          </w:tcPr>
          <w:p>
            <w:pPr>
              <w:jc w:val="right"/>
              <w:ind w:right="18"/>
              <w:spacing w:after="0"/>
              <w:rPr>
                <w:sz w:val="20"/>
                <w:szCs w:val="20"/>
                <w:color w:val="auto"/>
              </w:rPr>
            </w:pPr>
            <w:r>
              <w:rPr>
                <w:rFonts w:ascii="Arial" w:cs="Arial" w:eastAsia="Arial" w:hAnsi="Arial"/>
                <w:sz w:val="9"/>
                <w:szCs w:val="9"/>
                <w:color w:val="auto"/>
              </w:rPr>
              <w:t>(5)</w:t>
            </w:r>
          </w:p>
        </w:tc>
        <w:tc>
          <w:tcPr>
            <w:tcW w:w="1360" w:type="dxa"/>
            <w:vAlign w:val="bottom"/>
            <w:tcBorders>
              <w:right w:val="single" w:sz="8" w:color="auto"/>
            </w:tcBorders>
            <w:vMerge w:val="restart"/>
          </w:tcPr>
          <w:p>
            <w:pPr>
              <w:jc w:val="right"/>
              <w:ind w:right="17"/>
              <w:spacing w:after="0"/>
              <w:rPr>
                <w:sz w:val="20"/>
                <w:szCs w:val="20"/>
                <w:color w:val="auto"/>
              </w:rPr>
            </w:pPr>
            <w:r>
              <w:rPr>
                <w:rFonts w:ascii="Arial" w:cs="Arial" w:eastAsia="Arial" w:hAnsi="Arial"/>
                <w:sz w:val="9"/>
                <w:szCs w:val="9"/>
                <w:color w:val="auto"/>
              </w:rPr>
              <w:t>(5)</w:t>
            </w:r>
          </w:p>
        </w:tc>
        <w:tc>
          <w:tcPr>
            <w:tcW w:w="1320" w:type="dxa"/>
            <w:vAlign w:val="bottom"/>
            <w:tcBorders>
              <w:right w:val="single" w:sz="8" w:color="auto"/>
            </w:tcBorders>
            <w:vMerge w:val="restart"/>
          </w:tcPr>
          <w:p>
            <w:pPr>
              <w:jc w:val="right"/>
              <w:ind w:right="16"/>
              <w:spacing w:after="0"/>
              <w:rPr>
                <w:sz w:val="20"/>
                <w:szCs w:val="20"/>
                <w:color w:val="auto"/>
              </w:rPr>
            </w:pPr>
            <w:r>
              <w:rPr>
                <w:rFonts w:ascii="Arial" w:cs="Arial" w:eastAsia="Arial" w:hAnsi="Arial"/>
                <w:sz w:val="9"/>
                <w:szCs w:val="9"/>
                <w:color w:val="auto"/>
              </w:rPr>
              <w:t>(5)</w:t>
            </w:r>
          </w:p>
        </w:tc>
        <w:tc>
          <w:tcPr>
            <w:tcW w:w="1380" w:type="dxa"/>
            <w:vAlign w:val="bottom"/>
            <w:tcBorders>
              <w:right w:val="single" w:sz="8" w:color="auto"/>
            </w:tcBorders>
            <w:vMerge w:val="restart"/>
          </w:tcPr>
          <w:p>
            <w:pPr>
              <w:jc w:val="right"/>
              <w:ind w:right="16"/>
              <w:spacing w:after="0"/>
              <w:rPr>
                <w:sz w:val="20"/>
                <w:szCs w:val="20"/>
                <w:color w:val="auto"/>
              </w:rPr>
            </w:pPr>
            <w:r>
              <w:rPr>
                <w:rFonts w:ascii="Arial" w:cs="Arial" w:eastAsia="Arial" w:hAnsi="Arial"/>
                <w:sz w:val="9"/>
                <w:szCs w:val="9"/>
                <w:color w:val="auto"/>
              </w:rPr>
              <w:t>(5)</w:t>
            </w:r>
          </w:p>
        </w:tc>
        <w:tc>
          <w:tcPr>
            <w:tcW w:w="480" w:type="dxa"/>
            <w:vAlign w:val="bottom"/>
            <w:vMerge w:val="restart"/>
          </w:tcPr>
          <w:p>
            <w:pPr>
              <w:jc w:val="right"/>
              <w:ind w:right="55"/>
              <w:spacing w:after="0"/>
              <w:rPr>
                <w:sz w:val="20"/>
                <w:szCs w:val="20"/>
                <w:color w:val="auto"/>
              </w:rPr>
            </w:pPr>
            <w:r>
              <w:rPr>
                <w:rFonts w:ascii="Arial" w:cs="Arial" w:eastAsia="Arial" w:hAnsi="Arial"/>
                <w:sz w:val="9"/>
                <w:szCs w:val="9"/>
                <w:color w:val="auto"/>
              </w:rPr>
              <w:t>183%</w:t>
            </w: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60" w:type="dxa"/>
            <w:vAlign w:val="bottom"/>
            <w:tcBorders>
              <w:bottom w:val="single" w:sz="8" w:color="auto"/>
            </w:tcBorders>
            <w:vMerge w:val="continue"/>
          </w:tcPr>
          <w:p>
            <w:pPr>
              <w:spacing w:after="0"/>
              <w:rPr>
                <w:sz w:val="2"/>
                <w:szCs w:val="2"/>
                <w:color w:val="auto"/>
              </w:rPr>
            </w:pPr>
          </w:p>
        </w:tc>
        <w:tc>
          <w:tcPr>
            <w:tcW w:w="560" w:type="dxa"/>
            <w:vAlign w:val="bottom"/>
            <w:tcBorders>
              <w:bottom w:val="single" w:sz="8" w:color="auto"/>
              <w:right w:val="single" w:sz="8" w:color="auto"/>
            </w:tcBorders>
            <w:vMerge w:val="continue"/>
          </w:tcPr>
          <w:p>
            <w:pPr>
              <w:spacing w:after="0"/>
              <w:rPr>
                <w:sz w:val="2"/>
                <w:szCs w:val="2"/>
                <w:color w:val="auto"/>
              </w:rPr>
            </w:pPr>
          </w:p>
        </w:tc>
        <w:tc>
          <w:tcPr>
            <w:tcW w:w="1360" w:type="dxa"/>
            <w:vAlign w:val="bottom"/>
            <w:tcBorders>
              <w:bottom w:val="single" w:sz="8" w:color="auto"/>
              <w:right w:val="single" w:sz="8" w:color="auto"/>
            </w:tcBorders>
            <w:vMerge w:val="continue"/>
          </w:tcPr>
          <w:p>
            <w:pPr>
              <w:spacing w:after="0"/>
              <w:rPr>
                <w:sz w:val="2"/>
                <w:szCs w:val="2"/>
                <w:color w:val="auto"/>
              </w:rPr>
            </w:pPr>
          </w:p>
        </w:tc>
        <w:tc>
          <w:tcPr>
            <w:tcW w:w="1360" w:type="dxa"/>
            <w:vAlign w:val="bottom"/>
            <w:tcBorders>
              <w:bottom w:val="single" w:sz="8" w:color="auto"/>
              <w:right w:val="single" w:sz="8" w:color="auto"/>
            </w:tcBorders>
            <w:vMerge w:val="continue"/>
          </w:tcPr>
          <w:p>
            <w:pPr>
              <w:spacing w:after="0"/>
              <w:rPr>
                <w:sz w:val="2"/>
                <w:szCs w:val="2"/>
                <w:color w:val="auto"/>
              </w:rPr>
            </w:pPr>
          </w:p>
        </w:tc>
        <w:tc>
          <w:tcPr>
            <w:tcW w:w="1320" w:type="dxa"/>
            <w:vAlign w:val="bottom"/>
            <w:tcBorders>
              <w:bottom w:val="single" w:sz="8" w:color="auto"/>
              <w:right w:val="single" w:sz="8" w:color="auto"/>
            </w:tcBorders>
            <w:vMerge w:val="continue"/>
          </w:tcPr>
          <w:p>
            <w:pPr>
              <w:spacing w:after="0"/>
              <w:rPr>
                <w:sz w:val="2"/>
                <w:szCs w:val="2"/>
                <w:color w:val="auto"/>
              </w:rPr>
            </w:pPr>
          </w:p>
        </w:tc>
        <w:tc>
          <w:tcPr>
            <w:tcW w:w="1380" w:type="dxa"/>
            <w:vAlign w:val="bottom"/>
            <w:tcBorders>
              <w:bottom w:val="single" w:sz="8" w:color="auto"/>
              <w:right w:val="single" w:sz="8" w:color="auto"/>
            </w:tcBorders>
            <w:vMerge w:val="continue"/>
          </w:tcPr>
          <w:p>
            <w:pPr>
              <w:spacing w:after="0"/>
              <w:rPr>
                <w:sz w:val="2"/>
                <w:szCs w:val="2"/>
                <w:color w:val="auto"/>
              </w:rPr>
            </w:pPr>
          </w:p>
        </w:tc>
        <w:tc>
          <w:tcPr>
            <w:tcW w:w="480" w:type="dxa"/>
            <w:vAlign w:val="bottom"/>
            <w:tcBorders>
              <w:bottom w:val="single" w:sz="8" w:color="auto"/>
            </w:tcBorders>
            <w:vMerge w:val="continue"/>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60" w:type="dxa"/>
            <w:vAlign w:val="bottom"/>
          </w:tcPr>
          <w:p>
            <w:pPr>
              <w:spacing w:after="0"/>
              <w:rPr>
                <w:sz w:val="7"/>
                <w:szCs w:val="7"/>
                <w:color w:val="auto"/>
              </w:rPr>
            </w:pPr>
          </w:p>
        </w:tc>
        <w:tc>
          <w:tcPr>
            <w:tcW w:w="560" w:type="dxa"/>
            <w:vAlign w:val="bottom"/>
            <w:tcBorders>
              <w:right w:val="single" w:sz="8" w:color="auto"/>
            </w:tcBorders>
          </w:tcPr>
          <w:p>
            <w:pPr>
              <w:spacing w:after="0"/>
              <w:rPr>
                <w:sz w:val="7"/>
                <w:szCs w:val="7"/>
                <w:color w:val="auto"/>
              </w:rPr>
            </w:pPr>
          </w:p>
        </w:tc>
        <w:tc>
          <w:tcPr>
            <w:tcW w:w="1360" w:type="dxa"/>
            <w:vAlign w:val="bottom"/>
            <w:tcBorders>
              <w:right w:val="single" w:sz="8" w:color="auto"/>
            </w:tcBorders>
          </w:tcPr>
          <w:p>
            <w:pPr>
              <w:jc w:val="right"/>
              <w:ind w:right="18"/>
              <w:spacing w:after="0" w:line="88" w:lineRule="exact"/>
              <w:rPr>
                <w:sz w:val="20"/>
                <w:szCs w:val="20"/>
                <w:color w:val="auto"/>
              </w:rPr>
            </w:pPr>
            <w:r>
              <w:rPr>
                <w:rFonts w:ascii="Arial" w:cs="Arial" w:eastAsia="Arial" w:hAnsi="Arial"/>
                <w:sz w:val="9"/>
                <w:szCs w:val="9"/>
                <w:color w:val="auto"/>
              </w:rPr>
              <w:t>Environmental  :  6</w:t>
            </w:r>
          </w:p>
        </w:tc>
        <w:tc>
          <w:tcPr>
            <w:tcW w:w="1360" w:type="dxa"/>
            <w:vAlign w:val="bottom"/>
            <w:tcBorders>
              <w:right w:val="single" w:sz="8" w:color="auto"/>
            </w:tcBorders>
          </w:tcPr>
          <w:p>
            <w:pPr>
              <w:jc w:val="right"/>
              <w:ind w:right="17"/>
              <w:spacing w:after="0" w:line="88" w:lineRule="exact"/>
              <w:rPr>
                <w:sz w:val="20"/>
                <w:szCs w:val="20"/>
                <w:color w:val="auto"/>
              </w:rPr>
            </w:pPr>
            <w:r>
              <w:rPr>
                <w:rFonts w:ascii="Arial" w:cs="Arial" w:eastAsia="Arial" w:hAnsi="Arial"/>
                <w:sz w:val="9"/>
                <w:szCs w:val="9"/>
                <w:color w:val="auto"/>
              </w:rPr>
              <w:t>Environmental  :  8</w:t>
            </w:r>
          </w:p>
        </w:tc>
        <w:tc>
          <w:tcPr>
            <w:tcW w:w="1320" w:type="dxa"/>
            <w:vAlign w:val="bottom"/>
            <w:tcBorders>
              <w:right w:val="single" w:sz="8" w:color="auto"/>
            </w:tcBorders>
          </w:tcPr>
          <w:p>
            <w:pPr>
              <w:jc w:val="right"/>
              <w:ind w:right="16"/>
              <w:spacing w:after="0" w:line="88" w:lineRule="exact"/>
              <w:rPr>
                <w:sz w:val="20"/>
                <w:szCs w:val="20"/>
                <w:color w:val="auto"/>
              </w:rPr>
            </w:pPr>
            <w:r>
              <w:rPr>
                <w:rFonts w:ascii="Arial" w:cs="Arial" w:eastAsia="Arial" w:hAnsi="Arial"/>
                <w:sz w:val="9"/>
                <w:szCs w:val="9"/>
                <w:color w:val="auto"/>
              </w:rPr>
              <w:t>Environmental  :  10</w:t>
            </w:r>
          </w:p>
        </w:tc>
        <w:tc>
          <w:tcPr>
            <w:tcW w:w="1380" w:type="dxa"/>
            <w:vAlign w:val="bottom"/>
            <w:tcBorders>
              <w:right w:val="single" w:sz="8" w:color="auto"/>
            </w:tcBorders>
          </w:tcPr>
          <w:p>
            <w:pPr>
              <w:jc w:val="right"/>
              <w:ind w:right="16"/>
              <w:spacing w:after="0" w:line="88" w:lineRule="exact"/>
              <w:rPr>
                <w:sz w:val="20"/>
                <w:szCs w:val="20"/>
                <w:color w:val="auto"/>
              </w:rPr>
            </w:pPr>
            <w:r>
              <w:rPr>
                <w:rFonts w:ascii="Arial" w:cs="Arial" w:eastAsia="Arial" w:hAnsi="Arial"/>
                <w:sz w:val="9"/>
                <w:szCs w:val="9"/>
                <w:color w:val="auto"/>
              </w:rPr>
              <w:t>Environmental  :  9</w:t>
            </w:r>
          </w:p>
        </w:tc>
        <w:tc>
          <w:tcPr>
            <w:tcW w:w="4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60" w:type="dxa"/>
            <w:vAlign w:val="bottom"/>
          </w:tcPr>
          <w:p>
            <w:pPr>
              <w:spacing w:after="0"/>
              <w:rPr>
                <w:sz w:val="9"/>
                <w:szCs w:val="9"/>
                <w:color w:val="auto"/>
              </w:rPr>
            </w:pPr>
          </w:p>
        </w:tc>
        <w:tc>
          <w:tcPr>
            <w:tcW w:w="560" w:type="dxa"/>
            <w:vAlign w:val="bottom"/>
            <w:tcBorders>
              <w:right w:val="single" w:sz="8" w:color="auto"/>
            </w:tcBorders>
          </w:tcPr>
          <w:p>
            <w:pPr>
              <w:spacing w:after="0"/>
              <w:rPr>
                <w:sz w:val="9"/>
                <w:szCs w:val="9"/>
                <w:color w:val="auto"/>
              </w:rPr>
            </w:pPr>
          </w:p>
        </w:tc>
        <w:tc>
          <w:tcPr>
            <w:tcW w:w="1360" w:type="dxa"/>
            <w:vAlign w:val="bottom"/>
            <w:tcBorders>
              <w:right w:val="single" w:sz="8" w:color="auto"/>
            </w:tcBorders>
          </w:tcPr>
          <w:p>
            <w:pPr>
              <w:jc w:val="right"/>
              <w:ind w:right="18"/>
              <w:spacing w:after="0"/>
              <w:rPr>
                <w:sz w:val="20"/>
                <w:szCs w:val="20"/>
                <w:color w:val="auto"/>
              </w:rPr>
            </w:pPr>
            <w:r>
              <w:rPr>
                <w:rFonts w:ascii="Arial" w:cs="Arial" w:eastAsia="Arial" w:hAnsi="Arial"/>
                <w:sz w:val="9"/>
                <w:szCs w:val="9"/>
                <w:color w:val="auto"/>
                <w:w w:val="95"/>
              </w:rPr>
              <w:t>People  &amp;  Responsible  Sourcing</w:t>
            </w:r>
          </w:p>
        </w:tc>
        <w:tc>
          <w:tcPr>
            <w:tcW w:w="1360" w:type="dxa"/>
            <w:vAlign w:val="bottom"/>
            <w:tcBorders>
              <w:right w:val="single" w:sz="8" w:color="auto"/>
            </w:tcBorders>
          </w:tcPr>
          <w:p>
            <w:pPr>
              <w:jc w:val="right"/>
              <w:ind w:right="17"/>
              <w:spacing w:after="0"/>
              <w:rPr>
                <w:sz w:val="20"/>
                <w:szCs w:val="20"/>
                <w:color w:val="auto"/>
              </w:rPr>
            </w:pPr>
            <w:r>
              <w:rPr>
                <w:rFonts w:ascii="Arial" w:cs="Arial" w:eastAsia="Arial" w:hAnsi="Arial"/>
                <w:sz w:val="9"/>
                <w:szCs w:val="9"/>
                <w:color w:val="auto"/>
              </w:rPr>
              <w:t>People  &amp;  Responsible</w:t>
            </w:r>
          </w:p>
        </w:tc>
        <w:tc>
          <w:tcPr>
            <w:tcW w:w="1320" w:type="dxa"/>
            <w:vAlign w:val="bottom"/>
            <w:tcBorders>
              <w:right w:val="single" w:sz="8" w:color="auto"/>
            </w:tcBorders>
          </w:tcPr>
          <w:p>
            <w:pPr>
              <w:jc w:val="right"/>
              <w:ind w:right="16"/>
              <w:spacing w:after="0"/>
              <w:rPr>
                <w:sz w:val="20"/>
                <w:szCs w:val="20"/>
                <w:color w:val="auto"/>
              </w:rPr>
            </w:pPr>
            <w:r>
              <w:rPr>
                <w:rFonts w:ascii="Arial" w:cs="Arial" w:eastAsia="Arial" w:hAnsi="Arial"/>
                <w:sz w:val="9"/>
                <w:szCs w:val="9"/>
                <w:color w:val="auto"/>
              </w:rPr>
              <w:t>People  &amp;  Responsible</w:t>
            </w:r>
          </w:p>
        </w:tc>
        <w:tc>
          <w:tcPr>
            <w:tcW w:w="1380" w:type="dxa"/>
            <w:vAlign w:val="bottom"/>
            <w:tcBorders>
              <w:right w:val="single" w:sz="8" w:color="auto"/>
            </w:tcBorders>
          </w:tcPr>
          <w:p>
            <w:pPr>
              <w:jc w:val="right"/>
              <w:ind w:right="16"/>
              <w:spacing w:after="0"/>
              <w:rPr>
                <w:sz w:val="20"/>
                <w:szCs w:val="20"/>
                <w:color w:val="auto"/>
              </w:rPr>
            </w:pPr>
            <w:r>
              <w:rPr>
                <w:rFonts w:ascii="Arial" w:cs="Arial" w:eastAsia="Arial" w:hAnsi="Arial"/>
                <w:sz w:val="9"/>
                <w:szCs w:val="9"/>
                <w:color w:val="auto"/>
              </w:rPr>
              <w:t>People  &amp;  Responsible</w:t>
            </w:r>
          </w:p>
        </w:tc>
        <w:tc>
          <w:tcPr>
            <w:tcW w:w="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60" w:type="dxa"/>
            <w:vAlign w:val="bottom"/>
            <w:tcBorders>
              <w:bottom w:val="single" w:sz="8" w:color="auto"/>
            </w:tcBorders>
          </w:tcPr>
          <w:p>
            <w:pPr>
              <w:ind w:left="20"/>
              <w:spacing w:after="0"/>
              <w:rPr>
                <w:sz w:val="20"/>
                <w:szCs w:val="20"/>
                <w:color w:val="auto"/>
              </w:rPr>
            </w:pPr>
            <w:r>
              <w:rPr>
                <w:rFonts w:ascii="Arial" w:cs="Arial" w:eastAsia="Arial" w:hAnsi="Arial"/>
                <w:sz w:val="9"/>
                <w:szCs w:val="9"/>
                <w:color w:val="auto"/>
              </w:rPr>
              <w:t>Strategic  Actions  (#  of  actions  completed)  (6)</w:t>
            </w:r>
          </w:p>
        </w:tc>
        <w:tc>
          <w:tcPr>
            <w:tcW w:w="560" w:type="dxa"/>
            <w:vAlign w:val="bottom"/>
            <w:tcBorders>
              <w:bottom w:val="single" w:sz="8" w:color="auto"/>
              <w:right w:val="single" w:sz="8" w:color="auto"/>
            </w:tcBorders>
          </w:tcPr>
          <w:p>
            <w:pPr>
              <w:jc w:val="center"/>
              <w:ind w:left="195"/>
              <w:spacing w:after="0"/>
              <w:rPr>
                <w:sz w:val="20"/>
                <w:szCs w:val="20"/>
                <w:color w:val="auto"/>
              </w:rPr>
            </w:pPr>
            <w:r>
              <w:rPr>
                <w:rFonts w:ascii="Arial" w:cs="Arial" w:eastAsia="Arial" w:hAnsi="Arial"/>
                <w:sz w:val="9"/>
                <w:szCs w:val="9"/>
                <w:color w:val="auto"/>
                <w:w w:val="88"/>
              </w:rPr>
              <w:t>20%</w:t>
            </w:r>
          </w:p>
        </w:tc>
        <w:tc>
          <w:tcPr>
            <w:tcW w:w="1360" w:type="dxa"/>
            <w:vAlign w:val="bottom"/>
            <w:tcBorders>
              <w:bottom w:val="single" w:sz="8" w:color="auto"/>
              <w:right w:val="single" w:sz="8" w:color="auto"/>
            </w:tcBorders>
          </w:tcPr>
          <w:p>
            <w:pPr>
              <w:jc w:val="right"/>
              <w:ind w:right="18"/>
              <w:spacing w:after="0"/>
              <w:rPr>
                <w:sz w:val="20"/>
                <w:szCs w:val="20"/>
                <w:color w:val="auto"/>
              </w:rPr>
            </w:pPr>
            <w:r>
              <w:rPr>
                <w:rFonts w:ascii="Arial" w:cs="Arial" w:eastAsia="Arial" w:hAnsi="Arial"/>
                <w:sz w:val="9"/>
                <w:szCs w:val="9"/>
                <w:color w:val="auto"/>
              </w:rPr>
              <w:t>:  6</w:t>
            </w:r>
          </w:p>
        </w:tc>
        <w:tc>
          <w:tcPr>
            <w:tcW w:w="1360" w:type="dxa"/>
            <w:vAlign w:val="bottom"/>
            <w:tcBorders>
              <w:bottom w:val="single" w:sz="8" w:color="auto"/>
              <w:right w:val="single" w:sz="8" w:color="auto"/>
            </w:tcBorders>
          </w:tcPr>
          <w:p>
            <w:pPr>
              <w:jc w:val="right"/>
              <w:ind w:right="17"/>
              <w:spacing w:after="0"/>
              <w:rPr>
                <w:sz w:val="20"/>
                <w:szCs w:val="20"/>
                <w:color w:val="auto"/>
              </w:rPr>
            </w:pPr>
            <w:r>
              <w:rPr>
                <w:rFonts w:ascii="Arial" w:cs="Arial" w:eastAsia="Arial" w:hAnsi="Arial"/>
                <w:sz w:val="9"/>
                <w:szCs w:val="9"/>
                <w:color w:val="auto"/>
              </w:rPr>
              <w:t>Sourcing  :  7</w:t>
            </w:r>
          </w:p>
        </w:tc>
        <w:tc>
          <w:tcPr>
            <w:tcW w:w="1320" w:type="dxa"/>
            <w:vAlign w:val="bottom"/>
            <w:tcBorders>
              <w:bottom w:val="single" w:sz="8" w:color="auto"/>
              <w:right w:val="single" w:sz="8" w:color="auto"/>
            </w:tcBorders>
          </w:tcPr>
          <w:p>
            <w:pPr>
              <w:jc w:val="right"/>
              <w:ind w:right="16"/>
              <w:spacing w:after="0"/>
              <w:rPr>
                <w:sz w:val="20"/>
                <w:szCs w:val="20"/>
                <w:color w:val="auto"/>
              </w:rPr>
            </w:pPr>
            <w:r>
              <w:rPr>
                <w:rFonts w:ascii="Arial" w:cs="Arial" w:eastAsia="Arial" w:hAnsi="Arial"/>
                <w:sz w:val="9"/>
                <w:szCs w:val="9"/>
                <w:color w:val="auto"/>
              </w:rPr>
              <w:t>Sourcing  :  8</w:t>
            </w:r>
          </w:p>
        </w:tc>
        <w:tc>
          <w:tcPr>
            <w:tcW w:w="1380" w:type="dxa"/>
            <w:vAlign w:val="bottom"/>
            <w:tcBorders>
              <w:bottom w:val="single" w:sz="8" w:color="auto"/>
              <w:right w:val="single" w:sz="8" w:color="auto"/>
            </w:tcBorders>
          </w:tcPr>
          <w:p>
            <w:pPr>
              <w:jc w:val="right"/>
              <w:ind w:right="16"/>
              <w:spacing w:after="0"/>
              <w:rPr>
                <w:sz w:val="20"/>
                <w:szCs w:val="20"/>
                <w:color w:val="auto"/>
              </w:rPr>
            </w:pPr>
            <w:r>
              <w:rPr>
                <w:rFonts w:ascii="Arial" w:cs="Arial" w:eastAsia="Arial" w:hAnsi="Arial"/>
                <w:sz w:val="9"/>
                <w:szCs w:val="9"/>
                <w:color w:val="auto"/>
              </w:rPr>
              <w:t>Sourcing  :  7</w:t>
            </w:r>
          </w:p>
        </w:tc>
        <w:tc>
          <w:tcPr>
            <w:tcW w:w="480" w:type="dxa"/>
            <w:vAlign w:val="bottom"/>
            <w:tcBorders>
              <w:bottom w:val="single" w:sz="8" w:color="auto"/>
            </w:tcBorders>
          </w:tcPr>
          <w:p>
            <w:pPr>
              <w:jc w:val="right"/>
              <w:ind w:right="55"/>
              <w:spacing w:after="0"/>
              <w:rPr>
                <w:sz w:val="20"/>
                <w:szCs w:val="20"/>
                <w:color w:val="auto"/>
              </w:rPr>
            </w:pPr>
            <w:r>
              <w:rPr>
                <w:rFonts w:ascii="Arial" w:cs="Arial" w:eastAsia="Arial" w:hAnsi="Arial"/>
                <w:sz w:val="9"/>
                <w:szCs w:val="9"/>
                <w:color w:val="auto"/>
              </w:rPr>
              <w:t>125%</w:t>
            </w: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40" w:type="dxa"/>
            <w:vAlign w:val="bottom"/>
            <w:tcBorders>
              <w:bottom w:val="single" w:sz="8" w:color="1414D2"/>
            </w:tcBorders>
          </w:tcPr>
          <w:p>
            <w:pPr>
              <w:spacing w:after="0"/>
              <w:rPr>
                <w:sz w:val="15"/>
                <w:szCs w:val="15"/>
                <w:color w:val="auto"/>
              </w:rPr>
            </w:pPr>
          </w:p>
        </w:tc>
        <w:tc>
          <w:tcPr>
            <w:tcW w:w="180" w:type="dxa"/>
            <w:vAlign w:val="bottom"/>
            <w:tcBorders>
              <w:bottom w:val="single" w:sz="8" w:color="1414D2"/>
            </w:tcBorders>
          </w:tcPr>
          <w:p>
            <w:pPr>
              <w:spacing w:after="0"/>
              <w:rPr>
                <w:sz w:val="15"/>
                <w:szCs w:val="15"/>
                <w:color w:val="auto"/>
              </w:rPr>
            </w:pPr>
          </w:p>
        </w:tc>
        <w:tc>
          <w:tcPr>
            <w:tcW w:w="20" w:type="dxa"/>
            <w:vAlign w:val="bottom"/>
            <w:tcBorders>
              <w:bottom w:val="single" w:sz="8" w:color="1414D2"/>
            </w:tcBorders>
          </w:tcPr>
          <w:p>
            <w:pPr>
              <w:spacing w:after="0"/>
              <w:rPr>
                <w:sz w:val="15"/>
                <w:szCs w:val="15"/>
                <w:color w:val="auto"/>
              </w:rPr>
            </w:pPr>
          </w:p>
        </w:tc>
        <w:tc>
          <w:tcPr>
            <w:tcW w:w="2460" w:type="dxa"/>
            <w:vAlign w:val="bottom"/>
            <w:tcBorders>
              <w:bottom w:val="single" w:sz="8" w:color="1414D2"/>
            </w:tcBorders>
          </w:tcPr>
          <w:p>
            <w:pPr>
              <w:spacing w:after="0"/>
              <w:rPr>
                <w:sz w:val="15"/>
                <w:szCs w:val="15"/>
                <w:color w:val="auto"/>
              </w:rPr>
            </w:pPr>
          </w:p>
        </w:tc>
        <w:tc>
          <w:tcPr>
            <w:tcW w:w="560" w:type="dxa"/>
            <w:vAlign w:val="bottom"/>
            <w:tcBorders>
              <w:bottom w:val="single" w:sz="8" w:color="1414D2"/>
              <w:right w:val="single" w:sz="8" w:color="auto"/>
            </w:tcBorders>
          </w:tcPr>
          <w:p>
            <w:pPr>
              <w:spacing w:after="0"/>
              <w:rPr>
                <w:sz w:val="15"/>
                <w:szCs w:val="15"/>
                <w:color w:val="auto"/>
              </w:rPr>
            </w:pPr>
          </w:p>
        </w:tc>
        <w:tc>
          <w:tcPr>
            <w:tcW w:w="1360" w:type="dxa"/>
            <w:vAlign w:val="bottom"/>
            <w:tcBorders>
              <w:bottom w:val="single" w:sz="8" w:color="1414D2"/>
              <w:right w:val="single" w:sz="8" w:color="auto"/>
            </w:tcBorders>
          </w:tcPr>
          <w:p>
            <w:pPr>
              <w:spacing w:after="0"/>
              <w:rPr>
                <w:sz w:val="15"/>
                <w:szCs w:val="15"/>
                <w:color w:val="auto"/>
              </w:rPr>
            </w:pPr>
          </w:p>
        </w:tc>
        <w:tc>
          <w:tcPr>
            <w:tcW w:w="1360" w:type="dxa"/>
            <w:vAlign w:val="bottom"/>
            <w:tcBorders>
              <w:bottom w:val="single" w:sz="8" w:color="1414D2"/>
              <w:right w:val="single" w:sz="8" w:color="auto"/>
            </w:tcBorders>
          </w:tcPr>
          <w:p>
            <w:pPr>
              <w:spacing w:after="0"/>
              <w:rPr>
                <w:sz w:val="15"/>
                <w:szCs w:val="15"/>
                <w:color w:val="auto"/>
              </w:rPr>
            </w:pPr>
          </w:p>
        </w:tc>
        <w:tc>
          <w:tcPr>
            <w:tcW w:w="1320" w:type="dxa"/>
            <w:vAlign w:val="bottom"/>
            <w:tcBorders>
              <w:bottom w:val="single" w:sz="8" w:color="1414D2"/>
              <w:right w:val="single" w:sz="8" w:color="auto"/>
            </w:tcBorders>
          </w:tcPr>
          <w:p>
            <w:pPr>
              <w:spacing w:after="0"/>
              <w:rPr>
                <w:sz w:val="15"/>
                <w:szCs w:val="15"/>
                <w:color w:val="auto"/>
              </w:rPr>
            </w:pPr>
          </w:p>
        </w:tc>
        <w:tc>
          <w:tcPr>
            <w:tcW w:w="1380" w:type="dxa"/>
            <w:vAlign w:val="bottom"/>
            <w:tcBorders>
              <w:bottom w:val="single" w:sz="8" w:color="1414D2"/>
              <w:right w:val="single" w:sz="8" w:color="auto"/>
            </w:tcBorders>
          </w:tcPr>
          <w:p>
            <w:pPr>
              <w:spacing w:after="0"/>
              <w:rPr>
                <w:sz w:val="15"/>
                <w:szCs w:val="15"/>
                <w:color w:val="auto"/>
              </w:rPr>
            </w:pPr>
          </w:p>
        </w:tc>
        <w:tc>
          <w:tcPr>
            <w:tcW w:w="480" w:type="dxa"/>
            <w:vAlign w:val="bottom"/>
            <w:tcBorders>
              <w:bottom w:val="single" w:sz="8" w:color="1414D2"/>
            </w:tcBorders>
          </w:tcPr>
          <w:p>
            <w:pPr>
              <w:spacing w:after="0"/>
              <w:rPr>
                <w:sz w:val="15"/>
                <w:szCs w:val="15"/>
                <w:color w:val="auto"/>
              </w:rPr>
            </w:pPr>
          </w:p>
        </w:tc>
        <w:tc>
          <w:tcPr>
            <w:tcW w:w="560" w:type="dxa"/>
            <w:vAlign w:val="bottom"/>
            <w:tcBorders>
              <w:bottom w:val="single" w:sz="8" w:color="1414D2"/>
            </w:tcBorders>
          </w:tcPr>
          <w:p>
            <w:pPr>
              <w:jc w:val="right"/>
              <w:spacing w:after="0"/>
              <w:rPr>
                <w:sz w:val="20"/>
                <w:szCs w:val="20"/>
                <w:color w:val="auto"/>
              </w:rPr>
            </w:pPr>
            <w:r>
              <w:rPr>
                <w:rFonts w:ascii="Arial" w:cs="Arial" w:eastAsia="Arial" w:hAnsi="Arial"/>
                <w:sz w:val="9"/>
                <w:szCs w:val="9"/>
                <w:b w:val="1"/>
                <w:bCs w:val="1"/>
                <w:color w:val="auto"/>
              </w:rPr>
              <w:t>135%</w:t>
            </w:r>
          </w:p>
        </w:tc>
        <w:tc>
          <w:tcPr>
            <w:tcW w:w="20" w:type="dxa"/>
            <w:vAlign w:val="bottom"/>
            <w:tcBorders>
              <w:bottom w:val="single" w:sz="8" w:color="1414D2"/>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20" w:type="dxa"/>
            <w:vAlign w:val="bottom"/>
            <w:gridSpan w:val="2"/>
            <w:textDirection w:val="btLr"/>
          </w:tcPr>
          <w:p>
            <w:pPr>
              <w:spacing w:after="0"/>
              <w:rPr>
                <w:sz w:val="20"/>
                <w:szCs w:val="20"/>
                <w:color w:val="auto"/>
              </w:rPr>
            </w:pPr>
            <w:r>
              <w:rPr>
                <w:rFonts w:ascii="Arial" w:cs="Arial" w:eastAsia="Arial" w:hAnsi="Arial"/>
                <w:sz w:val="9"/>
                <w:szCs w:val="9"/>
                <w:b w:val="1"/>
                <w:bCs w:val="1"/>
                <w:color w:val="auto"/>
              </w:rPr>
              <w:t>2</w:t>
            </w:r>
          </w:p>
        </w:tc>
        <w:tc>
          <w:tcPr>
            <w:tcW w:w="20" w:type="dxa"/>
            <w:vAlign w:val="bottom"/>
          </w:tcPr>
          <w:p>
            <w:pPr>
              <w:spacing w:after="0"/>
              <w:rPr>
                <w:sz w:val="15"/>
                <w:szCs w:val="15"/>
                <w:color w:val="auto"/>
              </w:rPr>
            </w:pPr>
          </w:p>
        </w:tc>
        <w:tc>
          <w:tcPr>
            <w:tcW w:w="2460" w:type="dxa"/>
            <w:vAlign w:val="bottom"/>
            <w:tcBorders>
              <w:bottom w:val="single" w:sz="8" w:color="auto"/>
            </w:tcBorders>
          </w:tcPr>
          <w:p>
            <w:pPr>
              <w:ind w:left="20"/>
              <w:spacing w:after="0"/>
              <w:rPr>
                <w:sz w:val="20"/>
                <w:szCs w:val="20"/>
                <w:color w:val="auto"/>
              </w:rPr>
            </w:pPr>
            <w:r>
              <w:rPr>
                <w:rFonts w:ascii="Arial" w:cs="Arial" w:eastAsia="Arial" w:hAnsi="Arial"/>
                <w:sz w:val="9"/>
                <w:szCs w:val="9"/>
                <w:color w:val="auto"/>
              </w:rPr>
              <w:t>Absolute  Adjusted  EPS  (7)</w:t>
            </w:r>
          </w:p>
        </w:tc>
        <w:tc>
          <w:tcPr>
            <w:tcW w:w="560" w:type="dxa"/>
            <w:vAlign w:val="bottom"/>
            <w:tcBorders>
              <w:bottom w:val="single" w:sz="8" w:color="auto"/>
              <w:right w:val="single" w:sz="8" w:color="auto"/>
            </w:tcBorders>
          </w:tcPr>
          <w:p>
            <w:pPr>
              <w:jc w:val="center"/>
              <w:ind w:left="195"/>
              <w:spacing w:after="0"/>
              <w:rPr>
                <w:sz w:val="20"/>
                <w:szCs w:val="20"/>
                <w:color w:val="auto"/>
              </w:rPr>
            </w:pPr>
            <w:r>
              <w:rPr>
                <w:rFonts w:ascii="Arial" w:cs="Arial" w:eastAsia="Arial" w:hAnsi="Arial"/>
                <w:sz w:val="9"/>
                <w:szCs w:val="9"/>
                <w:color w:val="auto"/>
                <w:w w:val="88"/>
              </w:rPr>
              <w:t>40%</w:t>
            </w:r>
          </w:p>
        </w:tc>
        <w:tc>
          <w:tcPr>
            <w:tcW w:w="1360" w:type="dxa"/>
            <w:vAlign w:val="bottom"/>
            <w:tcBorders>
              <w:bottom w:val="single" w:sz="8" w:color="auto"/>
              <w:right w:val="single" w:sz="8" w:color="auto"/>
            </w:tcBorders>
          </w:tcPr>
          <w:p>
            <w:pPr>
              <w:jc w:val="right"/>
              <w:ind w:right="18"/>
              <w:spacing w:after="0"/>
              <w:rPr>
                <w:sz w:val="20"/>
                <w:szCs w:val="20"/>
                <w:color w:val="auto"/>
              </w:rPr>
            </w:pPr>
            <w:r>
              <w:rPr>
                <w:rFonts w:ascii="Arial" w:cs="Arial" w:eastAsia="Arial" w:hAnsi="Arial"/>
                <w:sz w:val="9"/>
                <w:szCs w:val="9"/>
                <w:color w:val="auto"/>
              </w:rPr>
              <w:t>$5</w:t>
            </w:r>
          </w:p>
        </w:tc>
        <w:tc>
          <w:tcPr>
            <w:tcW w:w="1360" w:type="dxa"/>
            <w:vAlign w:val="bottom"/>
            <w:tcBorders>
              <w:bottom w:val="single" w:sz="8" w:color="auto"/>
              <w:right w:val="single" w:sz="8" w:color="auto"/>
            </w:tcBorders>
          </w:tcPr>
          <w:p>
            <w:pPr>
              <w:jc w:val="right"/>
              <w:ind w:right="17"/>
              <w:spacing w:after="0"/>
              <w:rPr>
                <w:sz w:val="20"/>
                <w:szCs w:val="20"/>
                <w:color w:val="auto"/>
              </w:rPr>
            </w:pPr>
            <w:r>
              <w:rPr>
                <w:rFonts w:ascii="Arial" w:cs="Arial" w:eastAsia="Arial" w:hAnsi="Arial"/>
                <w:sz w:val="9"/>
                <w:szCs w:val="9"/>
                <w:color w:val="auto"/>
              </w:rPr>
              <w:t>$9  -  $11</w:t>
            </w:r>
          </w:p>
        </w:tc>
        <w:tc>
          <w:tcPr>
            <w:tcW w:w="1320" w:type="dxa"/>
            <w:vAlign w:val="bottom"/>
            <w:tcBorders>
              <w:bottom w:val="single" w:sz="8" w:color="auto"/>
              <w:right w:val="single" w:sz="8" w:color="auto"/>
            </w:tcBorders>
          </w:tcPr>
          <w:p>
            <w:pPr>
              <w:jc w:val="right"/>
              <w:ind w:right="16"/>
              <w:spacing w:after="0"/>
              <w:rPr>
                <w:sz w:val="20"/>
                <w:szCs w:val="20"/>
                <w:color w:val="auto"/>
              </w:rPr>
            </w:pPr>
            <w:r>
              <w:rPr>
                <w:rFonts w:ascii="Arial" w:cs="Arial" w:eastAsia="Arial" w:hAnsi="Arial"/>
                <w:sz w:val="9"/>
                <w:szCs w:val="9"/>
                <w:color w:val="auto"/>
              </w:rPr>
              <w:t>$13</w:t>
            </w:r>
          </w:p>
        </w:tc>
        <w:tc>
          <w:tcPr>
            <w:tcW w:w="1380" w:type="dxa"/>
            <w:vAlign w:val="bottom"/>
            <w:tcBorders>
              <w:bottom w:val="single" w:sz="8" w:color="auto"/>
              <w:right w:val="single" w:sz="8" w:color="auto"/>
            </w:tcBorders>
          </w:tcPr>
          <w:p>
            <w:pPr>
              <w:jc w:val="right"/>
              <w:ind w:right="16"/>
              <w:spacing w:after="0"/>
              <w:rPr>
                <w:sz w:val="20"/>
                <w:szCs w:val="20"/>
                <w:color w:val="auto"/>
              </w:rPr>
            </w:pPr>
            <w:r>
              <w:rPr>
                <w:rFonts w:ascii="Arial" w:cs="Arial" w:eastAsia="Arial" w:hAnsi="Arial"/>
                <w:sz w:val="9"/>
                <w:szCs w:val="9"/>
                <w:color w:val="auto"/>
              </w:rPr>
              <w:t>$10.61</w:t>
            </w:r>
          </w:p>
        </w:tc>
        <w:tc>
          <w:tcPr>
            <w:tcW w:w="480" w:type="dxa"/>
            <w:vAlign w:val="bottom"/>
            <w:tcBorders>
              <w:bottom w:val="single" w:sz="8" w:color="auto"/>
            </w:tcBorders>
          </w:tcPr>
          <w:p>
            <w:pPr>
              <w:jc w:val="right"/>
              <w:ind w:right="55"/>
              <w:spacing w:after="0"/>
              <w:rPr>
                <w:sz w:val="20"/>
                <w:szCs w:val="20"/>
                <w:color w:val="auto"/>
              </w:rPr>
            </w:pPr>
            <w:r>
              <w:rPr>
                <w:rFonts w:ascii="Arial" w:cs="Arial" w:eastAsia="Arial" w:hAnsi="Arial"/>
                <w:sz w:val="9"/>
                <w:szCs w:val="9"/>
                <w:color w:val="auto"/>
              </w:rPr>
              <w:t>100%</w:t>
            </w:r>
          </w:p>
        </w:tc>
        <w:tc>
          <w:tcPr>
            <w:tcW w:w="5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240" w:type="dxa"/>
            <w:vAlign w:val="bottom"/>
            <w:gridSpan w:val="3"/>
            <w:textDirection w:val="btLr"/>
          </w:tcPr>
          <w:p>
            <w:pPr>
              <w:ind w:left="73"/>
              <w:spacing w:after="0"/>
              <w:rPr>
                <w:sz w:val="20"/>
                <w:szCs w:val="20"/>
                <w:color w:val="auto"/>
              </w:rPr>
            </w:pPr>
            <w:r>
              <w:rPr>
                <w:rFonts w:ascii="Arial" w:cs="Arial" w:eastAsia="Arial" w:hAnsi="Arial"/>
                <w:sz w:val="2"/>
                <w:szCs w:val="2"/>
                <w:b w:val="1"/>
                <w:bCs w:val="1"/>
                <w:color w:val="auto"/>
                <w:w w:val="76"/>
              </w:rPr>
              <w:t>Tranche</w:t>
            </w:r>
          </w:p>
        </w:tc>
        <w:tc>
          <w:tcPr>
            <w:tcW w:w="2460" w:type="dxa"/>
            <w:vAlign w:val="bottom"/>
            <w:vMerge w:val="restart"/>
          </w:tcPr>
          <w:p>
            <w:pPr>
              <w:ind w:left="20"/>
              <w:spacing w:after="0"/>
              <w:rPr>
                <w:sz w:val="20"/>
                <w:szCs w:val="20"/>
                <w:color w:val="auto"/>
              </w:rPr>
            </w:pPr>
            <w:r>
              <w:rPr>
                <w:rFonts w:ascii="Arial" w:cs="Arial" w:eastAsia="Arial" w:hAnsi="Arial"/>
                <w:sz w:val="9"/>
                <w:szCs w:val="9"/>
                <w:color w:val="auto"/>
              </w:rPr>
              <w:t>Relative  Adjusted  Pre-Tax  Margin  (8)</w:t>
            </w:r>
          </w:p>
        </w:tc>
        <w:tc>
          <w:tcPr>
            <w:tcW w:w="560" w:type="dxa"/>
            <w:vAlign w:val="bottom"/>
            <w:tcBorders>
              <w:right w:val="single" w:sz="8" w:color="auto"/>
            </w:tcBorders>
            <w:vMerge w:val="restart"/>
          </w:tcPr>
          <w:p>
            <w:pPr>
              <w:jc w:val="center"/>
              <w:ind w:left="195"/>
              <w:spacing w:after="0"/>
              <w:rPr>
                <w:sz w:val="20"/>
                <w:szCs w:val="20"/>
                <w:color w:val="auto"/>
              </w:rPr>
            </w:pPr>
            <w:r>
              <w:rPr>
                <w:rFonts w:ascii="Arial" w:cs="Arial" w:eastAsia="Arial" w:hAnsi="Arial"/>
                <w:sz w:val="9"/>
                <w:szCs w:val="9"/>
                <w:color w:val="auto"/>
                <w:w w:val="88"/>
              </w:rPr>
              <w:t>40%</w:t>
            </w:r>
          </w:p>
        </w:tc>
        <w:tc>
          <w:tcPr>
            <w:tcW w:w="1360" w:type="dxa"/>
            <w:vAlign w:val="bottom"/>
            <w:tcBorders>
              <w:right w:val="single" w:sz="8" w:color="auto"/>
            </w:tcBorders>
          </w:tcPr>
          <w:p>
            <w:pPr>
              <w:jc w:val="right"/>
              <w:ind w:right="18"/>
              <w:spacing w:after="0" w:line="60" w:lineRule="exact"/>
              <w:rPr>
                <w:sz w:val="20"/>
                <w:szCs w:val="20"/>
                <w:color w:val="auto"/>
              </w:rPr>
            </w:pPr>
            <w:r>
              <w:rPr>
                <w:rFonts w:ascii="Arial" w:cs="Arial" w:eastAsia="Arial" w:hAnsi="Arial"/>
                <w:sz w:val="6"/>
                <w:szCs w:val="6"/>
                <w:color w:val="auto"/>
              </w:rPr>
              <w:t>People  &amp;  Responsible</w:t>
            </w:r>
          </w:p>
        </w:tc>
        <w:tc>
          <w:tcPr>
            <w:tcW w:w="1360" w:type="dxa"/>
            <w:vAlign w:val="bottom"/>
            <w:tcBorders>
              <w:right w:val="single" w:sz="8" w:color="auto"/>
            </w:tcBorders>
          </w:tcPr>
          <w:p>
            <w:pPr>
              <w:jc w:val="right"/>
              <w:ind w:right="17"/>
              <w:spacing w:after="0" w:line="60" w:lineRule="exact"/>
              <w:rPr>
                <w:sz w:val="20"/>
                <w:szCs w:val="20"/>
                <w:color w:val="auto"/>
              </w:rPr>
            </w:pPr>
            <w:r>
              <w:rPr>
                <w:rFonts w:ascii="Arial" w:cs="Arial" w:eastAsia="Arial" w:hAnsi="Arial"/>
                <w:sz w:val="6"/>
                <w:szCs w:val="6"/>
                <w:color w:val="auto"/>
              </w:rPr>
              <w:t>People  &amp;  Responsible</w:t>
            </w:r>
          </w:p>
        </w:tc>
        <w:tc>
          <w:tcPr>
            <w:tcW w:w="1320" w:type="dxa"/>
            <w:vAlign w:val="bottom"/>
            <w:tcBorders>
              <w:right w:val="single" w:sz="8" w:color="auto"/>
            </w:tcBorders>
          </w:tcPr>
          <w:p>
            <w:pPr>
              <w:jc w:val="right"/>
              <w:ind w:right="16"/>
              <w:spacing w:after="0" w:line="60" w:lineRule="exact"/>
              <w:rPr>
                <w:sz w:val="20"/>
                <w:szCs w:val="20"/>
                <w:color w:val="auto"/>
              </w:rPr>
            </w:pPr>
            <w:r>
              <w:rPr>
                <w:rFonts w:ascii="Arial" w:cs="Arial" w:eastAsia="Arial" w:hAnsi="Arial"/>
                <w:sz w:val="6"/>
                <w:szCs w:val="6"/>
                <w:color w:val="auto"/>
              </w:rPr>
              <w:t>People  &amp;  Responsible</w:t>
            </w:r>
          </w:p>
        </w:tc>
        <w:tc>
          <w:tcPr>
            <w:tcW w:w="1380" w:type="dxa"/>
            <w:vAlign w:val="bottom"/>
            <w:tcBorders>
              <w:right w:val="single" w:sz="8" w:color="auto"/>
            </w:tcBorders>
          </w:tcPr>
          <w:p>
            <w:pPr>
              <w:jc w:val="right"/>
              <w:ind w:right="16"/>
              <w:spacing w:after="0" w:line="60" w:lineRule="exact"/>
              <w:rPr>
                <w:sz w:val="20"/>
                <w:szCs w:val="20"/>
                <w:color w:val="auto"/>
              </w:rPr>
            </w:pPr>
            <w:r>
              <w:rPr>
                <w:rFonts w:ascii="Arial" w:cs="Arial" w:eastAsia="Arial" w:hAnsi="Arial"/>
                <w:sz w:val="6"/>
                <w:szCs w:val="6"/>
                <w:color w:val="auto"/>
              </w:rPr>
              <w:t>People  &amp;  Responsible</w:t>
            </w:r>
          </w:p>
        </w:tc>
        <w:tc>
          <w:tcPr>
            <w:tcW w:w="480" w:type="dxa"/>
            <w:vAlign w:val="bottom"/>
            <w:vMerge w:val="restart"/>
          </w:tcPr>
          <w:p>
            <w:pPr>
              <w:jc w:val="right"/>
              <w:ind w:right="55"/>
              <w:spacing w:after="0"/>
              <w:rPr>
                <w:sz w:val="20"/>
                <w:szCs w:val="20"/>
                <w:color w:val="auto"/>
              </w:rPr>
            </w:pPr>
            <w:r>
              <w:rPr>
                <w:rFonts w:ascii="Arial" w:cs="Arial" w:eastAsia="Arial" w:hAnsi="Arial"/>
                <w:sz w:val="9"/>
                <w:szCs w:val="9"/>
                <w:color w:val="auto"/>
              </w:rPr>
              <w:t>200%</w:t>
            </w: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60" w:type="dxa"/>
            <w:vAlign w:val="bottom"/>
            <w:tcBorders>
              <w:bottom w:val="single" w:sz="8" w:color="auto"/>
            </w:tcBorders>
            <w:vMerge w:val="continue"/>
          </w:tcPr>
          <w:p>
            <w:pPr>
              <w:spacing w:after="0"/>
              <w:rPr>
                <w:sz w:val="10"/>
                <w:szCs w:val="10"/>
                <w:color w:val="auto"/>
              </w:rPr>
            </w:pPr>
          </w:p>
        </w:tc>
        <w:tc>
          <w:tcPr>
            <w:tcW w:w="560" w:type="dxa"/>
            <w:vAlign w:val="bottom"/>
            <w:tcBorders>
              <w:bottom w:val="single" w:sz="8" w:color="auto"/>
              <w:right w:val="single" w:sz="8" w:color="auto"/>
            </w:tcBorders>
            <w:vMerge w:val="continue"/>
          </w:tcPr>
          <w:p>
            <w:pPr>
              <w:spacing w:after="0"/>
              <w:rPr>
                <w:sz w:val="10"/>
                <w:szCs w:val="10"/>
                <w:color w:val="auto"/>
              </w:rPr>
            </w:pPr>
          </w:p>
        </w:tc>
        <w:tc>
          <w:tcPr>
            <w:tcW w:w="1360" w:type="dxa"/>
            <w:vAlign w:val="bottom"/>
            <w:tcBorders>
              <w:bottom w:val="single" w:sz="8" w:color="auto"/>
              <w:right w:val="single" w:sz="8" w:color="auto"/>
            </w:tcBorders>
          </w:tcPr>
          <w:p>
            <w:pPr>
              <w:jc w:val="right"/>
              <w:ind w:right="18"/>
              <w:spacing w:after="0"/>
              <w:rPr>
                <w:sz w:val="20"/>
                <w:szCs w:val="20"/>
                <w:color w:val="auto"/>
              </w:rPr>
            </w:pPr>
            <w:r>
              <w:rPr>
                <w:rFonts w:ascii="Arial" w:cs="Arial" w:eastAsia="Arial" w:hAnsi="Arial"/>
                <w:sz w:val="9"/>
                <w:szCs w:val="9"/>
                <w:color w:val="auto"/>
              </w:rPr>
              <w:t>-0.5%</w:t>
            </w:r>
          </w:p>
        </w:tc>
        <w:tc>
          <w:tcPr>
            <w:tcW w:w="1360" w:type="dxa"/>
            <w:vAlign w:val="bottom"/>
            <w:tcBorders>
              <w:bottom w:val="single" w:sz="8" w:color="auto"/>
              <w:right w:val="single" w:sz="8" w:color="auto"/>
            </w:tcBorders>
          </w:tcPr>
          <w:p>
            <w:pPr>
              <w:jc w:val="right"/>
              <w:ind w:right="17"/>
              <w:spacing w:after="0"/>
              <w:rPr>
                <w:sz w:val="20"/>
                <w:szCs w:val="20"/>
                <w:color w:val="auto"/>
              </w:rPr>
            </w:pPr>
            <w:r>
              <w:rPr>
                <w:rFonts w:ascii="Arial" w:cs="Arial" w:eastAsia="Arial" w:hAnsi="Arial"/>
                <w:sz w:val="9"/>
                <w:szCs w:val="9"/>
                <w:color w:val="auto"/>
              </w:rPr>
              <w:t>+0.5%  -  +1.0%</w:t>
            </w:r>
          </w:p>
        </w:tc>
        <w:tc>
          <w:tcPr>
            <w:tcW w:w="1320" w:type="dxa"/>
            <w:vAlign w:val="bottom"/>
            <w:tcBorders>
              <w:bottom w:val="single" w:sz="8" w:color="auto"/>
              <w:right w:val="single" w:sz="8" w:color="auto"/>
            </w:tcBorders>
          </w:tcPr>
          <w:p>
            <w:pPr>
              <w:jc w:val="right"/>
              <w:ind w:right="16"/>
              <w:spacing w:after="0"/>
              <w:rPr>
                <w:sz w:val="20"/>
                <w:szCs w:val="20"/>
                <w:color w:val="auto"/>
              </w:rPr>
            </w:pPr>
            <w:r>
              <w:rPr>
                <w:rFonts w:ascii="Arial" w:cs="Arial" w:eastAsia="Arial" w:hAnsi="Arial"/>
                <w:sz w:val="9"/>
                <w:szCs w:val="9"/>
                <w:color w:val="auto"/>
              </w:rPr>
              <w:t>2.0%</w:t>
            </w:r>
          </w:p>
        </w:tc>
        <w:tc>
          <w:tcPr>
            <w:tcW w:w="1380" w:type="dxa"/>
            <w:vAlign w:val="bottom"/>
            <w:tcBorders>
              <w:bottom w:val="single" w:sz="8" w:color="auto"/>
              <w:right w:val="single" w:sz="8" w:color="auto"/>
            </w:tcBorders>
          </w:tcPr>
          <w:p>
            <w:pPr>
              <w:jc w:val="right"/>
              <w:ind w:right="16"/>
              <w:spacing w:after="0"/>
              <w:rPr>
                <w:sz w:val="20"/>
                <w:szCs w:val="20"/>
                <w:color w:val="auto"/>
              </w:rPr>
            </w:pPr>
            <w:r>
              <w:rPr>
                <w:rFonts w:ascii="Arial" w:cs="Arial" w:eastAsia="Arial" w:hAnsi="Arial"/>
                <w:sz w:val="9"/>
                <w:szCs w:val="9"/>
                <w:color w:val="auto"/>
              </w:rPr>
              <w:t>2.7%</w:t>
            </w:r>
          </w:p>
        </w:tc>
        <w:tc>
          <w:tcPr>
            <w:tcW w:w="480" w:type="dxa"/>
            <w:vAlign w:val="bottom"/>
            <w:tcBorders>
              <w:bottom w:val="single" w:sz="8" w:color="auto"/>
            </w:tcBorders>
            <w:vMerge w:val="continue"/>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1360" w:type="dxa"/>
            <w:vAlign w:val="bottom"/>
            <w:tcBorders>
              <w:right w:val="single" w:sz="8" w:color="auto"/>
            </w:tcBorders>
          </w:tcPr>
          <w:p>
            <w:pPr>
              <w:jc w:val="right"/>
              <w:ind w:right="18"/>
              <w:spacing w:after="0"/>
              <w:rPr>
                <w:sz w:val="20"/>
                <w:szCs w:val="20"/>
                <w:color w:val="auto"/>
              </w:rPr>
            </w:pPr>
            <w:r>
              <w:rPr>
                <w:rFonts w:ascii="Arial" w:cs="Arial" w:eastAsia="Arial" w:hAnsi="Arial"/>
                <w:sz w:val="9"/>
                <w:szCs w:val="9"/>
                <w:color w:val="auto"/>
              </w:rPr>
              <w:t>Environmental:  6</w:t>
            </w:r>
          </w:p>
        </w:tc>
        <w:tc>
          <w:tcPr>
            <w:tcW w:w="1360" w:type="dxa"/>
            <w:vAlign w:val="bottom"/>
            <w:tcBorders>
              <w:right w:val="single" w:sz="8" w:color="auto"/>
            </w:tcBorders>
          </w:tcPr>
          <w:p>
            <w:pPr>
              <w:jc w:val="right"/>
              <w:ind w:right="17"/>
              <w:spacing w:after="0"/>
              <w:rPr>
                <w:sz w:val="20"/>
                <w:szCs w:val="20"/>
                <w:color w:val="auto"/>
              </w:rPr>
            </w:pPr>
            <w:r>
              <w:rPr>
                <w:rFonts w:ascii="Arial" w:cs="Arial" w:eastAsia="Arial" w:hAnsi="Arial"/>
                <w:sz w:val="9"/>
                <w:szCs w:val="9"/>
                <w:color w:val="auto"/>
              </w:rPr>
              <w:t>Environmental:  8</w:t>
            </w:r>
          </w:p>
        </w:tc>
        <w:tc>
          <w:tcPr>
            <w:tcW w:w="1320" w:type="dxa"/>
            <w:vAlign w:val="bottom"/>
            <w:tcBorders>
              <w:right w:val="single" w:sz="8" w:color="auto"/>
            </w:tcBorders>
          </w:tcPr>
          <w:p>
            <w:pPr>
              <w:jc w:val="right"/>
              <w:ind w:right="16"/>
              <w:spacing w:after="0"/>
              <w:rPr>
                <w:sz w:val="20"/>
                <w:szCs w:val="20"/>
                <w:color w:val="auto"/>
              </w:rPr>
            </w:pPr>
            <w:r>
              <w:rPr>
                <w:rFonts w:ascii="Arial" w:cs="Arial" w:eastAsia="Arial" w:hAnsi="Arial"/>
                <w:sz w:val="9"/>
                <w:szCs w:val="9"/>
                <w:color w:val="auto"/>
              </w:rPr>
              <w:t>Environmental:  10</w:t>
            </w:r>
          </w:p>
        </w:tc>
        <w:tc>
          <w:tcPr>
            <w:tcW w:w="1380" w:type="dxa"/>
            <w:vAlign w:val="bottom"/>
            <w:tcBorders>
              <w:right w:val="single" w:sz="8" w:color="auto"/>
            </w:tcBorders>
          </w:tcPr>
          <w:p>
            <w:pPr>
              <w:jc w:val="right"/>
              <w:ind w:right="16"/>
              <w:spacing w:after="0"/>
              <w:rPr>
                <w:sz w:val="20"/>
                <w:szCs w:val="20"/>
                <w:color w:val="auto"/>
              </w:rPr>
            </w:pPr>
            <w:r>
              <w:rPr>
                <w:rFonts w:ascii="Arial" w:cs="Arial" w:eastAsia="Arial" w:hAnsi="Arial"/>
                <w:sz w:val="9"/>
                <w:szCs w:val="9"/>
                <w:color w:val="auto"/>
              </w:rPr>
              <w:t>Environmental:  8</w:t>
            </w:r>
          </w:p>
        </w:tc>
        <w:tc>
          <w:tcPr>
            <w:tcW w:w="4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60" w:type="dxa"/>
            <w:vAlign w:val="bottom"/>
            <w:tcBorders>
              <w:bottom w:val="single" w:sz="8" w:color="auto"/>
            </w:tcBorders>
          </w:tcPr>
          <w:p>
            <w:pPr>
              <w:ind w:left="20"/>
              <w:spacing w:after="0"/>
              <w:rPr>
                <w:sz w:val="20"/>
                <w:szCs w:val="20"/>
                <w:color w:val="auto"/>
              </w:rPr>
            </w:pPr>
            <w:r>
              <w:rPr>
                <w:rFonts w:ascii="Arial" w:cs="Arial" w:eastAsia="Arial" w:hAnsi="Arial"/>
                <w:sz w:val="9"/>
                <w:szCs w:val="9"/>
                <w:color w:val="auto"/>
              </w:rPr>
              <w:t>Strategic  Actions  (#  of  actions  completed)  (6)</w:t>
            </w:r>
          </w:p>
        </w:tc>
        <w:tc>
          <w:tcPr>
            <w:tcW w:w="560" w:type="dxa"/>
            <w:vAlign w:val="bottom"/>
            <w:tcBorders>
              <w:bottom w:val="single" w:sz="8" w:color="auto"/>
              <w:right w:val="single" w:sz="8" w:color="auto"/>
            </w:tcBorders>
          </w:tcPr>
          <w:p>
            <w:pPr>
              <w:jc w:val="center"/>
              <w:ind w:left="195"/>
              <w:spacing w:after="0"/>
              <w:rPr>
                <w:sz w:val="20"/>
                <w:szCs w:val="20"/>
                <w:color w:val="auto"/>
              </w:rPr>
            </w:pPr>
            <w:r>
              <w:rPr>
                <w:rFonts w:ascii="Arial" w:cs="Arial" w:eastAsia="Arial" w:hAnsi="Arial"/>
                <w:sz w:val="9"/>
                <w:szCs w:val="9"/>
                <w:color w:val="auto"/>
                <w:w w:val="88"/>
              </w:rPr>
              <w:t>20%</w:t>
            </w:r>
          </w:p>
        </w:tc>
        <w:tc>
          <w:tcPr>
            <w:tcW w:w="1360" w:type="dxa"/>
            <w:vAlign w:val="bottom"/>
            <w:tcBorders>
              <w:bottom w:val="single" w:sz="8" w:color="auto"/>
              <w:right w:val="single" w:sz="8" w:color="auto"/>
            </w:tcBorders>
          </w:tcPr>
          <w:p>
            <w:pPr>
              <w:jc w:val="right"/>
              <w:ind w:right="18"/>
              <w:spacing w:after="0"/>
              <w:rPr>
                <w:sz w:val="20"/>
                <w:szCs w:val="20"/>
                <w:color w:val="auto"/>
              </w:rPr>
            </w:pPr>
            <w:r>
              <w:rPr>
                <w:rFonts w:ascii="Arial" w:cs="Arial" w:eastAsia="Arial" w:hAnsi="Arial"/>
                <w:sz w:val="9"/>
                <w:szCs w:val="9"/>
                <w:color w:val="auto"/>
              </w:rPr>
              <w:t>Sourcing:  6</w:t>
            </w:r>
          </w:p>
        </w:tc>
        <w:tc>
          <w:tcPr>
            <w:tcW w:w="1360" w:type="dxa"/>
            <w:vAlign w:val="bottom"/>
            <w:tcBorders>
              <w:bottom w:val="single" w:sz="8" w:color="auto"/>
              <w:right w:val="single" w:sz="8" w:color="auto"/>
            </w:tcBorders>
          </w:tcPr>
          <w:p>
            <w:pPr>
              <w:jc w:val="right"/>
              <w:ind w:right="17"/>
              <w:spacing w:after="0"/>
              <w:rPr>
                <w:sz w:val="20"/>
                <w:szCs w:val="20"/>
                <w:color w:val="auto"/>
              </w:rPr>
            </w:pPr>
            <w:r>
              <w:rPr>
                <w:rFonts w:ascii="Arial" w:cs="Arial" w:eastAsia="Arial" w:hAnsi="Arial"/>
                <w:sz w:val="9"/>
                <w:szCs w:val="9"/>
                <w:color w:val="auto"/>
              </w:rPr>
              <w:t>Sourcing:  7</w:t>
            </w:r>
          </w:p>
        </w:tc>
        <w:tc>
          <w:tcPr>
            <w:tcW w:w="1320" w:type="dxa"/>
            <w:vAlign w:val="bottom"/>
            <w:tcBorders>
              <w:bottom w:val="single" w:sz="8" w:color="auto"/>
              <w:right w:val="single" w:sz="8" w:color="auto"/>
            </w:tcBorders>
          </w:tcPr>
          <w:p>
            <w:pPr>
              <w:jc w:val="right"/>
              <w:ind w:right="16"/>
              <w:spacing w:after="0"/>
              <w:rPr>
                <w:sz w:val="20"/>
                <w:szCs w:val="20"/>
                <w:color w:val="auto"/>
              </w:rPr>
            </w:pPr>
            <w:r>
              <w:rPr>
                <w:rFonts w:ascii="Arial" w:cs="Arial" w:eastAsia="Arial" w:hAnsi="Arial"/>
                <w:sz w:val="9"/>
                <w:szCs w:val="9"/>
                <w:color w:val="auto"/>
              </w:rPr>
              <w:t>Sourcing:  8</w:t>
            </w:r>
          </w:p>
        </w:tc>
        <w:tc>
          <w:tcPr>
            <w:tcW w:w="1380" w:type="dxa"/>
            <w:vAlign w:val="bottom"/>
            <w:tcBorders>
              <w:bottom w:val="single" w:sz="8" w:color="auto"/>
              <w:right w:val="single" w:sz="8" w:color="auto"/>
            </w:tcBorders>
          </w:tcPr>
          <w:p>
            <w:pPr>
              <w:jc w:val="right"/>
              <w:ind w:right="16"/>
              <w:spacing w:after="0"/>
              <w:rPr>
                <w:sz w:val="20"/>
                <w:szCs w:val="20"/>
                <w:color w:val="auto"/>
              </w:rPr>
            </w:pPr>
            <w:r>
              <w:rPr>
                <w:rFonts w:ascii="Arial" w:cs="Arial" w:eastAsia="Arial" w:hAnsi="Arial"/>
                <w:sz w:val="9"/>
                <w:szCs w:val="9"/>
                <w:color w:val="auto"/>
              </w:rPr>
              <w:t>Sourcing:  8</w:t>
            </w:r>
          </w:p>
        </w:tc>
        <w:tc>
          <w:tcPr>
            <w:tcW w:w="480" w:type="dxa"/>
            <w:vAlign w:val="bottom"/>
            <w:tcBorders>
              <w:bottom w:val="single" w:sz="8" w:color="auto"/>
            </w:tcBorders>
          </w:tcPr>
          <w:p>
            <w:pPr>
              <w:jc w:val="right"/>
              <w:ind w:right="55"/>
              <w:spacing w:after="0"/>
              <w:rPr>
                <w:sz w:val="20"/>
                <w:szCs w:val="20"/>
                <w:color w:val="auto"/>
              </w:rPr>
            </w:pPr>
            <w:r>
              <w:rPr>
                <w:rFonts w:ascii="Arial" w:cs="Arial" w:eastAsia="Arial" w:hAnsi="Arial"/>
                <w:sz w:val="9"/>
                <w:szCs w:val="9"/>
                <w:color w:val="auto"/>
              </w:rPr>
              <w:t>150%</w:t>
            </w:r>
          </w:p>
        </w:tc>
        <w:tc>
          <w:tcPr>
            <w:tcW w:w="5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180" w:type="dxa"/>
            <w:vAlign w:val="bottom"/>
            <w:tcBorders>
              <w:bottom w:val="single" w:sz="8" w:color="1414D2"/>
            </w:tcBorders>
          </w:tcPr>
          <w:p>
            <w:pPr>
              <w:spacing w:after="0"/>
              <w:rPr>
                <w:sz w:val="15"/>
                <w:szCs w:val="15"/>
                <w:color w:val="auto"/>
              </w:rPr>
            </w:pPr>
          </w:p>
        </w:tc>
        <w:tc>
          <w:tcPr>
            <w:tcW w:w="20" w:type="dxa"/>
            <w:vAlign w:val="bottom"/>
          </w:tcPr>
          <w:p>
            <w:pPr>
              <w:spacing w:after="0"/>
              <w:rPr>
                <w:sz w:val="15"/>
                <w:szCs w:val="15"/>
                <w:color w:val="auto"/>
              </w:rPr>
            </w:pPr>
          </w:p>
        </w:tc>
        <w:tc>
          <w:tcPr>
            <w:tcW w:w="2460" w:type="dxa"/>
            <w:vAlign w:val="bottom"/>
            <w:tcBorders>
              <w:bottom w:val="single" w:sz="8" w:color="1414D2"/>
            </w:tcBorders>
          </w:tcPr>
          <w:p>
            <w:pPr>
              <w:spacing w:after="0"/>
              <w:rPr>
                <w:sz w:val="15"/>
                <w:szCs w:val="15"/>
                <w:color w:val="auto"/>
              </w:rPr>
            </w:pPr>
          </w:p>
        </w:tc>
        <w:tc>
          <w:tcPr>
            <w:tcW w:w="560" w:type="dxa"/>
            <w:vAlign w:val="bottom"/>
            <w:tcBorders>
              <w:bottom w:val="single" w:sz="8" w:color="1414D2"/>
              <w:right w:val="single" w:sz="8" w:color="auto"/>
            </w:tcBorders>
          </w:tcPr>
          <w:p>
            <w:pPr>
              <w:spacing w:after="0"/>
              <w:rPr>
                <w:sz w:val="15"/>
                <w:szCs w:val="15"/>
                <w:color w:val="auto"/>
              </w:rPr>
            </w:pPr>
          </w:p>
        </w:tc>
        <w:tc>
          <w:tcPr>
            <w:tcW w:w="1360" w:type="dxa"/>
            <w:vAlign w:val="bottom"/>
            <w:tcBorders>
              <w:bottom w:val="single" w:sz="8" w:color="1414D2"/>
              <w:right w:val="single" w:sz="8" w:color="auto"/>
            </w:tcBorders>
          </w:tcPr>
          <w:p>
            <w:pPr>
              <w:spacing w:after="0"/>
              <w:rPr>
                <w:sz w:val="15"/>
                <w:szCs w:val="15"/>
                <w:color w:val="auto"/>
              </w:rPr>
            </w:pPr>
          </w:p>
        </w:tc>
        <w:tc>
          <w:tcPr>
            <w:tcW w:w="1360" w:type="dxa"/>
            <w:vAlign w:val="bottom"/>
            <w:tcBorders>
              <w:bottom w:val="single" w:sz="8" w:color="1414D2"/>
              <w:right w:val="single" w:sz="8" w:color="auto"/>
            </w:tcBorders>
          </w:tcPr>
          <w:p>
            <w:pPr>
              <w:spacing w:after="0"/>
              <w:rPr>
                <w:sz w:val="15"/>
                <w:szCs w:val="15"/>
                <w:color w:val="auto"/>
              </w:rPr>
            </w:pPr>
          </w:p>
        </w:tc>
        <w:tc>
          <w:tcPr>
            <w:tcW w:w="1320" w:type="dxa"/>
            <w:vAlign w:val="bottom"/>
            <w:tcBorders>
              <w:bottom w:val="single" w:sz="8" w:color="1414D2"/>
              <w:right w:val="single" w:sz="8" w:color="auto"/>
            </w:tcBorders>
          </w:tcPr>
          <w:p>
            <w:pPr>
              <w:spacing w:after="0"/>
              <w:rPr>
                <w:sz w:val="15"/>
                <w:szCs w:val="15"/>
                <w:color w:val="auto"/>
              </w:rPr>
            </w:pPr>
          </w:p>
        </w:tc>
        <w:tc>
          <w:tcPr>
            <w:tcW w:w="1380" w:type="dxa"/>
            <w:vAlign w:val="bottom"/>
            <w:tcBorders>
              <w:bottom w:val="single" w:sz="8" w:color="1414D2"/>
              <w:right w:val="single" w:sz="8" w:color="auto"/>
            </w:tcBorders>
          </w:tcPr>
          <w:p>
            <w:pPr>
              <w:spacing w:after="0"/>
              <w:rPr>
                <w:sz w:val="15"/>
                <w:szCs w:val="15"/>
                <w:color w:val="auto"/>
              </w:rPr>
            </w:pPr>
          </w:p>
        </w:tc>
        <w:tc>
          <w:tcPr>
            <w:tcW w:w="480" w:type="dxa"/>
            <w:vAlign w:val="bottom"/>
            <w:tcBorders>
              <w:bottom w:val="single" w:sz="8" w:color="1414D2"/>
            </w:tcBorders>
          </w:tcPr>
          <w:p>
            <w:pPr>
              <w:spacing w:after="0"/>
              <w:rPr>
                <w:sz w:val="15"/>
                <w:szCs w:val="15"/>
                <w:color w:val="auto"/>
              </w:rPr>
            </w:pPr>
          </w:p>
        </w:tc>
        <w:tc>
          <w:tcPr>
            <w:tcW w:w="560" w:type="dxa"/>
            <w:vAlign w:val="bottom"/>
            <w:tcBorders>
              <w:bottom w:val="single" w:sz="8" w:color="1414D2"/>
            </w:tcBorders>
          </w:tcPr>
          <w:p>
            <w:pPr>
              <w:jc w:val="right"/>
              <w:spacing w:after="0"/>
              <w:rPr>
                <w:sz w:val="20"/>
                <w:szCs w:val="20"/>
                <w:color w:val="auto"/>
              </w:rPr>
            </w:pPr>
            <w:r>
              <w:rPr>
                <w:rFonts w:ascii="Arial" w:cs="Arial" w:eastAsia="Arial" w:hAnsi="Arial"/>
                <w:sz w:val="9"/>
                <w:szCs w:val="9"/>
                <w:b w:val="1"/>
                <w:bCs w:val="1"/>
                <w:color w:val="auto"/>
              </w:rPr>
              <w:t>150%</w:t>
            </w:r>
          </w:p>
        </w:tc>
        <w:tc>
          <w:tcPr>
            <w:tcW w:w="20" w:type="dxa"/>
            <w:vAlign w:val="bottom"/>
            <w:tcBorders>
              <w:bottom w:val="single" w:sz="8" w:color="1414D2"/>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60" w:type="dxa"/>
            <w:vAlign w:val="bottom"/>
            <w:tcBorders>
              <w:bottom w:val="single" w:sz="8" w:color="auto"/>
            </w:tcBorders>
          </w:tcPr>
          <w:p>
            <w:pPr>
              <w:ind w:left="20"/>
              <w:spacing w:after="0"/>
              <w:rPr>
                <w:sz w:val="20"/>
                <w:szCs w:val="20"/>
                <w:color w:val="auto"/>
              </w:rPr>
            </w:pPr>
            <w:r>
              <w:rPr>
                <w:rFonts w:ascii="Arial" w:cs="Arial" w:eastAsia="Arial" w:hAnsi="Arial"/>
                <w:sz w:val="9"/>
                <w:szCs w:val="9"/>
                <w:color w:val="auto"/>
              </w:rPr>
              <w:t>Absolute  Adjusted  EPS  (7)</w:t>
            </w:r>
          </w:p>
        </w:tc>
        <w:tc>
          <w:tcPr>
            <w:tcW w:w="560" w:type="dxa"/>
            <w:vAlign w:val="bottom"/>
            <w:tcBorders>
              <w:bottom w:val="single" w:sz="8" w:color="auto"/>
              <w:right w:val="single" w:sz="8" w:color="auto"/>
            </w:tcBorders>
          </w:tcPr>
          <w:p>
            <w:pPr>
              <w:jc w:val="center"/>
              <w:ind w:left="195"/>
              <w:spacing w:after="0"/>
              <w:rPr>
                <w:sz w:val="20"/>
                <w:szCs w:val="20"/>
                <w:color w:val="auto"/>
              </w:rPr>
            </w:pPr>
            <w:r>
              <w:rPr>
                <w:rFonts w:ascii="Arial" w:cs="Arial" w:eastAsia="Arial" w:hAnsi="Arial"/>
                <w:sz w:val="9"/>
                <w:szCs w:val="9"/>
                <w:color w:val="auto"/>
                <w:w w:val="88"/>
              </w:rPr>
              <w:t>40%</w:t>
            </w:r>
          </w:p>
        </w:tc>
        <w:tc>
          <w:tcPr>
            <w:tcW w:w="1360" w:type="dxa"/>
            <w:vAlign w:val="bottom"/>
            <w:tcBorders>
              <w:bottom w:val="single" w:sz="8" w:color="auto"/>
              <w:right w:val="single" w:sz="8" w:color="auto"/>
            </w:tcBorders>
          </w:tcPr>
          <w:p>
            <w:pPr>
              <w:jc w:val="right"/>
              <w:ind w:right="18"/>
              <w:spacing w:after="0"/>
              <w:rPr>
                <w:sz w:val="20"/>
                <w:szCs w:val="20"/>
                <w:color w:val="auto"/>
              </w:rPr>
            </w:pPr>
            <w:r>
              <w:rPr>
                <w:rFonts w:ascii="Arial" w:cs="Arial" w:eastAsia="Arial" w:hAnsi="Arial"/>
                <w:sz w:val="9"/>
                <w:szCs w:val="9"/>
                <w:color w:val="auto"/>
              </w:rPr>
              <w:t>$7.50</w:t>
            </w:r>
          </w:p>
        </w:tc>
        <w:tc>
          <w:tcPr>
            <w:tcW w:w="1360" w:type="dxa"/>
            <w:vAlign w:val="bottom"/>
            <w:tcBorders>
              <w:bottom w:val="single" w:sz="8" w:color="auto"/>
              <w:right w:val="single" w:sz="8" w:color="auto"/>
            </w:tcBorders>
          </w:tcPr>
          <w:p>
            <w:pPr>
              <w:jc w:val="right"/>
              <w:ind w:right="17"/>
              <w:spacing w:after="0"/>
              <w:rPr>
                <w:sz w:val="20"/>
                <w:szCs w:val="20"/>
                <w:color w:val="auto"/>
              </w:rPr>
            </w:pPr>
            <w:r>
              <w:rPr>
                <w:rFonts w:ascii="Arial" w:cs="Arial" w:eastAsia="Arial" w:hAnsi="Arial"/>
                <w:sz w:val="9"/>
                <w:szCs w:val="9"/>
                <w:color w:val="auto"/>
              </w:rPr>
              <w:t>$11.50  -  $13.50</w:t>
            </w:r>
          </w:p>
        </w:tc>
        <w:tc>
          <w:tcPr>
            <w:tcW w:w="1320" w:type="dxa"/>
            <w:vAlign w:val="bottom"/>
            <w:tcBorders>
              <w:bottom w:val="single" w:sz="8" w:color="auto"/>
              <w:right w:val="single" w:sz="8" w:color="auto"/>
            </w:tcBorders>
          </w:tcPr>
          <w:p>
            <w:pPr>
              <w:jc w:val="right"/>
              <w:ind w:right="16"/>
              <w:spacing w:after="0"/>
              <w:rPr>
                <w:sz w:val="20"/>
                <w:szCs w:val="20"/>
                <w:color w:val="auto"/>
              </w:rPr>
            </w:pPr>
            <w:r>
              <w:rPr>
                <w:rFonts w:ascii="Arial" w:cs="Arial" w:eastAsia="Arial" w:hAnsi="Arial"/>
                <w:sz w:val="9"/>
                <w:szCs w:val="9"/>
                <w:color w:val="auto"/>
              </w:rPr>
              <w:t>$15.50</w:t>
            </w:r>
          </w:p>
        </w:tc>
        <w:tc>
          <w:tcPr>
            <w:tcW w:w="1380" w:type="dxa"/>
            <w:vAlign w:val="bottom"/>
            <w:tcBorders>
              <w:bottom w:val="single" w:sz="8" w:color="auto"/>
              <w:right w:val="single" w:sz="8" w:color="auto"/>
            </w:tcBorders>
          </w:tcPr>
          <w:p>
            <w:pPr>
              <w:jc w:val="right"/>
              <w:ind w:right="16"/>
              <w:spacing w:after="0"/>
              <w:rPr>
                <w:sz w:val="20"/>
                <w:szCs w:val="20"/>
                <w:color w:val="auto"/>
              </w:rPr>
            </w:pPr>
            <w:r>
              <w:rPr>
                <w:rFonts w:ascii="Arial" w:cs="Arial" w:eastAsia="Arial" w:hAnsi="Arial"/>
                <w:sz w:val="9"/>
                <w:szCs w:val="9"/>
                <w:color w:val="auto"/>
              </w:rPr>
              <w:t>$10.62</w:t>
            </w:r>
          </w:p>
        </w:tc>
        <w:tc>
          <w:tcPr>
            <w:tcW w:w="480" w:type="dxa"/>
            <w:vAlign w:val="bottom"/>
            <w:tcBorders>
              <w:bottom w:val="single" w:sz="8" w:color="auto"/>
            </w:tcBorders>
          </w:tcPr>
          <w:p>
            <w:pPr>
              <w:jc w:val="right"/>
              <w:ind w:right="55"/>
              <w:spacing w:after="0"/>
              <w:rPr>
                <w:sz w:val="20"/>
                <w:szCs w:val="20"/>
                <w:color w:val="auto"/>
              </w:rPr>
            </w:pPr>
            <w:r>
              <w:rPr>
                <w:rFonts w:ascii="Arial" w:cs="Arial" w:eastAsia="Arial" w:hAnsi="Arial"/>
                <w:sz w:val="9"/>
                <w:szCs w:val="9"/>
                <w:color w:val="auto"/>
              </w:rPr>
              <w:t>89%</w:t>
            </w:r>
          </w:p>
        </w:tc>
        <w:tc>
          <w:tcPr>
            <w:tcW w:w="5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2460" w:type="dxa"/>
            <w:vAlign w:val="bottom"/>
          </w:tcPr>
          <w:p>
            <w:pPr>
              <w:spacing w:after="0"/>
              <w:rPr>
                <w:sz w:val="6"/>
                <w:szCs w:val="6"/>
                <w:color w:val="auto"/>
              </w:rPr>
            </w:pPr>
          </w:p>
        </w:tc>
        <w:tc>
          <w:tcPr>
            <w:tcW w:w="560" w:type="dxa"/>
            <w:vAlign w:val="bottom"/>
            <w:tcBorders>
              <w:right w:val="single" w:sz="8" w:color="auto"/>
            </w:tcBorders>
          </w:tcPr>
          <w:p>
            <w:pPr>
              <w:spacing w:after="0"/>
              <w:rPr>
                <w:sz w:val="6"/>
                <w:szCs w:val="6"/>
                <w:color w:val="auto"/>
              </w:rPr>
            </w:pPr>
          </w:p>
        </w:tc>
        <w:tc>
          <w:tcPr>
            <w:tcW w:w="1360" w:type="dxa"/>
            <w:vAlign w:val="bottom"/>
            <w:tcBorders>
              <w:right w:val="single" w:sz="8" w:color="auto"/>
            </w:tcBorders>
          </w:tcPr>
          <w:p>
            <w:pPr>
              <w:spacing w:after="0"/>
              <w:rPr>
                <w:sz w:val="6"/>
                <w:szCs w:val="6"/>
                <w:color w:val="auto"/>
              </w:rPr>
            </w:pPr>
          </w:p>
        </w:tc>
        <w:tc>
          <w:tcPr>
            <w:tcW w:w="1360" w:type="dxa"/>
            <w:vAlign w:val="bottom"/>
            <w:tcBorders>
              <w:right w:val="single" w:sz="8" w:color="auto"/>
            </w:tcBorders>
          </w:tcPr>
          <w:p>
            <w:pPr>
              <w:jc w:val="right"/>
              <w:ind w:right="17"/>
              <w:spacing w:after="0" w:line="75" w:lineRule="exact"/>
              <w:rPr>
                <w:sz w:val="20"/>
                <w:szCs w:val="20"/>
                <w:color w:val="auto"/>
              </w:rPr>
            </w:pPr>
            <w:r>
              <w:rPr>
                <w:rFonts w:ascii="Arial" w:cs="Arial" w:eastAsia="Arial" w:hAnsi="Arial"/>
                <w:sz w:val="8"/>
                <w:szCs w:val="8"/>
                <w:color w:val="auto"/>
              </w:rPr>
              <w:t>40%-70%  of  range  between</w:t>
            </w:r>
          </w:p>
        </w:tc>
        <w:tc>
          <w:tcPr>
            <w:tcW w:w="1320" w:type="dxa"/>
            <w:vAlign w:val="bottom"/>
            <w:tcBorders>
              <w:right w:val="single" w:sz="8" w:color="auto"/>
            </w:tcBorders>
          </w:tcPr>
          <w:p>
            <w:pPr>
              <w:spacing w:after="0"/>
              <w:rPr>
                <w:sz w:val="6"/>
                <w:szCs w:val="6"/>
                <w:color w:val="auto"/>
              </w:rPr>
            </w:pPr>
          </w:p>
        </w:tc>
        <w:tc>
          <w:tcPr>
            <w:tcW w:w="1380" w:type="dxa"/>
            <w:vAlign w:val="bottom"/>
            <w:tcBorders>
              <w:right w:val="single" w:sz="8" w:color="auto"/>
            </w:tcBorders>
          </w:tcPr>
          <w:p>
            <w:pPr>
              <w:spacing w:after="0"/>
              <w:rPr>
                <w:sz w:val="6"/>
                <w:szCs w:val="6"/>
                <w:color w:val="auto"/>
              </w:rPr>
            </w:pPr>
          </w:p>
        </w:tc>
        <w:tc>
          <w:tcPr>
            <w:tcW w:w="4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60" w:type="dxa"/>
            <w:vAlign w:val="bottom"/>
            <w:tcBorders>
              <w:bottom w:val="single" w:sz="8" w:color="auto"/>
            </w:tcBorders>
          </w:tcPr>
          <w:p>
            <w:pPr>
              <w:ind w:left="20"/>
              <w:spacing w:after="0"/>
              <w:rPr>
                <w:sz w:val="20"/>
                <w:szCs w:val="20"/>
                <w:color w:val="auto"/>
              </w:rPr>
            </w:pPr>
            <w:r>
              <w:rPr>
                <w:rFonts w:ascii="Arial" w:cs="Arial" w:eastAsia="Arial" w:hAnsi="Arial"/>
                <w:sz w:val="9"/>
                <w:szCs w:val="9"/>
                <w:color w:val="auto"/>
              </w:rPr>
              <w:t>Relative  Adjusted  Pre-Tax  Margin  (8)</w:t>
            </w:r>
          </w:p>
        </w:tc>
        <w:tc>
          <w:tcPr>
            <w:tcW w:w="560" w:type="dxa"/>
            <w:vAlign w:val="bottom"/>
            <w:tcBorders>
              <w:bottom w:val="single" w:sz="8" w:color="auto"/>
              <w:right w:val="single" w:sz="8" w:color="auto"/>
            </w:tcBorders>
          </w:tcPr>
          <w:p>
            <w:pPr>
              <w:jc w:val="center"/>
              <w:ind w:left="195"/>
              <w:spacing w:after="0"/>
              <w:rPr>
                <w:sz w:val="20"/>
                <w:szCs w:val="20"/>
                <w:color w:val="auto"/>
              </w:rPr>
            </w:pPr>
            <w:r>
              <w:rPr>
                <w:rFonts w:ascii="Arial" w:cs="Arial" w:eastAsia="Arial" w:hAnsi="Arial"/>
                <w:sz w:val="9"/>
                <w:szCs w:val="9"/>
                <w:color w:val="auto"/>
                <w:w w:val="88"/>
              </w:rPr>
              <w:t>40%</w:t>
            </w:r>
          </w:p>
        </w:tc>
        <w:tc>
          <w:tcPr>
            <w:tcW w:w="1360" w:type="dxa"/>
            <w:vAlign w:val="bottom"/>
            <w:tcBorders>
              <w:bottom w:val="single" w:sz="8" w:color="auto"/>
              <w:right w:val="single" w:sz="8" w:color="auto"/>
            </w:tcBorders>
          </w:tcPr>
          <w:p>
            <w:pPr>
              <w:jc w:val="right"/>
              <w:ind w:right="18"/>
              <w:spacing w:after="0"/>
              <w:rPr>
                <w:sz w:val="20"/>
                <w:szCs w:val="20"/>
                <w:color w:val="auto"/>
              </w:rPr>
            </w:pPr>
            <w:r>
              <w:rPr>
                <w:rFonts w:ascii="Arial" w:cs="Arial" w:eastAsia="Arial" w:hAnsi="Arial"/>
                <w:sz w:val="9"/>
                <w:szCs w:val="9"/>
                <w:color w:val="auto"/>
              </w:rPr>
              <w:t>Greater  than  average</w:t>
            </w:r>
          </w:p>
        </w:tc>
        <w:tc>
          <w:tcPr>
            <w:tcW w:w="1360" w:type="dxa"/>
            <w:vAlign w:val="bottom"/>
            <w:tcBorders>
              <w:bottom w:val="single" w:sz="8" w:color="auto"/>
              <w:right w:val="single" w:sz="8" w:color="auto"/>
            </w:tcBorders>
          </w:tcPr>
          <w:p>
            <w:pPr>
              <w:jc w:val="right"/>
              <w:ind w:right="17"/>
              <w:spacing w:after="0"/>
              <w:rPr>
                <w:sz w:val="20"/>
                <w:szCs w:val="20"/>
                <w:color w:val="auto"/>
              </w:rPr>
            </w:pPr>
            <w:r>
              <w:rPr>
                <w:rFonts w:ascii="Arial" w:cs="Arial" w:eastAsia="Arial" w:hAnsi="Arial"/>
                <w:sz w:val="9"/>
                <w:szCs w:val="9"/>
                <w:color w:val="auto"/>
              </w:rPr>
              <w:t>entry  and  stretch  levels</w:t>
            </w:r>
          </w:p>
        </w:tc>
        <w:tc>
          <w:tcPr>
            <w:tcW w:w="1320" w:type="dxa"/>
            <w:vAlign w:val="bottom"/>
            <w:tcBorders>
              <w:bottom w:val="single" w:sz="8" w:color="auto"/>
              <w:right w:val="single" w:sz="8" w:color="auto"/>
            </w:tcBorders>
          </w:tcPr>
          <w:p>
            <w:pPr>
              <w:jc w:val="right"/>
              <w:ind w:right="16"/>
              <w:spacing w:after="0"/>
              <w:rPr>
                <w:sz w:val="20"/>
                <w:szCs w:val="20"/>
                <w:color w:val="auto"/>
              </w:rPr>
            </w:pPr>
            <w:r>
              <w:rPr>
                <w:rFonts w:ascii="Arial" w:cs="Arial" w:eastAsia="Arial" w:hAnsi="Arial"/>
                <w:sz w:val="9"/>
                <w:szCs w:val="9"/>
                <w:color w:val="auto"/>
              </w:rPr>
              <w:t>#1  rank</w:t>
            </w:r>
          </w:p>
        </w:tc>
        <w:tc>
          <w:tcPr>
            <w:tcW w:w="1380" w:type="dxa"/>
            <w:vAlign w:val="bottom"/>
            <w:tcBorders>
              <w:bottom w:val="single" w:sz="8" w:color="auto"/>
              <w:right w:val="single" w:sz="8" w:color="auto"/>
            </w:tcBorders>
          </w:tcPr>
          <w:p>
            <w:pPr>
              <w:jc w:val="right"/>
              <w:ind w:right="16"/>
              <w:spacing w:after="0"/>
              <w:rPr>
                <w:sz w:val="20"/>
                <w:szCs w:val="20"/>
                <w:color w:val="auto"/>
              </w:rPr>
            </w:pPr>
            <w:r>
              <w:rPr>
                <w:rFonts w:ascii="Arial" w:cs="Arial" w:eastAsia="Arial" w:hAnsi="Arial"/>
                <w:sz w:val="9"/>
                <w:szCs w:val="9"/>
                <w:color w:val="auto"/>
              </w:rPr>
              <w:t>87.0%  in  range</w:t>
            </w:r>
          </w:p>
        </w:tc>
        <w:tc>
          <w:tcPr>
            <w:tcW w:w="480" w:type="dxa"/>
            <w:vAlign w:val="bottom"/>
            <w:tcBorders>
              <w:bottom w:val="single" w:sz="8" w:color="auto"/>
            </w:tcBorders>
          </w:tcPr>
          <w:p>
            <w:pPr>
              <w:jc w:val="right"/>
              <w:ind w:right="55"/>
              <w:spacing w:after="0"/>
              <w:rPr>
                <w:sz w:val="20"/>
                <w:szCs w:val="20"/>
                <w:color w:val="auto"/>
              </w:rPr>
            </w:pPr>
            <w:r>
              <w:rPr>
                <w:rFonts w:ascii="Arial" w:cs="Arial" w:eastAsia="Arial" w:hAnsi="Arial"/>
                <w:sz w:val="9"/>
                <w:szCs w:val="9"/>
                <w:color w:val="auto"/>
              </w:rPr>
              <w:t>157%</w:t>
            </w: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20" w:type="dxa"/>
            <w:vAlign w:val="bottom"/>
            <w:gridSpan w:val="2"/>
            <w:textDirection w:val="btLr"/>
          </w:tcPr>
          <w:p>
            <w:pPr>
              <w:spacing w:after="0"/>
              <w:rPr>
                <w:sz w:val="20"/>
                <w:szCs w:val="20"/>
                <w:color w:val="auto"/>
              </w:rPr>
            </w:pPr>
            <w:r>
              <w:rPr>
                <w:rFonts w:ascii="Arial" w:cs="Arial" w:eastAsia="Arial" w:hAnsi="Arial"/>
                <w:sz w:val="9"/>
                <w:szCs w:val="9"/>
                <w:b w:val="1"/>
                <w:bCs w:val="1"/>
                <w:color w:val="auto"/>
              </w:rPr>
              <w:t>3</w:t>
            </w:r>
          </w:p>
        </w:tc>
        <w:tc>
          <w:tcPr>
            <w:tcW w:w="20" w:type="dxa"/>
            <w:vAlign w:val="bottom"/>
          </w:tcPr>
          <w:p>
            <w:pPr>
              <w:spacing w:after="0"/>
              <w:rPr>
                <w:sz w:val="9"/>
                <w:szCs w:val="9"/>
                <w:color w:val="auto"/>
              </w:rPr>
            </w:pPr>
          </w:p>
        </w:tc>
        <w:tc>
          <w:tcPr>
            <w:tcW w:w="2460" w:type="dxa"/>
            <w:vAlign w:val="bottom"/>
            <w:vMerge w:val="restart"/>
          </w:tcPr>
          <w:p>
            <w:pPr>
              <w:ind w:left="20"/>
              <w:spacing w:after="0"/>
              <w:rPr>
                <w:sz w:val="20"/>
                <w:szCs w:val="20"/>
                <w:color w:val="auto"/>
              </w:rPr>
            </w:pPr>
            <w:r>
              <w:rPr>
                <w:rFonts w:ascii="Arial" w:cs="Arial" w:eastAsia="Arial" w:hAnsi="Arial"/>
                <w:sz w:val="9"/>
                <w:szCs w:val="9"/>
                <w:color w:val="auto"/>
              </w:rPr>
              <w:t>Strategic  Action:  Mobile  App  Usage</w:t>
            </w:r>
          </w:p>
        </w:tc>
        <w:tc>
          <w:tcPr>
            <w:tcW w:w="560" w:type="dxa"/>
            <w:vAlign w:val="bottom"/>
            <w:tcBorders>
              <w:right w:val="single" w:sz="8" w:color="auto"/>
            </w:tcBorders>
            <w:vMerge w:val="restart"/>
          </w:tcPr>
          <w:p>
            <w:pPr>
              <w:jc w:val="right"/>
              <w:ind w:right="35"/>
              <w:spacing w:after="0"/>
              <w:rPr>
                <w:sz w:val="20"/>
                <w:szCs w:val="20"/>
                <w:color w:val="auto"/>
              </w:rPr>
            </w:pPr>
            <w:r>
              <w:rPr>
                <w:rFonts w:ascii="Arial" w:cs="Arial" w:eastAsia="Arial" w:hAnsi="Arial"/>
                <w:sz w:val="9"/>
                <w:szCs w:val="9"/>
                <w:color w:val="auto"/>
              </w:rPr>
              <w:t>6.66%</w:t>
            </w:r>
          </w:p>
        </w:tc>
        <w:tc>
          <w:tcPr>
            <w:tcW w:w="1360" w:type="dxa"/>
            <w:vAlign w:val="bottom"/>
            <w:tcBorders>
              <w:right w:val="single" w:sz="8" w:color="auto"/>
            </w:tcBorders>
            <w:vMerge w:val="restart"/>
          </w:tcPr>
          <w:p>
            <w:pPr>
              <w:jc w:val="right"/>
              <w:ind w:right="18"/>
              <w:spacing w:after="0"/>
              <w:rPr>
                <w:sz w:val="20"/>
                <w:szCs w:val="20"/>
                <w:color w:val="auto"/>
              </w:rPr>
            </w:pPr>
            <w:r>
              <w:rPr>
                <w:rFonts w:ascii="Arial" w:cs="Arial" w:eastAsia="Arial" w:hAnsi="Arial"/>
                <w:sz w:val="9"/>
                <w:szCs w:val="9"/>
                <w:color w:val="auto"/>
              </w:rPr>
              <w:t>79%  of  customer  PNRs</w:t>
            </w:r>
          </w:p>
        </w:tc>
        <w:tc>
          <w:tcPr>
            <w:tcW w:w="1360" w:type="dxa"/>
            <w:vAlign w:val="bottom"/>
            <w:tcBorders>
              <w:right w:val="single" w:sz="8" w:color="auto"/>
            </w:tcBorders>
            <w:vMerge w:val="restart"/>
          </w:tcPr>
          <w:p>
            <w:pPr>
              <w:jc w:val="right"/>
              <w:ind w:right="17"/>
              <w:spacing w:after="0"/>
              <w:rPr>
                <w:sz w:val="20"/>
                <w:szCs w:val="20"/>
                <w:color w:val="auto"/>
              </w:rPr>
            </w:pPr>
            <w:r>
              <w:rPr>
                <w:rFonts w:ascii="Arial" w:cs="Arial" w:eastAsia="Arial" w:hAnsi="Arial"/>
                <w:sz w:val="9"/>
                <w:szCs w:val="9"/>
                <w:color w:val="auto"/>
              </w:rPr>
              <w:t>83%  of  customer  PNRs</w:t>
            </w:r>
          </w:p>
        </w:tc>
        <w:tc>
          <w:tcPr>
            <w:tcW w:w="1320" w:type="dxa"/>
            <w:vAlign w:val="bottom"/>
            <w:tcBorders>
              <w:right w:val="single" w:sz="8" w:color="auto"/>
            </w:tcBorders>
            <w:vMerge w:val="restart"/>
          </w:tcPr>
          <w:p>
            <w:pPr>
              <w:jc w:val="right"/>
              <w:ind w:right="16"/>
              <w:spacing w:after="0"/>
              <w:rPr>
                <w:sz w:val="20"/>
                <w:szCs w:val="20"/>
                <w:color w:val="auto"/>
              </w:rPr>
            </w:pPr>
            <w:r>
              <w:rPr>
                <w:rFonts w:ascii="Arial" w:cs="Arial" w:eastAsia="Arial" w:hAnsi="Arial"/>
                <w:sz w:val="9"/>
                <w:szCs w:val="9"/>
                <w:color w:val="auto"/>
              </w:rPr>
              <w:t>86%  of  customer  PNRs</w:t>
            </w:r>
          </w:p>
        </w:tc>
        <w:tc>
          <w:tcPr>
            <w:tcW w:w="1380" w:type="dxa"/>
            <w:vAlign w:val="bottom"/>
            <w:tcBorders>
              <w:right w:val="single" w:sz="8" w:color="auto"/>
            </w:tcBorders>
            <w:vMerge w:val="restart"/>
          </w:tcPr>
          <w:p>
            <w:pPr>
              <w:jc w:val="right"/>
              <w:ind w:right="16"/>
              <w:spacing w:after="0"/>
              <w:rPr>
                <w:sz w:val="20"/>
                <w:szCs w:val="20"/>
                <w:color w:val="auto"/>
              </w:rPr>
            </w:pPr>
            <w:r>
              <w:rPr>
                <w:rFonts w:ascii="Arial" w:cs="Arial" w:eastAsia="Arial" w:hAnsi="Arial"/>
                <w:sz w:val="9"/>
                <w:szCs w:val="9"/>
                <w:color w:val="auto"/>
              </w:rPr>
              <w:t>83%  of  customer  PNRs</w:t>
            </w:r>
          </w:p>
        </w:tc>
        <w:tc>
          <w:tcPr>
            <w:tcW w:w="480" w:type="dxa"/>
            <w:vAlign w:val="bottom"/>
            <w:vMerge w:val="restart"/>
          </w:tcPr>
          <w:p>
            <w:pPr>
              <w:jc w:val="right"/>
              <w:ind w:right="55"/>
              <w:spacing w:after="0"/>
              <w:rPr>
                <w:sz w:val="20"/>
                <w:szCs w:val="20"/>
                <w:color w:val="auto"/>
              </w:rPr>
            </w:pPr>
            <w:r>
              <w:rPr>
                <w:rFonts w:ascii="Arial" w:cs="Arial" w:eastAsia="Arial" w:hAnsi="Arial"/>
                <w:sz w:val="9"/>
                <w:szCs w:val="9"/>
                <w:color w:val="auto"/>
              </w:rPr>
              <w:t>100%</w:t>
            </w: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240" w:type="dxa"/>
            <w:vAlign w:val="bottom"/>
            <w:gridSpan w:val="3"/>
            <w:vMerge w:val="restart"/>
            <w:textDirection w:val="btLr"/>
          </w:tcPr>
          <w:p>
            <w:pPr>
              <w:ind w:left="73"/>
              <w:spacing w:after="0"/>
              <w:rPr>
                <w:sz w:val="20"/>
                <w:szCs w:val="20"/>
                <w:color w:val="auto"/>
              </w:rPr>
            </w:pPr>
            <w:r>
              <w:rPr>
                <w:rFonts w:ascii="Arial" w:cs="Arial" w:eastAsia="Arial" w:hAnsi="Arial"/>
                <w:sz w:val="2"/>
                <w:szCs w:val="2"/>
                <w:b w:val="1"/>
                <w:bCs w:val="1"/>
                <w:color w:val="auto"/>
              </w:rPr>
              <w:t>Tranche</w:t>
            </w:r>
          </w:p>
        </w:tc>
        <w:tc>
          <w:tcPr>
            <w:tcW w:w="2460" w:type="dxa"/>
            <w:vAlign w:val="bottom"/>
            <w:vMerge w:val="continue"/>
          </w:tcPr>
          <w:p>
            <w:pPr>
              <w:spacing w:after="0"/>
              <w:rPr>
                <w:sz w:val="6"/>
                <w:szCs w:val="6"/>
                <w:color w:val="auto"/>
              </w:rPr>
            </w:pPr>
          </w:p>
        </w:tc>
        <w:tc>
          <w:tcPr>
            <w:tcW w:w="560" w:type="dxa"/>
            <w:vAlign w:val="bottom"/>
            <w:tcBorders>
              <w:right w:val="single" w:sz="8" w:color="auto"/>
            </w:tcBorders>
            <w:vMerge w:val="continue"/>
          </w:tcPr>
          <w:p>
            <w:pPr>
              <w:spacing w:after="0"/>
              <w:rPr>
                <w:sz w:val="6"/>
                <w:szCs w:val="6"/>
                <w:color w:val="auto"/>
              </w:rPr>
            </w:pPr>
          </w:p>
        </w:tc>
        <w:tc>
          <w:tcPr>
            <w:tcW w:w="1360" w:type="dxa"/>
            <w:vAlign w:val="bottom"/>
            <w:tcBorders>
              <w:right w:val="single" w:sz="8" w:color="auto"/>
            </w:tcBorders>
            <w:vMerge w:val="continue"/>
          </w:tcPr>
          <w:p>
            <w:pPr>
              <w:spacing w:after="0"/>
              <w:rPr>
                <w:sz w:val="6"/>
                <w:szCs w:val="6"/>
                <w:color w:val="auto"/>
              </w:rPr>
            </w:pPr>
          </w:p>
        </w:tc>
        <w:tc>
          <w:tcPr>
            <w:tcW w:w="1360" w:type="dxa"/>
            <w:vAlign w:val="bottom"/>
            <w:tcBorders>
              <w:right w:val="single" w:sz="8" w:color="auto"/>
            </w:tcBorders>
            <w:vMerge w:val="continue"/>
          </w:tcPr>
          <w:p>
            <w:pPr>
              <w:spacing w:after="0"/>
              <w:rPr>
                <w:sz w:val="6"/>
                <w:szCs w:val="6"/>
                <w:color w:val="auto"/>
              </w:rPr>
            </w:pPr>
          </w:p>
        </w:tc>
        <w:tc>
          <w:tcPr>
            <w:tcW w:w="1320" w:type="dxa"/>
            <w:vAlign w:val="bottom"/>
            <w:tcBorders>
              <w:right w:val="single" w:sz="8" w:color="auto"/>
            </w:tcBorders>
            <w:vMerge w:val="continue"/>
          </w:tcPr>
          <w:p>
            <w:pPr>
              <w:spacing w:after="0"/>
              <w:rPr>
                <w:sz w:val="6"/>
                <w:szCs w:val="6"/>
                <w:color w:val="auto"/>
              </w:rPr>
            </w:pPr>
          </w:p>
        </w:tc>
        <w:tc>
          <w:tcPr>
            <w:tcW w:w="1380" w:type="dxa"/>
            <w:vAlign w:val="bottom"/>
            <w:tcBorders>
              <w:right w:val="single" w:sz="8" w:color="auto"/>
            </w:tcBorders>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
        </w:trPr>
        <w:tc>
          <w:tcPr>
            <w:tcW w:w="240" w:type="dxa"/>
            <w:vAlign w:val="bottom"/>
            <w:gridSpan w:val="3"/>
            <w:vMerge w:val="continue"/>
          </w:tcPr>
          <w:p>
            <w:pPr>
              <w:spacing w:after="0" w:line="20" w:lineRule="exact"/>
              <w:rPr>
                <w:sz w:val="1"/>
                <w:szCs w:val="1"/>
                <w:color w:val="auto"/>
              </w:rPr>
            </w:pPr>
          </w:p>
        </w:tc>
        <w:tc>
          <w:tcPr>
            <w:tcW w:w="2460" w:type="dxa"/>
            <w:vAlign w:val="bottom"/>
            <w:tcBorders>
              <w:left w:val="single" w:sz="8" w:color="auto"/>
            </w:tcBorders>
            <w:shd w:val="clear" w:color="auto" w:fill="000000"/>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1360" w:type="dxa"/>
            <w:vAlign w:val="bottom"/>
            <w:tcBorders>
              <w:right w:val="single" w:sz="8" w:color="auto"/>
            </w:tcBorders>
            <w:shd w:val="clear" w:color="auto" w:fill="000000"/>
          </w:tcPr>
          <w:p>
            <w:pPr>
              <w:jc w:val="right"/>
              <w:spacing w:after="0" w:line="2" w:lineRule="exact"/>
              <w:rPr>
                <w:sz w:val="20"/>
                <w:szCs w:val="20"/>
                <w:color w:val="auto"/>
              </w:rPr>
            </w:pPr>
            <w:r>
              <w:rPr>
                <w:rFonts w:ascii="Arial" w:cs="Arial" w:eastAsia="Arial" w:hAnsi="Arial"/>
                <w:sz w:val="1"/>
                <w:szCs w:val="1"/>
                <w:color w:val="auto"/>
              </w:rPr>
              <w:t>enable  new  advertising</w:t>
            </w:r>
          </w:p>
        </w:tc>
        <w:tc>
          <w:tcPr>
            <w:tcW w:w="1360" w:type="dxa"/>
            <w:vAlign w:val="bottom"/>
            <w:tcBorders>
              <w:right w:val="single" w:sz="8" w:color="auto"/>
            </w:tcBorders>
            <w:shd w:val="clear" w:color="auto" w:fill="000000"/>
          </w:tcPr>
          <w:p>
            <w:pPr>
              <w:spacing w:after="0" w:line="20" w:lineRule="exact"/>
              <w:rPr>
                <w:sz w:val="1"/>
                <w:szCs w:val="1"/>
                <w:color w:val="auto"/>
              </w:rPr>
            </w:pPr>
          </w:p>
        </w:tc>
        <w:tc>
          <w:tcPr>
            <w:tcW w:w="1320" w:type="dxa"/>
            <w:vAlign w:val="bottom"/>
            <w:tcBorders>
              <w:right w:val="single" w:sz="8" w:color="auto"/>
            </w:tcBorders>
            <w:shd w:val="clear" w:color="auto" w:fill="000000"/>
          </w:tcPr>
          <w:p>
            <w:pPr>
              <w:spacing w:after="0" w:line="20" w:lineRule="exact"/>
              <w:rPr>
                <w:sz w:val="1"/>
                <w:szCs w:val="1"/>
                <w:color w:val="auto"/>
              </w:rPr>
            </w:pPr>
          </w:p>
        </w:tc>
        <w:tc>
          <w:tcPr>
            <w:tcW w:w="138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
        </w:trPr>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60" w:type="dxa"/>
            <w:vAlign w:val="bottom"/>
          </w:tcPr>
          <w:p>
            <w:pPr>
              <w:spacing w:after="0"/>
              <w:rPr>
                <w:sz w:val="7"/>
                <w:szCs w:val="7"/>
                <w:color w:val="auto"/>
              </w:rPr>
            </w:pPr>
          </w:p>
        </w:tc>
        <w:tc>
          <w:tcPr>
            <w:tcW w:w="560" w:type="dxa"/>
            <w:vAlign w:val="bottom"/>
            <w:tcBorders>
              <w:right w:val="single" w:sz="8" w:color="auto"/>
            </w:tcBorders>
          </w:tcPr>
          <w:p>
            <w:pPr>
              <w:spacing w:after="0"/>
              <w:rPr>
                <w:sz w:val="7"/>
                <w:szCs w:val="7"/>
                <w:color w:val="auto"/>
              </w:rPr>
            </w:pPr>
          </w:p>
        </w:tc>
        <w:tc>
          <w:tcPr>
            <w:tcW w:w="1360" w:type="dxa"/>
            <w:vAlign w:val="bottom"/>
            <w:tcBorders>
              <w:right w:val="single" w:sz="8" w:color="auto"/>
            </w:tcBorders>
          </w:tcPr>
          <w:p>
            <w:pPr>
              <w:jc w:val="right"/>
              <w:spacing w:after="0" w:line="81" w:lineRule="exact"/>
              <w:rPr>
                <w:sz w:val="20"/>
                <w:szCs w:val="20"/>
                <w:color w:val="auto"/>
              </w:rPr>
            </w:pPr>
            <w:r>
              <w:rPr>
                <w:rFonts w:ascii="Arial" w:cs="Arial" w:eastAsia="Arial" w:hAnsi="Arial"/>
                <w:sz w:val="9"/>
                <w:szCs w:val="9"/>
                <w:color w:val="auto"/>
              </w:rPr>
              <w:t>Complete  initial  installation  of</w:t>
            </w:r>
          </w:p>
        </w:tc>
        <w:tc>
          <w:tcPr>
            <w:tcW w:w="1360" w:type="dxa"/>
            <w:vAlign w:val="bottom"/>
            <w:tcBorders>
              <w:right w:val="single" w:sz="8" w:color="auto"/>
            </w:tcBorders>
          </w:tcPr>
          <w:p>
            <w:pPr>
              <w:spacing w:after="0"/>
              <w:rPr>
                <w:sz w:val="7"/>
                <w:szCs w:val="7"/>
                <w:color w:val="auto"/>
              </w:rPr>
            </w:pPr>
          </w:p>
        </w:tc>
        <w:tc>
          <w:tcPr>
            <w:tcW w:w="1320" w:type="dxa"/>
            <w:vAlign w:val="bottom"/>
            <w:tcBorders>
              <w:right w:val="single" w:sz="8" w:color="auto"/>
            </w:tcBorders>
          </w:tcPr>
          <w:p>
            <w:pPr>
              <w:spacing w:after="0"/>
              <w:rPr>
                <w:sz w:val="7"/>
                <w:szCs w:val="7"/>
                <w:color w:val="auto"/>
              </w:rPr>
            </w:pPr>
          </w:p>
        </w:tc>
        <w:tc>
          <w:tcPr>
            <w:tcW w:w="1380" w:type="dxa"/>
            <w:vAlign w:val="bottom"/>
            <w:tcBorders>
              <w:right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jc w:val="right"/>
              <w:spacing w:after="0"/>
              <w:rPr>
                <w:sz w:val="20"/>
                <w:szCs w:val="20"/>
                <w:color w:val="auto"/>
              </w:rPr>
            </w:pPr>
            <w:r>
              <w:rPr>
                <w:rFonts w:ascii="Arial" w:cs="Arial" w:eastAsia="Arial" w:hAnsi="Arial"/>
                <w:sz w:val="9"/>
                <w:szCs w:val="9"/>
                <w:color w:val="auto"/>
              </w:rPr>
              <w:t>Starlink  on  UAX  aircraft   and</w:t>
            </w:r>
          </w:p>
        </w:tc>
        <w:tc>
          <w:tcPr>
            <w:tcW w:w="136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1380" w:type="dxa"/>
            <w:vAlign w:val="bottom"/>
            <w:tcBorders>
              <w:right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1"/>
        </w:trPr>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60" w:type="dxa"/>
            <w:vAlign w:val="bottom"/>
            <w:tcBorders>
              <w:bottom w:val="single" w:sz="8" w:color="auto"/>
            </w:tcBorders>
          </w:tcPr>
          <w:p>
            <w:pPr>
              <w:ind w:left="20"/>
              <w:spacing w:after="0"/>
              <w:rPr>
                <w:sz w:val="20"/>
                <w:szCs w:val="20"/>
                <w:color w:val="auto"/>
              </w:rPr>
            </w:pPr>
            <w:r>
              <w:rPr>
                <w:rFonts w:ascii="Arial" w:cs="Arial" w:eastAsia="Arial" w:hAnsi="Arial"/>
                <w:sz w:val="9"/>
                <w:szCs w:val="9"/>
                <w:color w:val="auto"/>
              </w:rPr>
              <w:t>Strategic  Action:  Starlink  Installation</w:t>
            </w:r>
          </w:p>
        </w:tc>
        <w:tc>
          <w:tcPr>
            <w:tcW w:w="560" w:type="dxa"/>
            <w:vAlign w:val="bottom"/>
            <w:tcBorders>
              <w:bottom w:val="single" w:sz="8" w:color="auto"/>
              <w:right w:val="single" w:sz="8" w:color="auto"/>
            </w:tcBorders>
          </w:tcPr>
          <w:p>
            <w:pPr>
              <w:jc w:val="center"/>
              <w:ind w:left="195"/>
              <w:spacing w:after="0"/>
              <w:rPr>
                <w:sz w:val="20"/>
                <w:szCs w:val="20"/>
                <w:color w:val="auto"/>
              </w:rPr>
            </w:pPr>
            <w:r>
              <w:rPr>
                <w:rFonts w:ascii="Arial" w:cs="Arial" w:eastAsia="Arial" w:hAnsi="Arial"/>
                <w:sz w:val="9"/>
                <w:szCs w:val="9"/>
                <w:color w:val="auto"/>
                <w:w w:val="93"/>
              </w:rPr>
              <w:t>6.66%</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9"/>
                <w:szCs w:val="9"/>
                <w:color w:val="auto"/>
              </w:rPr>
              <w:t>channels</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9"/>
                <w:szCs w:val="9"/>
                <w:color w:val="auto"/>
              </w:rPr>
              <w:t>247  UAX  aircraft</w:t>
            </w: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9"/>
                <w:szCs w:val="9"/>
                <w:color w:val="auto"/>
              </w:rPr>
              <w:t>330  UAX  aircraft</w:t>
            </w:r>
          </w:p>
        </w:tc>
        <w:tc>
          <w:tcPr>
            <w:tcW w:w="13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9"/>
                <w:szCs w:val="9"/>
                <w:color w:val="auto"/>
              </w:rPr>
              <w:t>277  UAX  aircraft</w:t>
            </w:r>
          </w:p>
        </w:tc>
        <w:tc>
          <w:tcPr>
            <w:tcW w:w="480" w:type="dxa"/>
            <w:vAlign w:val="bottom"/>
            <w:tcBorders>
              <w:bottom w:val="single" w:sz="8" w:color="auto"/>
            </w:tcBorders>
          </w:tcPr>
          <w:p>
            <w:pPr>
              <w:jc w:val="right"/>
              <w:ind w:right="55"/>
              <w:spacing w:after="0"/>
              <w:rPr>
                <w:sz w:val="20"/>
                <w:szCs w:val="20"/>
                <w:color w:val="auto"/>
              </w:rPr>
            </w:pPr>
            <w:r>
              <w:rPr>
                <w:rFonts w:ascii="Arial" w:cs="Arial" w:eastAsia="Arial" w:hAnsi="Arial"/>
                <w:sz w:val="9"/>
                <w:szCs w:val="9"/>
                <w:color w:val="auto"/>
              </w:rPr>
              <w:t>136%</w:t>
            </w:r>
          </w:p>
        </w:tc>
        <w:tc>
          <w:tcPr>
            <w:tcW w:w="5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2460" w:type="dxa"/>
            <w:vAlign w:val="bottom"/>
          </w:tcPr>
          <w:p>
            <w:pPr>
              <w:spacing w:after="0"/>
              <w:rPr>
                <w:sz w:val="6"/>
                <w:szCs w:val="6"/>
                <w:color w:val="auto"/>
              </w:rPr>
            </w:pPr>
          </w:p>
        </w:tc>
        <w:tc>
          <w:tcPr>
            <w:tcW w:w="560" w:type="dxa"/>
            <w:vAlign w:val="bottom"/>
            <w:tcBorders>
              <w:right w:val="single" w:sz="8" w:color="auto"/>
            </w:tcBorders>
          </w:tcPr>
          <w:p>
            <w:pPr>
              <w:spacing w:after="0"/>
              <w:rPr>
                <w:sz w:val="6"/>
                <w:szCs w:val="6"/>
                <w:color w:val="auto"/>
              </w:rPr>
            </w:pPr>
          </w:p>
        </w:tc>
        <w:tc>
          <w:tcPr>
            <w:tcW w:w="1360" w:type="dxa"/>
            <w:vAlign w:val="bottom"/>
            <w:tcBorders>
              <w:right w:val="single" w:sz="8" w:color="auto"/>
            </w:tcBorders>
          </w:tcPr>
          <w:p>
            <w:pPr>
              <w:jc w:val="right"/>
              <w:spacing w:after="0" w:line="75" w:lineRule="exact"/>
              <w:rPr>
                <w:sz w:val="20"/>
                <w:szCs w:val="20"/>
                <w:color w:val="auto"/>
              </w:rPr>
            </w:pPr>
            <w:r>
              <w:rPr>
                <w:rFonts w:ascii="Arial" w:cs="Arial" w:eastAsia="Arial" w:hAnsi="Arial"/>
                <w:sz w:val="8"/>
                <w:szCs w:val="8"/>
                <w:color w:val="auto"/>
              </w:rPr>
              <w:t>60%  of  quantitative  factor</w:t>
            </w:r>
          </w:p>
        </w:tc>
        <w:tc>
          <w:tcPr>
            <w:tcW w:w="1360" w:type="dxa"/>
            <w:vAlign w:val="bottom"/>
            <w:tcBorders>
              <w:right w:val="single" w:sz="8" w:color="auto"/>
            </w:tcBorders>
          </w:tcPr>
          <w:p>
            <w:pPr>
              <w:jc w:val="right"/>
              <w:spacing w:after="0" w:line="75" w:lineRule="exact"/>
              <w:rPr>
                <w:sz w:val="20"/>
                <w:szCs w:val="20"/>
                <w:color w:val="auto"/>
              </w:rPr>
            </w:pPr>
            <w:r>
              <w:rPr>
                <w:rFonts w:ascii="Arial" w:cs="Arial" w:eastAsia="Arial" w:hAnsi="Arial"/>
                <w:sz w:val="8"/>
                <w:szCs w:val="8"/>
                <w:color w:val="auto"/>
              </w:rPr>
              <w:t>80%  of  quantitative  factor</w:t>
            </w:r>
          </w:p>
        </w:tc>
        <w:tc>
          <w:tcPr>
            <w:tcW w:w="1320" w:type="dxa"/>
            <w:vAlign w:val="bottom"/>
            <w:tcBorders>
              <w:right w:val="single" w:sz="8" w:color="auto"/>
            </w:tcBorders>
          </w:tcPr>
          <w:p>
            <w:pPr>
              <w:jc w:val="right"/>
              <w:spacing w:after="0" w:line="75" w:lineRule="exact"/>
              <w:rPr>
                <w:sz w:val="20"/>
                <w:szCs w:val="20"/>
                <w:color w:val="auto"/>
              </w:rPr>
            </w:pPr>
            <w:r>
              <w:rPr>
                <w:rFonts w:ascii="Arial" w:cs="Arial" w:eastAsia="Arial" w:hAnsi="Arial"/>
                <w:sz w:val="8"/>
                <w:szCs w:val="8"/>
                <w:color w:val="auto"/>
              </w:rPr>
              <w:t>100%  of  quantitative  factor</w:t>
            </w:r>
          </w:p>
        </w:tc>
        <w:tc>
          <w:tcPr>
            <w:tcW w:w="1380" w:type="dxa"/>
            <w:vAlign w:val="bottom"/>
            <w:tcBorders>
              <w:right w:val="single" w:sz="8" w:color="auto"/>
            </w:tcBorders>
          </w:tcPr>
          <w:p>
            <w:pPr>
              <w:jc w:val="right"/>
              <w:spacing w:after="0" w:line="75" w:lineRule="exact"/>
              <w:rPr>
                <w:sz w:val="20"/>
                <w:szCs w:val="20"/>
                <w:color w:val="auto"/>
              </w:rPr>
            </w:pPr>
            <w:r>
              <w:rPr>
                <w:rFonts w:ascii="Arial" w:cs="Arial" w:eastAsia="Arial" w:hAnsi="Arial"/>
                <w:sz w:val="8"/>
                <w:szCs w:val="8"/>
                <w:color w:val="auto"/>
              </w:rPr>
              <w:t>50%  of  quantitative  factor</w:t>
            </w:r>
          </w:p>
        </w:tc>
        <w:tc>
          <w:tcPr>
            <w:tcW w:w="4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1360" w:type="dxa"/>
            <w:vAlign w:val="bottom"/>
            <w:tcBorders>
              <w:right w:val="single" w:sz="8" w:color="auto"/>
            </w:tcBorders>
          </w:tcPr>
          <w:p>
            <w:pPr>
              <w:jc w:val="right"/>
              <w:spacing w:after="0"/>
              <w:rPr>
                <w:sz w:val="20"/>
                <w:szCs w:val="20"/>
                <w:color w:val="auto"/>
              </w:rPr>
            </w:pPr>
            <w:r>
              <w:rPr>
                <w:rFonts w:ascii="Arial" w:cs="Arial" w:eastAsia="Arial" w:hAnsi="Arial"/>
                <w:sz w:val="9"/>
                <w:szCs w:val="9"/>
                <w:color w:val="auto"/>
              </w:rPr>
              <w:t>Completion  of  pre-established</w:t>
            </w:r>
          </w:p>
        </w:tc>
        <w:tc>
          <w:tcPr>
            <w:tcW w:w="1360" w:type="dxa"/>
            <w:vAlign w:val="bottom"/>
            <w:tcBorders>
              <w:right w:val="single" w:sz="8" w:color="auto"/>
            </w:tcBorders>
          </w:tcPr>
          <w:p>
            <w:pPr>
              <w:jc w:val="right"/>
              <w:spacing w:after="0"/>
              <w:rPr>
                <w:sz w:val="20"/>
                <w:szCs w:val="20"/>
                <w:color w:val="auto"/>
              </w:rPr>
            </w:pPr>
            <w:r>
              <w:rPr>
                <w:rFonts w:ascii="Arial" w:cs="Arial" w:eastAsia="Arial" w:hAnsi="Arial"/>
                <w:sz w:val="9"/>
                <w:szCs w:val="9"/>
                <w:color w:val="auto"/>
              </w:rPr>
              <w:t>Completion  of  pre-established</w:t>
            </w:r>
          </w:p>
        </w:tc>
        <w:tc>
          <w:tcPr>
            <w:tcW w:w="1320" w:type="dxa"/>
            <w:vAlign w:val="bottom"/>
            <w:tcBorders>
              <w:right w:val="single" w:sz="8" w:color="auto"/>
            </w:tcBorders>
          </w:tcPr>
          <w:p>
            <w:pPr>
              <w:jc w:val="right"/>
              <w:spacing w:after="0"/>
              <w:rPr>
                <w:sz w:val="20"/>
                <w:szCs w:val="20"/>
                <w:color w:val="auto"/>
              </w:rPr>
            </w:pPr>
            <w:r>
              <w:rPr>
                <w:rFonts w:ascii="Arial" w:cs="Arial" w:eastAsia="Arial" w:hAnsi="Arial"/>
                <w:sz w:val="9"/>
                <w:szCs w:val="9"/>
                <w:color w:val="auto"/>
              </w:rPr>
              <w:t>Completion  of  pre-established</w:t>
            </w:r>
          </w:p>
        </w:tc>
        <w:tc>
          <w:tcPr>
            <w:tcW w:w="1380" w:type="dxa"/>
            <w:vAlign w:val="bottom"/>
            <w:tcBorders>
              <w:right w:val="single" w:sz="8" w:color="auto"/>
            </w:tcBorders>
          </w:tcPr>
          <w:p>
            <w:pPr>
              <w:jc w:val="right"/>
              <w:spacing w:after="0"/>
              <w:rPr>
                <w:sz w:val="20"/>
                <w:szCs w:val="20"/>
                <w:color w:val="auto"/>
              </w:rPr>
            </w:pPr>
            <w:r>
              <w:rPr>
                <w:rFonts w:ascii="Arial" w:cs="Arial" w:eastAsia="Arial" w:hAnsi="Arial"/>
                <w:sz w:val="9"/>
                <w:szCs w:val="9"/>
                <w:color w:val="auto"/>
              </w:rPr>
              <w:t>Completion  of  target  level  pre-</w:t>
            </w:r>
          </w:p>
        </w:tc>
        <w:tc>
          <w:tcPr>
            <w:tcW w:w="4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60" w:type="dxa"/>
            <w:vAlign w:val="bottom"/>
          </w:tcPr>
          <w:p>
            <w:pPr>
              <w:ind w:left="20"/>
              <w:spacing w:after="0"/>
              <w:rPr>
                <w:sz w:val="20"/>
                <w:szCs w:val="20"/>
                <w:color w:val="auto"/>
              </w:rPr>
            </w:pPr>
            <w:r>
              <w:rPr>
                <w:rFonts w:ascii="Arial" w:cs="Arial" w:eastAsia="Arial" w:hAnsi="Arial"/>
                <w:sz w:val="9"/>
                <w:szCs w:val="9"/>
                <w:color w:val="auto"/>
              </w:rPr>
              <w:t>Strategic  Action:  Retirement  of  legacy  mainframe  system</w:t>
            </w:r>
          </w:p>
        </w:tc>
        <w:tc>
          <w:tcPr>
            <w:tcW w:w="560" w:type="dxa"/>
            <w:vAlign w:val="bottom"/>
            <w:tcBorders>
              <w:right w:val="single" w:sz="8" w:color="auto"/>
            </w:tcBorders>
          </w:tcPr>
          <w:p>
            <w:pPr>
              <w:jc w:val="center"/>
              <w:ind w:left="195"/>
              <w:spacing w:after="0"/>
              <w:rPr>
                <w:sz w:val="20"/>
                <w:szCs w:val="20"/>
                <w:color w:val="auto"/>
              </w:rPr>
            </w:pPr>
            <w:r>
              <w:rPr>
                <w:rFonts w:ascii="Arial" w:cs="Arial" w:eastAsia="Arial" w:hAnsi="Arial"/>
                <w:sz w:val="9"/>
                <w:szCs w:val="9"/>
                <w:color w:val="auto"/>
                <w:w w:val="93"/>
              </w:rPr>
              <w:t>6.66%</w:t>
            </w:r>
          </w:p>
        </w:tc>
        <w:tc>
          <w:tcPr>
            <w:tcW w:w="1360" w:type="dxa"/>
            <w:vAlign w:val="bottom"/>
            <w:tcBorders>
              <w:right w:val="single" w:sz="8" w:color="auto"/>
            </w:tcBorders>
          </w:tcPr>
          <w:p>
            <w:pPr>
              <w:jc w:val="right"/>
              <w:spacing w:after="0"/>
              <w:rPr>
                <w:sz w:val="20"/>
                <w:szCs w:val="20"/>
                <w:color w:val="auto"/>
              </w:rPr>
            </w:pPr>
            <w:r>
              <w:rPr>
                <w:rFonts w:ascii="Arial" w:cs="Arial" w:eastAsia="Arial" w:hAnsi="Arial"/>
                <w:sz w:val="9"/>
                <w:szCs w:val="9"/>
                <w:color w:val="auto"/>
              </w:rPr>
              <w:t>qualitative  factor</w:t>
            </w:r>
          </w:p>
        </w:tc>
        <w:tc>
          <w:tcPr>
            <w:tcW w:w="1360" w:type="dxa"/>
            <w:vAlign w:val="bottom"/>
            <w:tcBorders>
              <w:right w:val="single" w:sz="8" w:color="auto"/>
            </w:tcBorders>
          </w:tcPr>
          <w:p>
            <w:pPr>
              <w:jc w:val="right"/>
              <w:spacing w:after="0"/>
              <w:rPr>
                <w:sz w:val="20"/>
                <w:szCs w:val="20"/>
                <w:color w:val="auto"/>
              </w:rPr>
            </w:pPr>
            <w:r>
              <w:rPr>
                <w:rFonts w:ascii="Arial" w:cs="Arial" w:eastAsia="Arial" w:hAnsi="Arial"/>
                <w:sz w:val="9"/>
                <w:szCs w:val="9"/>
                <w:color w:val="auto"/>
              </w:rPr>
              <w:t>qualitative  factor</w:t>
            </w:r>
          </w:p>
        </w:tc>
        <w:tc>
          <w:tcPr>
            <w:tcW w:w="1320" w:type="dxa"/>
            <w:vAlign w:val="bottom"/>
            <w:tcBorders>
              <w:right w:val="single" w:sz="8" w:color="auto"/>
            </w:tcBorders>
          </w:tcPr>
          <w:p>
            <w:pPr>
              <w:jc w:val="right"/>
              <w:spacing w:after="0"/>
              <w:rPr>
                <w:sz w:val="20"/>
                <w:szCs w:val="20"/>
                <w:color w:val="auto"/>
              </w:rPr>
            </w:pPr>
            <w:r>
              <w:rPr>
                <w:rFonts w:ascii="Arial" w:cs="Arial" w:eastAsia="Arial" w:hAnsi="Arial"/>
                <w:sz w:val="9"/>
                <w:szCs w:val="9"/>
                <w:color w:val="auto"/>
              </w:rPr>
              <w:t>qualitative  factor</w:t>
            </w:r>
          </w:p>
        </w:tc>
        <w:tc>
          <w:tcPr>
            <w:tcW w:w="1380" w:type="dxa"/>
            <w:vAlign w:val="bottom"/>
            <w:tcBorders>
              <w:right w:val="single" w:sz="8" w:color="auto"/>
            </w:tcBorders>
          </w:tcPr>
          <w:p>
            <w:pPr>
              <w:jc w:val="right"/>
              <w:spacing w:after="0"/>
              <w:rPr>
                <w:sz w:val="20"/>
                <w:szCs w:val="20"/>
                <w:color w:val="auto"/>
              </w:rPr>
            </w:pPr>
            <w:r>
              <w:rPr>
                <w:rFonts w:ascii="Arial" w:cs="Arial" w:eastAsia="Arial" w:hAnsi="Arial"/>
                <w:sz w:val="9"/>
                <w:szCs w:val="9"/>
                <w:color w:val="auto"/>
              </w:rPr>
              <w:t>established  qualitative  factor</w:t>
            </w:r>
          </w:p>
        </w:tc>
        <w:tc>
          <w:tcPr>
            <w:tcW w:w="480" w:type="dxa"/>
            <w:vAlign w:val="bottom"/>
          </w:tcPr>
          <w:p>
            <w:pPr>
              <w:jc w:val="right"/>
              <w:ind w:right="55"/>
              <w:spacing w:after="0"/>
              <w:rPr>
                <w:sz w:val="20"/>
                <w:szCs w:val="20"/>
                <w:color w:val="auto"/>
              </w:rPr>
            </w:pPr>
            <w:r>
              <w:rPr>
                <w:rFonts w:ascii="Arial" w:cs="Arial" w:eastAsia="Arial" w:hAnsi="Arial"/>
                <w:sz w:val="9"/>
                <w:szCs w:val="9"/>
                <w:color w:val="auto"/>
              </w:rPr>
              <w:t>50%</w:t>
            </w: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0" w:type="dxa"/>
            <w:vAlign w:val="bottom"/>
            <w:tcBorders>
              <w:top w:val="single" w:sz="8" w:color="auto"/>
              <w:bottom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2460" w:type="dxa"/>
            <w:vAlign w:val="bottom"/>
            <w:tcBorders>
              <w:top w:val="single" w:sz="8" w:color="1414D2"/>
              <w:bottom w:val="single" w:sz="8" w:color="1414D2"/>
            </w:tcBorders>
          </w:tcPr>
          <w:p>
            <w:pPr>
              <w:spacing w:after="0"/>
              <w:rPr>
                <w:sz w:val="16"/>
                <w:szCs w:val="16"/>
                <w:color w:val="auto"/>
              </w:rPr>
            </w:pPr>
          </w:p>
        </w:tc>
        <w:tc>
          <w:tcPr>
            <w:tcW w:w="560" w:type="dxa"/>
            <w:vAlign w:val="bottom"/>
            <w:tcBorders>
              <w:top w:val="single" w:sz="8" w:color="1414D2"/>
              <w:bottom w:val="single" w:sz="8" w:color="1414D2"/>
              <w:right w:val="single" w:sz="8" w:color="auto"/>
            </w:tcBorders>
          </w:tcPr>
          <w:p>
            <w:pPr>
              <w:spacing w:after="0"/>
              <w:rPr>
                <w:sz w:val="16"/>
                <w:szCs w:val="16"/>
                <w:color w:val="auto"/>
              </w:rPr>
            </w:pPr>
          </w:p>
        </w:tc>
        <w:tc>
          <w:tcPr>
            <w:tcW w:w="1360" w:type="dxa"/>
            <w:vAlign w:val="bottom"/>
            <w:tcBorders>
              <w:top w:val="single" w:sz="8" w:color="1414D2"/>
              <w:bottom w:val="single" w:sz="8" w:color="1414D2"/>
              <w:right w:val="single" w:sz="8" w:color="auto"/>
            </w:tcBorders>
          </w:tcPr>
          <w:p>
            <w:pPr>
              <w:spacing w:after="0"/>
              <w:rPr>
                <w:sz w:val="16"/>
                <w:szCs w:val="16"/>
                <w:color w:val="auto"/>
              </w:rPr>
            </w:pPr>
          </w:p>
        </w:tc>
        <w:tc>
          <w:tcPr>
            <w:tcW w:w="1360" w:type="dxa"/>
            <w:vAlign w:val="bottom"/>
            <w:tcBorders>
              <w:top w:val="single" w:sz="8" w:color="1414D2"/>
              <w:bottom w:val="single" w:sz="8" w:color="1414D2"/>
              <w:right w:val="single" w:sz="8" w:color="auto"/>
            </w:tcBorders>
          </w:tcPr>
          <w:p>
            <w:pPr>
              <w:spacing w:after="0"/>
              <w:rPr>
                <w:sz w:val="16"/>
                <w:szCs w:val="16"/>
                <w:color w:val="auto"/>
              </w:rPr>
            </w:pPr>
          </w:p>
        </w:tc>
        <w:tc>
          <w:tcPr>
            <w:tcW w:w="1320" w:type="dxa"/>
            <w:vAlign w:val="bottom"/>
            <w:tcBorders>
              <w:top w:val="single" w:sz="8" w:color="1414D2"/>
              <w:bottom w:val="single" w:sz="8" w:color="1414D2"/>
              <w:right w:val="single" w:sz="8" w:color="auto"/>
            </w:tcBorders>
          </w:tcPr>
          <w:p>
            <w:pPr>
              <w:spacing w:after="0"/>
              <w:rPr>
                <w:sz w:val="16"/>
                <w:szCs w:val="16"/>
                <w:color w:val="auto"/>
              </w:rPr>
            </w:pPr>
          </w:p>
        </w:tc>
        <w:tc>
          <w:tcPr>
            <w:tcW w:w="1380" w:type="dxa"/>
            <w:vAlign w:val="bottom"/>
            <w:tcBorders>
              <w:top w:val="single" w:sz="8" w:color="1414D2"/>
              <w:bottom w:val="single" w:sz="8" w:color="1414D2"/>
              <w:right w:val="single" w:sz="8" w:color="auto"/>
            </w:tcBorders>
          </w:tcPr>
          <w:p>
            <w:pPr>
              <w:spacing w:after="0"/>
              <w:rPr>
                <w:sz w:val="16"/>
                <w:szCs w:val="16"/>
                <w:color w:val="auto"/>
              </w:rPr>
            </w:pPr>
          </w:p>
        </w:tc>
        <w:tc>
          <w:tcPr>
            <w:tcW w:w="480" w:type="dxa"/>
            <w:vAlign w:val="bottom"/>
            <w:tcBorders>
              <w:top w:val="single" w:sz="8" w:color="1414D2"/>
              <w:bottom w:val="single" w:sz="8" w:color="1414D2"/>
            </w:tcBorders>
          </w:tcPr>
          <w:p>
            <w:pPr>
              <w:spacing w:after="0"/>
              <w:rPr>
                <w:sz w:val="16"/>
                <w:szCs w:val="16"/>
                <w:color w:val="auto"/>
              </w:rPr>
            </w:pPr>
          </w:p>
        </w:tc>
        <w:tc>
          <w:tcPr>
            <w:tcW w:w="560" w:type="dxa"/>
            <w:vAlign w:val="bottom"/>
            <w:tcBorders>
              <w:top w:val="single" w:sz="8" w:color="1414D2"/>
              <w:bottom w:val="single" w:sz="8" w:color="1414D2"/>
            </w:tcBorders>
          </w:tcPr>
          <w:p>
            <w:pPr>
              <w:jc w:val="right"/>
              <w:spacing w:after="0"/>
              <w:rPr>
                <w:sz w:val="20"/>
                <w:szCs w:val="20"/>
                <w:color w:val="auto"/>
              </w:rPr>
            </w:pPr>
            <w:r>
              <w:rPr>
                <w:rFonts w:ascii="Arial" w:cs="Arial" w:eastAsia="Arial" w:hAnsi="Arial"/>
                <w:sz w:val="9"/>
                <w:szCs w:val="9"/>
                <w:b w:val="1"/>
                <w:bCs w:val="1"/>
                <w:color w:val="auto"/>
              </w:rPr>
              <w:t>117%</w:t>
            </w:r>
          </w:p>
        </w:tc>
        <w:tc>
          <w:tcPr>
            <w:tcW w:w="20" w:type="dxa"/>
            <w:vAlign w:val="bottom"/>
            <w:tcBorders>
              <w:top w:val="single" w:sz="8" w:color="1414D2"/>
              <w:bottom w:val="single" w:sz="8" w:color="1414D2"/>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60" w:type="dxa"/>
            <w:vAlign w:val="bottom"/>
            <w:tcBorders>
              <w:bottom w:val="single" w:sz="8" w:color="1414D2"/>
            </w:tcBorders>
          </w:tcPr>
          <w:p>
            <w:pPr>
              <w:spacing w:after="0"/>
              <w:rPr>
                <w:sz w:val="15"/>
                <w:szCs w:val="15"/>
                <w:color w:val="auto"/>
              </w:rPr>
            </w:pPr>
          </w:p>
        </w:tc>
        <w:tc>
          <w:tcPr>
            <w:tcW w:w="560" w:type="dxa"/>
            <w:vAlign w:val="bottom"/>
            <w:tcBorders>
              <w:bottom w:val="single" w:sz="8" w:color="1414D2"/>
              <w:right w:val="single" w:sz="8" w:color="auto"/>
            </w:tcBorders>
          </w:tcPr>
          <w:p>
            <w:pPr>
              <w:spacing w:after="0"/>
              <w:rPr>
                <w:sz w:val="15"/>
                <w:szCs w:val="15"/>
                <w:color w:val="auto"/>
              </w:rPr>
            </w:pPr>
          </w:p>
        </w:tc>
        <w:tc>
          <w:tcPr>
            <w:tcW w:w="1360" w:type="dxa"/>
            <w:vAlign w:val="bottom"/>
            <w:tcBorders>
              <w:bottom w:val="single" w:sz="8" w:color="1414D2"/>
              <w:right w:val="single" w:sz="8" w:color="auto"/>
            </w:tcBorders>
          </w:tcPr>
          <w:p>
            <w:pPr>
              <w:spacing w:after="0"/>
              <w:rPr>
                <w:sz w:val="15"/>
                <w:szCs w:val="15"/>
                <w:color w:val="auto"/>
              </w:rPr>
            </w:pPr>
          </w:p>
        </w:tc>
        <w:tc>
          <w:tcPr>
            <w:tcW w:w="1360" w:type="dxa"/>
            <w:vAlign w:val="bottom"/>
            <w:tcBorders>
              <w:bottom w:val="single" w:sz="8" w:color="1414D2"/>
              <w:right w:val="single" w:sz="8" w:color="auto"/>
            </w:tcBorders>
          </w:tcPr>
          <w:p>
            <w:pPr>
              <w:spacing w:after="0"/>
              <w:rPr>
                <w:sz w:val="15"/>
                <w:szCs w:val="15"/>
                <w:color w:val="auto"/>
              </w:rPr>
            </w:pPr>
          </w:p>
        </w:tc>
        <w:tc>
          <w:tcPr>
            <w:tcW w:w="1320" w:type="dxa"/>
            <w:vAlign w:val="bottom"/>
            <w:tcBorders>
              <w:bottom w:val="single" w:sz="8" w:color="1414D2"/>
              <w:right w:val="single" w:sz="8" w:color="auto"/>
            </w:tcBorders>
          </w:tcPr>
          <w:p>
            <w:pPr>
              <w:spacing w:after="0"/>
              <w:rPr>
                <w:sz w:val="15"/>
                <w:szCs w:val="15"/>
                <w:color w:val="auto"/>
              </w:rPr>
            </w:pPr>
          </w:p>
        </w:tc>
        <w:tc>
          <w:tcPr>
            <w:tcW w:w="1380" w:type="dxa"/>
            <w:vAlign w:val="bottom"/>
            <w:tcBorders>
              <w:bottom w:val="single" w:sz="8" w:color="1414D2"/>
              <w:right w:val="single" w:sz="8" w:color="auto"/>
            </w:tcBorders>
          </w:tcPr>
          <w:p>
            <w:pPr>
              <w:spacing w:after="0"/>
              <w:rPr>
                <w:sz w:val="15"/>
                <w:szCs w:val="15"/>
                <w:color w:val="auto"/>
              </w:rPr>
            </w:pPr>
          </w:p>
        </w:tc>
        <w:tc>
          <w:tcPr>
            <w:tcW w:w="480" w:type="dxa"/>
            <w:vAlign w:val="bottom"/>
            <w:tcBorders>
              <w:bottom w:val="single" w:sz="8" w:color="1414D2"/>
            </w:tcBorders>
          </w:tcPr>
          <w:p>
            <w:pPr>
              <w:spacing w:after="0"/>
              <w:rPr>
                <w:sz w:val="15"/>
                <w:szCs w:val="15"/>
                <w:color w:val="auto"/>
              </w:rPr>
            </w:pPr>
          </w:p>
        </w:tc>
        <w:tc>
          <w:tcPr>
            <w:tcW w:w="560" w:type="dxa"/>
            <w:vAlign w:val="bottom"/>
            <w:tcBorders>
              <w:bottom w:val="single" w:sz="8" w:color="1414D2"/>
            </w:tcBorders>
          </w:tcPr>
          <w:p>
            <w:pPr>
              <w:spacing w:after="0"/>
              <w:rPr>
                <w:sz w:val="15"/>
                <w:szCs w:val="15"/>
                <w:color w:val="auto"/>
              </w:rPr>
            </w:pPr>
          </w:p>
        </w:tc>
        <w:tc>
          <w:tcPr>
            <w:tcW w:w="20" w:type="dxa"/>
            <w:vAlign w:val="bottom"/>
            <w:tcBorders>
              <w:bottom w:val="single" w:sz="8" w:color="1414D2"/>
            </w:tcBorders>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180" w:type="dxa"/>
            <w:vAlign w:val="bottom"/>
            <w:gridSpan w:val="3"/>
          </w:tcPr>
          <w:p>
            <w:pPr>
              <w:jc w:val="right"/>
              <w:ind w:right="55"/>
              <w:spacing w:after="0"/>
              <w:rPr>
                <w:sz w:val="20"/>
                <w:szCs w:val="20"/>
                <w:color w:val="auto"/>
              </w:rPr>
            </w:pPr>
            <w:r>
              <w:rPr>
                <w:rFonts w:ascii="Arial" w:cs="Arial" w:eastAsia="Arial" w:hAnsi="Arial"/>
                <w:sz w:val="9"/>
                <w:szCs w:val="9"/>
                <w:b w:val="1"/>
                <w:bCs w:val="1"/>
                <w:color w:val="auto"/>
              </w:rPr>
              <w:t>Total payout under 2023 Performance-Based RSUs (as % of target) (9)</w:t>
            </w:r>
          </w:p>
        </w:tc>
        <w:tc>
          <w:tcPr>
            <w:tcW w:w="560" w:type="dxa"/>
            <w:vAlign w:val="bottom"/>
          </w:tcPr>
          <w:p>
            <w:pPr>
              <w:jc w:val="right"/>
              <w:spacing w:after="0"/>
              <w:rPr>
                <w:sz w:val="20"/>
                <w:szCs w:val="20"/>
                <w:color w:val="auto"/>
              </w:rPr>
            </w:pPr>
            <w:r>
              <w:rPr>
                <w:rFonts w:ascii="Arial" w:cs="Arial" w:eastAsia="Arial" w:hAnsi="Arial"/>
                <w:sz w:val="9"/>
                <w:szCs w:val="9"/>
                <w:b w:val="1"/>
                <w:bCs w:val="1"/>
                <w:color w:val="auto"/>
              </w:rPr>
              <w:t>134%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20" w:right="60" w:hanging="316"/>
        <w:spacing w:after="0" w:line="253" w:lineRule="auto"/>
        <w:tabs>
          <w:tab w:leader="none" w:pos="320" w:val="left"/>
        </w:tabs>
        <w:numPr>
          <w:ilvl w:val="0"/>
          <w:numId w:val="115"/>
        </w:numPr>
        <w:rPr>
          <w:rFonts w:ascii="Arial" w:cs="Arial" w:eastAsia="Arial" w:hAnsi="Arial"/>
          <w:sz w:val="11"/>
          <w:szCs w:val="11"/>
          <w:color w:val="auto"/>
        </w:rPr>
      </w:pPr>
      <w:r>
        <w:rPr>
          <w:rFonts w:ascii="Arial" w:cs="Arial" w:eastAsia="Arial" w:hAnsi="Arial"/>
          <w:sz w:val="14"/>
          <w:szCs w:val="14"/>
          <w:color w:val="auto"/>
        </w:rPr>
        <w:t>For a detailed description of the performance measures established in 2023 for tranche 1 of the 2023 Performance-Based RSUs, see pages 102 through 104 of United’s 2024 proxy statement fled with the SEC on April 12, 2024. For a detailed description of the performance measures established in 2024 for tranche 2 of the 2023 Performance-Based RSUs, see page 100 of United’s 2025 proxy statement fled with the SEC on April 10, 2025. For a detailed description of the performance measures for tranche 3 of the 2023 Performance-Based RSUs, see “2025 Performance-Based RSUs” above on page 101.</w:t>
      </w:r>
    </w:p>
    <w:p>
      <w:pPr>
        <w:spacing w:after="0" w:line="1" w:lineRule="exact"/>
        <w:rPr>
          <w:rFonts w:ascii="Arial" w:cs="Arial" w:eastAsia="Arial" w:hAnsi="Arial"/>
          <w:sz w:val="11"/>
          <w:szCs w:val="11"/>
          <w:color w:val="auto"/>
        </w:rPr>
      </w:pPr>
    </w:p>
    <w:p>
      <w:pPr>
        <w:ind w:left="320" w:right="520" w:hanging="316"/>
        <w:spacing w:after="0" w:line="251" w:lineRule="auto"/>
        <w:tabs>
          <w:tab w:leader="none" w:pos="320" w:val="left"/>
        </w:tabs>
        <w:numPr>
          <w:ilvl w:val="0"/>
          <w:numId w:val="115"/>
        </w:numPr>
        <w:rPr>
          <w:rFonts w:ascii="Arial" w:cs="Arial" w:eastAsia="Arial" w:hAnsi="Arial"/>
          <w:sz w:val="11"/>
          <w:szCs w:val="11"/>
          <w:color w:val="auto"/>
        </w:rPr>
      </w:pPr>
      <w:r>
        <w:rPr>
          <w:rFonts w:ascii="Arial" w:cs="Arial" w:eastAsia="Arial" w:hAnsi="Arial"/>
          <w:sz w:val="14"/>
          <w:szCs w:val="14"/>
          <w:color w:val="auto"/>
        </w:rPr>
        <w:t>CASM-ex is a non-GAAP fnancial measure. CASM-ex is calculated as cost or operating expense per available seat mile excluding fuel expense, proft sharing, third-party business expenses and special charges (credits).</w:t>
      </w:r>
    </w:p>
    <w:p>
      <w:pPr>
        <w:ind w:left="320" w:hanging="316"/>
        <w:spacing w:after="0"/>
        <w:tabs>
          <w:tab w:leader="none" w:pos="320" w:val="left"/>
        </w:tabs>
        <w:numPr>
          <w:ilvl w:val="0"/>
          <w:numId w:val="115"/>
        </w:numPr>
        <w:rPr>
          <w:rFonts w:ascii="Arial" w:cs="Arial" w:eastAsia="Arial" w:hAnsi="Arial"/>
          <w:sz w:val="11"/>
          <w:szCs w:val="11"/>
          <w:color w:val="auto"/>
        </w:rPr>
      </w:pPr>
      <w:r>
        <w:rPr>
          <w:rFonts w:ascii="Arial" w:cs="Arial" w:eastAsia="Arial" w:hAnsi="Arial"/>
          <w:sz w:val="14"/>
          <w:szCs w:val="14"/>
          <w:color w:val="auto"/>
        </w:rPr>
        <w:t>The  performance  measure  is  based  on  the  relative  change  in  2023  CASM-ex  from  2019  as  compared  with  the  industry  average.</w:t>
      </w:r>
    </w:p>
    <w:p>
      <w:pPr>
        <w:spacing w:after="0" w:line="14" w:lineRule="exact"/>
        <w:rPr>
          <w:rFonts w:ascii="Arial" w:cs="Arial" w:eastAsia="Arial" w:hAnsi="Arial"/>
          <w:sz w:val="11"/>
          <w:szCs w:val="11"/>
          <w:color w:val="auto"/>
        </w:rPr>
      </w:pPr>
    </w:p>
    <w:p>
      <w:pPr>
        <w:ind w:left="320" w:hanging="316"/>
        <w:spacing w:after="0" w:line="183" w:lineRule="auto"/>
        <w:tabs>
          <w:tab w:leader="none" w:pos="320" w:val="left"/>
        </w:tabs>
        <w:numPr>
          <w:ilvl w:val="0"/>
          <w:numId w:val="115"/>
        </w:numPr>
        <w:rPr>
          <w:rFonts w:ascii="Arial" w:cs="Arial" w:eastAsia="Arial" w:hAnsi="Arial"/>
          <w:sz w:val="10"/>
          <w:szCs w:val="10"/>
          <w:color w:val="auto"/>
        </w:rPr>
      </w:pPr>
      <w:r>
        <w:rPr>
          <w:rFonts w:ascii="Arial" w:cs="Arial" w:eastAsia="Arial" w:hAnsi="Arial"/>
          <w:sz w:val="14"/>
          <w:szCs w:val="14"/>
          <w:color w:val="auto"/>
        </w:rPr>
        <w:t>This  performance  measure  is  the  number  of  frontline  technicians  hired  (as  a  %  of  4</w:t>
      </w:r>
      <w:r>
        <w:rPr>
          <w:rFonts w:ascii="Arial" w:cs="Arial" w:eastAsia="Arial" w:hAnsi="Arial"/>
          <w:sz w:val="20"/>
          <w:szCs w:val="20"/>
          <w:color w:val="auto"/>
          <w:vertAlign w:val="superscript"/>
        </w:rPr>
        <w:t>th</w:t>
      </w:r>
      <w:r>
        <w:rPr>
          <w:rFonts w:ascii="Arial" w:cs="Arial" w:eastAsia="Arial" w:hAnsi="Arial"/>
          <w:sz w:val="14"/>
          <w:szCs w:val="14"/>
          <w:color w:val="auto"/>
        </w:rPr>
        <w:t xml:space="preserve">  quarter  authorization).</w:t>
      </w:r>
    </w:p>
    <w:p>
      <w:pPr>
        <w:ind w:left="320" w:right="300" w:hanging="316"/>
        <w:spacing w:after="0" w:line="311" w:lineRule="auto"/>
        <w:tabs>
          <w:tab w:leader="none" w:pos="320" w:val="left"/>
        </w:tabs>
        <w:numPr>
          <w:ilvl w:val="0"/>
          <w:numId w:val="115"/>
        </w:numPr>
        <w:rPr>
          <w:rFonts w:ascii="Arial" w:cs="Arial" w:eastAsia="Arial" w:hAnsi="Arial"/>
          <w:sz w:val="11"/>
          <w:szCs w:val="11"/>
          <w:color w:val="auto"/>
        </w:rPr>
      </w:pPr>
      <w:r>
        <w:rPr>
          <w:rFonts w:ascii="Arial" w:cs="Arial" w:eastAsia="Arial" w:hAnsi="Arial"/>
          <w:sz w:val="14"/>
          <w:szCs w:val="14"/>
          <w:color w:val="auto"/>
        </w:rPr>
        <w:t>Below sets forth the entry, target, stretch and actual achievement levels for each of the six United Next metrics within this performance measure for tranche 1 of the 2023 Performance-Based RSUs.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2026  Proxy  Statement</w:t>
      </w:r>
    </w:p>
    <w:p>
      <w:pPr>
        <w:sectPr>
          <w:pgSz w:w="11900" w:h="16838" w:orient="portrait"/>
          <w:cols w:equalWidth="0" w:num="1">
            <w:col w:w="9740"/>
          </w:cols>
          <w:pgMar w:left="1080" w:top="695" w:right="1079" w:bottom="1440" w:gutter="0" w:footer="0" w:header="0"/>
        </w:sectPr>
      </w:pPr>
    </w:p>
    <w:p>
      <w:pPr>
        <w:spacing w:after="0" w:line="167" w:lineRule="exact"/>
        <w:rPr>
          <w:sz w:val="20"/>
          <w:szCs w:val="20"/>
          <w:color w:val="auto"/>
        </w:rPr>
      </w:pPr>
    </w:p>
    <w:p>
      <w:pPr>
        <w:ind w:left="9440"/>
        <w:spacing w:after="0"/>
        <w:rPr>
          <w:sz w:val="20"/>
          <w:szCs w:val="20"/>
          <w:color w:val="auto"/>
        </w:rPr>
      </w:pPr>
      <w:r>
        <w:rPr>
          <w:rFonts w:ascii="Arial" w:cs="Arial" w:eastAsia="Arial" w:hAnsi="Arial"/>
          <w:sz w:val="16"/>
          <w:szCs w:val="16"/>
          <w:b w:val="1"/>
          <w:bCs w:val="1"/>
          <w:color w:val="1414D2"/>
        </w:rPr>
        <w:t>103</w:t>
      </w:r>
    </w:p>
    <w:p>
      <w:pPr>
        <w:sectPr>
          <w:pgSz w:w="11900" w:h="16838" w:orient="portrait"/>
          <w:cols w:equalWidth="0" w:num="1">
            <w:col w:w="9740"/>
          </w:cols>
          <w:pgMar w:left="1080" w:top="695" w:right="1079" w:bottom="1440" w:gutter="0" w:footer="0" w:header="0"/>
          <w:type w:val="continuous"/>
        </w:sectPr>
      </w:pPr>
    </w:p>
    <w:bookmarkStart w:id="114" w:name="page115"/>
    <w:bookmarkEnd w:id="114"/>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6D6F71"/>
        </w:rPr>
        <w:t>Compensation  Discussion  and  Analysis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
        </w:trPr>
        <w:tc>
          <w:tcPr>
            <w:tcW w:w="17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1720" w:type="dxa"/>
            <w:vAlign w:val="bottom"/>
            <w:shd w:val="clear" w:color="auto" w:fill="1414D2"/>
          </w:tcPr>
          <w:p>
            <w:pPr>
              <w:spacing w:after="0"/>
              <w:rPr>
                <w:sz w:val="14"/>
                <w:szCs w:val="14"/>
                <w:color w:val="auto"/>
              </w:rPr>
            </w:pPr>
          </w:p>
        </w:tc>
        <w:tc>
          <w:tcPr>
            <w:tcW w:w="1340" w:type="dxa"/>
            <w:vAlign w:val="bottom"/>
            <w:shd w:val="clear" w:color="auto" w:fill="1414D2"/>
          </w:tcPr>
          <w:p>
            <w:pPr>
              <w:ind w:left="460"/>
              <w:spacing w:after="0" w:line="165" w:lineRule="exact"/>
              <w:rPr>
                <w:sz w:val="20"/>
                <w:szCs w:val="20"/>
                <w:color w:val="auto"/>
              </w:rPr>
            </w:pPr>
            <w:r>
              <w:rPr>
                <w:rFonts w:ascii="Arial" w:cs="Arial" w:eastAsia="Arial" w:hAnsi="Arial"/>
                <w:sz w:val="16"/>
                <w:szCs w:val="16"/>
                <w:b w:val="1"/>
                <w:bCs w:val="1"/>
                <w:color w:val="FFFFFF"/>
              </w:rPr>
              <w:t>Entry</w:t>
            </w:r>
          </w:p>
        </w:tc>
        <w:tc>
          <w:tcPr>
            <w:tcW w:w="2660" w:type="dxa"/>
            <w:vAlign w:val="bottom"/>
            <w:shd w:val="clear" w:color="auto" w:fill="1414D2"/>
          </w:tcPr>
          <w:p>
            <w:pPr>
              <w:ind w:left="1100"/>
              <w:spacing w:after="0" w:line="165" w:lineRule="exact"/>
              <w:rPr>
                <w:sz w:val="20"/>
                <w:szCs w:val="20"/>
                <w:color w:val="auto"/>
              </w:rPr>
            </w:pPr>
            <w:r>
              <w:rPr>
                <w:rFonts w:ascii="Arial" w:cs="Arial" w:eastAsia="Arial" w:hAnsi="Arial"/>
                <w:sz w:val="16"/>
                <w:szCs w:val="16"/>
                <w:b w:val="1"/>
                <w:bCs w:val="1"/>
                <w:color w:val="FFFFFF"/>
              </w:rPr>
              <w:t>Target</w:t>
            </w:r>
          </w:p>
        </w:tc>
        <w:tc>
          <w:tcPr>
            <w:tcW w:w="2740" w:type="dxa"/>
            <w:vAlign w:val="bottom"/>
            <w:shd w:val="clear" w:color="auto" w:fill="1414D2"/>
          </w:tcPr>
          <w:p>
            <w:pPr>
              <w:ind w:left="840"/>
              <w:spacing w:after="0" w:line="165" w:lineRule="exact"/>
              <w:rPr>
                <w:sz w:val="20"/>
                <w:szCs w:val="20"/>
                <w:color w:val="auto"/>
              </w:rPr>
            </w:pPr>
            <w:r>
              <w:rPr>
                <w:rFonts w:ascii="Arial" w:cs="Arial" w:eastAsia="Arial" w:hAnsi="Arial"/>
                <w:sz w:val="16"/>
                <w:szCs w:val="16"/>
                <w:b w:val="1"/>
                <w:bCs w:val="1"/>
                <w:color w:val="FFFFFF"/>
              </w:rPr>
              <w:t>Stretch (200%)</w:t>
            </w:r>
          </w:p>
        </w:tc>
        <w:tc>
          <w:tcPr>
            <w:tcW w:w="1260" w:type="dxa"/>
            <w:vAlign w:val="bottom"/>
            <w:shd w:val="clear" w:color="auto" w:fill="1414D2"/>
          </w:tcPr>
          <w:p>
            <w:pPr>
              <w:jc w:val="center"/>
              <w:spacing w:after="0" w:line="165" w:lineRule="exact"/>
              <w:rPr>
                <w:sz w:val="20"/>
                <w:szCs w:val="20"/>
                <w:color w:val="auto"/>
              </w:rPr>
            </w:pPr>
            <w:r>
              <w:rPr>
                <w:rFonts w:ascii="Arial" w:cs="Arial" w:eastAsia="Arial" w:hAnsi="Arial"/>
                <w:sz w:val="16"/>
                <w:szCs w:val="16"/>
                <w:b w:val="1"/>
                <w:bCs w:val="1"/>
                <w:color w:val="FFFFFF"/>
              </w:rPr>
              <w:t>Actual</w:t>
            </w:r>
          </w:p>
        </w:tc>
        <w:tc>
          <w:tcPr>
            <w:tcW w:w="0" w:type="dxa"/>
            <w:vAlign w:val="bottom"/>
          </w:tcPr>
          <w:p>
            <w:pPr>
              <w:spacing w:after="0"/>
              <w:rPr>
                <w:sz w:val="1"/>
                <w:szCs w:val="1"/>
                <w:color w:val="auto"/>
              </w:rPr>
            </w:pPr>
          </w:p>
        </w:tc>
      </w:tr>
      <w:tr>
        <w:trPr>
          <w:trHeight w:val="234"/>
        </w:trPr>
        <w:tc>
          <w:tcPr>
            <w:tcW w:w="1720" w:type="dxa"/>
            <w:vAlign w:val="bottom"/>
            <w:tcBorders>
              <w:bottom w:val="single" w:sz="8" w:color="1414D2"/>
            </w:tcBorders>
            <w:shd w:val="clear" w:color="auto" w:fill="1414D2"/>
          </w:tcPr>
          <w:p>
            <w:pPr>
              <w:ind w:left="100"/>
              <w:spacing w:after="0"/>
              <w:rPr>
                <w:sz w:val="20"/>
                <w:szCs w:val="20"/>
                <w:color w:val="auto"/>
              </w:rPr>
            </w:pPr>
            <w:r>
              <w:rPr>
                <w:rFonts w:ascii="Arial" w:cs="Arial" w:eastAsia="Arial" w:hAnsi="Arial"/>
                <w:sz w:val="16"/>
                <w:szCs w:val="16"/>
                <w:b w:val="1"/>
                <w:bCs w:val="1"/>
                <w:color w:val="FFFFFF"/>
              </w:rPr>
              <w:t>Metric</w:t>
            </w:r>
          </w:p>
        </w:tc>
        <w:tc>
          <w:tcPr>
            <w:tcW w:w="1340" w:type="dxa"/>
            <w:vAlign w:val="bottom"/>
            <w:tcBorders>
              <w:bottom w:val="single" w:sz="8" w:color="1414D2"/>
            </w:tcBorders>
            <w:shd w:val="clear" w:color="auto" w:fill="1414D2"/>
          </w:tcPr>
          <w:p>
            <w:pPr>
              <w:ind w:left="460"/>
              <w:spacing w:after="0"/>
              <w:rPr>
                <w:sz w:val="20"/>
                <w:szCs w:val="20"/>
                <w:color w:val="auto"/>
              </w:rPr>
            </w:pPr>
            <w:r>
              <w:rPr>
                <w:rFonts w:ascii="Arial" w:cs="Arial" w:eastAsia="Arial" w:hAnsi="Arial"/>
                <w:sz w:val="16"/>
                <w:szCs w:val="16"/>
                <w:b w:val="1"/>
                <w:bCs w:val="1"/>
                <w:color w:val="FFFFFF"/>
              </w:rPr>
              <w:t>(50%)</w:t>
            </w:r>
          </w:p>
        </w:tc>
        <w:tc>
          <w:tcPr>
            <w:tcW w:w="2660" w:type="dxa"/>
            <w:vAlign w:val="bottom"/>
            <w:tcBorders>
              <w:bottom w:val="single" w:sz="8" w:color="1414D2"/>
            </w:tcBorders>
            <w:shd w:val="clear" w:color="auto" w:fill="1414D2"/>
          </w:tcPr>
          <w:p>
            <w:pPr>
              <w:ind w:left="1100"/>
              <w:spacing w:after="0"/>
              <w:rPr>
                <w:sz w:val="20"/>
                <w:szCs w:val="20"/>
                <w:color w:val="auto"/>
              </w:rPr>
            </w:pPr>
            <w:r>
              <w:rPr>
                <w:rFonts w:ascii="Arial" w:cs="Arial" w:eastAsia="Arial" w:hAnsi="Arial"/>
                <w:sz w:val="16"/>
                <w:szCs w:val="16"/>
                <w:b w:val="1"/>
                <w:bCs w:val="1"/>
                <w:color w:val="FFFFFF"/>
              </w:rPr>
              <w:t>(100%)</w:t>
            </w:r>
          </w:p>
        </w:tc>
        <w:tc>
          <w:tcPr>
            <w:tcW w:w="2740" w:type="dxa"/>
            <w:vAlign w:val="bottom"/>
            <w:tcBorders>
              <w:bottom w:val="single" w:sz="8" w:color="1414D2"/>
            </w:tcBorders>
            <w:shd w:val="clear" w:color="auto" w:fill="1414D2"/>
          </w:tcPr>
          <w:p>
            <w:pPr>
              <w:spacing w:after="0"/>
              <w:rPr>
                <w:sz w:val="20"/>
                <w:szCs w:val="20"/>
                <w:color w:val="auto"/>
              </w:rPr>
            </w:pPr>
          </w:p>
        </w:tc>
        <w:tc>
          <w:tcPr>
            <w:tcW w:w="1260" w:type="dxa"/>
            <w:vAlign w:val="bottom"/>
            <w:tcBorders>
              <w:bottom w:val="single" w:sz="8" w:color="1414D2"/>
            </w:tcBorders>
            <w:shd w:val="clear" w:color="auto" w:fill="1414D2"/>
          </w:tcPr>
          <w:p>
            <w:pPr>
              <w:jc w:val="center"/>
              <w:spacing w:after="0"/>
              <w:rPr>
                <w:sz w:val="20"/>
                <w:szCs w:val="20"/>
                <w:color w:val="auto"/>
              </w:rPr>
            </w:pPr>
            <w:r>
              <w:rPr>
                <w:rFonts w:ascii="Arial" w:cs="Arial" w:eastAsia="Arial" w:hAnsi="Arial"/>
                <w:sz w:val="16"/>
                <w:szCs w:val="16"/>
                <w:b w:val="1"/>
                <w:bCs w:val="1"/>
                <w:color w:val="FFFFFF"/>
              </w:rPr>
              <w:t>Results</w:t>
            </w:r>
          </w:p>
        </w:tc>
        <w:tc>
          <w:tcPr>
            <w:tcW w:w="0" w:type="dxa"/>
            <w:vAlign w:val="bottom"/>
          </w:tcPr>
          <w:p>
            <w:pPr>
              <w:spacing w:after="0"/>
              <w:rPr>
                <w:sz w:val="1"/>
                <w:szCs w:val="1"/>
                <w:color w:val="auto"/>
              </w:rPr>
            </w:pPr>
          </w:p>
        </w:tc>
      </w:tr>
      <w:tr>
        <w:trPr>
          <w:trHeight w:val="157"/>
        </w:trPr>
        <w:tc>
          <w:tcPr>
            <w:tcW w:w="1720" w:type="dxa"/>
            <w:vAlign w:val="bottom"/>
          </w:tcPr>
          <w:p>
            <w:pPr>
              <w:ind w:left="100"/>
              <w:spacing w:after="0" w:line="157" w:lineRule="exact"/>
              <w:rPr>
                <w:sz w:val="20"/>
                <w:szCs w:val="20"/>
                <w:color w:val="auto"/>
              </w:rPr>
            </w:pPr>
            <w:r>
              <w:rPr>
                <w:rFonts w:ascii="Arial" w:cs="Arial" w:eastAsia="Arial" w:hAnsi="Arial"/>
                <w:sz w:val="14"/>
                <w:szCs w:val="14"/>
                <w:b w:val="1"/>
                <w:bCs w:val="1"/>
                <w:color w:val="auto"/>
              </w:rPr>
              <w:t>1. Tech Ops line</w:t>
            </w:r>
          </w:p>
        </w:tc>
        <w:tc>
          <w:tcPr>
            <w:tcW w:w="1340" w:type="dxa"/>
            <w:vAlign w:val="bottom"/>
          </w:tcPr>
          <w:p>
            <w:pPr>
              <w:spacing w:after="0"/>
              <w:rPr>
                <w:sz w:val="13"/>
                <w:szCs w:val="13"/>
                <w:color w:val="auto"/>
              </w:rPr>
            </w:pPr>
          </w:p>
        </w:tc>
        <w:tc>
          <w:tcPr>
            <w:tcW w:w="2660" w:type="dxa"/>
            <w:vAlign w:val="bottom"/>
            <w:vMerge w:val="restart"/>
          </w:tcPr>
          <w:p>
            <w:pPr>
              <w:ind w:left="100"/>
              <w:spacing w:after="0"/>
              <w:rPr>
                <w:sz w:val="20"/>
                <w:szCs w:val="20"/>
                <w:color w:val="auto"/>
              </w:rPr>
            </w:pPr>
            <w:r>
              <w:rPr>
                <w:rFonts w:ascii="Arial" w:cs="Arial" w:eastAsia="Arial" w:hAnsi="Arial"/>
                <w:sz w:val="14"/>
                <w:szCs w:val="14"/>
                <w:color w:val="auto"/>
              </w:rPr>
              <w:t>Signifcantly  expand  our  current</w:t>
            </w:r>
          </w:p>
        </w:tc>
        <w:tc>
          <w:tcPr>
            <w:tcW w:w="27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172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maintenance</w:t>
            </w:r>
          </w:p>
        </w:tc>
        <w:tc>
          <w:tcPr>
            <w:tcW w:w="1340" w:type="dxa"/>
            <w:vAlign w:val="bottom"/>
          </w:tcPr>
          <w:p>
            <w:pPr>
              <w:spacing w:after="0"/>
              <w:rPr>
                <w:sz w:val="8"/>
                <w:szCs w:val="8"/>
                <w:color w:val="auto"/>
              </w:rPr>
            </w:pPr>
          </w:p>
        </w:tc>
        <w:tc>
          <w:tcPr>
            <w:tcW w:w="2660" w:type="dxa"/>
            <w:vAlign w:val="bottom"/>
            <w:vMerge w:val="continue"/>
          </w:tcPr>
          <w:p>
            <w:pPr>
              <w:spacing w:after="0"/>
              <w:rPr>
                <w:sz w:val="8"/>
                <w:szCs w:val="8"/>
                <w:color w:val="auto"/>
              </w:rPr>
            </w:pPr>
          </w:p>
        </w:tc>
        <w:tc>
          <w:tcPr>
            <w:tcW w:w="2740" w:type="dxa"/>
            <w:vAlign w:val="bottom"/>
          </w:tcPr>
          <w:p>
            <w:pPr>
              <w:spacing w:after="0"/>
              <w:rPr>
                <w:sz w:val="8"/>
                <w:szCs w:val="8"/>
                <w:color w:val="auto"/>
              </w:rPr>
            </w:pPr>
          </w:p>
        </w:tc>
        <w:tc>
          <w:tcPr>
            <w:tcW w:w="1260" w:type="dxa"/>
            <w:vAlign w:val="bottom"/>
            <w:vMerge w:val="restart"/>
          </w:tcPr>
          <w:p>
            <w:pPr>
              <w:jc w:val="center"/>
              <w:spacing w:after="0"/>
              <w:rPr>
                <w:sz w:val="20"/>
                <w:szCs w:val="20"/>
                <w:color w:val="auto"/>
              </w:rPr>
            </w:pPr>
            <w:r>
              <w:rPr>
                <w:rFonts w:ascii="Arial" w:cs="Arial" w:eastAsia="Arial" w:hAnsi="Arial"/>
                <w:sz w:val="14"/>
                <w:szCs w:val="14"/>
                <w:color w:val="auto"/>
              </w:rPr>
              <w:t>Above  Stretch</w:t>
            </w:r>
          </w:p>
        </w:tc>
        <w:tc>
          <w:tcPr>
            <w:tcW w:w="0" w:type="dxa"/>
            <w:vAlign w:val="bottom"/>
          </w:tcPr>
          <w:p>
            <w:pPr>
              <w:spacing w:after="0"/>
              <w:rPr>
                <w:sz w:val="1"/>
                <w:szCs w:val="1"/>
                <w:color w:val="auto"/>
              </w:rPr>
            </w:pPr>
          </w:p>
        </w:tc>
      </w:tr>
      <w:tr>
        <w:trPr>
          <w:trHeight w:val="68"/>
        </w:trPr>
        <w:tc>
          <w:tcPr>
            <w:tcW w:w="1720" w:type="dxa"/>
            <w:vAlign w:val="bottom"/>
            <w:vMerge w:val="continue"/>
          </w:tcPr>
          <w:p>
            <w:pPr>
              <w:spacing w:after="0"/>
              <w:rPr>
                <w:sz w:val="5"/>
                <w:szCs w:val="5"/>
                <w:color w:val="auto"/>
              </w:rPr>
            </w:pPr>
          </w:p>
        </w:tc>
        <w:tc>
          <w:tcPr>
            <w:tcW w:w="1340" w:type="dxa"/>
            <w:vAlign w:val="bottom"/>
          </w:tcPr>
          <w:p>
            <w:pPr>
              <w:spacing w:after="0"/>
              <w:rPr>
                <w:sz w:val="5"/>
                <w:szCs w:val="5"/>
                <w:color w:val="auto"/>
              </w:rPr>
            </w:pPr>
          </w:p>
        </w:tc>
        <w:tc>
          <w:tcPr>
            <w:tcW w:w="2660" w:type="dxa"/>
            <w:vAlign w:val="bottom"/>
            <w:vMerge w:val="restart"/>
          </w:tcPr>
          <w:p>
            <w:pPr>
              <w:ind w:left="100"/>
              <w:spacing w:after="0"/>
              <w:rPr>
                <w:sz w:val="20"/>
                <w:szCs w:val="20"/>
                <w:color w:val="auto"/>
              </w:rPr>
            </w:pPr>
            <w:r>
              <w:rPr>
                <w:rFonts w:ascii="Arial" w:cs="Arial" w:eastAsia="Arial" w:hAnsi="Arial"/>
                <w:sz w:val="14"/>
                <w:szCs w:val="14"/>
                <w:color w:val="auto"/>
              </w:rPr>
              <w:t>maintenance  location  footprint</w:t>
            </w:r>
          </w:p>
        </w:tc>
        <w:tc>
          <w:tcPr>
            <w:tcW w:w="2740" w:type="dxa"/>
            <w:vAlign w:val="bottom"/>
          </w:tcPr>
          <w:p>
            <w:pPr>
              <w:spacing w:after="0"/>
              <w:rPr>
                <w:sz w:val="5"/>
                <w:szCs w:val="5"/>
                <w:color w:val="auto"/>
              </w:rPr>
            </w:pPr>
          </w:p>
        </w:tc>
        <w:tc>
          <w:tcPr>
            <w:tcW w:w="12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72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footprint expansion</w:t>
            </w:r>
          </w:p>
        </w:tc>
        <w:tc>
          <w:tcPr>
            <w:tcW w:w="1340" w:type="dxa"/>
            <w:vAlign w:val="bottom"/>
          </w:tcPr>
          <w:p>
            <w:pPr>
              <w:spacing w:after="0"/>
              <w:rPr>
                <w:sz w:val="12"/>
                <w:szCs w:val="12"/>
                <w:color w:val="auto"/>
              </w:rPr>
            </w:pPr>
          </w:p>
        </w:tc>
        <w:tc>
          <w:tcPr>
            <w:tcW w:w="2660" w:type="dxa"/>
            <w:vAlign w:val="bottom"/>
            <w:vMerge w:val="continue"/>
          </w:tcPr>
          <w:p>
            <w:pPr>
              <w:spacing w:after="0"/>
              <w:rPr>
                <w:sz w:val="12"/>
                <w:szCs w:val="12"/>
                <w:color w:val="auto"/>
              </w:rPr>
            </w:pPr>
          </w:p>
        </w:tc>
        <w:tc>
          <w:tcPr>
            <w:tcW w:w="27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1720" w:type="dxa"/>
            <w:vAlign w:val="bottom"/>
            <w:tcBorders>
              <w:bottom w:val="single" w:sz="8" w:color="1414D2"/>
            </w:tcBorders>
            <w:vMerge w:val="continue"/>
          </w:tcPr>
          <w:p>
            <w:pPr>
              <w:spacing w:after="0"/>
              <w:rPr>
                <w:sz w:val="6"/>
                <w:szCs w:val="6"/>
                <w:color w:val="auto"/>
              </w:rPr>
            </w:pPr>
          </w:p>
        </w:tc>
        <w:tc>
          <w:tcPr>
            <w:tcW w:w="1340" w:type="dxa"/>
            <w:vAlign w:val="bottom"/>
            <w:tcBorders>
              <w:bottom w:val="single" w:sz="8" w:color="1414D2"/>
            </w:tcBorders>
          </w:tcPr>
          <w:p>
            <w:pPr>
              <w:spacing w:after="0"/>
              <w:rPr>
                <w:sz w:val="6"/>
                <w:szCs w:val="6"/>
                <w:color w:val="auto"/>
              </w:rPr>
            </w:pPr>
          </w:p>
        </w:tc>
        <w:tc>
          <w:tcPr>
            <w:tcW w:w="2660" w:type="dxa"/>
            <w:vAlign w:val="bottom"/>
            <w:tcBorders>
              <w:bottom w:val="single" w:sz="8" w:color="1414D2"/>
            </w:tcBorders>
          </w:tcPr>
          <w:p>
            <w:pPr>
              <w:spacing w:after="0"/>
              <w:rPr>
                <w:sz w:val="6"/>
                <w:szCs w:val="6"/>
                <w:color w:val="auto"/>
              </w:rPr>
            </w:pPr>
          </w:p>
        </w:tc>
        <w:tc>
          <w:tcPr>
            <w:tcW w:w="2740" w:type="dxa"/>
            <w:vAlign w:val="bottom"/>
            <w:tcBorders>
              <w:bottom w:val="single" w:sz="8" w:color="1414D2"/>
            </w:tcBorders>
          </w:tcPr>
          <w:p>
            <w:pPr>
              <w:spacing w:after="0"/>
              <w:rPr>
                <w:sz w:val="6"/>
                <w:szCs w:val="6"/>
                <w:color w:val="auto"/>
              </w:rPr>
            </w:pPr>
          </w:p>
        </w:tc>
        <w:tc>
          <w:tcPr>
            <w:tcW w:w="1260" w:type="dxa"/>
            <w:vAlign w:val="bottom"/>
            <w:tcBorders>
              <w:bottom w:val="single" w:sz="8" w:color="1414D2"/>
            </w:tcBorders>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720" w:type="dxa"/>
            <w:vAlign w:val="bottom"/>
          </w:tcPr>
          <w:p>
            <w:pPr>
              <w:ind w:left="100"/>
              <w:spacing w:after="0" w:line="157" w:lineRule="exact"/>
              <w:rPr>
                <w:sz w:val="20"/>
                <w:szCs w:val="20"/>
                <w:color w:val="auto"/>
              </w:rPr>
            </w:pPr>
            <w:r>
              <w:rPr>
                <w:rFonts w:ascii="Arial" w:cs="Arial" w:eastAsia="Arial" w:hAnsi="Arial"/>
                <w:sz w:val="14"/>
                <w:szCs w:val="14"/>
                <w:b w:val="1"/>
                <w:bCs w:val="1"/>
                <w:color w:val="auto"/>
              </w:rPr>
              <w:t>2. Aircraft parking</w:t>
            </w:r>
          </w:p>
        </w:tc>
        <w:tc>
          <w:tcPr>
            <w:tcW w:w="1340" w:type="dxa"/>
            <w:vAlign w:val="bottom"/>
          </w:tcPr>
          <w:p>
            <w:pPr>
              <w:ind w:left="100"/>
              <w:spacing w:after="0" w:line="157" w:lineRule="exact"/>
              <w:rPr>
                <w:sz w:val="20"/>
                <w:szCs w:val="20"/>
                <w:color w:val="auto"/>
              </w:rPr>
            </w:pPr>
            <w:r>
              <w:rPr>
                <w:rFonts w:ascii="Arial" w:cs="Arial" w:eastAsia="Arial" w:hAnsi="Arial"/>
                <w:sz w:val="14"/>
                <w:szCs w:val="14"/>
                <w:color w:val="auto"/>
              </w:rPr>
              <w:t>EWR  +  4  other</w:t>
            </w:r>
          </w:p>
        </w:tc>
        <w:tc>
          <w:tcPr>
            <w:tcW w:w="2660" w:type="dxa"/>
            <w:vAlign w:val="bottom"/>
            <w:vMerge w:val="restart"/>
          </w:tcPr>
          <w:p>
            <w:pPr>
              <w:ind w:left="100"/>
              <w:spacing w:after="0"/>
              <w:rPr>
                <w:sz w:val="20"/>
                <w:szCs w:val="20"/>
                <w:color w:val="auto"/>
              </w:rPr>
            </w:pPr>
            <w:r>
              <w:rPr>
                <w:rFonts w:ascii="Arial" w:cs="Arial" w:eastAsia="Arial" w:hAnsi="Arial"/>
                <w:sz w:val="14"/>
                <w:szCs w:val="14"/>
                <w:color w:val="auto"/>
              </w:rPr>
              <w:t>EWR  +  5  other  hubs</w:t>
            </w:r>
          </w:p>
        </w:tc>
        <w:tc>
          <w:tcPr>
            <w:tcW w:w="2740" w:type="dxa"/>
            <w:vAlign w:val="bottom"/>
            <w:vMerge w:val="restart"/>
          </w:tcPr>
          <w:p>
            <w:pPr>
              <w:ind w:left="140"/>
              <w:spacing w:after="0"/>
              <w:rPr>
                <w:sz w:val="20"/>
                <w:szCs w:val="20"/>
                <w:color w:val="auto"/>
              </w:rPr>
            </w:pPr>
            <w:r>
              <w:rPr>
                <w:rFonts w:ascii="Arial" w:cs="Arial" w:eastAsia="Arial" w:hAnsi="Arial"/>
                <w:sz w:val="14"/>
                <w:szCs w:val="14"/>
                <w:color w:val="auto"/>
              </w:rPr>
              <w:t>All  7  hubs</w:t>
            </w:r>
          </w:p>
        </w:tc>
        <w:tc>
          <w:tcPr>
            <w:tcW w:w="1260" w:type="dxa"/>
            <w:vAlign w:val="bottom"/>
            <w:vMerge w:val="restart"/>
          </w:tcPr>
          <w:p>
            <w:pPr>
              <w:jc w:val="center"/>
              <w:spacing w:after="0"/>
              <w:rPr>
                <w:sz w:val="20"/>
                <w:szCs w:val="20"/>
                <w:color w:val="auto"/>
              </w:rPr>
            </w:pPr>
            <w:r>
              <w:rPr>
                <w:rFonts w:ascii="Arial" w:cs="Arial" w:eastAsia="Arial" w:hAnsi="Arial"/>
                <w:sz w:val="14"/>
                <w:szCs w:val="14"/>
                <w:color w:val="auto"/>
              </w:rPr>
              <w:t>Stretch</w:t>
            </w:r>
          </w:p>
        </w:tc>
        <w:tc>
          <w:tcPr>
            <w:tcW w:w="0" w:type="dxa"/>
            <w:vAlign w:val="bottom"/>
          </w:tcPr>
          <w:p>
            <w:pPr>
              <w:spacing w:after="0"/>
              <w:rPr>
                <w:sz w:val="1"/>
                <w:szCs w:val="1"/>
                <w:color w:val="auto"/>
              </w:rPr>
            </w:pPr>
          </w:p>
        </w:tc>
      </w:tr>
      <w:tr>
        <w:trPr>
          <w:trHeight w:val="113"/>
        </w:trPr>
        <w:tc>
          <w:tcPr>
            <w:tcW w:w="172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position</w:t>
            </w:r>
          </w:p>
        </w:tc>
        <w:tc>
          <w:tcPr>
            <w:tcW w:w="1340" w:type="dxa"/>
            <w:vAlign w:val="bottom"/>
            <w:vMerge w:val="restart"/>
          </w:tcPr>
          <w:p>
            <w:pPr>
              <w:ind w:left="100"/>
              <w:spacing w:after="0"/>
              <w:rPr>
                <w:sz w:val="20"/>
                <w:szCs w:val="20"/>
                <w:color w:val="auto"/>
              </w:rPr>
            </w:pPr>
            <w:r>
              <w:rPr>
                <w:rFonts w:ascii="Arial" w:cs="Arial" w:eastAsia="Arial" w:hAnsi="Arial"/>
                <w:sz w:val="14"/>
                <w:szCs w:val="14"/>
                <w:color w:val="auto"/>
              </w:rPr>
              <w:t>hubs</w:t>
            </w:r>
          </w:p>
        </w:tc>
        <w:tc>
          <w:tcPr>
            <w:tcW w:w="2660" w:type="dxa"/>
            <w:vAlign w:val="bottom"/>
            <w:vMerge w:val="continue"/>
          </w:tcPr>
          <w:p>
            <w:pPr>
              <w:spacing w:after="0"/>
              <w:rPr>
                <w:sz w:val="9"/>
                <w:szCs w:val="9"/>
                <w:color w:val="auto"/>
              </w:rPr>
            </w:pPr>
          </w:p>
        </w:tc>
        <w:tc>
          <w:tcPr>
            <w:tcW w:w="274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1720" w:type="dxa"/>
            <w:vAlign w:val="bottom"/>
            <w:tcBorders>
              <w:bottom w:val="single" w:sz="8" w:color="1414D2"/>
            </w:tcBorders>
            <w:vMerge w:val="continue"/>
          </w:tcPr>
          <w:p>
            <w:pPr>
              <w:spacing w:after="0"/>
              <w:rPr>
                <w:sz w:val="7"/>
                <w:szCs w:val="7"/>
                <w:color w:val="auto"/>
              </w:rPr>
            </w:pPr>
          </w:p>
        </w:tc>
        <w:tc>
          <w:tcPr>
            <w:tcW w:w="1340" w:type="dxa"/>
            <w:vAlign w:val="bottom"/>
            <w:tcBorders>
              <w:bottom w:val="single" w:sz="8" w:color="1414D2"/>
            </w:tcBorders>
            <w:vMerge w:val="continue"/>
          </w:tcPr>
          <w:p>
            <w:pPr>
              <w:spacing w:after="0"/>
              <w:rPr>
                <w:sz w:val="7"/>
                <w:szCs w:val="7"/>
                <w:color w:val="auto"/>
              </w:rPr>
            </w:pPr>
          </w:p>
        </w:tc>
        <w:tc>
          <w:tcPr>
            <w:tcW w:w="2660" w:type="dxa"/>
            <w:vAlign w:val="bottom"/>
            <w:tcBorders>
              <w:bottom w:val="single" w:sz="8" w:color="1414D2"/>
            </w:tcBorders>
          </w:tcPr>
          <w:p>
            <w:pPr>
              <w:spacing w:after="0"/>
              <w:rPr>
                <w:sz w:val="7"/>
                <w:szCs w:val="7"/>
                <w:color w:val="auto"/>
              </w:rPr>
            </w:pPr>
          </w:p>
        </w:tc>
        <w:tc>
          <w:tcPr>
            <w:tcW w:w="2740" w:type="dxa"/>
            <w:vAlign w:val="bottom"/>
            <w:tcBorders>
              <w:bottom w:val="single" w:sz="8" w:color="1414D2"/>
            </w:tcBorders>
          </w:tcPr>
          <w:p>
            <w:pPr>
              <w:spacing w:after="0"/>
              <w:rPr>
                <w:sz w:val="7"/>
                <w:szCs w:val="7"/>
                <w:color w:val="auto"/>
              </w:rPr>
            </w:pPr>
          </w:p>
        </w:tc>
        <w:tc>
          <w:tcPr>
            <w:tcW w:w="1260" w:type="dxa"/>
            <w:vAlign w:val="bottom"/>
            <w:tcBorders>
              <w:bottom w:val="single" w:sz="8" w:color="1414D2"/>
            </w:tcBorders>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1720" w:type="dxa"/>
            <w:vAlign w:val="bottom"/>
          </w:tcPr>
          <w:p>
            <w:pPr>
              <w:ind w:left="100"/>
              <w:spacing w:after="0" w:line="157" w:lineRule="exact"/>
              <w:rPr>
                <w:sz w:val="20"/>
                <w:szCs w:val="20"/>
                <w:color w:val="auto"/>
              </w:rPr>
            </w:pPr>
            <w:r>
              <w:rPr>
                <w:rFonts w:ascii="Arial" w:cs="Arial" w:eastAsia="Arial" w:hAnsi="Arial"/>
                <w:sz w:val="14"/>
                <w:szCs w:val="14"/>
                <w:b w:val="1"/>
                <w:bCs w:val="1"/>
                <w:color w:val="auto"/>
              </w:rPr>
              <w:t>3. Aircraft parts</w:t>
            </w:r>
          </w:p>
        </w:tc>
        <w:tc>
          <w:tcPr>
            <w:tcW w:w="1340" w:type="dxa"/>
            <w:vAlign w:val="bottom"/>
            <w:vMerge w:val="restart"/>
          </w:tcPr>
          <w:p>
            <w:pPr>
              <w:ind w:left="100"/>
              <w:spacing w:after="0"/>
              <w:rPr>
                <w:sz w:val="20"/>
                <w:szCs w:val="20"/>
                <w:color w:val="auto"/>
              </w:rPr>
            </w:pPr>
            <w:r>
              <w:rPr>
                <w:rFonts w:ascii="Arial" w:cs="Arial" w:eastAsia="Arial" w:hAnsi="Arial"/>
                <w:sz w:val="14"/>
                <w:szCs w:val="14"/>
                <w:color w:val="auto"/>
              </w:rPr>
              <w:t>1  pt  improve</w:t>
            </w:r>
          </w:p>
        </w:tc>
        <w:tc>
          <w:tcPr>
            <w:tcW w:w="2660" w:type="dxa"/>
            <w:vAlign w:val="bottom"/>
            <w:vMerge w:val="restart"/>
          </w:tcPr>
          <w:p>
            <w:pPr>
              <w:ind w:left="100"/>
              <w:spacing w:after="0"/>
              <w:rPr>
                <w:sz w:val="20"/>
                <w:szCs w:val="20"/>
                <w:color w:val="auto"/>
              </w:rPr>
            </w:pPr>
            <w:r>
              <w:rPr>
                <w:rFonts w:ascii="Arial" w:cs="Arial" w:eastAsia="Arial" w:hAnsi="Arial"/>
                <w:sz w:val="14"/>
                <w:szCs w:val="14"/>
                <w:color w:val="auto"/>
              </w:rPr>
              <w:t>1.25  pts  improve</w:t>
            </w:r>
          </w:p>
        </w:tc>
        <w:tc>
          <w:tcPr>
            <w:tcW w:w="2740" w:type="dxa"/>
            <w:vAlign w:val="bottom"/>
            <w:vMerge w:val="restart"/>
          </w:tcPr>
          <w:p>
            <w:pPr>
              <w:ind w:left="140"/>
              <w:spacing w:after="0"/>
              <w:rPr>
                <w:sz w:val="20"/>
                <w:szCs w:val="20"/>
                <w:color w:val="auto"/>
              </w:rPr>
            </w:pPr>
            <w:r>
              <w:rPr>
                <w:rFonts w:ascii="Arial" w:cs="Arial" w:eastAsia="Arial" w:hAnsi="Arial"/>
                <w:sz w:val="14"/>
                <w:szCs w:val="14"/>
                <w:color w:val="auto"/>
              </w:rPr>
              <w:t>1.5  pts  improve</w:t>
            </w:r>
          </w:p>
        </w:tc>
        <w:tc>
          <w:tcPr>
            <w:tcW w:w="1260" w:type="dxa"/>
            <w:vAlign w:val="bottom"/>
            <w:vMerge w:val="restart"/>
          </w:tcPr>
          <w:p>
            <w:pPr>
              <w:jc w:val="center"/>
              <w:spacing w:after="0"/>
              <w:rPr>
                <w:sz w:val="20"/>
                <w:szCs w:val="20"/>
                <w:color w:val="auto"/>
              </w:rPr>
            </w:pPr>
            <w:r>
              <w:rPr>
                <w:rFonts w:ascii="Arial" w:cs="Arial" w:eastAsia="Arial" w:hAnsi="Arial"/>
                <w:sz w:val="14"/>
                <w:szCs w:val="14"/>
                <w:color w:val="auto"/>
              </w:rPr>
              <w:t>Above  Stretch</w:t>
            </w:r>
          </w:p>
        </w:tc>
        <w:tc>
          <w:tcPr>
            <w:tcW w:w="0" w:type="dxa"/>
            <w:vAlign w:val="bottom"/>
          </w:tcPr>
          <w:p>
            <w:pPr>
              <w:spacing w:after="0"/>
              <w:rPr>
                <w:sz w:val="1"/>
                <w:szCs w:val="1"/>
                <w:color w:val="auto"/>
              </w:rPr>
            </w:pPr>
          </w:p>
        </w:tc>
      </w:tr>
      <w:tr>
        <w:trPr>
          <w:trHeight w:val="113"/>
        </w:trPr>
        <w:tc>
          <w:tcPr>
            <w:tcW w:w="172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supply/availability</w:t>
            </w:r>
          </w:p>
        </w:tc>
        <w:tc>
          <w:tcPr>
            <w:tcW w:w="1340" w:type="dxa"/>
            <w:vAlign w:val="bottom"/>
            <w:vMerge w:val="continue"/>
          </w:tcPr>
          <w:p>
            <w:pPr>
              <w:spacing w:after="0"/>
              <w:rPr>
                <w:sz w:val="9"/>
                <w:szCs w:val="9"/>
                <w:color w:val="auto"/>
              </w:rPr>
            </w:pPr>
          </w:p>
        </w:tc>
        <w:tc>
          <w:tcPr>
            <w:tcW w:w="2660" w:type="dxa"/>
            <w:vAlign w:val="bottom"/>
            <w:vMerge w:val="continue"/>
          </w:tcPr>
          <w:p>
            <w:pPr>
              <w:spacing w:after="0"/>
              <w:rPr>
                <w:sz w:val="9"/>
                <w:szCs w:val="9"/>
                <w:color w:val="auto"/>
              </w:rPr>
            </w:pPr>
          </w:p>
        </w:tc>
        <w:tc>
          <w:tcPr>
            <w:tcW w:w="274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1720" w:type="dxa"/>
            <w:vAlign w:val="bottom"/>
            <w:tcBorders>
              <w:bottom w:val="single" w:sz="8" w:color="1414D2"/>
            </w:tcBorders>
            <w:vMerge w:val="continue"/>
          </w:tcPr>
          <w:p>
            <w:pPr>
              <w:spacing w:after="0"/>
              <w:rPr>
                <w:sz w:val="7"/>
                <w:szCs w:val="7"/>
                <w:color w:val="auto"/>
              </w:rPr>
            </w:pPr>
          </w:p>
        </w:tc>
        <w:tc>
          <w:tcPr>
            <w:tcW w:w="1340" w:type="dxa"/>
            <w:vAlign w:val="bottom"/>
            <w:tcBorders>
              <w:bottom w:val="single" w:sz="8" w:color="1414D2"/>
            </w:tcBorders>
          </w:tcPr>
          <w:p>
            <w:pPr>
              <w:spacing w:after="0"/>
              <w:rPr>
                <w:sz w:val="7"/>
                <w:szCs w:val="7"/>
                <w:color w:val="auto"/>
              </w:rPr>
            </w:pPr>
          </w:p>
        </w:tc>
        <w:tc>
          <w:tcPr>
            <w:tcW w:w="2660" w:type="dxa"/>
            <w:vAlign w:val="bottom"/>
            <w:tcBorders>
              <w:bottom w:val="single" w:sz="8" w:color="1414D2"/>
            </w:tcBorders>
          </w:tcPr>
          <w:p>
            <w:pPr>
              <w:spacing w:after="0"/>
              <w:rPr>
                <w:sz w:val="7"/>
                <w:szCs w:val="7"/>
                <w:color w:val="auto"/>
              </w:rPr>
            </w:pPr>
          </w:p>
        </w:tc>
        <w:tc>
          <w:tcPr>
            <w:tcW w:w="2740" w:type="dxa"/>
            <w:vAlign w:val="bottom"/>
            <w:tcBorders>
              <w:bottom w:val="single" w:sz="8" w:color="1414D2"/>
            </w:tcBorders>
          </w:tcPr>
          <w:p>
            <w:pPr>
              <w:spacing w:after="0"/>
              <w:rPr>
                <w:sz w:val="7"/>
                <w:szCs w:val="7"/>
                <w:color w:val="auto"/>
              </w:rPr>
            </w:pPr>
          </w:p>
        </w:tc>
        <w:tc>
          <w:tcPr>
            <w:tcW w:w="1260" w:type="dxa"/>
            <w:vAlign w:val="bottom"/>
            <w:tcBorders>
              <w:bottom w:val="single" w:sz="8" w:color="1414D2"/>
            </w:tcBorders>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1720" w:type="dxa"/>
            <w:vAlign w:val="bottom"/>
          </w:tcPr>
          <w:p>
            <w:pPr>
              <w:ind w:left="100"/>
              <w:spacing w:after="0" w:line="157" w:lineRule="exact"/>
              <w:rPr>
                <w:sz w:val="20"/>
                <w:szCs w:val="20"/>
                <w:color w:val="auto"/>
              </w:rPr>
            </w:pPr>
            <w:r>
              <w:rPr>
                <w:rFonts w:ascii="Arial" w:cs="Arial" w:eastAsia="Arial" w:hAnsi="Arial"/>
                <w:sz w:val="14"/>
                <w:szCs w:val="14"/>
                <w:b w:val="1"/>
                <w:bCs w:val="1"/>
                <w:color w:val="auto"/>
              </w:rPr>
              <w:t>4. AirTop surface/air</w:t>
            </w:r>
          </w:p>
        </w:tc>
        <w:tc>
          <w:tcPr>
            <w:tcW w:w="1340" w:type="dxa"/>
            <w:vAlign w:val="bottom"/>
            <w:vMerge w:val="restart"/>
          </w:tcPr>
          <w:p>
            <w:pPr>
              <w:ind w:left="100"/>
              <w:spacing w:after="0"/>
              <w:rPr>
                <w:sz w:val="20"/>
                <w:szCs w:val="20"/>
                <w:color w:val="auto"/>
              </w:rPr>
            </w:pPr>
            <w:r>
              <w:rPr>
                <w:rFonts w:ascii="Arial" w:cs="Arial" w:eastAsia="Arial" w:hAnsi="Arial"/>
                <w:sz w:val="14"/>
                <w:szCs w:val="14"/>
                <w:color w:val="auto"/>
              </w:rPr>
              <w:t>57%  of  hub</w:t>
            </w:r>
          </w:p>
        </w:tc>
        <w:tc>
          <w:tcPr>
            <w:tcW w:w="266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172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trafc mgmt.</w:t>
            </w:r>
          </w:p>
        </w:tc>
        <w:tc>
          <w:tcPr>
            <w:tcW w:w="1340" w:type="dxa"/>
            <w:vAlign w:val="bottom"/>
            <w:vMerge w:val="continue"/>
          </w:tcPr>
          <w:p>
            <w:pPr>
              <w:spacing w:after="0"/>
              <w:rPr>
                <w:sz w:val="8"/>
                <w:szCs w:val="8"/>
                <w:color w:val="auto"/>
              </w:rPr>
            </w:pPr>
          </w:p>
        </w:tc>
        <w:tc>
          <w:tcPr>
            <w:tcW w:w="2660" w:type="dxa"/>
            <w:vAlign w:val="bottom"/>
            <w:vMerge w:val="restart"/>
          </w:tcPr>
          <w:p>
            <w:pPr>
              <w:ind w:left="100"/>
              <w:spacing w:after="0"/>
              <w:rPr>
                <w:sz w:val="20"/>
                <w:szCs w:val="20"/>
                <w:color w:val="auto"/>
              </w:rPr>
            </w:pPr>
            <w:r>
              <w:rPr>
                <w:rFonts w:ascii="Arial" w:cs="Arial" w:eastAsia="Arial" w:hAnsi="Arial"/>
                <w:sz w:val="14"/>
                <w:szCs w:val="14"/>
                <w:color w:val="auto"/>
              </w:rPr>
              <w:t>75%  of  hub  departures</w:t>
            </w:r>
          </w:p>
        </w:tc>
        <w:tc>
          <w:tcPr>
            <w:tcW w:w="2740" w:type="dxa"/>
            <w:vAlign w:val="bottom"/>
            <w:vMerge w:val="restart"/>
          </w:tcPr>
          <w:p>
            <w:pPr>
              <w:ind w:left="140"/>
              <w:spacing w:after="0"/>
              <w:rPr>
                <w:sz w:val="20"/>
                <w:szCs w:val="20"/>
                <w:color w:val="auto"/>
              </w:rPr>
            </w:pPr>
            <w:r>
              <w:rPr>
                <w:rFonts w:ascii="Arial" w:cs="Arial" w:eastAsia="Arial" w:hAnsi="Arial"/>
                <w:sz w:val="14"/>
                <w:szCs w:val="14"/>
                <w:color w:val="auto"/>
              </w:rPr>
              <w:t>85%  of  hub  departures</w:t>
            </w:r>
          </w:p>
        </w:tc>
        <w:tc>
          <w:tcPr>
            <w:tcW w:w="1260" w:type="dxa"/>
            <w:vAlign w:val="bottom"/>
            <w:vMerge w:val="restart"/>
          </w:tcPr>
          <w:p>
            <w:pPr>
              <w:jc w:val="center"/>
              <w:spacing w:after="0"/>
              <w:rPr>
                <w:sz w:val="20"/>
                <w:szCs w:val="20"/>
                <w:color w:val="auto"/>
              </w:rPr>
            </w:pPr>
            <w:r>
              <w:rPr>
                <w:rFonts w:ascii="Arial" w:cs="Arial" w:eastAsia="Arial" w:hAnsi="Arial"/>
                <w:sz w:val="14"/>
                <w:szCs w:val="14"/>
                <w:color w:val="auto"/>
              </w:rPr>
              <w:t>Stretch</w:t>
            </w:r>
          </w:p>
        </w:tc>
        <w:tc>
          <w:tcPr>
            <w:tcW w:w="0" w:type="dxa"/>
            <w:vAlign w:val="bottom"/>
          </w:tcPr>
          <w:p>
            <w:pPr>
              <w:spacing w:after="0"/>
              <w:rPr>
                <w:sz w:val="1"/>
                <w:szCs w:val="1"/>
                <w:color w:val="auto"/>
              </w:rPr>
            </w:pPr>
          </w:p>
        </w:tc>
      </w:tr>
      <w:tr>
        <w:trPr>
          <w:trHeight w:val="68"/>
        </w:trPr>
        <w:tc>
          <w:tcPr>
            <w:tcW w:w="1720" w:type="dxa"/>
            <w:vAlign w:val="bottom"/>
            <w:vMerge w:val="continue"/>
          </w:tcPr>
          <w:p>
            <w:pPr>
              <w:spacing w:after="0"/>
              <w:rPr>
                <w:sz w:val="5"/>
                <w:szCs w:val="5"/>
                <w:color w:val="auto"/>
              </w:rPr>
            </w:pPr>
          </w:p>
        </w:tc>
        <w:tc>
          <w:tcPr>
            <w:tcW w:w="1340" w:type="dxa"/>
            <w:vAlign w:val="bottom"/>
            <w:vMerge w:val="restart"/>
          </w:tcPr>
          <w:p>
            <w:pPr>
              <w:ind w:left="100"/>
              <w:spacing w:after="0"/>
              <w:rPr>
                <w:sz w:val="20"/>
                <w:szCs w:val="20"/>
                <w:color w:val="auto"/>
              </w:rPr>
            </w:pPr>
            <w:r>
              <w:rPr>
                <w:rFonts w:ascii="Arial" w:cs="Arial" w:eastAsia="Arial" w:hAnsi="Arial"/>
                <w:sz w:val="14"/>
                <w:szCs w:val="14"/>
                <w:color w:val="auto"/>
              </w:rPr>
              <w:t>departures</w:t>
            </w:r>
          </w:p>
        </w:tc>
        <w:tc>
          <w:tcPr>
            <w:tcW w:w="2660" w:type="dxa"/>
            <w:vAlign w:val="bottom"/>
            <w:vMerge w:val="continue"/>
          </w:tcPr>
          <w:p>
            <w:pPr>
              <w:spacing w:after="0"/>
              <w:rPr>
                <w:sz w:val="5"/>
                <w:szCs w:val="5"/>
                <w:color w:val="auto"/>
              </w:rPr>
            </w:pPr>
          </w:p>
        </w:tc>
        <w:tc>
          <w:tcPr>
            <w:tcW w:w="2740" w:type="dxa"/>
            <w:vAlign w:val="bottom"/>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72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simulation model</w:t>
            </w:r>
          </w:p>
        </w:tc>
        <w:tc>
          <w:tcPr>
            <w:tcW w:w="1340" w:type="dxa"/>
            <w:vAlign w:val="bottom"/>
            <w:vMerge w:val="continue"/>
          </w:tcPr>
          <w:p>
            <w:pPr>
              <w:spacing w:after="0"/>
              <w:rPr>
                <w:sz w:val="12"/>
                <w:szCs w:val="12"/>
                <w:color w:val="auto"/>
              </w:rPr>
            </w:pPr>
          </w:p>
        </w:tc>
        <w:tc>
          <w:tcPr>
            <w:tcW w:w="26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1720" w:type="dxa"/>
            <w:vAlign w:val="bottom"/>
            <w:tcBorders>
              <w:bottom w:val="single" w:sz="8" w:color="1414D2"/>
            </w:tcBorders>
            <w:vMerge w:val="continue"/>
          </w:tcPr>
          <w:p>
            <w:pPr>
              <w:spacing w:after="0"/>
              <w:rPr>
                <w:sz w:val="6"/>
                <w:szCs w:val="6"/>
                <w:color w:val="auto"/>
              </w:rPr>
            </w:pPr>
          </w:p>
        </w:tc>
        <w:tc>
          <w:tcPr>
            <w:tcW w:w="1340" w:type="dxa"/>
            <w:vAlign w:val="bottom"/>
            <w:tcBorders>
              <w:bottom w:val="single" w:sz="8" w:color="1414D2"/>
            </w:tcBorders>
          </w:tcPr>
          <w:p>
            <w:pPr>
              <w:spacing w:after="0"/>
              <w:rPr>
                <w:sz w:val="6"/>
                <w:szCs w:val="6"/>
                <w:color w:val="auto"/>
              </w:rPr>
            </w:pPr>
          </w:p>
        </w:tc>
        <w:tc>
          <w:tcPr>
            <w:tcW w:w="2660" w:type="dxa"/>
            <w:vAlign w:val="bottom"/>
            <w:tcBorders>
              <w:bottom w:val="single" w:sz="8" w:color="1414D2"/>
            </w:tcBorders>
          </w:tcPr>
          <w:p>
            <w:pPr>
              <w:spacing w:after="0"/>
              <w:rPr>
                <w:sz w:val="6"/>
                <w:szCs w:val="6"/>
                <w:color w:val="auto"/>
              </w:rPr>
            </w:pPr>
          </w:p>
        </w:tc>
        <w:tc>
          <w:tcPr>
            <w:tcW w:w="2740" w:type="dxa"/>
            <w:vAlign w:val="bottom"/>
            <w:tcBorders>
              <w:bottom w:val="single" w:sz="8" w:color="1414D2"/>
            </w:tcBorders>
          </w:tcPr>
          <w:p>
            <w:pPr>
              <w:spacing w:after="0"/>
              <w:rPr>
                <w:sz w:val="6"/>
                <w:szCs w:val="6"/>
                <w:color w:val="auto"/>
              </w:rPr>
            </w:pPr>
          </w:p>
        </w:tc>
        <w:tc>
          <w:tcPr>
            <w:tcW w:w="1260" w:type="dxa"/>
            <w:vAlign w:val="bottom"/>
            <w:tcBorders>
              <w:bottom w:val="single" w:sz="8" w:color="1414D2"/>
            </w:tcBorders>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720" w:type="dxa"/>
            <w:vAlign w:val="bottom"/>
          </w:tcPr>
          <w:p>
            <w:pPr>
              <w:ind w:left="100"/>
              <w:spacing w:after="0" w:line="157" w:lineRule="exact"/>
              <w:rPr>
                <w:sz w:val="20"/>
                <w:szCs w:val="20"/>
                <w:color w:val="auto"/>
              </w:rPr>
            </w:pPr>
            <w:r>
              <w:rPr>
                <w:rFonts w:ascii="Arial" w:cs="Arial" w:eastAsia="Arial" w:hAnsi="Arial"/>
                <w:sz w:val="14"/>
                <w:szCs w:val="14"/>
                <w:b w:val="1"/>
                <w:bCs w:val="1"/>
                <w:color w:val="auto"/>
              </w:rPr>
              <w:t>5. Leverage FAA</w:t>
            </w:r>
          </w:p>
        </w:tc>
        <w:tc>
          <w:tcPr>
            <w:tcW w:w="1340" w:type="dxa"/>
            <w:vAlign w:val="bottom"/>
          </w:tcPr>
          <w:p>
            <w:pPr>
              <w:ind w:left="100"/>
              <w:spacing w:after="0" w:line="157" w:lineRule="exact"/>
              <w:rPr>
                <w:sz w:val="20"/>
                <w:szCs w:val="20"/>
                <w:color w:val="auto"/>
              </w:rPr>
            </w:pPr>
            <w:r>
              <w:rPr>
                <w:rFonts w:ascii="Arial" w:cs="Arial" w:eastAsia="Arial" w:hAnsi="Arial"/>
                <w:sz w:val="14"/>
                <w:szCs w:val="14"/>
                <w:color w:val="auto"/>
              </w:rPr>
              <w:t>Build  and  test  an</w:t>
            </w:r>
          </w:p>
        </w:tc>
        <w:tc>
          <w:tcPr>
            <w:tcW w:w="2660" w:type="dxa"/>
            <w:vAlign w:val="bottom"/>
          </w:tcPr>
          <w:p>
            <w:pPr>
              <w:ind w:left="100"/>
              <w:spacing w:after="0" w:line="157" w:lineRule="exact"/>
              <w:rPr>
                <w:sz w:val="20"/>
                <w:szCs w:val="20"/>
                <w:color w:val="auto"/>
              </w:rPr>
            </w:pPr>
            <w:r>
              <w:rPr>
                <w:rFonts w:ascii="Arial" w:cs="Arial" w:eastAsia="Arial" w:hAnsi="Arial"/>
                <w:sz w:val="14"/>
                <w:szCs w:val="14"/>
                <w:color w:val="auto"/>
              </w:rPr>
              <w:t>Implementation  of  an  enhanced  air</w:t>
            </w:r>
          </w:p>
        </w:tc>
        <w:tc>
          <w:tcPr>
            <w:tcW w:w="2740" w:type="dxa"/>
            <w:vAlign w:val="bottom"/>
          </w:tcPr>
          <w:p>
            <w:pPr>
              <w:ind w:left="140"/>
              <w:spacing w:after="0" w:line="157" w:lineRule="exact"/>
              <w:rPr>
                <w:sz w:val="20"/>
                <w:szCs w:val="20"/>
                <w:color w:val="auto"/>
              </w:rPr>
            </w:pPr>
            <w:r>
              <w:rPr>
                <w:rFonts w:ascii="Arial" w:cs="Arial" w:eastAsia="Arial" w:hAnsi="Arial"/>
                <w:sz w:val="14"/>
                <w:szCs w:val="14"/>
                <w:color w:val="auto"/>
              </w:rPr>
              <w:t>Implementation  of  an  enhanced  air</w:t>
            </w: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720" w:type="dxa"/>
            <w:vAlign w:val="bottom"/>
          </w:tcPr>
          <w:p>
            <w:pPr>
              <w:ind w:left="100"/>
              <w:spacing w:after="0"/>
              <w:rPr>
                <w:sz w:val="20"/>
                <w:szCs w:val="20"/>
                <w:color w:val="auto"/>
              </w:rPr>
            </w:pPr>
            <w:r>
              <w:rPr>
                <w:rFonts w:ascii="Arial" w:cs="Arial" w:eastAsia="Arial" w:hAnsi="Arial"/>
                <w:sz w:val="14"/>
                <w:szCs w:val="14"/>
                <w:b w:val="1"/>
                <w:bCs w:val="1"/>
                <w:color w:val="auto"/>
              </w:rPr>
              <w:t>system-wide info</w:t>
            </w:r>
          </w:p>
        </w:tc>
        <w:tc>
          <w:tcPr>
            <w:tcW w:w="1340" w:type="dxa"/>
            <w:vAlign w:val="bottom"/>
          </w:tcPr>
          <w:p>
            <w:pPr>
              <w:ind w:left="100"/>
              <w:spacing w:after="0"/>
              <w:rPr>
                <w:sz w:val="20"/>
                <w:szCs w:val="20"/>
                <w:color w:val="auto"/>
              </w:rPr>
            </w:pPr>
            <w:r>
              <w:rPr>
                <w:rFonts w:ascii="Arial" w:cs="Arial" w:eastAsia="Arial" w:hAnsi="Arial"/>
                <w:sz w:val="14"/>
                <w:szCs w:val="14"/>
                <w:color w:val="auto"/>
              </w:rPr>
              <w:t>air  trafc</w:t>
            </w:r>
          </w:p>
        </w:tc>
        <w:tc>
          <w:tcPr>
            <w:tcW w:w="2660" w:type="dxa"/>
            <w:vAlign w:val="bottom"/>
          </w:tcPr>
          <w:p>
            <w:pPr>
              <w:ind w:left="100"/>
              <w:spacing w:after="0"/>
              <w:rPr>
                <w:sz w:val="20"/>
                <w:szCs w:val="20"/>
                <w:color w:val="auto"/>
              </w:rPr>
            </w:pPr>
            <w:r>
              <w:rPr>
                <w:rFonts w:ascii="Arial" w:cs="Arial" w:eastAsia="Arial" w:hAnsi="Arial"/>
                <w:sz w:val="14"/>
                <w:szCs w:val="14"/>
                <w:color w:val="auto"/>
              </w:rPr>
              <w:t>trafc  management  tool  and  the</w:t>
            </w:r>
          </w:p>
        </w:tc>
        <w:tc>
          <w:tcPr>
            <w:tcW w:w="2740" w:type="dxa"/>
            <w:vAlign w:val="bottom"/>
          </w:tcPr>
          <w:p>
            <w:pPr>
              <w:ind w:left="140"/>
              <w:spacing w:after="0"/>
              <w:rPr>
                <w:sz w:val="20"/>
                <w:szCs w:val="20"/>
                <w:color w:val="auto"/>
              </w:rPr>
            </w:pPr>
            <w:r>
              <w:rPr>
                <w:rFonts w:ascii="Arial" w:cs="Arial" w:eastAsia="Arial" w:hAnsi="Arial"/>
                <w:sz w:val="14"/>
                <w:szCs w:val="14"/>
                <w:color w:val="auto"/>
              </w:rPr>
              <w:t>trafc  management  tool  and  the</w:t>
            </w:r>
          </w:p>
        </w:tc>
        <w:tc>
          <w:tcPr>
            <w:tcW w:w="1260" w:type="dxa"/>
            <w:vAlign w:val="bottom"/>
            <w:vMerge w:val="restart"/>
          </w:tcPr>
          <w:p>
            <w:pPr>
              <w:jc w:val="center"/>
              <w:spacing w:after="0"/>
              <w:rPr>
                <w:sz w:val="20"/>
                <w:szCs w:val="20"/>
                <w:color w:val="auto"/>
              </w:rPr>
            </w:pPr>
            <w:r>
              <w:rPr>
                <w:rFonts w:ascii="Arial" w:cs="Arial" w:eastAsia="Arial" w:hAnsi="Arial"/>
                <w:sz w:val="14"/>
                <w:szCs w:val="14"/>
                <w:color w:val="auto"/>
              </w:rPr>
              <w:t>Stretch</w:t>
            </w:r>
          </w:p>
        </w:tc>
        <w:tc>
          <w:tcPr>
            <w:tcW w:w="0" w:type="dxa"/>
            <w:vAlign w:val="bottom"/>
          </w:tcPr>
          <w:p>
            <w:pPr>
              <w:spacing w:after="0"/>
              <w:rPr>
                <w:sz w:val="1"/>
                <w:szCs w:val="1"/>
                <w:color w:val="auto"/>
              </w:rPr>
            </w:pPr>
          </w:p>
        </w:tc>
      </w:tr>
      <w:tr>
        <w:trPr>
          <w:trHeight w:val="127"/>
        </w:trPr>
        <w:tc>
          <w:tcPr>
            <w:tcW w:w="172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management</w:t>
            </w:r>
          </w:p>
        </w:tc>
        <w:tc>
          <w:tcPr>
            <w:tcW w:w="1340" w:type="dxa"/>
            <w:vAlign w:val="bottom"/>
            <w:vMerge w:val="restart"/>
          </w:tcPr>
          <w:p>
            <w:pPr>
              <w:ind w:left="100"/>
              <w:spacing w:after="0"/>
              <w:rPr>
                <w:sz w:val="20"/>
                <w:szCs w:val="20"/>
                <w:color w:val="auto"/>
              </w:rPr>
            </w:pPr>
            <w:r>
              <w:rPr>
                <w:rFonts w:ascii="Arial" w:cs="Arial" w:eastAsia="Arial" w:hAnsi="Arial"/>
                <w:sz w:val="14"/>
                <w:szCs w:val="14"/>
                <w:color w:val="auto"/>
              </w:rPr>
              <w:t>management</w:t>
            </w:r>
          </w:p>
        </w:tc>
        <w:tc>
          <w:tcPr>
            <w:tcW w:w="2660" w:type="dxa"/>
            <w:vAlign w:val="bottom"/>
            <w:vMerge w:val="restart"/>
          </w:tcPr>
          <w:p>
            <w:pPr>
              <w:ind w:left="100"/>
              <w:spacing w:after="0"/>
              <w:rPr>
                <w:sz w:val="20"/>
                <w:szCs w:val="20"/>
                <w:color w:val="auto"/>
              </w:rPr>
            </w:pPr>
            <w:r>
              <w:rPr>
                <w:rFonts w:ascii="Arial" w:cs="Arial" w:eastAsia="Arial" w:hAnsi="Arial"/>
                <w:sz w:val="14"/>
                <w:szCs w:val="14"/>
                <w:color w:val="auto"/>
              </w:rPr>
              <w:t>management  of  50%  of  Ground</w:t>
            </w:r>
          </w:p>
        </w:tc>
        <w:tc>
          <w:tcPr>
            <w:tcW w:w="2740" w:type="dxa"/>
            <w:vAlign w:val="bottom"/>
            <w:vMerge w:val="restart"/>
          </w:tcPr>
          <w:p>
            <w:pPr>
              <w:ind w:left="140"/>
              <w:spacing w:after="0"/>
              <w:rPr>
                <w:sz w:val="20"/>
                <w:szCs w:val="20"/>
                <w:color w:val="auto"/>
              </w:rPr>
            </w:pPr>
            <w:r>
              <w:rPr>
                <w:rFonts w:ascii="Arial" w:cs="Arial" w:eastAsia="Arial" w:hAnsi="Arial"/>
                <w:sz w:val="14"/>
                <w:szCs w:val="14"/>
                <w:color w:val="auto"/>
              </w:rPr>
              <w:t>management  of  85%  of  Ground</w:t>
            </w:r>
          </w:p>
        </w:tc>
        <w:tc>
          <w:tcPr>
            <w:tcW w:w="1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9"/>
        </w:trPr>
        <w:tc>
          <w:tcPr>
            <w:tcW w:w="1720" w:type="dxa"/>
            <w:vAlign w:val="bottom"/>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2660" w:type="dxa"/>
            <w:vAlign w:val="bottom"/>
            <w:vMerge w:val="continue"/>
          </w:tcPr>
          <w:p>
            <w:pPr>
              <w:spacing w:after="0"/>
              <w:rPr>
                <w:sz w:val="4"/>
                <w:szCs w:val="4"/>
                <w:color w:val="auto"/>
              </w:rPr>
            </w:pPr>
          </w:p>
        </w:tc>
        <w:tc>
          <w:tcPr>
            <w:tcW w:w="2740" w:type="dxa"/>
            <w:vAlign w:val="bottom"/>
            <w:vMerge w:val="continue"/>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1720" w:type="dxa"/>
            <w:vAlign w:val="bottom"/>
            <w:tcBorders>
              <w:bottom w:val="single" w:sz="8" w:color="1414D2"/>
            </w:tcBorders>
          </w:tcPr>
          <w:p>
            <w:pPr>
              <w:spacing w:after="0"/>
              <w:rPr>
                <w:sz w:val="17"/>
                <w:szCs w:val="17"/>
                <w:color w:val="auto"/>
              </w:rPr>
            </w:pPr>
          </w:p>
        </w:tc>
        <w:tc>
          <w:tcPr>
            <w:tcW w:w="1340" w:type="dxa"/>
            <w:vAlign w:val="bottom"/>
            <w:tcBorders>
              <w:bottom w:val="single" w:sz="8" w:color="1414D2"/>
            </w:tcBorders>
          </w:tcPr>
          <w:p>
            <w:pPr>
              <w:ind w:left="100"/>
              <w:spacing w:after="0"/>
              <w:rPr>
                <w:sz w:val="20"/>
                <w:szCs w:val="20"/>
                <w:color w:val="auto"/>
              </w:rPr>
            </w:pPr>
            <w:r>
              <w:rPr>
                <w:rFonts w:ascii="Arial" w:cs="Arial" w:eastAsia="Arial" w:hAnsi="Arial"/>
                <w:sz w:val="14"/>
                <w:szCs w:val="14"/>
                <w:color w:val="auto"/>
              </w:rPr>
              <w:t>tool</w:t>
            </w:r>
          </w:p>
        </w:tc>
        <w:tc>
          <w:tcPr>
            <w:tcW w:w="2660" w:type="dxa"/>
            <w:vAlign w:val="bottom"/>
            <w:tcBorders>
              <w:bottom w:val="single" w:sz="8" w:color="1414D2"/>
            </w:tcBorders>
          </w:tcPr>
          <w:p>
            <w:pPr>
              <w:ind w:left="100"/>
              <w:spacing w:after="0"/>
              <w:rPr>
                <w:sz w:val="20"/>
                <w:szCs w:val="20"/>
                <w:color w:val="auto"/>
              </w:rPr>
            </w:pPr>
            <w:r>
              <w:rPr>
                <w:rFonts w:ascii="Arial" w:cs="Arial" w:eastAsia="Arial" w:hAnsi="Arial"/>
                <w:sz w:val="14"/>
                <w:szCs w:val="14"/>
                <w:color w:val="auto"/>
              </w:rPr>
              <w:t>Delay  Program  trafc</w:t>
            </w:r>
          </w:p>
        </w:tc>
        <w:tc>
          <w:tcPr>
            <w:tcW w:w="2740" w:type="dxa"/>
            <w:vAlign w:val="bottom"/>
            <w:tcBorders>
              <w:bottom w:val="single" w:sz="8" w:color="1414D2"/>
            </w:tcBorders>
          </w:tcPr>
          <w:p>
            <w:pPr>
              <w:ind w:left="140"/>
              <w:spacing w:after="0"/>
              <w:rPr>
                <w:sz w:val="20"/>
                <w:szCs w:val="20"/>
                <w:color w:val="auto"/>
              </w:rPr>
            </w:pPr>
            <w:r>
              <w:rPr>
                <w:rFonts w:ascii="Arial" w:cs="Arial" w:eastAsia="Arial" w:hAnsi="Arial"/>
                <w:sz w:val="14"/>
                <w:szCs w:val="14"/>
                <w:color w:val="auto"/>
              </w:rPr>
              <w:t>Delay  Program  trafc</w:t>
            </w:r>
          </w:p>
        </w:tc>
        <w:tc>
          <w:tcPr>
            <w:tcW w:w="1260" w:type="dxa"/>
            <w:vAlign w:val="bottom"/>
            <w:tcBorders>
              <w:bottom w:val="single" w:sz="8" w:color="1414D2"/>
            </w:tcBorders>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1720" w:type="dxa"/>
            <w:vAlign w:val="bottom"/>
          </w:tcPr>
          <w:p>
            <w:pPr>
              <w:ind w:left="100"/>
              <w:spacing w:after="0" w:line="157" w:lineRule="exact"/>
              <w:rPr>
                <w:sz w:val="20"/>
                <w:szCs w:val="20"/>
                <w:color w:val="auto"/>
              </w:rPr>
            </w:pPr>
            <w:r>
              <w:rPr>
                <w:rFonts w:ascii="Arial" w:cs="Arial" w:eastAsia="Arial" w:hAnsi="Arial"/>
                <w:sz w:val="14"/>
                <w:szCs w:val="14"/>
                <w:b w:val="1"/>
                <w:bCs w:val="1"/>
                <w:color w:val="auto"/>
              </w:rPr>
              <w:t>6. Enhance efciency</w:t>
            </w:r>
          </w:p>
        </w:tc>
        <w:tc>
          <w:tcPr>
            <w:tcW w:w="1340" w:type="dxa"/>
            <w:vAlign w:val="bottom"/>
          </w:tcPr>
          <w:p>
            <w:pPr>
              <w:ind w:left="100"/>
              <w:spacing w:after="0" w:line="157" w:lineRule="exact"/>
              <w:rPr>
                <w:sz w:val="20"/>
                <w:szCs w:val="20"/>
                <w:color w:val="auto"/>
              </w:rPr>
            </w:pPr>
            <w:r>
              <w:rPr>
                <w:rFonts w:ascii="Arial" w:cs="Arial" w:eastAsia="Arial" w:hAnsi="Arial"/>
                <w:sz w:val="14"/>
                <w:szCs w:val="14"/>
                <w:color w:val="auto"/>
              </w:rPr>
              <w:t>Develop  TOS</w:t>
            </w:r>
          </w:p>
        </w:tc>
        <w:tc>
          <w:tcPr>
            <w:tcW w:w="2660" w:type="dxa"/>
            <w:vAlign w:val="bottom"/>
            <w:vMerge w:val="restart"/>
          </w:tcPr>
          <w:p>
            <w:pPr>
              <w:ind w:left="100"/>
              <w:spacing w:after="0"/>
              <w:rPr>
                <w:sz w:val="20"/>
                <w:szCs w:val="20"/>
                <w:color w:val="auto"/>
              </w:rPr>
            </w:pPr>
            <w:r>
              <w:rPr>
                <w:rFonts w:ascii="Arial" w:cs="Arial" w:eastAsia="Arial" w:hAnsi="Arial"/>
                <w:sz w:val="14"/>
                <w:szCs w:val="14"/>
                <w:color w:val="auto"/>
              </w:rPr>
              <w:t>TOS  testing  1  location</w:t>
            </w:r>
          </w:p>
        </w:tc>
        <w:tc>
          <w:tcPr>
            <w:tcW w:w="2740" w:type="dxa"/>
            <w:vAlign w:val="bottom"/>
            <w:vMerge w:val="restart"/>
          </w:tcPr>
          <w:p>
            <w:pPr>
              <w:ind w:left="140"/>
              <w:spacing w:after="0"/>
              <w:rPr>
                <w:sz w:val="20"/>
                <w:szCs w:val="20"/>
                <w:color w:val="auto"/>
              </w:rPr>
            </w:pPr>
            <w:r>
              <w:rPr>
                <w:rFonts w:ascii="Arial" w:cs="Arial" w:eastAsia="Arial" w:hAnsi="Arial"/>
                <w:sz w:val="14"/>
                <w:szCs w:val="14"/>
                <w:color w:val="auto"/>
              </w:rPr>
              <w:t>TOS  in  live  operation</w:t>
            </w:r>
          </w:p>
        </w:tc>
        <w:tc>
          <w:tcPr>
            <w:tcW w:w="1260" w:type="dxa"/>
            <w:vAlign w:val="bottom"/>
            <w:vMerge w:val="restart"/>
          </w:tcPr>
          <w:p>
            <w:pPr>
              <w:jc w:val="center"/>
              <w:spacing w:after="0"/>
              <w:rPr>
                <w:sz w:val="20"/>
                <w:szCs w:val="20"/>
                <w:color w:val="auto"/>
              </w:rPr>
            </w:pPr>
            <w:r>
              <w:rPr>
                <w:rFonts w:ascii="Arial" w:cs="Arial" w:eastAsia="Arial" w:hAnsi="Arial"/>
                <w:sz w:val="14"/>
                <w:szCs w:val="14"/>
                <w:color w:val="auto"/>
              </w:rPr>
              <w:t>Target</w:t>
            </w:r>
          </w:p>
        </w:tc>
        <w:tc>
          <w:tcPr>
            <w:tcW w:w="0" w:type="dxa"/>
            <w:vAlign w:val="bottom"/>
          </w:tcPr>
          <w:p>
            <w:pPr>
              <w:spacing w:after="0"/>
              <w:rPr>
                <w:sz w:val="1"/>
                <w:szCs w:val="1"/>
                <w:color w:val="auto"/>
              </w:rPr>
            </w:pPr>
          </w:p>
        </w:tc>
      </w:tr>
      <w:tr>
        <w:trPr>
          <w:trHeight w:val="113"/>
        </w:trPr>
        <w:tc>
          <w:tcPr>
            <w:tcW w:w="172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of air trafc fow</w:t>
            </w:r>
          </w:p>
        </w:tc>
        <w:tc>
          <w:tcPr>
            <w:tcW w:w="1340" w:type="dxa"/>
            <w:vAlign w:val="bottom"/>
            <w:vMerge w:val="restart"/>
          </w:tcPr>
          <w:p>
            <w:pPr>
              <w:ind w:left="100"/>
              <w:spacing w:after="0"/>
              <w:rPr>
                <w:sz w:val="20"/>
                <w:szCs w:val="20"/>
                <w:color w:val="auto"/>
              </w:rPr>
            </w:pPr>
            <w:r>
              <w:rPr>
                <w:rFonts w:ascii="Arial" w:cs="Arial" w:eastAsia="Arial" w:hAnsi="Arial"/>
                <w:sz w:val="14"/>
                <w:szCs w:val="14"/>
                <w:color w:val="auto"/>
              </w:rPr>
              <w:t>capability</w:t>
            </w:r>
          </w:p>
        </w:tc>
        <w:tc>
          <w:tcPr>
            <w:tcW w:w="2660" w:type="dxa"/>
            <w:vAlign w:val="bottom"/>
            <w:vMerge w:val="continue"/>
          </w:tcPr>
          <w:p>
            <w:pPr>
              <w:spacing w:after="0"/>
              <w:rPr>
                <w:sz w:val="9"/>
                <w:szCs w:val="9"/>
                <w:color w:val="auto"/>
              </w:rPr>
            </w:pPr>
          </w:p>
        </w:tc>
        <w:tc>
          <w:tcPr>
            <w:tcW w:w="274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9"/>
        </w:trPr>
        <w:tc>
          <w:tcPr>
            <w:tcW w:w="1720" w:type="dxa"/>
            <w:vAlign w:val="bottom"/>
            <w:vMerge w:val="continue"/>
          </w:tcPr>
          <w:p>
            <w:pPr>
              <w:spacing w:after="0"/>
              <w:rPr>
                <w:sz w:val="7"/>
                <w:szCs w:val="7"/>
                <w:color w:val="auto"/>
              </w:rPr>
            </w:pPr>
          </w:p>
        </w:tc>
        <w:tc>
          <w:tcPr>
            <w:tcW w:w="1340" w:type="dxa"/>
            <w:vAlign w:val="bottom"/>
            <w:vMerge w:val="continue"/>
          </w:tcPr>
          <w:p>
            <w:pPr>
              <w:spacing w:after="0"/>
              <w:rPr>
                <w:sz w:val="7"/>
                <w:szCs w:val="7"/>
                <w:color w:val="auto"/>
              </w:rPr>
            </w:pPr>
          </w:p>
        </w:tc>
        <w:tc>
          <w:tcPr>
            <w:tcW w:w="2660" w:type="dxa"/>
            <w:vAlign w:val="bottom"/>
          </w:tcPr>
          <w:p>
            <w:pPr>
              <w:spacing w:after="0"/>
              <w:rPr>
                <w:sz w:val="7"/>
                <w:szCs w:val="7"/>
                <w:color w:val="auto"/>
              </w:rPr>
            </w:pPr>
          </w:p>
        </w:tc>
        <w:tc>
          <w:tcPr>
            <w:tcW w:w="27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320" w:right="20" w:hanging="316"/>
        <w:spacing w:after="0" w:line="258" w:lineRule="auto"/>
        <w:tabs>
          <w:tab w:leader="none" w:pos="320" w:val="left"/>
        </w:tabs>
        <w:numPr>
          <w:ilvl w:val="0"/>
          <w:numId w:val="116"/>
        </w:numPr>
        <w:rPr>
          <w:rFonts w:ascii="Arial" w:cs="Arial" w:eastAsia="Arial" w:hAnsi="Arial"/>
          <w:sz w:val="11"/>
          <w:szCs w:val="11"/>
          <w:color w:val="auto"/>
        </w:rPr>
      </w:pPr>
      <w:r>
        <w:rPr>
          <w:rFonts w:ascii="Arial" w:cs="Arial" w:eastAsia="Arial" w:hAnsi="Arial"/>
          <w:sz w:val="14"/>
          <w:szCs w:val="14"/>
          <w:color w:val="auto"/>
        </w:rPr>
        <w:t>The Compensation Committee incorporated this objective and measurable performance metric into the Company’s LTI to refect the Company’s focus on long-term value creation for its stockholders by incentivizing management to reach various performance indicators that will assist the Company in achieving certain key commitments and initiatives relating to its environmental sustainability, people impact and responsible sourcing programs. The performance indicators were designed to be challenging but achievable with strong management performance.</w:t>
      </w:r>
    </w:p>
    <w:p>
      <w:pPr>
        <w:spacing w:after="0" w:line="158" w:lineRule="exact"/>
        <w:rPr>
          <w:rFonts w:ascii="Arial" w:cs="Arial" w:eastAsia="Arial" w:hAnsi="Arial"/>
          <w:sz w:val="11"/>
          <w:szCs w:val="11"/>
          <w:color w:val="auto"/>
        </w:rPr>
      </w:pPr>
    </w:p>
    <w:p>
      <w:pPr>
        <w:ind w:left="320" w:right="200" w:hanging="316"/>
        <w:spacing w:after="0" w:line="251" w:lineRule="auto"/>
        <w:tabs>
          <w:tab w:leader="none" w:pos="320" w:val="left"/>
        </w:tabs>
        <w:numPr>
          <w:ilvl w:val="0"/>
          <w:numId w:val="116"/>
        </w:numPr>
        <w:rPr>
          <w:rFonts w:ascii="Arial" w:cs="Arial" w:eastAsia="Arial" w:hAnsi="Arial"/>
          <w:sz w:val="11"/>
          <w:szCs w:val="11"/>
          <w:color w:val="auto"/>
        </w:rPr>
      </w:pPr>
      <w:r>
        <w:rPr>
          <w:rFonts w:ascii="Arial" w:cs="Arial" w:eastAsia="Arial" w:hAnsi="Arial"/>
          <w:sz w:val="14"/>
          <w:szCs w:val="14"/>
          <w:color w:val="auto"/>
        </w:rPr>
        <w:t>Absolute Adjusted EPS is a measure that is not calculated in accordance with GAAP. Please refer to Appendix A for additional information and a reconciliation of Adjusted EPS to the most directly comparable GAAP fnancial measure.</w:t>
      </w:r>
    </w:p>
    <w:p>
      <w:pPr>
        <w:ind w:left="320" w:right="220" w:hanging="316"/>
        <w:spacing w:after="0" w:line="254" w:lineRule="auto"/>
        <w:tabs>
          <w:tab w:leader="none" w:pos="320" w:val="left"/>
        </w:tabs>
        <w:numPr>
          <w:ilvl w:val="0"/>
          <w:numId w:val="116"/>
        </w:numPr>
        <w:rPr>
          <w:rFonts w:ascii="Arial" w:cs="Arial" w:eastAsia="Arial" w:hAnsi="Arial"/>
          <w:sz w:val="11"/>
          <w:szCs w:val="11"/>
          <w:color w:val="auto"/>
        </w:rPr>
      </w:pPr>
      <w:r>
        <w:rPr>
          <w:rFonts w:ascii="Arial" w:cs="Arial" w:eastAsia="Arial" w:hAnsi="Arial"/>
          <w:sz w:val="14"/>
          <w:szCs w:val="14"/>
          <w:color w:val="auto"/>
        </w:rPr>
        <w:t>Adjusted Pre-Tax Margin is a measure that is not calculated in accordance with GAAP, with relative Adjusted Pre-Tax Margin measured by comparing our Adjusted Pre-Tax Margin against performance of selected industry peers. Please refer to Appendix A for additional information and a reconciliation of Adjusted Pre-Tax Margin to the most directly comparable GAAP fnancial measure.</w:t>
      </w:r>
    </w:p>
    <w:p>
      <w:pPr>
        <w:spacing w:after="0" w:line="1" w:lineRule="exact"/>
        <w:rPr>
          <w:rFonts w:ascii="Arial" w:cs="Arial" w:eastAsia="Arial" w:hAnsi="Arial"/>
          <w:sz w:val="11"/>
          <w:szCs w:val="11"/>
          <w:color w:val="auto"/>
        </w:rPr>
      </w:pPr>
    </w:p>
    <w:p>
      <w:pPr>
        <w:ind w:left="320" w:right="880" w:hanging="316"/>
        <w:spacing w:after="0" w:line="331" w:lineRule="auto"/>
        <w:tabs>
          <w:tab w:leader="none" w:pos="320" w:val="left"/>
        </w:tabs>
        <w:numPr>
          <w:ilvl w:val="0"/>
          <w:numId w:val="116"/>
        </w:numPr>
        <w:rPr>
          <w:rFonts w:ascii="Arial" w:cs="Arial" w:eastAsia="Arial" w:hAnsi="Arial"/>
          <w:sz w:val="11"/>
          <w:szCs w:val="11"/>
          <w:color w:val="auto"/>
        </w:rPr>
      </w:pPr>
      <w:r>
        <w:rPr>
          <w:rFonts w:ascii="Arial" w:cs="Arial" w:eastAsia="Arial" w:hAnsi="Arial"/>
          <w:sz w:val="14"/>
          <w:szCs w:val="14"/>
          <w:color w:val="auto"/>
        </w:rPr>
        <w:t>Vesting of the 2023 Performance-Based RSUs was also subject to an $8 billion cash liquidity hurdle at the end of the three-year performance period, which was achieved.</w:t>
      </w:r>
    </w:p>
    <w:p>
      <w:pPr>
        <w:spacing w:after="0" w:line="23"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Additionally, Mr. Leskinen received a promotional PBRSU award in 2023 that vested 50% based on performance measures established in 2024 and 50% based on performance measures established in 2025, consistent with performance measures and results set forth in the table above on the rows “Tranche 2” and “Tranche 3,” respectively. This resulted in an overall vesting level of 134% of target.</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Open  Performance  Periods</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Performance  under  the  2024  Performance-Based  RSUs  and  2025  Performance-Based  RSUs  will  be  determined  following  the  end  of  the</w:t>
      </w:r>
    </w:p>
    <w:p>
      <w:pPr>
        <w:spacing w:after="0" w:line="28" w:lineRule="exact"/>
        <w:rPr>
          <w:sz w:val="20"/>
          <w:szCs w:val="20"/>
          <w:color w:val="auto"/>
        </w:rPr>
      </w:pPr>
    </w:p>
    <w:p>
      <w:pPr>
        <w:ind w:right="120"/>
        <w:spacing w:after="0" w:line="253" w:lineRule="auto"/>
        <w:rPr>
          <w:sz w:val="20"/>
          <w:szCs w:val="20"/>
          <w:color w:val="auto"/>
        </w:rPr>
      </w:pPr>
      <w:r>
        <w:rPr>
          <w:rFonts w:ascii="Arial" w:cs="Arial" w:eastAsia="Arial" w:hAnsi="Arial"/>
          <w:sz w:val="15"/>
          <w:szCs w:val="15"/>
          <w:color w:val="auto"/>
        </w:rPr>
        <w:t>three-year performance periods ending December 31, 2026 and 2027, respectively, given that certain underlying performance measures (including the liquidity condition and, for the 2024 Performance-Based RSUs, the relative TSR modifer) are still outstanding.</w:t>
      </w:r>
    </w:p>
    <w:p>
      <w:pPr>
        <w:spacing w:after="0" w:line="1" w:lineRule="exact"/>
        <w:rPr>
          <w:sz w:val="20"/>
          <w:szCs w:val="20"/>
          <w:color w:val="auto"/>
        </w:rPr>
      </w:pPr>
    </w:p>
    <w:p>
      <w:pPr>
        <w:ind w:right="460"/>
        <w:spacing w:after="0" w:line="300" w:lineRule="auto"/>
        <w:rPr>
          <w:sz w:val="20"/>
          <w:szCs w:val="20"/>
          <w:color w:val="auto"/>
        </w:rPr>
      </w:pPr>
      <w:r>
        <w:rPr>
          <w:rFonts w:ascii="Arial" w:cs="Arial" w:eastAsia="Arial" w:hAnsi="Arial"/>
          <w:sz w:val="15"/>
          <w:szCs w:val="15"/>
          <w:color w:val="auto"/>
        </w:rPr>
        <w:t>The performance metrics and relative weights for the 2025 Performance-Based RSUs are set forth above on page 101 in the table under the heading “2025 Performance-Based RSUs.”</w:t>
      </w:r>
    </w:p>
    <w:p>
      <w:pPr>
        <w:spacing w:after="0" w:line="1" w:lineRule="exact"/>
        <w:rPr>
          <w:sz w:val="20"/>
          <w:szCs w:val="20"/>
          <w:color w:val="auto"/>
        </w:rPr>
      </w:pPr>
    </w:p>
    <w:p>
      <w:pPr>
        <w:ind w:right="20"/>
        <w:spacing w:after="0" w:line="253" w:lineRule="auto"/>
        <w:rPr>
          <w:sz w:val="20"/>
          <w:szCs w:val="20"/>
          <w:color w:val="auto"/>
        </w:rPr>
      </w:pPr>
      <w:r>
        <w:rPr>
          <w:rFonts w:ascii="Arial" w:cs="Arial" w:eastAsia="Arial" w:hAnsi="Arial"/>
          <w:sz w:val="15"/>
          <w:szCs w:val="15"/>
          <w:color w:val="auto"/>
        </w:rPr>
        <w:t>Performance under the remaining two tranches of the 2024 Retention LTI Awards (as described below) will be determined following the end of the annual performance periods on June 30, 2026 and June 30, 2027, respectively, given that underlying performance measures</w:t>
      </w:r>
    </w:p>
    <w:p>
      <w:pPr>
        <w:spacing w:after="0" w:line="1" w:lineRule="exact"/>
        <w:rPr>
          <w:sz w:val="20"/>
          <w:szCs w:val="20"/>
          <w:color w:val="auto"/>
        </w:rPr>
      </w:pPr>
    </w:p>
    <w:p>
      <w:pPr>
        <w:ind w:right="20"/>
        <w:spacing w:after="0" w:line="293" w:lineRule="auto"/>
        <w:rPr>
          <w:sz w:val="20"/>
          <w:szCs w:val="20"/>
          <w:color w:val="auto"/>
        </w:rPr>
      </w:pPr>
      <w:r>
        <w:rPr>
          <w:rFonts w:ascii="Arial" w:cs="Arial" w:eastAsia="Arial" w:hAnsi="Arial"/>
          <w:sz w:val="15"/>
          <w:szCs w:val="15"/>
          <w:color w:val="auto"/>
        </w:rPr>
        <w:t>remain outstanding. The performance measures and relative weights for the remaining two tranches of the 2024 Retention LTI Awards are set forth on pages 103-104 of the Company’s 2025 Proxy Statement fled with the SEC on April 10, 2025.</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Payout  of  Transformation  Incentive  Awards  (Completed  Performance  Period)</w:t>
      </w:r>
    </w:p>
    <w:p>
      <w:pPr>
        <w:spacing w:after="0" w:line="11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September 2022, the Committee approved performance-based incentive awards (the “Transformation Incentive Awards”) to each of our NEOs other than Mr. Leskinen. The Transformation Incentive Awards provided an incentive opportunity of 50% to 150% of the target opportunity (or 0% to 150% with respect to Mr. Kirby) based on the achievement of a pre-established human capital performance measure during the period January 1, 2023 through June 30, 2025, with a service-based vesting condition over a three year period beginning September 22, 2022 and ending September 22, 2025. For recipients other than Mr. Kirby, the Transformation Incentive Award vested with respect to 25% of the target opportunity on each of September 22, 2023 and September 22, 2024. Mr. Kirby’s Transformation Incentive Award did not include interim vesting dates and his Transformation Award opportunity vested on September 22, 2025.</w:t>
      </w:r>
    </w:p>
    <w:p>
      <w:pPr>
        <w:sectPr>
          <w:pgSz w:w="11900" w:h="16838" w:orient="portrait"/>
          <w:cols w:equalWidth="0" w:num="1">
            <w:col w:w="9720"/>
          </w:cols>
          <w:pgMar w:left="1080" w:top="695"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right"/>
        <w:ind w:right="7720"/>
        <w:spacing w:after="0"/>
        <w:rPr>
          <w:sz w:val="20"/>
          <w:szCs w:val="20"/>
          <w:color w:val="auto"/>
        </w:rPr>
      </w:pPr>
      <w:r>
        <w:rPr>
          <w:rFonts w:ascii="Arial" w:cs="Arial" w:eastAsia="Arial" w:hAnsi="Arial"/>
          <w:sz w:val="16"/>
          <w:szCs w:val="16"/>
          <w:color w:val="auto"/>
        </w:rPr>
        <w:t>​​2026​  Proxy</w:t>
      </w:r>
    </w:p>
    <w:p>
      <w:pPr>
        <w:spacing w:after="0" w:line="5" w:lineRule="exact"/>
        <w:rPr>
          <w:sz w:val="20"/>
          <w:szCs w:val="20"/>
          <w:color w:val="auto"/>
        </w:rPr>
      </w:pPr>
    </w:p>
    <w:p>
      <w:pPr>
        <w:ind w:left="660" w:hanging="656"/>
        <w:spacing w:after="0"/>
        <w:tabs>
          <w:tab w:leader="none" w:pos="660" w:val="left"/>
        </w:tabs>
        <w:numPr>
          <w:ilvl w:val="0"/>
          <w:numId w:val="117"/>
        </w:numPr>
        <w:rPr>
          <w:rFonts w:ascii="Arial" w:cs="Arial" w:eastAsia="Arial" w:hAnsi="Arial"/>
          <w:sz w:val="16"/>
          <w:szCs w:val="16"/>
          <w:b w:val="1"/>
          <w:bCs w:val="1"/>
          <w:color w:val="1414D2"/>
        </w:rPr>
      </w:pPr>
      <w:r>
        <w:rPr>
          <w:rFonts w:ascii="Arial" w:cs="Arial" w:eastAsia="Arial" w:hAnsi="Arial"/>
          <w:sz w:val="16"/>
          <w:szCs w:val="16"/>
          <w:color w:val="auto"/>
        </w:rPr>
        <w:t>Statement</w:t>
      </w:r>
    </w:p>
    <w:p>
      <w:pPr>
        <w:sectPr>
          <w:pgSz w:w="11900" w:h="16838" w:orient="portrait"/>
          <w:cols w:equalWidth="0" w:num="1">
            <w:col w:w="9720"/>
          </w:cols>
          <w:pgMar w:left="1080" w:top="695" w:right="1099" w:bottom="1440" w:gutter="0" w:footer="0" w:header="0"/>
          <w:type w:val="continuous"/>
        </w:sectPr>
      </w:pPr>
    </w:p>
    <w:bookmarkStart w:id="115" w:name="page116"/>
    <w:bookmarkEnd w:id="115"/>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27" w:lineRule="exact"/>
        <w:rPr>
          <w:sz w:val="20"/>
          <w:szCs w:val="20"/>
          <w:color w:val="auto"/>
        </w:rPr>
      </w:pPr>
    </w:p>
    <w:p>
      <w:pPr>
        <w:ind w:left="7100"/>
        <w:spacing w:after="0"/>
        <w:rPr>
          <w:sz w:val="20"/>
          <w:szCs w:val="20"/>
          <w:color w:val="auto"/>
        </w:rPr>
      </w:pPr>
      <w:r>
        <w:rPr>
          <w:rFonts w:ascii="Arial" w:cs="Arial" w:eastAsia="Arial" w:hAnsi="Arial"/>
          <w:sz w:val="14"/>
          <w:szCs w:val="14"/>
          <w:color w:val="6D6F71"/>
        </w:rPr>
        <w:t>Compensation  Discussion  and  Analysis</w:t>
      </w:r>
    </w:p>
    <w:p>
      <w:pPr>
        <w:spacing w:after="0" w:line="238"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In September 2025 the Committee certifed performance of the Transformation Incentive Awards at 132% of the total target opportunity level based on achievement of the underlying performance measure and subsequently, based on the level of performance achieved: (i) each of Messrs. Hart, Enqvist and Nocella received the remaining portion of their award, reduced by the amounts received on the interim vesting dates, as follows: Mr. Hart—$2,870,000; Mr. Enqvist—$2,050,000; and Mr. Nocella— $1,640,000, as refected in the “2025 Summary Compensation Table,” (ii) Mr. Kirby received the entire cash portion of his Transformation Incentive Award, which was equal to $3,960,000, as refected in the “2025 Summary Compensation Table,” and</w:t>
      </w:r>
    </w:p>
    <w:p>
      <w:pPr>
        <w:spacing w:after="0" w:line="4" w:lineRule="exact"/>
        <w:rPr>
          <w:sz w:val="20"/>
          <w:szCs w:val="20"/>
          <w:color w:val="auto"/>
        </w:rPr>
      </w:pPr>
    </w:p>
    <w:p>
      <w:pPr>
        <w:ind w:right="140" w:firstLine="4"/>
        <w:spacing w:after="0" w:line="315" w:lineRule="auto"/>
        <w:tabs>
          <w:tab w:leader="none" w:pos="265"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the equity portion of Mr. Kirby’s Transformation Incentive Award vested on September 22, 2025, as refected in the “Option Exercises and Stock Vested for 2025” table. Below is a summary of the Company’s performance results under the performance measure for the Transformation Incentive Award.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5"/>
        </w:trPr>
        <w:tc>
          <w:tcPr>
            <w:tcW w:w="17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164"/>
        </w:trPr>
        <w:tc>
          <w:tcPr>
            <w:tcW w:w="1720" w:type="dxa"/>
            <w:vAlign w:val="bottom"/>
            <w:shd w:val="clear" w:color="auto" w:fill="1414D2"/>
          </w:tcPr>
          <w:p>
            <w:pPr>
              <w:spacing w:after="0"/>
              <w:rPr>
                <w:sz w:val="14"/>
                <w:szCs w:val="14"/>
                <w:color w:val="auto"/>
              </w:rPr>
            </w:pPr>
          </w:p>
        </w:tc>
        <w:tc>
          <w:tcPr>
            <w:tcW w:w="2320" w:type="dxa"/>
            <w:vAlign w:val="bottom"/>
            <w:shd w:val="clear" w:color="auto" w:fill="1414D2"/>
          </w:tcPr>
          <w:p>
            <w:pPr>
              <w:jc w:val="center"/>
              <w:spacing w:after="0" w:line="165" w:lineRule="exact"/>
              <w:rPr>
                <w:sz w:val="20"/>
                <w:szCs w:val="20"/>
                <w:color w:val="auto"/>
              </w:rPr>
            </w:pPr>
            <w:r>
              <w:rPr>
                <w:rFonts w:ascii="Arial" w:cs="Arial" w:eastAsia="Arial" w:hAnsi="Arial"/>
                <w:sz w:val="16"/>
                <w:szCs w:val="16"/>
                <w:b w:val="1"/>
                <w:bCs w:val="1"/>
                <w:color w:val="FFFFFF"/>
              </w:rPr>
              <w:t>Entry</w:t>
            </w:r>
          </w:p>
        </w:tc>
        <w:tc>
          <w:tcPr>
            <w:tcW w:w="1840" w:type="dxa"/>
            <w:vAlign w:val="bottom"/>
            <w:shd w:val="clear" w:color="auto" w:fill="1414D2"/>
          </w:tcPr>
          <w:p>
            <w:pPr>
              <w:ind w:left="720"/>
              <w:spacing w:after="0" w:line="165" w:lineRule="exact"/>
              <w:rPr>
                <w:sz w:val="20"/>
                <w:szCs w:val="20"/>
                <w:color w:val="auto"/>
              </w:rPr>
            </w:pPr>
            <w:r>
              <w:rPr>
                <w:rFonts w:ascii="Arial" w:cs="Arial" w:eastAsia="Arial" w:hAnsi="Arial"/>
                <w:sz w:val="16"/>
                <w:szCs w:val="16"/>
                <w:b w:val="1"/>
                <w:bCs w:val="1"/>
                <w:color w:val="FFFFFF"/>
              </w:rPr>
              <w:t>Target</w:t>
            </w:r>
          </w:p>
        </w:tc>
        <w:tc>
          <w:tcPr>
            <w:tcW w:w="2120" w:type="dxa"/>
            <w:vAlign w:val="bottom"/>
            <w:shd w:val="clear" w:color="auto" w:fill="1414D2"/>
          </w:tcPr>
          <w:p>
            <w:pPr>
              <w:jc w:val="center"/>
              <w:ind w:left="204"/>
              <w:spacing w:after="0" w:line="165" w:lineRule="exact"/>
              <w:rPr>
                <w:sz w:val="20"/>
                <w:szCs w:val="20"/>
                <w:color w:val="auto"/>
              </w:rPr>
            </w:pPr>
            <w:r>
              <w:rPr>
                <w:rFonts w:ascii="Arial" w:cs="Arial" w:eastAsia="Arial" w:hAnsi="Arial"/>
                <w:sz w:val="16"/>
                <w:szCs w:val="16"/>
                <w:b w:val="1"/>
                <w:bCs w:val="1"/>
                <w:color w:val="FFFFFF"/>
              </w:rPr>
              <w:t>Stretch (150%)</w:t>
            </w:r>
          </w:p>
        </w:tc>
        <w:tc>
          <w:tcPr>
            <w:tcW w:w="1720" w:type="dxa"/>
            <w:vAlign w:val="bottom"/>
            <w:shd w:val="clear" w:color="auto" w:fill="1414D2"/>
          </w:tcPr>
          <w:p>
            <w:pPr>
              <w:jc w:val="center"/>
              <w:ind w:left="44"/>
              <w:spacing w:after="0" w:line="165" w:lineRule="exact"/>
              <w:rPr>
                <w:sz w:val="20"/>
                <w:szCs w:val="20"/>
                <w:color w:val="auto"/>
              </w:rPr>
            </w:pPr>
            <w:r>
              <w:rPr>
                <w:rFonts w:ascii="Arial" w:cs="Arial" w:eastAsia="Arial" w:hAnsi="Arial"/>
                <w:sz w:val="16"/>
                <w:szCs w:val="16"/>
                <w:b w:val="1"/>
                <w:bCs w:val="1"/>
                <w:color w:val="FFFFFF"/>
              </w:rPr>
              <w:t>Actual Results</w:t>
            </w:r>
          </w:p>
        </w:tc>
      </w:tr>
      <w:tr>
        <w:trPr>
          <w:trHeight w:val="189"/>
        </w:trPr>
        <w:tc>
          <w:tcPr>
            <w:tcW w:w="1720" w:type="dxa"/>
            <w:vAlign w:val="bottom"/>
            <w:shd w:val="clear" w:color="auto" w:fill="1414D2"/>
          </w:tcPr>
          <w:p>
            <w:pPr>
              <w:ind w:left="100"/>
              <w:spacing w:after="0"/>
              <w:rPr>
                <w:sz w:val="20"/>
                <w:szCs w:val="20"/>
                <w:color w:val="auto"/>
              </w:rPr>
            </w:pPr>
            <w:r>
              <w:rPr>
                <w:rFonts w:ascii="Arial" w:cs="Arial" w:eastAsia="Arial" w:hAnsi="Arial"/>
                <w:sz w:val="16"/>
                <w:szCs w:val="16"/>
                <w:b w:val="1"/>
                <w:bCs w:val="1"/>
                <w:color w:val="FFFFFF"/>
              </w:rPr>
              <w:t>Performance</w:t>
            </w:r>
          </w:p>
        </w:tc>
        <w:tc>
          <w:tcPr>
            <w:tcW w:w="2320" w:type="dxa"/>
            <w:vAlign w:val="bottom"/>
            <w:shd w:val="clear" w:color="auto" w:fill="1414D2"/>
          </w:tcPr>
          <w:p>
            <w:pPr>
              <w:jc w:val="center"/>
              <w:spacing w:after="0"/>
              <w:rPr>
                <w:sz w:val="20"/>
                <w:szCs w:val="20"/>
                <w:color w:val="auto"/>
              </w:rPr>
            </w:pPr>
            <w:r>
              <w:rPr>
                <w:rFonts w:ascii="Arial" w:cs="Arial" w:eastAsia="Arial" w:hAnsi="Arial"/>
                <w:sz w:val="16"/>
                <w:szCs w:val="16"/>
                <w:b w:val="1"/>
                <w:bCs w:val="1"/>
                <w:color w:val="FFFFFF"/>
              </w:rPr>
              <w:t>(0% or 50%)</w:t>
            </w:r>
          </w:p>
        </w:tc>
        <w:tc>
          <w:tcPr>
            <w:tcW w:w="1840" w:type="dxa"/>
            <w:vAlign w:val="bottom"/>
            <w:shd w:val="clear" w:color="auto" w:fill="1414D2"/>
          </w:tcPr>
          <w:p>
            <w:pPr>
              <w:jc w:val="right"/>
              <w:ind w:right="522"/>
              <w:spacing w:after="0"/>
              <w:rPr>
                <w:sz w:val="20"/>
                <w:szCs w:val="20"/>
                <w:color w:val="auto"/>
              </w:rPr>
            </w:pPr>
            <w:r>
              <w:rPr>
                <w:rFonts w:ascii="Arial" w:cs="Arial" w:eastAsia="Arial" w:hAnsi="Arial"/>
                <w:sz w:val="16"/>
                <w:szCs w:val="16"/>
                <w:b w:val="1"/>
                <w:bCs w:val="1"/>
                <w:color w:val="FFFFFF"/>
              </w:rPr>
              <w:t>(100%)</w:t>
            </w:r>
          </w:p>
        </w:tc>
        <w:tc>
          <w:tcPr>
            <w:tcW w:w="2120" w:type="dxa"/>
            <w:vAlign w:val="bottom"/>
            <w:shd w:val="clear" w:color="auto" w:fill="1414D2"/>
          </w:tcPr>
          <w:p>
            <w:pPr>
              <w:spacing w:after="0"/>
              <w:rPr>
                <w:sz w:val="16"/>
                <w:szCs w:val="16"/>
                <w:color w:val="auto"/>
              </w:rPr>
            </w:pPr>
          </w:p>
        </w:tc>
        <w:tc>
          <w:tcPr>
            <w:tcW w:w="1720" w:type="dxa"/>
            <w:vAlign w:val="bottom"/>
            <w:shd w:val="clear" w:color="auto" w:fill="1414D2"/>
          </w:tcPr>
          <w:p>
            <w:pPr>
              <w:spacing w:after="0"/>
              <w:rPr>
                <w:sz w:val="16"/>
                <w:szCs w:val="16"/>
                <w:color w:val="auto"/>
              </w:rPr>
            </w:pPr>
          </w:p>
        </w:tc>
      </w:tr>
      <w:tr>
        <w:trPr>
          <w:trHeight w:val="234"/>
        </w:trPr>
        <w:tc>
          <w:tcPr>
            <w:tcW w:w="1720" w:type="dxa"/>
            <w:vAlign w:val="bottom"/>
            <w:tcBorders>
              <w:bottom w:val="single" w:sz="8" w:color="1414D2"/>
            </w:tcBorders>
            <w:shd w:val="clear" w:color="auto" w:fill="1414D2"/>
          </w:tcPr>
          <w:p>
            <w:pPr>
              <w:ind w:left="100"/>
              <w:spacing w:after="0"/>
              <w:rPr>
                <w:sz w:val="20"/>
                <w:szCs w:val="20"/>
                <w:color w:val="auto"/>
              </w:rPr>
            </w:pPr>
            <w:r>
              <w:rPr>
                <w:rFonts w:ascii="Arial" w:cs="Arial" w:eastAsia="Arial" w:hAnsi="Arial"/>
                <w:sz w:val="16"/>
                <w:szCs w:val="16"/>
                <w:b w:val="1"/>
                <w:bCs w:val="1"/>
                <w:color w:val="FFFFFF"/>
              </w:rPr>
              <w:t>Measure</w:t>
            </w:r>
          </w:p>
        </w:tc>
        <w:tc>
          <w:tcPr>
            <w:tcW w:w="2320" w:type="dxa"/>
            <w:vAlign w:val="bottom"/>
            <w:tcBorders>
              <w:bottom w:val="single" w:sz="8" w:color="1414D2"/>
            </w:tcBorders>
            <w:shd w:val="clear" w:color="auto" w:fill="1414D2"/>
          </w:tcPr>
          <w:p>
            <w:pPr>
              <w:spacing w:after="0"/>
              <w:rPr>
                <w:sz w:val="20"/>
                <w:szCs w:val="20"/>
                <w:color w:val="auto"/>
              </w:rPr>
            </w:pPr>
          </w:p>
        </w:tc>
        <w:tc>
          <w:tcPr>
            <w:tcW w:w="1840" w:type="dxa"/>
            <w:vAlign w:val="bottom"/>
            <w:tcBorders>
              <w:bottom w:val="single" w:sz="8" w:color="1414D2"/>
            </w:tcBorders>
            <w:shd w:val="clear" w:color="auto" w:fill="1414D2"/>
          </w:tcPr>
          <w:p>
            <w:pPr>
              <w:spacing w:after="0"/>
              <w:rPr>
                <w:sz w:val="20"/>
                <w:szCs w:val="20"/>
                <w:color w:val="auto"/>
              </w:rPr>
            </w:pPr>
          </w:p>
        </w:tc>
        <w:tc>
          <w:tcPr>
            <w:tcW w:w="2120" w:type="dxa"/>
            <w:vAlign w:val="bottom"/>
            <w:tcBorders>
              <w:bottom w:val="single" w:sz="8" w:color="1414D2"/>
            </w:tcBorders>
            <w:shd w:val="clear" w:color="auto" w:fill="1414D2"/>
          </w:tcPr>
          <w:p>
            <w:pPr>
              <w:spacing w:after="0"/>
              <w:rPr>
                <w:sz w:val="20"/>
                <w:szCs w:val="20"/>
                <w:color w:val="auto"/>
              </w:rPr>
            </w:pPr>
          </w:p>
        </w:tc>
        <w:tc>
          <w:tcPr>
            <w:tcW w:w="1720" w:type="dxa"/>
            <w:vAlign w:val="bottom"/>
            <w:tcBorders>
              <w:bottom w:val="single" w:sz="8" w:color="1414D2"/>
            </w:tcBorders>
            <w:shd w:val="clear" w:color="auto" w:fill="1414D2"/>
          </w:tcPr>
          <w:p>
            <w:pPr>
              <w:spacing w:after="0"/>
              <w:rPr>
                <w:sz w:val="20"/>
                <w:szCs w:val="20"/>
                <w:color w:val="auto"/>
              </w:rPr>
            </w:pPr>
          </w:p>
        </w:tc>
      </w:tr>
      <w:tr>
        <w:trPr>
          <w:trHeight w:val="143"/>
        </w:trPr>
        <w:tc>
          <w:tcPr>
            <w:tcW w:w="1720" w:type="dxa"/>
            <w:vAlign w:val="bottom"/>
          </w:tcPr>
          <w:p>
            <w:pPr>
              <w:ind w:left="100"/>
              <w:spacing w:after="0" w:line="143" w:lineRule="exact"/>
              <w:rPr>
                <w:sz w:val="20"/>
                <w:szCs w:val="20"/>
                <w:color w:val="auto"/>
              </w:rPr>
            </w:pPr>
            <w:r>
              <w:rPr>
                <w:rFonts w:ascii="Arial" w:cs="Arial" w:eastAsia="Arial" w:hAnsi="Arial"/>
                <w:sz w:val="14"/>
                <w:szCs w:val="14"/>
                <w:b w:val="1"/>
                <w:bCs w:val="1"/>
                <w:color w:val="auto"/>
              </w:rPr>
              <w:t>Annualized number</w:t>
            </w:r>
          </w:p>
        </w:tc>
        <w:tc>
          <w:tcPr>
            <w:tcW w:w="23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720" w:type="dxa"/>
            <w:vAlign w:val="bottom"/>
          </w:tcPr>
          <w:p>
            <w:pPr>
              <w:spacing w:after="0"/>
              <w:rPr>
                <w:sz w:val="12"/>
                <w:szCs w:val="12"/>
                <w:color w:val="auto"/>
              </w:rPr>
            </w:pPr>
          </w:p>
        </w:tc>
      </w:tr>
      <w:tr>
        <w:trPr>
          <w:trHeight w:val="176"/>
        </w:trPr>
        <w:tc>
          <w:tcPr>
            <w:tcW w:w="1720" w:type="dxa"/>
            <w:vAlign w:val="bottom"/>
          </w:tcPr>
          <w:p>
            <w:pPr>
              <w:ind w:left="100"/>
              <w:spacing w:after="0"/>
              <w:rPr>
                <w:sz w:val="20"/>
                <w:szCs w:val="20"/>
                <w:color w:val="auto"/>
              </w:rPr>
            </w:pPr>
            <w:r>
              <w:rPr>
                <w:rFonts w:ascii="Arial" w:cs="Arial" w:eastAsia="Arial" w:hAnsi="Arial"/>
                <w:sz w:val="14"/>
                <w:szCs w:val="14"/>
                <w:b w:val="1"/>
                <w:bCs w:val="1"/>
                <w:color w:val="auto"/>
              </w:rPr>
              <w:t>of pilots hired,</w:t>
            </w:r>
          </w:p>
        </w:tc>
        <w:tc>
          <w:tcPr>
            <w:tcW w:w="23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08"/>
        </w:trPr>
        <w:tc>
          <w:tcPr>
            <w:tcW w:w="1720" w:type="dxa"/>
            <w:vAlign w:val="bottom"/>
          </w:tcPr>
          <w:p>
            <w:pPr>
              <w:ind w:left="100"/>
              <w:spacing w:after="0"/>
              <w:rPr>
                <w:sz w:val="20"/>
                <w:szCs w:val="20"/>
                <w:color w:val="auto"/>
              </w:rPr>
            </w:pPr>
            <w:r>
              <w:rPr>
                <w:rFonts w:ascii="Arial" w:cs="Arial" w:eastAsia="Arial" w:hAnsi="Arial"/>
                <w:sz w:val="14"/>
                <w:szCs w:val="14"/>
                <w:b w:val="1"/>
                <w:bCs w:val="1"/>
                <w:color w:val="auto"/>
              </w:rPr>
              <w:t>trained and</w:t>
            </w:r>
          </w:p>
        </w:tc>
        <w:tc>
          <w:tcPr>
            <w:tcW w:w="2320" w:type="dxa"/>
            <w:vAlign w:val="bottom"/>
          </w:tcPr>
          <w:p>
            <w:pPr>
              <w:jc w:val="center"/>
              <w:spacing w:after="0"/>
              <w:rPr>
                <w:sz w:val="20"/>
                <w:szCs w:val="20"/>
                <w:color w:val="auto"/>
              </w:rPr>
            </w:pPr>
            <w:r>
              <w:rPr>
                <w:rFonts w:ascii="Arial" w:cs="Arial" w:eastAsia="Arial" w:hAnsi="Arial"/>
                <w:sz w:val="14"/>
                <w:szCs w:val="14"/>
                <w:color w:val="auto"/>
              </w:rPr>
              <w:t>1.0x</w:t>
            </w:r>
          </w:p>
        </w:tc>
        <w:tc>
          <w:tcPr>
            <w:tcW w:w="1840" w:type="dxa"/>
            <w:vAlign w:val="bottom"/>
          </w:tcPr>
          <w:p>
            <w:pPr>
              <w:jc w:val="center"/>
              <w:ind w:left="42"/>
              <w:spacing w:after="0"/>
              <w:rPr>
                <w:sz w:val="20"/>
                <w:szCs w:val="20"/>
                <w:color w:val="auto"/>
              </w:rPr>
            </w:pPr>
            <w:r>
              <w:rPr>
                <w:rFonts w:ascii="Arial" w:cs="Arial" w:eastAsia="Arial" w:hAnsi="Arial"/>
                <w:sz w:val="14"/>
                <w:szCs w:val="14"/>
                <w:color w:val="auto"/>
              </w:rPr>
              <w:t>2.0x</w:t>
            </w:r>
          </w:p>
        </w:tc>
        <w:tc>
          <w:tcPr>
            <w:tcW w:w="2120" w:type="dxa"/>
            <w:vAlign w:val="bottom"/>
          </w:tcPr>
          <w:p>
            <w:pPr>
              <w:jc w:val="center"/>
              <w:ind w:left="204"/>
              <w:spacing w:after="0"/>
              <w:rPr>
                <w:sz w:val="20"/>
                <w:szCs w:val="20"/>
                <w:color w:val="auto"/>
              </w:rPr>
            </w:pPr>
            <w:r>
              <w:rPr>
                <w:rFonts w:ascii="Arial" w:cs="Arial" w:eastAsia="Arial" w:hAnsi="Arial"/>
                <w:sz w:val="14"/>
                <w:szCs w:val="14"/>
                <w:color w:val="auto"/>
              </w:rPr>
              <w:t>4.6x</w:t>
            </w:r>
          </w:p>
        </w:tc>
        <w:tc>
          <w:tcPr>
            <w:tcW w:w="1720" w:type="dxa"/>
            <w:vAlign w:val="bottom"/>
          </w:tcPr>
          <w:p>
            <w:pPr>
              <w:jc w:val="center"/>
              <w:ind w:left="44"/>
              <w:spacing w:after="0"/>
              <w:rPr>
                <w:sz w:val="20"/>
                <w:szCs w:val="20"/>
                <w:color w:val="auto"/>
              </w:rPr>
            </w:pPr>
            <w:r>
              <w:rPr>
                <w:rFonts w:ascii="Arial" w:cs="Arial" w:eastAsia="Arial" w:hAnsi="Arial"/>
                <w:sz w:val="14"/>
                <w:szCs w:val="14"/>
                <w:color w:val="auto"/>
              </w:rPr>
              <w:t>3.68x</w:t>
            </w:r>
          </w:p>
        </w:tc>
      </w:tr>
    </w:tbl>
    <w:p>
      <w:pPr>
        <w:ind w:left="100"/>
        <w:spacing w:after="0" w:line="193" w:lineRule="auto"/>
        <w:rPr>
          <w:sz w:val="20"/>
          <w:szCs w:val="20"/>
          <w:color w:val="auto"/>
        </w:rPr>
      </w:pPr>
      <w:r>
        <w:rPr>
          <w:rFonts w:ascii="Arial" w:cs="Arial" w:eastAsia="Arial" w:hAnsi="Arial"/>
          <w:sz w:val="14"/>
          <w:szCs w:val="14"/>
          <w:b w:val="1"/>
          <w:bCs w:val="1"/>
          <w:color w:val="auto"/>
        </w:rPr>
        <w:t>available to fy at</w:t>
      </w:r>
    </w:p>
    <w:p>
      <w:pPr>
        <w:ind w:left="100"/>
        <w:spacing w:after="0"/>
        <w:rPr>
          <w:sz w:val="20"/>
          <w:szCs w:val="20"/>
          <w:color w:val="auto"/>
        </w:rPr>
      </w:pPr>
      <w:r>
        <w:rPr>
          <w:rFonts w:ascii="Arial" w:cs="Arial" w:eastAsia="Arial" w:hAnsi="Arial"/>
          <w:sz w:val="14"/>
          <w:szCs w:val="14"/>
          <w:b w:val="1"/>
          <w:bCs w:val="1"/>
          <w:color w:val="auto"/>
        </w:rPr>
        <w:t>end of performance</w:t>
      </w:r>
    </w:p>
    <w:p>
      <w:pPr>
        <w:spacing w:after="0" w:line="15"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period (1)</w:t>
      </w:r>
    </w:p>
    <w:p>
      <w:pPr>
        <w:spacing w:after="0" w:line="155" w:lineRule="exact"/>
        <w:rPr>
          <w:sz w:val="20"/>
          <w:szCs w:val="20"/>
          <w:color w:val="auto"/>
        </w:rPr>
      </w:pPr>
    </w:p>
    <w:p>
      <w:pPr>
        <w:ind w:left="680" w:hanging="325"/>
        <w:spacing w:after="0"/>
        <w:tabs>
          <w:tab w:leader="none" w:pos="680" w:val="left"/>
        </w:tabs>
        <w:numPr>
          <w:ilvl w:val="0"/>
          <w:numId w:val="119"/>
        </w:numPr>
        <w:rPr>
          <w:rFonts w:ascii="Arial" w:cs="Arial" w:eastAsia="Arial" w:hAnsi="Arial"/>
          <w:sz w:val="13"/>
          <w:szCs w:val="13"/>
          <w:color w:val="auto"/>
        </w:rPr>
      </w:pPr>
      <w:r>
        <w:rPr>
          <w:rFonts w:ascii="Arial" w:cs="Arial" w:eastAsia="Arial" w:hAnsi="Arial"/>
          <w:sz w:val="13"/>
          <w:szCs w:val="13"/>
          <w:color w:val="auto"/>
        </w:rPr>
        <w:t>Measured  as  a  multiple  of  the  average  annual  number  of  pilots  hired  from  2013-2018.</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Payout  of  First  Tranche  of  2024  Retention  LTI  Awards  (Completed  Performance  Period)</w:t>
      </w:r>
    </w:p>
    <w:p>
      <w:pPr>
        <w:spacing w:after="0" w:line="73" w:lineRule="exact"/>
        <w:rPr>
          <w:sz w:val="20"/>
          <w:szCs w:val="20"/>
          <w:color w:val="auto"/>
        </w:rPr>
      </w:pPr>
    </w:p>
    <w:p>
      <w:pPr>
        <w:ind w:right="240"/>
        <w:spacing w:after="0" w:line="255" w:lineRule="auto"/>
        <w:rPr>
          <w:sz w:val="20"/>
          <w:szCs w:val="20"/>
          <w:color w:val="auto"/>
        </w:rPr>
      </w:pPr>
      <w:r>
        <w:rPr>
          <w:rFonts w:ascii="Arial" w:cs="Arial" w:eastAsia="Arial" w:hAnsi="Arial"/>
          <w:sz w:val="16"/>
          <w:szCs w:val="16"/>
          <w:color w:val="auto"/>
        </w:rPr>
        <w:t>In July 2024, the Committee awarded each of our NEOs an award of Performance-Based RSUs, which were designed to motivate, retain and reward our executive team in a period of retention vulnerabilities within the industry and incentivize our</w:t>
      </w:r>
    </w:p>
    <w:p>
      <w:pPr>
        <w:spacing w:after="0" w:line="1" w:lineRule="exact"/>
        <w:rPr>
          <w:sz w:val="20"/>
          <w:szCs w:val="20"/>
          <w:color w:val="auto"/>
        </w:rPr>
      </w:pPr>
    </w:p>
    <w:p>
      <w:pPr>
        <w:ind w:right="60"/>
        <w:spacing w:after="0" w:line="299" w:lineRule="auto"/>
        <w:rPr>
          <w:sz w:val="20"/>
          <w:szCs w:val="20"/>
          <w:color w:val="auto"/>
        </w:rPr>
      </w:pPr>
      <w:r>
        <w:rPr>
          <w:rFonts w:ascii="Arial" w:cs="Arial" w:eastAsia="Arial" w:hAnsi="Arial"/>
          <w:sz w:val="16"/>
          <w:szCs w:val="16"/>
          <w:color w:val="auto"/>
        </w:rPr>
        <w:t>executives to maintain and drive key fnancial metrics (the “2024 Retention LTI Awards”). The 2024 Retention LTI Awards vested or will vest in one-third increments over three years, subject to achievement of the following performance measures:</w:t>
      </w:r>
    </w:p>
    <w:p>
      <w:pPr>
        <w:spacing w:after="0" w:line="1" w:lineRule="exact"/>
        <w:rPr>
          <w:sz w:val="20"/>
          <w:szCs w:val="20"/>
          <w:color w:val="auto"/>
        </w:rPr>
      </w:pPr>
    </w:p>
    <w:p>
      <w:pPr>
        <w:ind w:left="680" w:right="120" w:hanging="325"/>
        <w:spacing w:after="0" w:line="279" w:lineRule="auto"/>
        <w:tabs>
          <w:tab w:leader="none" w:pos="680" w:val="left"/>
        </w:tabs>
        <w:numPr>
          <w:ilvl w:val="0"/>
          <w:numId w:val="120"/>
        </w:numPr>
        <w:rPr>
          <w:rFonts w:ascii="Times New Roman" w:cs="Times New Roman" w:eastAsia="Times New Roman" w:hAnsi="Times New Roman"/>
          <w:sz w:val="16"/>
          <w:szCs w:val="16"/>
          <w:color w:val="auto"/>
        </w:rPr>
      </w:pPr>
      <w:r>
        <w:rPr>
          <w:rFonts w:ascii="Arial" w:cs="Arial" w:eastAsia="Arial" w:hAnsi="Arial"/>
          <w:sz w:val="16"/>
          <w:szCs w:val="16"/>
          <w:color w:val="auto"/>
        </w:rPr>
        <w:t>Absolute Adjusted EPS (First Tranche and Second Tranche) — The frst and second tranches of the 2024 Retention LTI Awards became earned or may become earned based on our positive Adjusted EPS during the four quarters ending June 30, 2025 and June 30, 2026, respectively, as well as continued employment through each applicable vesting date.</w:t>
      </w:r>
    </w:p>
    <w:p>
      <w:pPr>
        <w:spacing w:after="0" w:line="5" w:lineRule="exact"/>
        <w:rPr>
          <w:rFonts w:ascii="Times New Roman" w:cs="Times New Roman" w:eastAsia="Times New Roman" w:hAnsi="Times New Roman"/>
          <w:sz w:val="16"/>
          <w:szCs w:val="16"/>
          <w:color w:val="auto"/>
        </w:rPr>
      </w:pPr>
    </w:p>
    <w:p>
      <w:pPr>
        <w:ind w:left="680" w:right="120" w:hanging="325"/>
        <w:spacing w:after="0" w:line="272" w:lineRule="auto"/>
        <w:tabs>
          <w:tab w:leader="none" w:pos="680" w:val="left"/>
        </w:tabs>
        <w:numPr>
          <w:ilvl w:val="0"/>
          <w:numId w:val="120"/>
        </w:numPr>
        <w:rPr>
          <w:rFonts w:ascii="Times New Roman" w:cs="Times New Roman" w:eastAsia="Times New Roman" w:hAnsi="Times New Roman"/>
          <w:sz w:val="16"/>
          <w:szCs w:val="16"/>
          <w:color w:val="auto"/>
        </w:rPr>
      </w:pPr>
      <w:r>
        <w:rPr>
          <w:rFonts w:ascii="Arial" w:cs="Arial" w:eastAsia="Arial" w:hAnsi="Arial"/>
          <w:sz w:val="16"/>
          <w:szCs w:val="16"/>
          <w:color w:val="auto"/>
        </w:rPr>
        <w:t xml:space="preserve">Relative Adjusted Pre-Tax Margin (Third Tranche) — The third tranche of the 2024 Retention LTI Awards may become earned based on our Adjusted Pre-Tax Margin during the four quarters ending June 30, 2027 relative to the weighted average Adjusted Pre-Tax Margin of selected industry peers during the same period and is also subject to an Adjusted EPS performance measure. </w:t>
      </w:r>
      <w:r>
        <w:rPr>
          <w:rFonts w:ascii="Arial" w:cs="Arial" w:eastAsia="Arial" w:hAnsi="Arial"/>
          <w:sz w:val="16"/>
          <w:szCs w:val="16"/>
          <w:color w:val="auto"/>
          <w:highlight w:val="white"/>
        </w:rPr>
        <w:t>Continued employment through the applicable vesting date is required.</w:t>
      </w:r>
    </w:p>
    <w:p>
      <w:pPr>
        <w:spacing w:after="0" w:line="2" w:lineRule="exact"/>
        <w:rPr>
          <w:sz w:val="20"/>
          <w:szCs w:val="20"/>
          <w:color w:val="auto"/>
        </w:rPr>
      </w:pPr>
    </w:p>
    <w:p>
      <w:pPr>
        <w:ind w:right="380"/>
        <w:spacing w:after="0" w:line="255" w:lineRule="auto"/>
        <w:rPr>
          <w:sz w:val="20"/>
          <w:szCs w:val="20"/>
          <w:color w:val="auto"/>
        </w:rPr>
      </w:pPr>
      <w:r>
        <w:rPr>
          <w:rFonts w:ascii="Arial" w:cs="Arial" w:eastAsia="Arial" w:hAnsi="Arial"/>
          <w:sz w:val="16"/>
          <w:szCs w:val="16"/>
          <w:color w:val="auto"/>
        </w:rPr>
        <w:t>During 2025, the Committee certifed performance of the frst tranche of the 2024 Retention LTI Awards. As a result of the Company’s net positive Adjusted EPS during the four quarters ending June 30, 2025 equal to $11.37, the frst tranche of the</w:t>
      </w:r>
    </w:p>
    <w:p>
      <w:pPr>
        <w:spacing w:after="0" w:line="1" w:lineRule="exact"/>
        <w:rPr>
          <w:sz w:val="20"/>
          <w:szCs w:val="20"/>
          <w:color w:val="auto"/>
        </w:rPr>
      </w:pPr>
    </w:p>
    <w:p>
      <w:pPr>
        <w:ind w:right="160"/>
        <w:spacing w:after="0" w:line="313" w:lineRule="auto"/>
        <w:rPr>
          <w:sz w:val="20"/>
          <w:szCs w:val="20"/>
          <w:color w:val="auto"/>
        </w:rPr>
      </w:pPr>
      <w:r>
        <w:rPr>
          <w:rFonts w:ascii="Arial" w:cs="Arial" w:eastAsia="Arial" w:hAnsi="Arial"/>
          <w:sz w:val="16"/>
          <w:szCs w:val="16"/>
          <w:color w:val="auto"/>
        </w:rPr>
        <w:t>2024 Retention LTI Awards resulted in an overall vesting level of 100% of target. The frst tranches vested on July 25, 2025 and were settled in shares shortly thereafter and are included in the “Option Exercises and Stock Vested for 2025” table.</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USE OF ADJUSTMENTS IN INCENTIVE PROGRAMS</w:t>
      </w:r>
    </w:p>
    <w:p>
      <w:pPr>
        <w:spacing w:after="0" w:line="100"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Our goal is to pay incentives based on the same underlying business trends and results that our investors are using to measure United performance. To incentivize management to make decisions that have positive, long-term impacts, even at the expense</w:t>
      </w:r>
    </w:p>
    <w:p>
      <w:pPr>
        <w:spacing w:after="0" w:line="1" w:lineRule="exact"/>
        <w:rPr>
          <w:sz w:val="20"/>
          <w:szCs w:val="20"/>
          <w:color w:val="auto"/>
        </w:rPr>
      </w:pPr>
    </w:p>
    <w:p>
      <w:pPr>
        <w:ind w:right="120"/>
        <w:spacing w:after="0" w:line="252" w:lineRule="auto"/>
        <w:rPr>
          <w:sz w:val="20"/>
          <w:szCs w:val="20"/>
          <w:color w:val="auto"/>
        </w:rPr>
      </w:pPr>
      <w:r>
        <w:rPr>
          <w:rFonts w:ascii="Arial" w:cs="Arial" w:eastAsia="Arial" w:hAnsi="Arial"/>
          <w:sz w:val="16"/>
          <w:szCs w:val="16"/>
          <w:color w:val="auto"/>
        </w:rPr>
        <w:t>of shorter-term results, and to prevent one-time gains and losses from having too great of an impact on incentive payouts, the Committee reviews whether to adjust results under the 2025 STI program, tranches 1, 2 and 3 of the 2023 Performance-Based RSU awards, tranches 1 and 2 of the 2024 Performance-Based RSU awards, and tranche 1 of the 2025 Performance-Based RSU</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awards,  although  no  such  adjustment  has  been  made  as  of  the  Record  Date  with  respect  to  such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2026  Proxy  Statement</w:t>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1414D2"/>
        </w:rPr>
        <w:t>105</w:t>
      </w:r>
    </w:p>
    <w:p>
      <w:pPr>
        <w:sectPr>
          <w:pgSz w:w="11900" w:h="16838" w:orient="portrait"/>
          <w:cols w:equalWidth="0" w:num="1">
            <w:col w:w="9720"/>
          </w:cols>
          <w:pgMar w:left="1080" w:top="695" w:right="1099" w:bottom="1440" w:gutter="0" w:footer="0" w:header="0"/>
        </w:sectPr>
      </w:pPr>
    </w:p>
    <w:bookmarkStart w:id="116" w:name="page117"/>
    <w:bookmarkEnd w:id="116"/>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6D6F71"/>
        </w:rPr>
        <w:t>Compensation  Discussion  and  Analysis</w:t>
      </w:r>
    </w:p>
    <w:p>
      <w:pPr>
        <w:spacing w:after="0" w:line="223" w:lineRule="exact"/>
        <w:rPr>
          <w:sz w:val="20"/>
          <w:szCs w:val="20"/>
          <w:color w:val="auto"/>
        </w:rPr>
      </w:pPr>
    </w:p>
    <w:p>
      <w:pPr>
        <w:spacing w:after="0"/>
        <w:rPr>
          <w:sz w:val="20"/>
          <w:szCs w:val="20"/>
          <w:color w:val="auto"/>
        </w:rPr>
      </w:pPr>
      <w:r>
        <w:rPr>
          <w:rFonts w:ascii="Arial" w:cs="Arial" w:eastAsia="Arial" w:hAnsi="Arial"/>
          <w:sz w:val="25"/>
          <w:szCs w:val="25"/>
          <w:b w:val="1"/>
          <w:bCs w:val="1"/>
          <w:color w:val="1414D2"/>
        </w:rPr>
        <w:t>Other Elements of the Executive Compensation Program</w:t>
      </w:r>
    </w:p>
    <w:p>
      <w:pPr>
        <w:spacing w:after="0" w:line="119" w:lineRule="exact"/>
        <w:rPr>
          <w:sz w:val="20"/>
          <w:szCs w:val="20"/>
          <w:color w:val="auto"/>
        </w:rPr>
      </w:pPr>
    </w:p>
    <w:p>
      <w:pPr>
        <w:spacing w:after="0"/>
        <w:rPr>
          <w:sz w:val="20"/>
          <w:szCs w:val="20"/>
          <w:color w:val="auto"/>
        </w:rPr>
      </w:pPr>
      <w:r>
        <w:rPr>
          <w:rFonts w:ascii="Arial" w:cs="Arial" w:eastAsia="Arial" w:hAnsi="Arial"/>
          <w:sz w:val="15"/>
          <w:szCs w:val="15"/>
          <w:color w:val="auto"/>
        </w:rPr>
        <w:t>As  part  of  a  comprehensive  and  competitive  executive  compensation  package,  executives  may  be  eligible  for  additional  benefts</w:t>
      </w:r>
    </w:p>
    <w:p>
      <w:pPr>
        <w:spacing w:after="0" w:line="30" w:lineRule="exact"/>
        <w:rPr>
          <w:sz w:val="20"/>
          <w:szCs w:val="20"/>
          <w:color w:val="auto"/>
        </w:rPr>
      </w:pPr>
    </w:p>
    <w:p>
      <w:pPr>
        <w:ind w:right="280"/>
        <w:spacing w:after="0" w:line="313" w:lineRule="auto"/>
        <w:rPr>
          <w:sz w:val="20"/>
          <w:szCs w:val="20"/>
          <w:color w:val="auto"/>
        </w:rPr>
      </w:pPr>
      <w:r>
        <w:rPr>
          <w:rFonts w:ascii="Arial" w:cs="Arial" w:eastAsia="Arial" w:hAnsi="Arial"/>
          <w:sz w:val="16"/>
          <w:szCs w:val="16"/>
          <w:color w:val="auto"/>
        </w:rPr>
        <w:t>as summarized below. These benefts are designed to attract and retain the executive talent needed to achieve our business and fnancial objectives.</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RETIREMENT BENEFITS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United  maintains  a  tax  qualifed  401(k)  plan  and  an  excess  401(k)  cash  direct  and  cash  match  program  for  management  and</w:t>
      </w:r>
    </w:p>
    <w:p>
      <w:pPr>
        <w:spacing w:after="0" w:line="19" w:lineRule="exact"/>
        <w:rPr>
          <w:sz w:val="20"/>
          <w:szCs w:val="20"/>
          <w:color w:val="auto"/>
        </w:rPr>
      </w:pPr>
    </w:p>
    <w:p>
      <w:pPr>
        <w:ind w:right="380"/>
        <w:spacing w:after="0" w:line="313" w:lineRule="auto"/>
        <w:rPr>
          <w:sz w:val="20"/>
          <w:szCs w:val="20"/>
          <w:color w:val="auto"/>
        </w:rPr>
      </w:pPr>
      <w:r>
        <w:rPr>
          <w:rFonts w:ascii="Arial" w:cs="Arial" w:eastAsia="Arial" w:hAnsi="Arial"/>
          <w:sz w:val="16"/>
          <w:szCs w:val="16"/>
          <w:color w:val="auto"/>
        </w:rPr>
        <w:t>administrative employees, including the NEOs. We believe these benefts encourage retention and are part of delivering an overall competitive pay package necessary to recruit and retain talented executives.</w:t>
      </w:r>
    </w:p>
    <w:p>
      <w:pPr>
        <w:spacing w:after="0" w:line="6"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Mr. Enqvist participates in a legacy retirement plan, the Continental Retirement Plan (“CARP”). Details about this retirement plan and Mr. Enqvist’s benefts thereunder are provided below under the headings “2025 Pension Benefts Table” and “Narrative to</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Pension  Benefts  Table.”</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PERQUISITES AND OTHER EXECUTIVE BENEFITS</w:t>
      </w:r>
    </w:p>
    <w:p>
      <w:pPr>
        <w:spacing w:after="0" w:line="113" w:lineRule="exact"/>
        <w:rPr>
          <w:sz w:val="20"/>
          <w:szCs w:val="20"/>
          <w:color w:val="auto"/>
        </w:rPr>
      </w:pPr>
    </w:p>
    <w:p>
      <w:pPr>
        <w:ind w:right="280"/>
        <w:spacing w:after="0" w:line="255" w:lineRule="auto"/>
        <w:rPr>
          <w:sz w:val="20"/>
          <w:szCs w:val="20"/>
          <w:color w:val="auto"/>
        </w:rPr>
      </w:pPr>
      <w:r>
        <w:rPr>
          <w:rFonts w:ascii="Arial" w:cs="Arial" w:eastAsia="Arial" w:hAnsi="Arial"/>
          <w:sz w:val="16"/>
          <w:szCs w:val="16"/>
          <w:color w:val="auto"/>
        </w:rPr>
        <w:t>The Committee annually oversees perquisites for our executives and, when evaluating potential perquisites, the Committee considers many factors, including the cost relative to the anticipated business beneft, perceived value to our executives and</w:t>
      </w:r>
    </w:p>
    <w:p>
      <w:pPr>
        <w:spacing w:after="0" w:line="1" w:lineRule="exact"/>
        <w:rPr>
          <w:sz w:val="20"/>
          <w:szCs w:val="20"/>
          <w:color w:val="auto"/>
        </w:rPr>
      </w:pPr>
    </w:p>
    <w:p>
      <w:pPr>
        <w:ind w:right="400"/>
        <w:spacing w:after="0" w:line="252" w:lineRule="auto"/>
        <w:rPr>
          <w:sz w:val="20"/>
          <w:szCs w:val="20"/>
          <w:color w:val="auto"/>
        </w:rPr>
      </w:pPr>
      <w:r>
        <w:rPr>
          <w:rFonts w:ascii="Arial" w:cs="Arial" w:eastAsia="Arial" w:hAnsi="Arial"/>
          <w:sz w:val="16"/>
          <w:szCs w:val="16"/>
          <w:color w:val="auto"/>
        </w:rPr>
        <w:t>corporate governance considerations.  Based on the Committee’s review, we ofer our ofcers, including our NEOs, certain perquisites that we believe are appropriate and generally consistent with those provided to executives at similar levels at companies within the airline industry and general industry groups. In December 2024, in consultation with Exequity, the</w:t>
      </w:r>
    </w:p>
    <w:p>
      <w:pPr>
        <w:spacing w:after="0" w:line="1" w:lineRule="exact"/>
        <w:rPr>
          <w:sz w:val="20"/>
          <w:szCs w:val="20"/>
          <w:color w:val="auto"/>
        </w:rPr>
      </w:pPr>
    </w:p>
    <w:p>
      <w:pPr>
        <w:ind w:right="40"/>
        <w:spacing w:after="0" w:line="268" w:lineRule="auto"/>
        <w:rPr>
          <w:sz w:val="20"/>
          <w:szCs w:val="20"/>
          <w:color w:val="auto"/>
        </w:rPr>
      </w:pPr>
      <w:r>
        <w:rPr>
          <w:rFonts w:ascii="Arial" w:cs="Arial" w:eastAsia="Arial" w:hAnsi="Arial"/>
          <w:sz w:val="16"/>
          <w:szCs w:val="16"/>
          <w:color w:val="auto"/>
        </w:rPr>
        <w:t>Committee’s independent compensation consultant, the Committee conducted a review of perquisites and other personal benefts and determined that they remained generally consistent with relevant market practice. We believe that providing certain benefts to our executives, rather than cash, enhances recruitment and retention, results in a cost savings to United and strengthens our relationships with our executives.</w:t>
      </w:r>
    </w:p>
    <w:p>
      <w:pPr>
        <w:spacing w:after="0" w:line="56" w:lineRule="exact"/>
        <w:rPr>
          <w:sz w:val="20"/>
          <w:szCs w:val="20"/>
          <w:color w:val="auto"/>
        </w:rPr>
      </w:pPr>
    </w:p>
    <w:p>
      <w:pPr>
        <w:ind w:right="360"/>
        <w:spacing w:after="0" w:line="250" w:lineRule="auto"/>
        <w:rPr>
          <w:sz w:val="20"/>
          <w:szCs w:val="20"/>
          <w:color w:val="auto"/>
        </w:rPr>
      </w:pPr>
      <w:r>
        <w:rPr>
          <w:rFonts w:ascii="Arial" w:cs="Arial" w:eastAsia="Arial" w:hAnsi="Arial"/>
          <w:sz w:val="16"/>
          <w:szCs w:val="16"/>
          <w:color w:val="auto"/>
        </w:rPr>
        <w:t>For example, travel privileges on United fights provide the opportunity to become familiar with our network, product and locations and to interact with customers and employees. The incremental cost to United of providing such fight benefts is minimal, while we believe United benefts from providing these benefts and the value of these benefts to our executives is perceived by them to be high. Consistent with historic practice and the travel policies at other airlines, United provides tax</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indemnifcation  on  the  travel  benefts  provided  to  our  NEOs  during  employment,  subject  to  an  annual  limit  as  applicable.</w:t>
      </w:r>
    </w:p>
    <w:p>
      <w:pPr>
        <w:spacing w:after="0" w:line="113" w:lineRule="exact"/>
        <w:rPr>
          <w:sz w:val="20"/>
          <w:szCs w:val="20"/>
          <w:color w:val="auto"/>
        </w:rPr>
      </w:pPr>
    </w:p>
    <w:p>
      <w:pPr>
        <w:ind w:right="100"/>
        <w:spacing w:after="0" w:line="252" w:lineRule="auto"/>
        <w:rPr>
          <w:sz w:val="20"/>
          <w:szCs w:val="20"/>
          <w:color w:val="auto"/>
        </w:rPr>
      </w:pPr>
      <w:r>
        <w:rPr>
          <w:rFonts w:ascii="Arial" w:cs="Arial" w:eastAsia="Arial" w:hAnsi="Arial"/>
          <w:sz w:val="16"/>
          <w:szCs w:val="16"/>
          <w:color w:val="auto"/>
        </w:rPr>
        <w:t>In addition, the Company engaged an independent outside security frm that specializes in executive protection to perform a comprehensive security assessment with respect to Mr. Kirby and provide recommendations to enhance the Company’s overall executive protection controls and update the Company’s executive security program. After considering this independent risk</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assessment, its validation by our internal security team and the highly visible nature of Mr. Kirby’s role as Chief Executive Ofcer, the Company paid for certain personal security protection services for him in 2025 and related tax reimbursements. Because the Committee believes that it is in the best interests of the Company and its stockholders to protect against possible security threats with respect to Mr. Kirby, Mr. Kirby is required to accept such personal security protection while he serves as Chief</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Executive  Ofcer.</w:t>
      </w:r>
    </w:p>
    <w:p>
      <w:pPr>
        <w:spacing w:after="0" w:line="113" w:lineRule="exact"/>
        <w:rPr>
          <w:sz w:val="20"/>
          <w:szCs w:val="20"/>
          <w:color w:val="auto"/>
        </w:rPr>
      </w:pPr>
    </w:p>
    <w:p>
      <w:pPr>
        <w:ind w:right="120"/>
        <w:spacing w:after="0" w:line="255" w:lineRule="auto"/>
        <w:rPr>
          <w:sz w:val="20"/>
          <w:szCs w:val="20"/>
          <w:color w:val="auto"/>
        </w:rPr>
      </w:pPr>
      <w:r>
        <w:rPr>
          <w:rFonts w:ascii="Arial" w:cs="Arial" w:eastAsia="Arial" w:hAnsi="Arial"/>
          <w:sz w:val="16"/>
          <w:szCs w:val="16"/>
          <w:color w:val="auto"/>
        </w:rPr>
        <w:t>The Company’s executive security program—which prescribes the level of personal security to be provided to the Chief Executive Ofcer and certain other executive ofcers, as applicable—is based on bona-fde, business-related security concerns</w:t>
      </w:r>
    </w:p>
    <w:p>
      <w:pPr>
        <w:spacing w:after="0" w:line="1"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as specifed in the independent risk assessment described above and are an integral part of the Company’s overall risk management and security program. The Committee believes that the safety and well-being of our executive ofcers are critical to the Company and its stockholders to reduce business continuity risk. Therefore, the Committee considers the scope and minimal costs associated with their security are reasonable and appropriate when deemed necessary by our internal security</w:t>
      </w:r>
    </w:p>
    <w:p>
      <w:pPr>
        <w:spacing w:after="0" w:line="3"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team, particularly in light of the heightened risk environment in the airline industry, and are for the beneft of Company and not a personal beneft. The Committee implemented an annual process to provide oversight of the nature and cost of personal security protection services for our executives. Although the Company views the costs associated with these benefts to be appropriate business expenses, SEC disclosure rules require that these amounts be treated as compensation. The aggregate</w:t>
      </w:r>
    </w:p>
    <w:p>
      <w:pPr>
        <w:spacing w:after="0" w:line="3" w:lineRule="exact"/>
        <w:rPr>
          <w:sz w:val="20"/>
          <w:szCs w:val="20"/>
          <w:color w:val="auto"/>
        </w:rPr>
      </w:pPr>
    </w:p>
    <w:p>
      <w:pPr>
        <w:jc w:val="both"/>
        <w:ind w:right="740"/>
        <w:spacing w:after="0" w:line="279" w:lineRule="auto"/>
        <w:rPr>
          <w:sz w:val="20"/>
          <w:szCs w:val="20"/>
          <w:color w:val="auto"/>
        </w:rPr>
      </w:pPr>
      <w:r>
        <w:rPr>
          <w:rFonts w:ascii="Arial" w:cs="Arial" w:eastAsia="Arial" w:hAnsi="Arial"/>
          <w:sz w:val="16"/>
          <w:szCs w:val="16"/>
          <w:color w:val="auto"/>
        </w:rPr>
        <w:t>incremental costs of the personal security protection services, which constitutes a small percentage of Mr. Kirby’s total compensation, are reported under applicable SEC disclosure rules in the “All Other Compensation” column of the 2025 Summary Compensation Table.</w:t>
      </w:r>
    </w:p>
    <w:p>
      <w:pPr>
        <w:sectPr>
          <w:pgSz w:w="11900" w:h="16838" w:orient="portrait"/>
          <w:cols w:equalWidth="0" w:num="1">
            <w:col w:w="9700"/>
          </w:cols>
          <w:pgMar w:left="1080" w:top="695" w:right="11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right"/>
        <w:ind w:right="7700"/>
        <w:spacing w:after="0"/>
        <w:rPr>
          <w:sz w:val="20"/>
          <w:szCs w:val="20"/>
          <w:color w:val="auto"/>
        </w:rPr>
      </w:pPr>
      <w:r>
        <w:rPr>
          <w:rFonts w:ascii="Arial" w:cs="Arial" w:eastAsia="Arial" w:hAnsi="Arial"/>
          <w:sz w:val="16"/>
          <w:szCs w:val="16"/>
          <w:color w:val="auto"/>
        </w:rPr>
        <w:t>​​2026​  Proxy</w:t>
      </w:r>
    </w:p>
    <w:p>
      <w:pPr>
        <w:spacing w:after="0" w:line="5" w:lineRule="exact"/>
        <w:rPr>
          <w:sz w:val="20"/>
          <w:szCs w:val="20"/>
          <w:color w:val="auto"/>
        </w:rPr>
      </w:pPr>
    </w:p>
    <w:p>
      <w:pPr>
        <w:ind w:left="660" w:hanging="656"/>
        <w:spacing w:after="0"/>
        <w:tabs>
          <w:tab w:leader="none" w:pos="660" w:val="left"/>
        </w:tabs>
        <w:numPr>
          <w:ilvl w:val="0"/>
          <w:numId w:val="121"/>
        </w:numPr>
        <w:rPr>
          <w:rFonts w:ascii="Arial" w:cs="Arial" w:eastAsia="Arial" w:hAnsi="Arial"/>
          <w:sz w:val="16"/>
          <w:szCs w:val="16"/>
          <w:b w:val="1"/>
          <w:bCs w:val="1"/>
          <w:color w:val="1414D2"/>
        </w:rPr>
      </w:pPr>
      <w:r>
        <w:rPr>
          <w:rFonts w:ascii="Arial" w:cs="Arial" w:eastAsia="Arial" w:hAnsi="Arial"/>
          <w:sz w:val="16"/>
          <w:szCs w:val="16"/>
          <w:color w:val="auto"/>
        </w:rPr>
        <w:t>Statement</w:t>
      </w:r>
    </w:p>
    <w:p>
      <w:pPr>
        <w:sectPr>
          <w:pgSz w:w="11900" w:h="16838" w:orient="portrait"/>
          <w:cols w:equalWidth="0" w:num="1">
            <w:col w:w="9700"/>
          </w:cols>
          <w:pgMar w:left="1080" w:top="695" w:right="1119" w:bottom="1440" w:gutter="0" w:footer="0" w:header="0"/>
          <w:type w:val="continuous"/>
        </w:sectPr>
      </w:pPr>
    </w:p>
    <w:bookmarkStart w:id="117" w:name="page118"/>
    <w:bookmarkEnd w:id="117"/>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27" w:lineRule="exact"/>
        <w:rPr>
          <w:sz w:val="20"/>
          <w:szCs w:val="20"/>
          <w:color w:val="auto"/>
        </w:rPr>
      </w:pPr>
    </w:p>
    <w:p>
      <w:pPr>
        <w:jc w:val="right"/>
        <w:spacing w:after="0"/>
        <w:rPr>
          <w:sz w:val="20"/>
          <w:szCs w:val="20"/>
          <w:color w:val="auto"/>
        </w:rPr>
      </w:pPr>
      <w:r>
        <w:rPr>
          <w:rFonts w:ascii="Arial" w:cs="Arial" w:eastAsia="Arial" w:hAnsi="Arial"/>
          <w:sz w:val="14"/>
          <w:szCs w:val="14"/>
          <w:color w:val="6D6F71"/>
        </w:rPr>
        <w:t>Compensation  Discussion  and  Analysis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  sum,  we  ofer  the  following  perquisites  to  our  NEOs:</w:t>
      </w:r>
    </w:p>
    <w:p>
      <w:pPr>
        <w:spacing w:after="0" w:line="113" w:lineRule="exact"/>
        <w:rPr>
          <w:sz w:val="20"/>
          <w:szCs w:val="20"/>
          <w:color w:val="auto"/>
        </w:rPr>
      </w:pPr>
    </w:p>
    <w:p>
      <w:pPr>
        <w:ind w:left="320" w:right="200" w:hanging="316"/>
        <w:spacing w:after="0" w:line="325" w:lineRule="auto"/>
        <w:tabs>
          <w:tab w:leader="none" w:pos="320" w:val="left"/>
        </w:tabs>
        <w:numPr>
          <w:ilvl w:val="0"/>
          <w:numId w:val="122"/>
        </w:numPr>
        <w:rPr>
          <w:rFonts w:ascii="Times New Roman" w:cs="Times New Roman" w:eastAsia="Times New Roman" w:hAnsi="Times New Roman"/>
          <w:sz w:val="16"/>
          <w:szCs w:val="16"/>
          <w:color w:val="auto"/>
        </w:rPr>
      </w:pPr>
      <w:r>
        <w:rPr>
          <w:rFonts w:ascii="Arial" w:cs="Arial" w:eastAsia="Arial" w:hAnsi="Arial"/>
          <w:sz w:val="16"/>
          <w:szCs w:val="16"/>
          <w:color w:val="auto"/>
        </w:rPr>
        <w:t>Active fight benefts up to an annual travel limit pursuant to United’s Ofcer Travel Policy, including a tax indemnifcation on the fight benefts while an executive up to an annual cap as applicable and other travel-related benefts.</w:t>
      </w:r>
    </w:p>
    <w:p>
      <w:pPr>
        <w:ind w:left="320" w:hanging="316"/>
        <w:spacing w:after="0"/>
        <w:tabs>
          <w:tab w:leader="none" w:pos="320" w:val="left"/>
        </w:tabs>
        <w:numPr>
          <w:ilvl w:val="0"/>
          <w:numId w:val="122"/>
        </w:numPr>
        <w:rPr>
          <w:rFonts w:ascii="Times New Roman" w:cs="Times New Roman" w:eastAsia="Times New Roman" w:hAnsi="Times New Roman"/>
          <w:sz w:val="16"/>
          <w:szCs w:val="16"/>
          <w:color w:val="auto"/>
        </w:rPr>
      </w:pPr>
      <w:r>
        <w:rPr>
          <w:rFonts w:ascii="Arial" w:cs="Arial" w:eastAsia="Arial" w:hAnsi="Arial"/>
          <w:sz w:val="16"/>
          <w:szCs w:val="16"/>
          <w:color w:val="auto"/>
        </w:rPr>
        <w:t>Cybersecurity  /  identity  protection  services  to  certain  individuals.</w:t>
      </w:r>
    </w:p>
    <w:p>
      <w:pPr>
        <w:spacing w:after="0" w:line="112" w:lineRule="exact"/>
        <w:rPr>
          <w:rFonts w:ascii="Times New Roman" w:cs="Times New Roman" w:eastAsia="Times New Roman" w:hAnsi="Times New Roman"/>
          <w:sz w:val="16"/>
          <w:szCs w:val="16"/>
          <w:color w:val="auto"/>
        </w:rPr>
      </w:pPr>
    </w:p>
    <w:p>
      <w:pPr>
        <w:ind w:left="320" w:hanging="316"/>
        <w:spacing w:after="0"/>
        <w:tabs>
          <w:tab w:leader="none" w:pos="320" w:val="left"/>
        </w:tabs>
        <w:numPr>
          <w:ilvl w:val="0"/>
          <w:numId w:val="122"/>
        </w:numPr>
        <w:rPr>
          <w:rFonts w:ascii="Times New Roman" w:cs="Times New Roman" w:eastAsia="Times New Roman" w:hAnsi="Times New Roman"/>
          <w:sz w:val="16"/>
          <w:szCs w:val="16"/>
          <w:color w:val="auto"/>
        </w:rPr>
      </w:pPr>
      <w:r>
        <w:rPr>
          <w:rFonts w:ascii="Arial" w:cs="Arial" w:eastAsia="Arial" w:hAnsi="Arial"/>
          <w:sz w:val="16"/>
          <w:szCs w:val="16"/>
          <w:color w:val="auto"/>
        </w:rPr>
        <w:t>Basic  and  supplemental  life  insurance.</w:t>
      </w:r>
    </w:p>
    <w:p>
      <w:pPr>
        <w:spacing w:after="0" w:line="112" w:lineRule="exact"/>
        <w:rPr>
          <w:rFonts w:ascii="Times New Roman" w:cs="Times New Roman" w:eastAsia="Times New Roman" w:hAnsi="Times New Roman"/>
          <w:sz w:val="16"/>
          <w:szCs w:val="16"/>
          <w:color w:val="auto"/>
        </w:rPr>
      </w:pPr>
    </w:p>
    <w:p>
      <w:pPr>
        <w:ind w:left="320" w:right="460" w:hanging="316"/>
        <w:spacing w:after="0" w:line="325" w:lineRule="auto"/>
        <w:tabs>
          <w:tab w:leader="none" w:pos="320" w:val="left"/>
        </w:tabs>
        <w:numPr>
          <w:ilvl w:val="0"/>
          <w:numId w:val="122"/>
        </w:numPr>
        <w:rPr>
          <w:rFonts w:ascii="Times New Roman" w:cs="Times New Roman" w:eastAsia="Times New Roman" w:hAnsi="Times New Roman"/>
          <w:sz w:val="16"/>
          <w:szCs w:val="16"/>
          <w:color w:val="auto"/>
        </w:rPr>
      </w:pPr>
      <w:r>
        <w:rPr>
          <w:rFonts w:ascii="Arial" w:cs="Arial" w:eastAsia="Arial" w:hAnsi="Arial"/>
          <w:sz w:val="16"/>
          <w:szCs w:val="16"/>
          <w:color w:val="auto"/>
        </w:rPr>
        <w:t>Voluntary employee-paid group insurance benefts (supplemental disability, supplemental life insurance and personal excess liability coverage).</w:t>
      </w:r>
    </w:p>
    <w:p>
      <w:pPr>
        <w:ind w:left="320" w:hanging="316"/>
        <w:spacing w:after="0"/>
        <w:tabs>
          <w:tab w:leader="none" w:pos="320" w:val="left"/>
        </w:tabs>
        <w:numPr>
          <w:ilvl w:val="0"/>
          <w:numId w:val="122"/>
        </w:numPr>
        <w:rPr>
          <w:rFonts w:ascii="Times New Roman" w:cs="Times New Roman" w:eastAsia="Times New Roman" w:hAnsi="Times New Roman"/>
          <w:sz w:val="16"/>
          <w:szCs w:val="16"/>
          <w:color w:val="auto"/>
        </w:rPr>
      </w:pPr>
      <w:r>
        <w:rPr>
          <w:rFonts w:ascii="Arial" w:cs="Arial" w:eastAsia="Arial" w:hAnsi="Arial"/>
          <w:sz w:val="16"/>
          <w:szCs w:val="16"/>
          <w:color w:val="auto"/>
        </w:rPr>
        <w:t>An  annual  executive  physical  available  through  preferred  providers.</w:t>
      </w:r>
    </w:p>
    <w:p>
      <w:pPr>
        <w:spacing w:after="0" w:line="112" w:lineRule="exact"/>
        <w:rPr>
          <w:rFonts w:ascii="Times New Roman" w:cs="Times New Roman" w:eastAsia="Times New Roman" w:hAnsi="Times New Roman"/>
          <w:sz w:val="16"/>
          <w:szCs w:val="16"/>
          <w:color w:val="auto"/>
        </w:rPr>
      </w:pPr>
    </w:p>
    <w:p>
      <w:pPr>
        <w:ind w:left="320" w:hanging="316"/>
        <w:spacing w:after="0"/>
        <w:tabs>
          <w:tab w:leader="none" w:pos="320" w:val="left"/>
        </w:tabs>
        <w:numPr>
          <w:ilvl w:val="0"/>
          <w:numId w:val="122"/>
        </w:numPr>
        <w:rPr>
          <w:rFonts w:ascii="Times New Roman" w:cs="Times New Roman" w:eastAsia="Times New Roman" w:hAnsi="Times New Roman"/>
          <w:sz w:val="16"/>
          <w:szCs w:val="16"/>
          <w:color w:val="auto"/>
        </w:rPr>
      </w:pPr>
      <w:r>
        <w:rPr>
          <w:rFonts w:ascii="Arial" w:cs="Arial" w:eastAsia="Arial" w:hAnsi="Arial"/>
          <w:sz w:val="16"/>
          <w:szCs w:val="16"/>
          <w:color w:val="auto"/>
        </w:rPr>
        <w:t>Health  Club  Membership  Reimbursement  for  health  club  membership  dues  and  services  up  to  a  $2,500  annual  limit.</w:t>
      </w:r>
    </w:p>
    <w:p>
      <w:pPr>
        <w:spacing w:after="0" w:line="112" w:lineRule="exact"/>
        <w:rPr>
          <w:rFonts w:ascii="Times New Roman" w:cs="Times New Roman" w:eastAsia="Times New Roman" w:hAnsi="Times New Roman"/>
          <w:sz w:val="16"/>
          <w:szCs w:val="16"/>
          <w:color w:val="auto"/>
        </w:rPr>
      </w:pPr>
    </w:p>
    <w:p>
      <w:pPr>
        <w:ind w:left="320" w:right="260" w:hanging="316"/>
        <w:spacing w:after="0" w:line="325" w:lineRule="auto"/>
        <w:tabs>
          <w:tab w:leader="none" w:pos="320" w:val="left"/>
        </w:tabs>
        <w:numPr>
          <w:ilvl w:val="0"/>
          <w:numId w:val="122"/>
        </w:numPr>
        <w:rPr>
          <w:rFonts w:ascii="Times New Roman" w:cs="Times New Roman" w:eastAsia="Times New Roman" w:hAnsi="Times New Roman"/>
          <w:sz w:val="16"/>
          <w:szCs w:val="16"/>
          <w:color w:val="auto"/>
        </w:rPr>
      </w:pPr>
      <w:r>
        <w:rPr>
          <w:rFonts w:ascii="Arial" w:cs="Arial" w:eastAsia="Arial" w:hAnsi="Arial"/>
          <w:sz w:val="16"/>
          <w:szCs w:val="16"/>
          <w:color w:val="auto"/>
        </w:rPr>
        <w:t>Reimbursement for certain tax preparation and fnancial services, with annual reimbursement limited to $20,000 for our Chief Executive Ofcer and $10,000 for our other NEOs.</w:t>
      </w:r>
    </w:p>
    <w:p>
      <w:pPr>
        <w:ind w:left="320" w:hanging="316"/>
        <w:spacing w:after="0"/>
        <w:tabs>
          <w:tab w:leader="none" w:pos="320" w:val="left"/>
        </w:tabs>
        <w:numPr>
          <w:ilvl w:val="0"/>
          <w:numId w:val="122"/>
        </w:numPr>
        <w:rPr>
          <w:rFonts w:ascii="Times New Roman" w:cs="Times New Roman" w:eastAsia="Times New Roman" w:hAnsi="Times New Roman"/>
          <w:sz w:val="16"/>
          <w:szCs w:val="16"/>
          <w:color w:val="auto"/>
        </w:rPr>
      </w:pPr>
      <w:r>
        <w:rPr>
          <w:rFonts w:ascii="Arial" w:cs="Arial" w:eastAsia="Arial" w:hAnsi="Arial"/>
          <w:sz w:val="16"/>
          <w:szCs w:val="16"/>
          <w:color w:val="auto"/>
        </w:rPr>
        <w:t>Parking  benefts.</w:t>
      </w:r>
    </w:p>
    <w:p>
      <w:pPr>
        <w:spacing w:after="0" w:line="112" w:lineRule="exact"/>
        <w:rPr>
          <w:rFonts w:ascii="Times New Roman" w:cs="Times New Roman" w:eastAsia="Times New Roman" w:hAnsi="Times New Roman"/>
          <w:sz w:val="16"/>
          <w:szCs w:val="16"/>
          <w:color w:val="auto"/>
        </w:rPr>
      </w:pPr>
    </w:p>
    <w:p>
      <w:pPr>
        <w:ind w:left="320" w:right="460" w:hanging="316"/>
        <w:spacing w:after="0" w:line="330" w:lineRule="auto"/>
        <w:tabs>
          <w:tab w:leader="none" w:pos="320" w:val="left"/>
        </w:tabs>
        <w:numPr>
          <w:ilvl w:val="0"/>
          <w:numId w:val="122"/>
        </w:numPr>
        <w:rPr>
          <w:rFonts w:ascii="Times New Roman" w:cs="Times New Roman" w:eastAsia="Times New Roman" w:hAnsi="Times New Roman"/>
          <w:sz w:val="16"/>
          <w:szCs w:val="16"/>
          <w:color w:val="auto"/>
        </w:rPr>
      </w:pPr>
      <w:r>
        <w:rPr>
          <w:rFonts w:ascii="Arial" w:cs="Arial" w:eastAsia="Arial" w:hAnsi="Arial"/>
          <w:sz w:val="16"/>
          <w:szCs w:val="16"/>
          <w:color w:val="auto"/>
        </w:rPr>
        <w:t>Community Support Travel Program: NEOs are eligible to direct a donation of a limited number of tickets to qualifying charitable organizations and nominate one United Club Membership per calendar year.</w:t>
      </w:r>
    </w:p>
    <w:p>
      <w:pPr>
        <w:spacing w:after="0" w:line="6" w:lineRule="exact"/>
        <w:rPr>
          <w:rFonts w:ascii="Times New Roman" w:cs="Times New Roman" w:eastAsia="Times New Roman" w:hAnsi="Times New Roman"/>
          <w:sz w:val="16"/>
          <w:szCs w:val="16"/>
          <w:color w:val="auto"/>
        </w:rPr>
      </w:pPr>
    </w:p>
    <w:p>
      <w:pPr>
        <w:ind w:left="320" w:hanging="316"/>
        <w:spacing w:after="0"/>
        <w:tabs>
          <w:tab w:leader="none" w:pos="320" w:val="left"/>
        </w:tabs>
        <w:numPr>
          <w:ilvl w:val="0"/>
          <w:numId w:val="122"/>
        </w:numPr>
        <w:rPr>
          <w:rFonts w:ascii="Times New Roman" w:cs="Times New Roman" w:eastAsia="Times New Roman" w:hAnsi="Times New Roman"/>
          <w:sz w:val="16"/>
          <w:szCs w:val="16"/>
          <w:color w:val="auto"/>
        </w:rPr>
      </w:pPr>
      <w:r>
        <w:rPr>
          <w:rFonts w:ascii="Arial" w:cs="Arial" w:eastAsia="Arial" w:hAnsi="Arial"/>
          <w:sz w:val="16"/>
          <w:szCs w:val="16"/>
          <w:color w:val="auto"/>
        </w:rPr>
        <w:t>Package  delivery  services.</w:t>
      </w:r>
    </w:p>
    <w:p>
      <w:pPr>
        <w:spacing w:after="0" w:line="166" w:lineRule="exact"/>
        <w:rPr>
          <w:rFonts w:ascii="Times New Roman" w:cs="Times New Roman" w:eastAsia="Times New Roman" w:hAnsi="Times New Roman"/>
          <w:sz w:val="16"/>
          <w:szCs w:val="16"/>
          <w:color w:val="auto"/>
        </w:rPr>
      </w:pPr>
    </w:p>
    <w:p>
      <w:pPr>
        <w:ind w:left="320" w:hanging="316"/>
        <w:spacing w:after="0"/>
        <w:tabs>
          <w:tab w:leader="none" w:pos="320" w:val="left"/>
        </w:tabs>
        <w:numPr>
          <w:ilvl w:val="0"/>
          <w:numId w:val="122"/>
        </w:numPr>
        <w:rPr>
          <w:rFonts w:ascii="Times New Roman" w:cs="Times New Roman" w:eastAsia="Times New Roman" w:hAnsi="Times New Roman"/>
          <w:sz w:val="16"/>
          <w:szCs w:val="16"/>
          <w:color w:val="auto"/>
        </w:rPr>
      </w:pPr>
      <w:r>
        <w:rPr>
          <w:rFonts w:ascii="Arial" w:cs="Arial" w:eastAsia="Arial" w:hAnsi="Arial"/>
          <w:sz w:val="16"/>
          <w:szCs w:val="16"/>
          <w:color w:val="auto"/>
        </w:rPr>
        <w:t>Personal  security  protection  services  and  related  tax  reimbursements.</w:t>
      </w:r>
    </w:p>
    <w:p>
      <w:pPr>
        <w:spacing w:after="0" w:line="166" w:lineRule="exact"/>
        <w:rPr>
          <w:sz w:val="20"/>
          <w:szCs w:val="20"/>
          <w:color w:val="auto"/>
        </w:rPr>
      </w:pPr>
    </w:p>
    <w:p>
      <w:pPr>
        <w:ind w:right="260"/>
        <w:spacing w:after="0" w:line="330" w:lineRule="auto"/>
        <w:rPr>
          <w:sz w:val="20"/>
          <w:szCs w:val="20"/>
          <w:color w:val="auto"/>
        </w:rPr>
      </w:pPr>
      <w:r>
        <w:rPr>
          <w:rFonts w:ascii="Arial" w:cs="Arial" w:eastAsia="Arial" w:hAnsi="Arial"/>
          <w:sz w:val="16"/>
          <w:szCs w:val="16"/>
          <w:color w:val="auto"/>
        </w:rPr>
        <w:t>The aggregate incremental cost of providing these perquisites and other benefts to our NEOs is detailed in footnote 6 to the 2025 Summary Compensation Table below.</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SEVERANCE AND CHANGE IN CONTROL BENEFITS</w:t>
      </w:r>
    </w:p>
    <w:p>
      <w:pPr>
        <w:spacing w:after="0" w:line="113" w:lineRule="exact"/>
        <w:rPr>
          <w:sz w:val="20"/>
          <w:szCs w:val="20"/>
          <w:color w:val="auto"/>
        </w:rPr>
      </w:pPr>
    </w:p>
    <w:p>
      <w:pPr>
        <w:ind w:right="120"/>
        <w:spacing w:after="0" w:line="255" w:lineRule="auto"/>
        <w:rPr>
          <w:sz w:val="20"/>
          <w:szCs w:val="20"/>
          <w:color w:val="auto"/>
        </w:rPr>
      </w:pPr>
      <w:r>
        <w:rPr>
          <w:rFonts w:ascii="Arial" w:cs="Arial" w:eastAsia="Arial" w:hAnsi="Arial"/>
          <w:sz w:val="16"/>
          <w:szCs w:val="16"/>
          <w:color w:val="auto"/>
        </w:rPr>
        <w:t>In order to attract and retain high-performing NEOs, we believe it is appropriate to provide severance to an executive ofcer in certain circumstances. Each of our NEOs is covered by the terms of United’s Executive Severance Plan, which provides for</w:t>
      </w:r>
    </w:p>
    <w:p>
      <w:pPr>
        <w:spacing w:after="0" w:line="1" w:lineRule="exact"/>
        <w:rPr>
          <w:sz w:val="20"/>
          <w:szCs w:val="20"/>
          <w:color w:val="auto"/>
        </w:rPr>
      </w:pPr>
    </w:p>
    <w:p>
      <w:pPr>
        <w:ind w:right="240"/>
        <w:spacing w:after="0" w:line="250" w:lineRule="auto"/>
        <w:rPr>
          <w:sz w:val="20"/>
          <w:szCs w:val="20"/>
          <w:color w:val="auto"/>
        </w:rPr>
      </w:pPr>
      <w:r>
        <w:rPr>
          <w:rFonts w:ascii="Arial" w:cs="Arial" w:eastAsia="Arial" w:hAnsi="Arial"/>
          <w:sz w:val="16"/>
          <w:szCs w:val="16"/>
          <w:color w:val="auto"/>
        </w:rPr>
        <w:t>certain payments and benefts upon qualifying termination events, as described in “Potential Payments Upon Termination or Change in Control” below. Based on the advice of Exequity, we believe that our severance benefts are in line with market practices and provide appropriate levels of compensation and terms and conditions related to executive separations. Further, we believe that these arrangements are an important component of our compensation packages in terms of attracting and</w:t>
      </w:r>
    </w:p>
    <w:p>
      <w:pPr>
        <w:spacing w:after="0" w:line="3"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retaining top caliber talent in senior leadership roles and in defning terms and conditions of executive separation events. We do not gross up for excise taxes that may be imposed as a result of severance payments and, for payments payable upon or following a change in control, we generally require a qualifying termination of employment in addition to the change in control,</w:t>
      </w:r>
    </w:p>
    <w:p>
      <w:pPr>
        <w:spacing w:after="0" w:line="1" w:lineRule="exact"/>
        <w:rPr>
          <w:sz w:val="20"/>
          <w:szCs w:val="20"/>
          <w:color w:val="auto"/>
        </w:rPr>
      </w:pPr>
    </w:p>
    <w:p>
      <w:pPr>
        <w:ind w:right="180"/>
        <w:spacing w:after="0" w:line="313" w:lineRule="auto"/>
        <w:rPr>
          <w:sz w:val="20"/>
          <w:szCs w:val="20"/>
          <w:color w:val="auto"/>
        </w:rPr>
      </w:pPr>
      <w:r>
        <w:rPr>
          <w:rFonts w:ascii="Arial" w:cs="Arial" w:eastAsia="Arial" w:hAnsi="Arial"/>
          <w:sz w:val="16"/>
          <w:szCs w:val="16"/>
          <w:color w:val="auto"/>
        </w:rPr>
        <w:t>with limited exceptions. See “Potential Payments upon Termination or Change in Control” below for a discussion and estimate of the potential compensation and benefts provided pursuant to these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2026  Proxy  Statement</w:t>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1414D2"/>
        </w:rPr>
        <w:t>107</w:t>
      </w:r>
    </w:p>
    <w:p>
      <w:pPr>
        <w:sectPr>
          <w:pgSz w:w="11900" w:h="16838" w:orient="portrait"/>
          <w:cols w:equalWidth="0" w:num="1">
            <w:col w:w="9720"/>
          </w:cols>
          <w:pgMar w:left="1080" w:top="695" w:right="1099" w:bottom="1440" w:gutter="0" w:footer="0" w:header="0"/>
        </w:sectPr>
      </w:pPr>
    </w:p>
    <w:bookmarkStart w:id="118" w:name="page119"/>
    <w:bookmarkEnd w:id="118"/>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6D6F71"/>
        </w:rPr>
        <w:t>Compensation  Discussion  and  Analysis</w:t>
      </w:r>
    </w:p>
    <w:p>
      <w:pPr>
        <w:spacing w:after="0" w:line="223" w:lineRule="exact"/>
        <w:rPr>
          <w:sz w:val="20"/>
          <w:szCs w:val="20"/>
          <w:color w:val="auto"/>
        </w:rPr>
      </w:pPr>
    </w:p>
    <w:p>
      <w:pPr>
        <w:ind w:right="1160"/>
        <w:spacing w:after="0" w:line="312" w:lineRule="auto"/>
        <w:rPr>
          <w:sz w:val="20"/>
          <w:szCs w:val="20"/>
          <w:color w:val="auto"/>
        </w:rPr>
      </w:pPr>
      <w:r>
        <w:rPr>
          <w:rFonts w:ascii="Arial" w:cs="Arial" w:eastAsia="Arial" w:hAnsi="Arial"/>
          <w:sz w:val="25"/>
          <w:szCs w:val="25"/>
          <w:b w:val="1"/>
          <w:bCs w:val="1"/>
          <w:color w:val="1414D2"/>
        </w:rPr>
        <w:t>Signifcant Compensation Policies and Other Information Regarding Executive Compensation</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CLAWBACK POLICY</w:t>
      </w:r>
    </w:p>
    <w:p>
      <w:pPr>
        <w:spacing w:after="0" w:line="127" w:lineRule="exact"/>
        <w:rPr>
          <w:sz w:val="20"/>
          <w:szCs w:val="20"/>
          <w:color w:val="auto"/>
        </w:rPr>
      </w:pPr>
    </w:p>
    <w:p>
      <w:pPr>
        <w:jc w:val="both"/>
        <w:ind w:right="100"/>
        <w:spacing w:after="0" w:line="252" w:lineRule="auto"/>
        <w:rPr>
          <w:sz w:val="20"/>
          <w:szCs w:val="20"/>
          <w:color w:val="auto"/>
        </w:rPr>
      </w:pPr>
      <w:r>
        <w:rPr>
          <w:rFonts w:ascii="Arial" w:cs="Arial" w:eastAsia="Arial" w:hAnsi="Arial"/>
          <w:sz w:val="16"/>
          <w:szCs w:val="16"/>
          <w:color w:val="auto"/>
        </w:rPr>
        <w:t>Accountability is a fundamental value of United. To reinforce this value through our executive compensation program, we have a compensation clawback policy (the “clawback policy”) that is applicable to our executive ofcers. Our clawback policy includes both (1) a mandatory recovery element applicable to our current and former Section 16 ofcers to comply with the incentive-</w:t>
      </w:r>
    </w:p>
    <w:p>
      <w:pPr>
        <w:spacing w:after="0" w:line="1"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based compensation recovery provisions of the Dodd-Frank Act and the Nasdaq listing standards regarding recovery of erroneously awarded compensation in the event of certain accounting restatements on a “no fault” basis and (2) a discretionary element that permits United to seek recovery of compensation (including any incentive-based compensation, which may be in the form of cash or equity, variable compensation, bonus, severance or sign-on compensation, including, without limitation,</w:t>
      </w:r>
    </w:p>
    <w:p>
      <w:pPr>
        <w:spacing w:after="0" w:line="3" w:lineRule="exact"/>
        <w:rPr>
          <w:sz w:val="20"/>
          <w:szCs w:val="20"/>
          <w:color w:val="auto"/>
        </w:rPr>
      </w:pPr>
    </w:p>
    <w:p>
      <w:pPr>
        <w:ind w:right="140"/>
        <w:spacing w:after="0" w:line="268" w:lineRule="auto"/>
        <w:rPr>
          <w:sz w:val="20"/>
          <w:szCs w:val="20"/>
          <w:color w:val="auto"/>
        </w:rPr>
      </w:pPr>
      <w:r>
        <w:rPr>
          <w:rFonts w:ascii="Arial" w:cs="Arial" w:eastAsia="Arial" w:hAnsi="Arial"/>
          <w:sz w:val="16"/>
          <w:szCs w:val="16"/>
          <w:color w:val="auto"/>
        </w:rPr>
        <w:t>time-based and performance-based awards) over a three year look-back period awarded or paid to any current or former ofcer of United and/or United Airlines, Inc. at the level of Vice President or above if such covered executive committed a signifcant legal or compliance violation, irrespective of whether such violation occurred in connection with a restatement. The clawback policy was fled as Exhibit 97 to United’s 2025 Annual Report on Form 10-K.</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ROBUST STOCK OWNERSHIP GUIDELINES</w:t>
      </w:r>
    </w:p>
    <w:p>
      <w:pPr>
        <w:spacing w:after="0" w:line="113" w:lineRule="exact"/>
        <w:rPr>
          <w:sz w:val="20"/>
          <w:szCs w:val="20"/>
          <w:color w:val="auto"/>
        </w:rPr>
      </w:pPr>
    </w:p>
    <w:p>
      <w:pPr>
        <w:ind w:right="200"/>
        <w:spacing w:after="0" w:line="252" w:lineRule="auto"/>
        <w:rPr>
          <w:sz w:val="20"/>
          <w:szCs w:val="20"/>
          <w:color w:val="auto"/>
        </w:rPr>
      </w:pPr>
      <w:r>
        <w:rPr>
          <w:rFonts w:ascii="Arial" w:cs="Arial" w:eastAsia="Arial" w:hAnsi="Arial"/>
          <w:sz w:val="16"/>
          <w:szCs w:val="16"/>
          <w:color w:val="auto"/>
        </w:rPr>
        <w:t>Our executive ofcers and certain other senior executives are required to maintain a minimum equity stake in United. We believe that the current levels of stock ownership specifed in our stock ownership guidelines provide an appropriate balance between keeping executive stock ownership at a level that supports alignment with stockholder interests while also providing</w:t>
      </w:r>
    </w:p>
    <w:p>
      <w:pPr>
        <w:spacing w:after="0" w:line="1"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ofcers sufcient fexibility. Each covered executive is required to acquire and maintain ownership of shares of Common Stock equal to a specifed multiple of his or her base salary, which for our NEOs ranges from 3 to 6 times base salary, as shown in the table below. Each covered executive must retain 50% of all net shares (post-tax) that vest until achieving his or her minimum share ownership requirement. Covered executives are required to achieve compliance with the stock ownership guidelines</w:t>
      </w:r>
    </w:p>
    <w:p>
      <w:pPr>
        <w:spacing w:after="0" w:line="3" w:lineRule="exact"/>
        <w:rPr>
          <w:sz w:val="20"/>
          <w:szCs w:val="20"/>
          <w:color w:val="auto"/>
        </w:rPr>
      </w:pPr>
    </w:p>
    <w:p>
      <w:pPr>
        <w:ind w:right="300"/>
        <w:spacing w:after="0" w:line="293" w:lineRule="auto"/>
        <w:rPr>
          <w:sz w:val="20"/>
          <w:szCs w:val="20"/>
          <w:color w:val="auto"/>
        </w:rPr>
      </w:pPr>
      <w:r>
        <w:rPr>
          <w:rFonts w:ascii="Arial" w:cs="Arial" w:eastAsia="Arial" w:hAnsi="Arial"/>
          <w:sz w:val="16"/>
          <w:szCs w:val="16"/>
          <w:color w:val="auto"/>
        </w:rPr>
        <w:t>within fve years of becoming subject to such guidelines. If a covered executive is promoted to a higher level, the covered executive will have fve years (beginning on the date of such promotion) to achieve the ownership target associated with the higher ofcer level.</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300" w:type="dxa"/>
            <w:vAlign w:val="bottom"/>
            <w:tcBorders>
              <w:top w:val="single" w:sz="8" w:color="1414D2"/>
            </w:tcBorders>
            <w:shd w:val="clear" w:color="auto" w:fill="F2F2F2"/>
          </w:tcPr>
          <w:p>
            <w:pPr>
              <w:spacing w:after="0"/>
              <w:rPr>
                <w:sz w:val="20"/>
                <w:szCs w:val="20"/>
                <w:color w:val="auto"/>
              </w:rPr>
            </w:pPr>
          </w:p>
        </w:tc>
        <w:tc>
          <w:tcPr>
            <w:tcW w:w="340" w:type="dxa"/>
            <w:vAlign w:val="bottom"/>
            <w:tcBorders>
              <w:top w:val="single" w:sz="8" w:color="1414D2"/>
            </w:tcBorders>
            <w:shd w:val="clear" w:color="auto" w:fill="F2F2F2"/>
          </w:tcPr>
          <w:p>
            <w:pPr>
              <w:ind w:left="180"/>
              <w:spacing w:after="0"/>
              <w:rPr>
                <w:sz w:val="20"/>
                <w:szCs w:val="20"/>
                <w:color w:val="auto"/>
              </w:rPr>
            </w:pPr>
            <w:r>
              <w:rPr>
                <w:rFonts w:ascii="Arial" w:cs="Arial" w:eastAsia="Arial" w:hAnsi="Arial"/>
                <w:sz w:val="18"/>
                <w:szCs w:val="18"/>
                <w:b w:val="1"/>
                <w:bCs w:val="1"/>
                <w:color w:val="auto"/>
              </w:rPr>
              <w:t>​​​</w:t>
            </w:r>
          </w:p>
        </w:tc>
        <w:tc>
          <w:tcPr>
            <w:tcW w:w="2760" w:type="dxa"/>
            <w:vAlign w:val="bottom"/>
            <w:tcBorders>
              <w:top w:val="single" w:sz="8" w:color="1414D2"/>
            </w:tcBorders>
            <w:shd w:val="clear" w:color="auto" w:fill="F2F2F2"/>
          </w:tcPr>
          <w:p>
            <w:pPr>
              <w:jc w:val="center"/>
              <w:ind w:left="142"/>
              <w:spacing w:after="0"/>
              <w:rPr>
                <w:sz w:val="20"/>
                <w:szCs w:val="20"/>
                <w:color w:val="auto"/>
              </w:rPr>
            </w:pPr>
            <w:r>
              <w:rPr>
                <w:rFonts w:ascii="Arial" w:cs="Arial" w:eastAsia="Arial" w:hAnsi="Arial"/>
                <w:sz w:val="14"/>
                <w:szCs w:val="14"/>
                <w:b w:val="1"/>
                <w:bCs w:val="1"/>
                <w:color w:val="auto"/>
              </w:rPr>
              <w:t>Stock Ownership Guideline</w:t>
            </w:r>
          </w:p>
        </w:tc>
        <w:tc>
          <w:tcPr>
            <w:tcW w:w="320" w:type="dxa"/>
            <w:vAlign w:val="bottom"/>
            <w:tcBorders>
              <w:top w:val="single" w:sz="8" w:color="1414D2"/>
            </w:tcBorders>
            <w:shd w:val="clear" w:color="auto" w:fill="F2F2F2"/>
          </w:tcPr>
          <w:p>
            <w:pPr>
              <w:ind w:left="300"/>
              <w:spacing w:after="0"/>
              <w:rPr>
                <w:sz w:val="20"/>
                <w:szCs w:val="20"/>
                <w:color w:val="auto"/>
              </w:rPr>
            </w:pPr>
            <w:r>
              <w:rPr>
                <w:rFonts w:ascii="Arial" w:cs="Arial" w:eastAsia="Arial" w:hAnsi="Arial"/>
                <w:sz w:val="1"/>
                <w:szCs w:val="1"/>
                <w:b w:val="1"/>
                <w:bCs w:val="1"/>
                <w:color w:val="auto"/>
                <w:w w:val="4294942296"/>
              </w:rPr>
              <w:t>​</w:t>
            </w:r>
          </w:p>
        </w:tc>
      </w:tr>
      <w:tr>
        <w:trPr>
          <w:trHeight w:val="228"/>
        </w:trPr>
        <w:tc>
          <w:tcPr>
            <w:tcW w:w="6300" w:type="dxa"/>
            <w:vAlign w:val="bottom"/>
            <w:tcBorders>
              <w:bottom w:val="single" w:sz="8" w:color="F2F2F2"/>
            </w:tcBorders>
            <w:shd w:val="clear" w:color="auto" w:fill="F2F2F2"/>
          </w:tcPr>
          <w:p>
            <w:pPr>
              <w:ind w:left="120"/>
              <w:spacing w:after="0"/>
              <w:rPr>
                <w:sz w:val="20"/>
                <w:szCs w:val="20"/>
                <w:color w:val="auto"/>
              </w:rPr>
            </w:pPr>
            <w:r>
              <w:rPr>
                <w:rFonts w:ascii="Arial" w:cs="Arial" w:eastAsia="Arial" w:hAnsi="Arial"/>
                <w:sz w:val="14"/>
                <w:szCs w:val="14"/>
                <w:b w:val="1"/>
                <w:bCs w:val="1"/>
                <w:color w:val="auto"/>
              </w:rPr>
              <w:t>Named Executive Ofcer</w:t>
            </w:r>
          </w:p>
        </w:tc>
        <w:tc>
          <w:tcPr>
            <w:tcW w:w="340" w:type="dxa"/>
            <w:vAlign w:val="bottom"/>
            <w:tcBorders>
              <w:bottom w:val="single" w:sz="8" w:color="F2F2F2"/>
            </w:tcBorders>
            <w:shd w:val="clear" w:color="auto" w:fill="F2F2F2"/>
          </w:tcPr>
          <w:p>
            <w:pPr>
              <w:spacing w:after="0"/>
              <w:rPr>
                <w:sz w:val="19"/>
                <w:szCs w:val="19"/>
                <w:color w:val="auto"/>
              </w:rPr>
            </w:pPr>
          </w:p>
        </w:tc>
        <w:tc>
          <w:tcPr>
            <w:tcW w:w="2760" w:type="dxa"/>
            <w:vAlign w:val="bottom"/>
            <w:tcBorders>
              <w:bottom w:val="single" w:sz="8" w:color="F2F2F2"/>
            </w:tcBorders>
            <w:shd w:val="clear" w:color="auto" w:fill="F2F2F2"/>
          </w:tcPr>
          <w:p>
            <w:pPr>
              <w:jc w:val="center"/>
              <w:ind w:left="162"/>
              <w:spacing w:after="0"/>
              <w:rPr>
                <w:sz w:val="20"/>
                <w:szCs w:val="20"/>
                <w:color w:val="auto"/>
              </w:rPr>
            </w:pPr>
            <w:r>
              <w:rPr>
                <w:rFonts w:ascii="Arial" w:cs="Arial" w:eastAsia="Arial" w:hAnsi="Arial"/>
                <w:sz w:val="14"/>
                <w:szCs w:val="14"/>
                <w:b w:val="1"/>
                <w:bCs w:val="1"/>
                <w:color w:val="auto"/>
              </w:rPr>
              <w:t>(Multiple of Salary)</w:t>
            </w:r>
          </w:p>
        </w:tc>
        <w:tc>
          <w:tcPr>
            <w:tcW w:w="320" w:type="dxa"/>
            <w:vAlign w:val="bottom"/>
            <w:tcBorders>
              <w:bottom w:val="single" w:sz="8" w:color="F2F2F2"/>
            </w:tcBorders>
            <w:shd w:val="clear" w:color="auto" w:fill="F2F2F2"/>
          </w:tcPr>
          <w:p>
            <w:pPr>
              <w:spacing w:after="0"/>
              <w:rPr>
                <w:sz w:val="19"/>
                <w:szCs w:val="19"/>
                <w:color w:val="auto"/>
              </w:rPr>
            </w:pPr>
          </w:p>
        </w:tc>
      </w:tr>
      <w:tr>
        <w:trPr>
          <w:trHeight w:val="216"/>
        </w:trPr>
        <w:tc>
          <w:tcPr>
            <w:tcW w:w="6640" w:type="dxa"/>
            <w:vAlign w:val="bottom"/>
            <w:tcBorders>
              <w:bottom w:val="single" w:sz="8" w:color="808080"/>
            </w:tcBorders>
            <w:gridSpan w:val="2"/>
          </w:tcPr>
          <w:p>
            <w:pPr>
              <w:ind w:left="120"/>
              <w:spacing w:after="0"/>
              <w:rPr>
                <w:sz w:val="20"/>
                <w:szCs w:val="20"/>
                <w:color w:val="auto"/>
              </w:rPr>
            </w:pPr>
            <w:r>
              <w:rPr>
                <w:rFonts w:ascii="Arial" w:cs="Arial" w:eastAsia="Arial" w:hAnsi="Arial"/>
                <w:sz w:val="16"/>
                <w:szCs w:val="16"/>
                <w:color w:val="auto"/>
              </w:rPr>
              <w:t>Scott  Kirby</w:t>
            </w:r>
          </w:p>
        </w:tc>
        <w:tc>
          <w:tcPr>
            <w:tcW w:w="2760" w:type="dxa"/>
            <w:vAlign w:val="bottom"/>
            <w:tcBorders>
              <w:bottom w:val="single" w:sz="8" w:color="808080"/>
            </w:tcBorders>
          </w:tcPr>
          <w:p>
            <w:pPr>
              <w:jc w:val="center"/>
              <w:ind w:left="142"/>
              <w:spacing w:after="0"/>
              <w:rPr>
                <w:sz w:val="20"/>
                <w:szCs w:val="20"/>
                <w:color w:val="auto"/>
              </w:rPr>
            </w:pPr>
            <w:r>
              <w:rPr>
                <w:rFonts w:ascii="Arial" w:cs="Arial" w:eastAsia="Arial" w:hAnsi="Arial"/>
                <w:sz w:val="16"/>
                <w:szCs w:val="16"/>
                <w:color w:val="auto"/>
                <w:w w:val="99"/>
              </w:rPr>
              <w:t>6.0x</w:t>
            </w:r>
          </w:p>
        </w:tc>
        <w:tc>
          <w:tcPr>
            <w:tcW w:w="320" w:type="dxa"/>
            <w:vAlign w:val="bottom"/>
            <w:tcBorders>
              <w:bottom w:val="single" w:sz="8" w:color="808080"/>
            </w:tcBorders>
          </w:tcPr>
          <w:p>
            <w:pPr>
              <w:spacing w:after="0"/>
              <w:rPr>
                <w:sz w:val="18"/>
                <w:szCs w:val="18"/>
                <w:color w:val="auto"/>
              </w:rPr>
            </w:pPr>
          </w:p>
        </w:tc>
      </w:tr>
      <w:tr>
        <w:trPr>
          <w:trHeight w:val="209"/>
        </w:trPr>
        <w:tc>
          <w:tcPr>
            <w:tcW w:w="6640" w:type="dxa"/>
            <w:vAlign w:val="bottom"/>
            <w:tcBorders>
              <w:bottom w:val="single" w:sz="8" w:color="808080"/>
            </w:tcBorders>
            <w:gridSpan w:val="2"/>
          </w:tcPr>
          <w:p>
            <w:pPr>
              <w:ind w:left="120"/>
              <w:spacing w:after="0"/>
              <w:rPr>
                <w:sz w:val="20"/>
                <w:szCs w:val="20"/>
                <w:color w:val="auto"/>
              </w:rPr>
            </w:pPr>
            <w:r>
              <w:rPr>
                <w:rFonts w:ascii="Arial" w:cs="Arial" w:eastAsia="Arial" w:hAnsi="Arial"/>
                <w:sz w:val="16"/>
                <w:szCs w:val="16"/>
                <w:color w:val="auto"/>
              </w:rPr>
              <w:t>Brett  Hart</w:t>
            </w:r>
          </w:p>
        </w:tc>
        <w:tc>
          <w:tcPr>
            <w:tcW w:w="2760" w:type="dxa"/>
            <w:vAlign w:val="bottom"/>
            <w:tcBorders>
              <w:bottom w:val="single" w:sz="8" w:color="808080"/>
            </w:tcBorders>
          </w:tcPr>
          <w:p>
            <w:pPr>
              <w:jc w:val="center"/>
              <w:ind w:left="142"/>
              <w:spacing w:after="0"/>
              <w:rPr>
                <w:sz w:val="20"/>
                <w:szCs w:val="20"/>
                <w:color w:val="auto"/>
              </w:rPr>
            </w:pPr>
            <w:r>
              <w:rPr>
                <w:rFonts w:ascii="Arial" w:cs="Arial" w:eastAsia="Arial" w:hAnsi="Arial"/>
                <w:sz w:val="16"/>
                <w:szCs w:val="16"/>
                <w:color w:val="auto"/>
                <w:w w:val="99"/>
              </w:rPr>
              <w:t>4.0x</w:t>
            </w:r>
          </w:p>
        </w:tc>
        <w:tc>
          <w:tcPr>
            <w:tcW w:w="320" w:type="dxa"/>
            <w:vAlign w:val="bottom"/>
            <w:tcBorders>
              <w:bottom w:val="single" w:sz="8" w:color="808080"/>
            </w:tcBorders>
          </w:tcPr>
          <w:p>
            <w:pPr>
              <w:spacing w:after="0"/>
              <w:rPr>
                <w:sz w:val="18"/>
                <w:szCs w:val="18"/>
                <w:color w:val="auto"/>
              </w:rPr>
            </w:pPr>
          </w:p>
        </w:tc>
      </w:tr>
      <w:tr>
        <w:trPr>
          <w:trHeight w:val="210"/>
        </w:trPr>
        <w:tc>
          <w:tcPr>
            <w:tcW w:w="6640" w:type="dxa"/>
            <w:vAlign w:val="bottom"/>
            <w:tcBorders>
              <w:bottom w:val="single" w:sz="8" w:color="808080"/>
            </w:tcBorders>
            <w:gridSpan w:val="2"/>
          </w:tcPr>
          <w:p>
            <w:pPr>
              <w:ind w:left="120"/>
              <w:spacing w:after="0"/>
              <w:rPr>
                <w:sz w:val="20"/>
                <w:szCs w:val="20"/>
                <w:color w:val="auto"/>
              </w:rPr>
            </w:pPr>
            <w:r>
              <w:rPr>
                <w:rFonts w:ascii="Arial" w:cs="Arial" w:eastAsia="Arial" w:hAnsi="Arial"/>
                <w:sz w:val="16"/>
                <w:szCs w:val="16"/>
                <w:color w:val="auto"/>
              </w:rPr>
              <w:t>Torbjorn  Enqvist</w:t>
            </w:r>
          </w:p>
        </w:tc>
        <w:tc>
          <w:tcPr>
            <w:tcW w:w="2760" w:type="dxa"/>
            <w:vAlign w:val="bottom"/>
            <w:tcBorders>
              <w:bottom w:val="single" w:sz="8" w:color="808080"/>
            </w:tcBorders>
          </w:tcPr>
          <w:p>
            <w:pPr>
              <w:jc w:val="center"/>
              <w:ind w:left="142"/>
              <w:spacing w:after="0"/>
              <w:rPr>
                <w:sz w:val="20"/>
                <w:szCs w:val="20"/>
                <w:color w:val="auto"/>
              </w:rPr>
            </w:pPr>
            <w:r>
              <w:rPr>
                <w:rFonts w:ascii="Arial" w:cs="Arial" w:eastAsia="Arial" w:hAnsi="Arial"/>
                <w:sz w:val="16"/>
                <w:szCs w:val="16"/>
                <w:color w:val="auto"/>
                <w:w w:val="99"/>
              </w:rPr>
              <w:t>3.0x</w:t>
            </w:r>
          </w:p>
        </w:tc>
        <w:tc>
          <w:tcPr>
            <w:tcW w:w="320" w:type="dxa"/>
            <w:vAlign w:val="bottom"/>
            <w:tcBorders>
              <w:bottom w:val="single" w:sz="8" w:color="808080"/>
            </w:tcBorders>
          </w:tcPr>
          <w:p>
            <w:pPr>
              <w:spacing w:after="0"/>
              <w:rPr>
                <w:sz w:val="18"/>
                <w:szCs w:val="18"/>
                <w:color w:val="auto"/>
              </w:rPr>
            </w:pPr>
          </w:p>
        </w:tc>
      </w:tr>
      <w:tr>
        <w:trPr>
          <w:trHeight w:val="210"/>
        </w:trPr>
        <w:tc>
          <w:tcPr>
            <w:tcW w:w="6640" w:type="dxa"/>
            <w:vAlign w:val="bottom"/>
            <w:tcBorders>
              <w:bottom w:val="single" w:sz="8" w:color="808080"/>
            </w:tcBorders>
            <w:gridSpan w:val="2"/>
          </w:tcPr>
          <w:p>
            <w:pPr>
              <w:ind w:left="120"/>
              <w:spacing w:after="0"/>
              <w:rPr>
                <w:sz w:val="20"/>
                <w:szCs w:val="20"/>
                <w:color w:val="auto"/>
              </w:rPr>
            </w:pPr>
            <w:r>
              <w:rPr>
                <w:rFonts w:ascii="Arial" w:cs="Arial" w:eastAsia="Arial" w:hAnsi="Arial"/>
                <w:sz w:val="16"/>
                <w:szCs w:val="16"/>
                <w:color w:val="auto"/>
              </w:rPr>
              <w:t>Andrew  Nocella</w:t>
            </w:r>
          </w:p>
        </w:tc>
        <w:tc>
          <w:tcPr>
            <w:tcW w:w="2760" w:type="dxa"/>
            <w:vAlign w:val="bottom"/>
            <w:tcBorders>
              <w:bottom w:val="single" w:sz="8" w:color="808080"/>
            </w:tcBorders>
          </w:tcPr>
          <w:p>
            <w:pPr>
              <w:jc w:val="center"/>
              <w:ind w:left="142"/>
              <w:spacing w:after="0"/>
              <w:rPr>
                <w:sz w:val="20"/>
                <w:szCs w:val="20"/>
                <w:color w:val="auto"/>
              </w:rPr>
            </w:pPr>
            <w:r>
              <w:rPr>
                <w:rFonts w:ascii="Arial" w:cs="Arial" w:eastAsia="Arial" w:hAnsi="Arial"/>
                <w:sz w:val="16"/>
                <w:szCs w:val="16"/>
                <w:color w:val="auto"/>
                <w:w w:val="99"/>
              </w:rPr>
              <w:t>3.0x</w:t>
            </w:r>
          </w:p>
        </w:tc>
        <w:tc>
          <w:tcPr>
            <w:tcW w:w="320" w:type="dxa"/>
            <w:vAlign w:val="bottom"/>
            <w:tcBorders>
              <w:bottom w:val="single" w:sz="8" w:color="808080"/>
            </w:tcBorders>
          </w:tcPr>
          <w:p>
            <w:pPr>
              <w:spacing w:after="0"/>
              <w:rPr>
                <w:sz w:val="18"/>
                <w:szCs w:val="18"/>
                <w:color w:val="auto"/>
              </w:rPr>
            </w:pPr>
          </w:p>
        </w:tc>
      </w:tr>
      <w:tr>
        <w:trPr>
          <w:trHeight w:val="210"/>
        </w:trPr>
        <w:tc>
          <w:tcPr>
            <w:tcW w:w="6640" w:type="dxa"/>
            <w:vAlign w:val="bottom"/>
            <w:tcBorders>
              <w:bottom w:val="single" w:sz="8" w:color="808080"/>
            </w:tcBorders>
            <w:gridSpan w:val="2"/>
          </w:tcPr>
          <w:p>
            <w:pPr>
              <w:ind w:left="120"/>
              <w:spacing w:after="0"/>
              <w:rPr>
                <w:sz w:val="20"/>
                <w:szCs w:val="20"/>
                <w:color w:val="auto"/>
              </w:rPr>
            </w:pPr>
            <w:r>
              <w:rPr>
                <w:rFonts w:ascii="Arial" w:cs="Arial" w:eastAsia="Arial" w:hAnsi="Arial"/>
                <w:sz w:val="16"/>
                <w:szCs w:val="16"/>
                <w:color w:val="auto"/>
              </w:rPr>
              <w:t>Michael  Leskinen</w:t>
            </w:r>
          </w:p>
        </w:tc>
        <w:tc>
          <w:tcPr>
            <w:tcW w:w="2760" w:type="dxa"/>
            <w:vAlign w:val="bottom"/>
            <w:tcBorders>
              <w:bottom w:val="single" w:sz="8" w:color="808080"/>
            </w:tcBorders>
          </w:tcPr>
          <w:p>
            <w:pPr>
              <w:jc w:val="center"/>
              <w:ind w:left="142"/>
              <w:spacing w:after="0"/>
              <w:rPr>
                <w:sz w:val="20"/>
                <w:szCs w:val="20"/>
                <w:color w:val="auto"/>
              </w:rPr>
            </w:pPr>
            <w:r>
              <w:rPr>
                <w:rFonts w:ascii="Arial" w:cs="Arial" w:eastAsia="Arial" w:hAnsi="Arial"/>
                <w:sz w:val="16"/>
                <w:szCs w:val="16"/>
                <w:color w:val="auto"/>
                <w:w w:val="99"/>
              </w:rPr>
              <w:t>3.0x</w:t>
            </w:r>
          </w:p>
        </w:tc>
        <w:tc>
          <w:tcPr>
            <w:tcW w:w="320" w:type="dxa"/>
            <w:vAlign w:val="bottom"/>
            <w:tcBorders>
              <w:bottom w:val="single" w:sz="8" w:color="808080"/>
            </w:tcBorders>
          </w:tcPr>
          <w:p>
            <w:pPr>
              <w:spacing w:after="0"/>
              <w:rPr>
                <w:sz w:val="18"/>
                <w:szCs w:val="18"/>
                <w:color w:val="auto"/>
              </w:rPr>
            </w:pPr>
          </w:p>
        </w:tc>
      </w:tr>
    </w:tbl>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426"/>
        </w:trPr>
        <w:tc>
          <w:tcPr>
            <w:tcW w:w="4860" w:type="dxa"/>
            <w:vAlign w:val="bottom"/>
            <w:gridSpan w:val="2"/>
            <w:shd w:val="clear" w:color="auto" w:fill="1414D2"/>
          </w:tcPr>
          <w:p>
            <w:pPr>
              <w:ind w:left="620"/>
              <w:spacing w:after="0"/>
              <w:rPr>
                <w:sz w:val="20"/>
                <w:szCs w:val="20"/>
                <w:color w:val="auto"/>
              </w:rPr>
            </w:pPr>
            <w:r>
              <w:rPr>
                <w:rFonts w:ascii="Arial" w:cs="Arial" w:eastAsia="Arial" w:hAnsi="Arial"/>
                <w:sz w:val="16"/>
                <w:szCs w:val="16"/>
                <w:b w:val="1"/>
                <w:bCs w:val="1"/>
                <w:color w:val="FFFFFF"/>
              </w:rPr>
              <w:t>WHAT COUNTS AS OWNERSHIP</w:t>
            </w:r>
          </w:p>
        </w:tc>
        <w:tc>
          <w:tcPr>
            <w:tcW w:w="480" w:type="dxa"/>
            <w:vAlign w:val="bottom"/>
          </w:tcPr>
          <w:p>
            <w:pPr>
              <w:spacing w:after="0"/>
              <w:rPr>
                <w:sz w:val="24"/>
                <w:szCs w:val="24"/>
                <w:color w:val="auto"/>
              </w:rPr>
            </w:pPr>
          </w:p>
        </w:tc>
        <w:tc>
          <w:tcPr>
            <w:tcW w:w="4380" w:type="dxa"/>
            <w:vAlign w:val="bottom"/>
            <w:gridSpan w:val="2"/>
            <w:shd w:val="clear" w:color="auto" w:fill="000000"/>
          </w:tcPr>
          <w:p>
            <w:pPr>
              <w:ind w:left="620"/>
              <w:spacing w:after="0"/>
              <w:rPr>
                <w:sz w:val="20"/>
                <w:szCs w:val="20"/>
                <w:color w:val="auto"/>
              </w:rPr>
            </w:pPr>
            <w:r>
              <w:rPr>
                <w:rFonts w:ascii="Arial" w:cs="Arial" w:eastAsia="Arial" w:hAnsi="Arial"/>
                <w:sz w:val="16"/>
                <w:szCs w:val="16"/>
                <w:b w:val="1"/>
                <w:bCs w:val="1"/>
                <w:color w:val="FFFFFF"/>
              </w:rPr>
              <w:t>WHAT DOES NOT COUNT AS OWNERSHIP</w:t>
            </w:r>
          </w:p>
        </w:tc>
      </w:tr>
      <w:tr>
        <w:trPr>
          <w:trHeight w:val="419"/>
        </w:trPr>
        <w:tc>
          <w:tcPr>
            <w:tcW w:w="4860" w:type="dxa"/>
            <w:vAlign w:val="bottom"/>
            <w:gridSpan w:val="2"/>
            <w:shd w:val="clear" w:color="auto" w:fill="1414D2"/>
          </w:tcPr>
          <w:p>
            <w:pPr>
              <w:ind w:left="620"/>
              <w:spacing w:after="0"/>
              <w:rPr>
                <w:sz w:val="20"/>
                <w:szCs w:val="20"/>
                <w:color w:val="auto"/>
              </w:rPr>
            </w:pPr>
            <w:r>
              <w:rPr>
                <w:rFonts w:ascii="Times New Roman" w:cs="Times New Roman" w:eastAsia="Times New Roman" w:hAnsi="Times New Roman"/>
                <w:sz w:val="16"/>
                <w:szCs w:val="16"/>
                <w:color w:val="FFFFFF"/>
                <w:w w:val="99"/>
              </w:rPr>
              <w:t>●</w:t>
            </w:r>
            <w:r>
              <w:rPr>
                <w:rFonts w:ascii="Arial" w:cs="Arial" w:eastAsia="Arial" w:hAnsi="Arial"/>
                <w:sz w:val="16"/>
                <w:szCs w:val="16"/>
                <w:color w:val="FFFFFF"/>
                <w:w w:val="99"/>
              </w:rPr>
              <w:t>Shares  owned  outright  by  the  executive</w:t>
            </w:r>
          </w:p>
        </w:tc>
        <w:tc>
          <w:tcPr>
            <w:tcW w:w="480" w:type="dxa"/>
            <w:vAlign w:val="bottom"/>
          </w:tcPr>
          <w:p>
            <w:pPr>
              <w:spacing w:after="0"/>
              <w:rPr>
                <w:sz w:val="24"/>
                <w:szCs w:val="24"/>
                <w:color w:val="auto"/>
              </w:rPr>
            </w:pPr>
          </w:p>
        </w:tc>
        <w:tc>
          <w:tcPr>
            <w:tcW w:w="820" w:type="dxa"/>
            <w:vAlign w:val="bottom"/>
            <w:shd w:val="clear" w:color="auto" w:fill="000000"/>
          </w:tcPr>
          <w:p>
            <w:pPr>
              <w:ind w:left="620"/>
              <w:spacing w:after="0"/>
              <w:rPr>
                <w:sz w:val="20"/>
                <w:szCs w:val="20"/>
                <w:color w:val="auto"/>
              </w:rPr>
            </w:pPr>
            <w:r>
              <w:rPr>
                <w:rFonts w:ascii="Times New Roman" w:cs="Times New Roman" w:eastAsia="Times New Roman" w:hAnsi="Times New Roman"/>
                <w:sz w:val="16"/>
                <w:szCs w:val="16"/>
                <w:color w:val="FFFFFF"/>
              </w:rPr>
              <w:t>●</w:t>
            </w:r>
          </w:p>
        </w:tc>
        <w:tc>
          <w:tcPr>
            <w:tcW w:w="3560" w:type="dxa"/>
            <w:vAlign w:val="bottom"/>
            <w:shd w:val="clear" w:color="auto" w:fill="000000"/>
          </w:tcPr>
          <w:p>
            <w:pPr>
              <w:ind w:left="120"/>
              <w:spacing w:after="0"/>
              <w:rPr>
                <w:sz w:val="20"/>
                <w:szCs w:val="20"/>
                <w:color w:val="auto"/>
              </w:rPr>
            </w:pPr>
            <w:r>
              <w:rPr>
                <w:rFonts w:ascii="Arial" w:cs="Arial" w:eastAsia="Arial" w:hAnsi="Arial"/>
                <w:sz w:val="16"/>
                <w:szCs w:val="16"/>
                <w:color w:val="FFFFFF"/>
              </w:rPr>
              <w:t>Unexercised  stock  options</w:t>
            </w:r>
          </w:p>
        </w:tc>
      </w:tr>
      <w:tr>
        <w:trPr>
          <w:trHeight w:val="251"/>
        </w:trPr>
        <w:tc>
          <w:tcPr>
            <w:tcW w:w="820" w:type="dxa"/>
            <w:vAlign w:val="bottom"/>
            <w:shd w:val="clear" w:color="auto" w:fill="1414D2"/>
          </w:tcPr>
          <w:p>
            <w:pPr>
              <w:ind w:left="620"/>
              <w:spacing w:after="0"/>
              <w:rPr>
                <w:sz w:val="20"/>
                <w:szCs w:val="20"/>
                <w:color w:val="auto"/>
              </w:rPr>
            </w:pPr>
            <w:r>
              <w:rPr>
                <w:rFonts w:ascii="Times New Roman" w:cs="Times New Roman" w:eastAsia="Times New Roman" w:hAnsi="Times New Roman"/>
                <w:sz w:val="16"/>
                <w:szCs w:val="16"/>
                <w:color w:val="FFFFFF"/>
              </w:rPr>
              <w:t>●</w:t>
            </w:r>
          </w:p>
        </w:tc>
        <w:tc>
          <w:tcPr>
            <w:tcW w:w="4040" w:type="dxa"/>
            <w:vAlign w:val="bottom"/>
            <w:shd w:val="clear" w:color="auto" w:fill="1414D2"/>
          </w:tcPr>
          <w:p>
            <w:pPr>
              <w:ind w:left="120"/>
              <w:spacing w:after="0"/>
              <w:rPr>
                <w:sz w:val="20"/>
                <w:szCs w:val="20"/>
                <w:color w:val="auto"/>
              </w:rPr>
            </w:pPr>
            <w:r>
              <w:rPr>
                <w:rFonts w:ascii="Arial" w:cs="Arial" w:eastAsia="Arial" w:hAnsi="Arial"/>
                <w:sz w:val="16"/>
                <w:szCs w:val="16"/>
                <w:color w:val="FFFFFF"/>
              </w:rPr>
              <w:t>Outstanding  time-based  RSU  awards  that  will</w:t>
            </w:r>
          </w:p>
        </w:tc>
        <w:tc>
          <w:tcPr>
            <w:tcW w:w="480" w:type="dxa"/>
            <w:vAlign w:val="bottom"/>
          </w:tcPr>
          <w:p>
            <w:pPr>
              <w:spacing w:after="0"/>
              <w:rPr>
                <w:sz w:val="21"/>
                <w:szCs w:val="21"/>
                <w:color w:val="auto"/>
              </w:rPr>
            </w:pPr>
          </w:p>
        </w:tc>
        <w:tc>
          <w:tcPr>
            <w:tcW w:w="820" w:type="dxa"/>
            <w:vAlign w:val="bottom"/>
            <w:shd w:val="clear" w:color="auto" w:fill="000000"/>
          </w:tcPr>
          <w:p>
            <w:pPr>
              <w:ind w:left="620"/>
              <w:spacing w:after="0"/>
              <w:rPr>
                <w:sz w:val="20"/>
                <w:szCs w:val="20"/>
                <w:color w:val="auto"/>
              </w:rPr>
            </w:pPr>
            <w:r>
              <w:rPr>
                <w:rFonts w:ascii="Times New Roman" w:cs="Times New Roman" w:eastAsia="Times New Roman" w:hAnsi="Times New Roman"/>
                <w:sz w:val="16"/>
                <w:szCs w:val="16"/>
                <w:color w:val="FFFFFF"/>
              </w:rPr>
              <w:t>●</w:t>
            </w:r>
          </w:p>
        </w:tc>
        <w:tc>
          <w:tcPr>
            <w:tcW w:w="3560" w:type="dxa"/>
            <w:vAlign w:val="bottom"/>
            <w:shd w:val="clear" w:color="auto" w:fill="000000"/>
          </w:tcPr>
          <w:p>
            <w:pPr>
              <w:ind w:left="120"/>
              <w:spacing w:after="0"/>
              <w:rPr>
                <w:sz w:val="20"/>
                <w:szCs w:val="20"/>
                <w:color w:val="auto"/>
              </w:rPr>
            </w:pPr>
            <w:r>
              <w:rPr>
                <w:rFonts w:ascii="Arial" w:cs="Arial" w:eastAsia="Arial" w:hAnsi="Arial"/>
                <w:sz w:val="16"/>
                <w:szCs w:val="16"/>
                <w:color w:val="FFFFFF"/>
              </w:rPr>
              <w:t>Unvested  Performance-Based  RSUs</w:t>
            </w:r>
          </w:p>
        </w:tc>
      </w:tr>
      <w:tr>
        <w:trPr>
          <w:trHeight w:val="235"/>
        </w:trPr>
        <w:tc>
          <w:tcPr>
            <w:tcW w:w="820" w:type="dxa"/>
            <w:vAlign w:val="bottom"/>
            <w:shd w:val="clear" w:color="auto" w:fill="1414D2"/>
          </w:tcPr>
          <w:p>
            <w:pPr>
              <w:spacing w:after="0"/>
              <w:rPr>
                <w:sz w:val="20"/>
                <w:szCs w:val="20"/>
                <w:color w:val="auto"/>
              </w:rPr>
            </w:pPr>
          </w:p>
        </w:tc>
        <w:tc>
          <w:tcPr>
            <w:tcW w:w="4040" w:type="dxa"/>
            <w:vAlign w:val="bottom"/>
            <w:shd w:val="clear" w:color="auto" w:fill="1414D2"/>
          </w:tcPr>
          <w:p>
            <w:pPr>
              <w:ind w:left="120"/>
              <w:spacing w:after="0"/>
              <w:rPr>
                <w:sz w:val="20"/>
                <w:szCs w:val="20"/>
                <w:color w:val="auto"/>
              </w:rPr>
            </w:pPr>
            <w:r>
              <w:rPr>
                <w:rFonts w:ascii="Arial" w:cs="Arial" w:eastAsia="Arial" w:hAnsi="Arial"/>
                <w:sz w:val="16"/>
                <w:szCs w:val="16"/>
                <w:color w:val="FFFFFF"/>
              </w:rPr>
              <w:t>settle  in  shares  of  Common  Stock</w:t>
            </w:r>
          </w:p>
        </w:tc>
        <w:tc>
          <w:tcPr>
            <w:tcW w:w="480" w:type="dxa"/>
            <w:vAlign w:val="bottom"/>
          </w:tcPr>
          <w:p>
            <w:pPr>
              <w:spacing w:after="0"/>
              <w:rPr>
                <w:sz w:val="20"/>
                <w:szCs w:val="20"/>
                <w:color w:val="auto"/>
              </w:rPr>
            </w:pPr>
          </w:p>
        </w:tc>
        <w:tc>
          <w:tcPr>
            <w:tcW w:w="820" w:type="dxa"/>
            <w:vAlign w:val="bottom"/>
            <w:shd w:val="clear" w:color="auto" w:fill="000000"/>
          </w:tcPr>
          <w:p>
            <w:pPr>
              <w:spacing w:after="0"/>
              <w:rPr>
                <w:sz w:val="20"/>
                <w:szCs w:val="20"/>
                <w:color w:val="auto"/>
              </w:rPr>
            </w:pPr>
          </w:p>
        </w:tc>
        <w:tc>
          <w:tcPr>
            <w:tcW w:w="3560" w:type="dxa"/>
            <w:vAlign w:val="bottom"/>
            <w:shd w:val="clear" w:color="auto" w:fill="000000"/>
          </w:tcPr>
          <w:p>
            <w:pPr>
              <w:spacing w:after="0"/>
              <w:rPr>
                <w:sz w:val="20"/>
                <w:szCs w:val="20"/>
                <w:color w:val="auto"/>
              </w:rPr>
            </w:pPr>
          </w:p>
        </w:tc>
      </w:tr>
      <w:tr>
        <w:trPr>
          <w:trHeight w:val="270"/>
        </w:trPr>
        <w:tc>
          <w:tcPr>
            <w:tcW w:w="820" w:type="dxa"/>
            <w:vAlign w:val="bottom"/>
            <w:shd w:val="clear" w:color="auto" w:fill="1414D2"/>
          </w:tcPr>
          <w:p>
            <w:pPr>
              <w:ind w:left="620"/>
              <w:spacing w:after="0"/>
              <w:rPr>
                <w:sz w:val="20"/>
                <w:szCs w:val="20"/>
                <w:color w:val="auto"/>
              </w:rPr>
            </w:pPr>
            <w:r>
              <w:rPr>
                <w:rFonts w:ascii="Times New Roman" w:cs="Times New Roman" w:eastAsia="Times New Roman" w:hAnsi="Times New Roman"/>
                <w:sz w:val="16"/>
                <w:szCs w:val="16"/>
                <w:color w:val="FFFFFF"/>
              </w:rPr>
              <w:t>●</w:t>
            </w:r>
          </w:p>
        </w:tc>
        <w:tc>
          <w:tcPr>
            <w:tcW w:w="4040" w:type="dxa"/>
            <w:vAlign w:val="bottom"/>
            <w:shd w:val="clear" w:color="auto" w:fill="1414D2"/>
          </w:tcPr>
          <w:p>
            <w:pPr>
              <w:ind w:left="120"/>
              <w:spacing w:after="0"/>
              <w:rPr>
                <w:sz w:val="20"/>
                <w:szCs w:val="20"/>
                <w:color w:val="auto"/>
              </w:rPr>
            </w:pPr>
            <w:r>
              <w:rPr>
                <w:rFonts w:ascii="Arial" w:cs="Arial" w:eastAsia="Arial" w:hAnsi="Arial"/>
                <w:sz w:val="16"/>
                <w:szCs w:val="16"/>
                <w:color w:val="FFFFFF"/>
              </w:rPr>
              <w:t>Restricted  stock  awards</w:t>
            </w:r>
          </w:p>
        </w:tc>
        <w:tc>
          <w:tcPr>
            <w:tcW w:w="480" w:type="dxa"/>
            <w:vAlign w:val="bottom"/>
          </w:tcPr>
          <w:p>
            <w:pPr>
              <w:spacing w:after="0"/>
              <w:rPr>
                <w:sz w:val="23"/>
                <w:szCs w:val="23"/>
                <w:color w:val="auto"/>
              </w:rPr>
            </w:pPr>
          </w:p>
        </w:tc>
        <w:tc>
          <w:tcPr>
            <w:tcW w:w="820" w:type="dxa"/>
            <w:vAlign w:val="bottom"/>
            <w:shd w:val="clear" w:color="auto" w:fill="000000"/>
          </w:tcPr>
          <w:p>
            <w:pPr>
              <w:spacing w:after="0"/>
              <w:rPr>
                <w:sz w:val="23"/>
                <w:szCs w:val="23"/>
                <w:color w:val="auto"/>
              </w:rPr>
            </w:pPr>
          </w:p>
        </w:tc>
        <w:tc>
          <w:tcPr>
            <w:tcW w:w="3560" w:type="dxa"/>
            <w:vAlign w:val="bottom"/>
            <w:shd w:val="clear" w:color="auto" w:fill="000000"/>
          </w:tcPr>
          <w:p>
            <w:pPr>
              <w:spacing w:after="0"/>
              <w:rPr>
                <w:sz w:val="23"/>
                <w:szCs w:val="23"/>
                <w:color w:val="auto"/>
              </w:rPr>
            </w:pPr>
          </w:p>
        </w:tc>
      </w:tr>
      <w:tr>
        <w:trPr>
          <w:trHeight w:val="235"/>
        </w:trPr>
        <w:tc>
          <w:tcPr>
            <w:tcW w:w="820" w:type="dxa"/>
            <w:vAlign w:val="bottom"/>
            <w:shd w:val="clear" w:color="auto" w:fill="1414D2"/>
          </w:tcPr>
          <w:p>
            <w:pPr>
              <w:spacing w:after="0"/>
              <w:rPr>
                <w:sz w:val="20"/>
                <w:szCs w:val="20"/>
                <w:color w:val="auto"/>
              </w:rPr>
            </w:pPr>
          </w:p>
        </w:tc>
        <w:tc>
          <w:tcPr>
            <w:tcW w:w="4040" w:type="dxa"/>
            <w:vAlign w:val="bottom"/>
            <w:shd w:val="clear" w:color="auto" w:fill="1414D2"/>
          </w:tcPr>
          <w:p>
            <w:pPr>
              <w:spacing w:after="0"/>
              <w:rPr>
                <w:sz w:val="20"/>
                <w:szCs w:val="20"/>
                <w:color w:val="auto"/>
              </w:rPr>
            </w:pPr>
          </w:p>
        </w:tc>
        <w:tc>
          <w:tcPr>
            <w:tcW w:w="480" w:type="dxa"/>
            <w:vAlign w:val="bottom"/>
          </w:tcPr>
          <w:p>
            <w:pPr>
              <w:spacing w:after="0"/>
              <w:rPr>
                <w:sz w:val="20"/>
                <w:szCs w:val="20"/>
                <w:color w:val="auto"/>
              </w:rPr>
            </w:pPr>
          </w:p>
        </w:tc>
        <w:tc>
          <w:tcPr>
            <w:tcW w:w="820" w:type="dxa"/>
            <w:vAlign w:val="bottom"/>
            <w:shd w:val="clear" w:color="auto" w:fill="000000"/>
          </w:tcPr>
          <w:p>
            <w:pPr>
              <w:spacing w:after="0"/>
              <w:rPr>
                <w:sz w:val="20"/>
                <w:szCs w:val="20"/>
                <w:color w:val="auto"/>
              </w:rPr>
            </w:pPr>
          </w:p>
        </w:tc>
        <w:tc>
          <w:tcPr>
            <w:tcW w:w="3560" w:type="dxa"/>
            <w:vAlign w:val="bottom"/>
            <w:shd w:val="clear" w:color="auto" w:fill="000000"/>
          </w:tcPr>
          <w:p>
            <w:pPr>
              <w:spacing w:after="0"/>
              <w:rPr>
                <w:sz w:val="20"/>
                <w:szCs w:val="20"/>
                <w:color w:val="auto"/>
              </w:rPr>
            </w:pPr>
          </w:p>
        </w:tc>
      </w:tr>
    </w:tbl>
    <w:p>
      <w:pPr>
        <w:spacing w:after="0" w:line="164" w:lineRule="exact"/>
        <w:rPr>
          <w:sz w:val="20"/>
          <w:szCs w:val="20"/>
          <w:color w:val="auto"/>
        </w:rPr>
      </w:pPr>
    </w:p>
    <w:p>
      <w:pPr>
        <w:ind w:right="800"/>
        <w:spacing w:after="0" w:line="313" w:lineRule="auto"/>
        <w:rPr>
          <w:sz w:val="20"/>
          <w:szCs w:val="20"/>
          <w:color w:val="auto"/>
        </w:rPr>
      </w:pPr>
      <w:r>
        <w:rPr>
          <w:rFonts w:ascii="Arial" w:cs="Arial" w:eastAsia="Arial" w:hAnsi="Arial"/>
          <w:sz w:val="16"/>
          <w:szCs w:val="16"/>
          <w:color w:val="auto"/>
          <w:highlight w:val="white"/>
        </w:rPr>
        <w:t>The Committee reviews compliance with these stock ownership guidelines annually. Based on the most recent annual evaluation, all of our NEOs are in compliance with the stock ownership guidelines.</w:t>
      </w:r>
    </w:p>
    <w:p>
      <w:pPr>
        <w:sectPr>
          <w:pgSz w:w="11900" w:h="16838" w:orient="portrait"/>
          <w:cols w:equalWidth="0" w:num="1">
            <w:col w:w="9720"/>
          </w:cols>
          <w:pgMar w:left="1080" w:top="695"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right"/>
        <w:ind w:right="7720"/>
        <w:spacing w:after="0"/>
        <w:rPr>
          <w:sz w:val="20"/>
          <w:szCs w:val="20"/>
          <w:color w:val="auto"/>
        </w:rPr>
      </w:pPr>
      <w:r>
        <w:rPr>
          <w:rFonts w:ascii="Arial" w:cs="Arial" w:eastAsia="Arial" w:hAnsi="Arial"/>
          <w:sz w:val="16"/>
          <w:szCs w:val="16"/>
          <w:color w:val="auto"/>
        </w:rPr>
        <w:t>​​2026​  Proxy</w:t>
      </w:r>
    </w:p>
    <w:p>
      <w:pPr>
        <w:spacing w:after="0" w:line="5" w:lineRule="exact"/>
        <w:rPr>
          <w:sz w:val="20"/>
          <w:szCs w:val="20"/>
          <w:color w:val="auto"/>
        </w:rPr>
      </w:pPr>
    </w:p>
    <w:p>
      <w:pPr>
        <w:ind w:left="660" w:hanging="656"/>
        <w:spacing w:after="0"/>
        <w:tabs>
          <w:tab w:leader="none" w:pos="660" w:val="left"/>
        </w:tabs>
        <w:numPr>
          <w:ilvl w:val="0"/>
          <w:numId w:val="123"/>
        </w:numPr>
        <w:rPr>
          <w:rFonts w:ascii="Arial" w:cs="Arial" w:eastAsia="Arial" w:hAnsi="Arial"/>
          <w:sz w:val="16"/>
          <w:szCs w:val="16"/>
          <w:b w:val="1"/>
          <w:bCs w:val="1"/>
          <w:color w:val="1414D2"/>
        </w:rPr>
      </w:pPr>
      <w:r>
        <w:rPr>
          <w:rFonts w:ascii="Arial" w:cs="Arial" w:eastAsia="Arial" w:hAnsi="Arial"/>
          <w:sz w:val="16"/>
          <w:szCs w:val="16"/>
          <w:color w:val="auto"/>
        </w:rPr>
        <w:t>Statement</w:t>
      </w:r>
    </w:p>
    <w:p>
      <w:pPr>
        <w:sectPr>
          <w:pgSz w:w="11900" w:h="16838" w:orient="portrait"/>
          <w:cols w:equalWidth="0" w:num="1">
            <w:col w:w="9720"/>
          </w:cols>
          <w:pgMar w:left="1080" w:top="695" w:right="1099" w:bottom="1440" w:gutter="0" w:footer="0" w:header="0"/>
          <w:type w:val="continuous"/>
        </w:sectPr>
      </w:pPr>
    </w:p>
    <w:bookmarkStart w:id="119" w:name="page120"/>
    <w:bookmarkEnd w:id="119"/>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27" w:lineRule="exact"/>
        <w:rPr>
          <w:sz w:val="20"/>
          <w:szCs w:val="20"/>
          <w:color w:val="auto"/>
        </w:rPr>
      </w:pPr>
    </w:p>
    <w:p>
      <w:pPr>
        <w:jc w:val="right"/>
        <w:spacing w:after="0"/>
        <w:rPr>
          <w:sz w:val="20"/>
          <w:szCs w:val="20"/>
          <w:color w:val="auto"/>
        </w:rPr>
      </w:pPr>
      <w:r>
        <w:rPr>
          <w:rFonts w:ascii="Arial" w:cs="Arial" w:eastAsia="Arial" w:hAnsi="Arial"/>
          <w:sz w:val="14"/>
          <w:szCs w:val="14"/>
          <w:color w:val="6D6F71"/>
        </w:rPr>
        <w:t>Compensation  Discussion  and  Analysis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POLICY PROHIBITING HEDGING AND PLEDGING</w:t>
      </w:r>
    </w:p>
    <w:p>
      <w:pPr>
        <w:spacing w:after="0" w:line="100" w:lineRule="exact"/>
        <w:rPr>
          <w:sz w:val="20"/>
          <w:szCs w:val="20"/>
          <w:color w:val="auto"/>
        </w:rPr>
      </w:pPr>
    </w:p>
    <w:p>
      <w:pPr>
        <w:ind w:right="80"/>
        <w:spacing w:after="0" w:line="255" w:lineRule="auto"/>
        <w:rPr>
          <w:sz w:val="20"/>
          <w:szCs w:val="20"/>
          <w:color w:val="auto"/>
        </w:rPr>
      </w:pPr>
      <w:r>
        <w:rPr>
          <w:rFonts w:ascii="Arial" w:cs="Arial" w:eastAsia="Arial" w:hAnsi="Arial"/>
          <w:sz w:val="16"/>
          <w:szCs w:val="16"/>
          <w:color w:val="auto"/>
        </w:rPr>
        <w:t>Under our Securities Trading Policy, ofcers, directors and all of our management and administrative employees are prohibited from engaging in speculative and derivative trading, short-selling or otherwise hedging our securities. This restriction includes</w:t>
      </w:r>
    </w:p>
    <w:p>
      <w:pPr>
        <w:spacing w:after="0" w:line="1" w:lineRule="exact"/>
        <w:rPr>
          <w:sz w:val="20"/>
          <w:szCs w:val="20"/>
          <w:color w:val="auto"/>
        </w:rPr>
      </w:pPr>
    </w:p>
    <w:p>
      <w:pPr>
        <w:ind w:right="80"/>
        <w:spacing w:after="0" w:line="268" w:lineRule="auto"/>
        <w:rPr>
          <w:sz w:val="20"/>
          <w:szCs w:val="20"/>
          <w:color w:val="auto"/>
        </w:rPr>
      </w:pPr>
      <w:r>
        <w:rPr>
          <w:rFonts w:ascii="Arial" w:cs="Arial" w:eastAsia="Arial" w:hAnsi="Arial"/>
          <w:sz w:val="16"/>
          <w:szCs w:val="16"/>
          <w:color w:val="auto"/>
        </w:rPr>
        <w:t>“short sales,” “short sales against the box,” the purchase and sale of “put” and “call” options, warrants and hedging transactions (such as forward-sale contracts, equity swaps, collars and exchange funds). Our ofcers, directors and management and administrative employees are also prohibited from pledging our securities. None of our directors or executive ofcers has pledged shares of our stock as collateral for a loan or holds shares of our stock in a margin account.</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ACCOUNTING CONSIDERATIONS</w:t>
      </w:r>
    </w:p>
    <w:p>
      <w:pPr>
        <w:spacing w:after="0" w:line="100" w:lineRule="exact"/>
        <w:rPr>
          <w:sz w:val="20"/>
          <w:szCs w:val="20"/>
          <w:color w:val="auto"/>
        </w:rPr>
      </w:pPr>
    </w:p>
    <w:p>
      <w:pPr>
        <w:ind w:right="360"/>
        <w:spacing w:after="0" w:line="255" w:lineRule="auto"/>
        <w:rPr>
          <w:sz w:val="20"/>
          <w:szCs w:val="20"/>
          <w:color w:val="auto"/>
        </w:rPr>
      </w:pPr>
      <w:r>
        <w:rPr>
          <w:rFonts w:ascii="Arial" w:cs="Arial" w:eastAsia="Arial" w:hAnsi="Arial"/>
          <w:sz w:val="16"/>
          <w:szCs w:val="16"/>
          <w:color w:val="auto"/>
        </w:rPr>
        <w:t>We account for stock-based compensation in accordance with FASB ASC Topic 718, which requires us to recognize compensation expense for share-based payments, including time-based RSUs, PBRSUs, shares of Common Stock and other</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forms  of  equity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2026  Proxy  Statement</w:t>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1414D2"/>
        </w:rPr>
        <w:t>109</w:t>
      </w:r>
    </w:p>
    <w:p>
      <w:pPr>
        <w:sectPr>
          <w:pgSz w:w="11900" w:h="16838" w:orient="portrait"/>
          <w:cols w:equalWidth="0" w:num="1">
            <w:col w:w="9720"/>
          </w:cols>
          <w:pgMar w:left="1080" w:top="695" w:right="1099" w:bottom="1440" w:gutter="0" w:footer="0" w:header="0"/>
        </w:sectPr>
      </w:pPr>
    </w:p>
    <w:bookmarkStart w:id="120" w:name="page121"/>
    <w:bookmarkEnd w:id="120"/>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6D6F71"/>
        </w:rPr>
        <w:t>Compensation  Discussion  and  Analysis</w:t>
      </w:r>
    </w:p>
    <w:p>
      <w:pPr>
        <w:spacing w:after="0" w:line="223" w:lineRule="exact"/>
        <w:rPr>
          <w:sz w:val="20"/>
          <w:szCs w:val="20"/>
          <w:color w:val="auto"/>
        </w:rPr>
      </w:pPr>
    </w:p>
    <w:p>
      <w:pPr>
        <w:spacing w:after="0"/>
        <w:rPr>
          <w:sz w:val="20"/>
          <w:szCs w:val="20"/>
          <w:color w:val="auto"/>
        </w:rPr>
      </w:pPr>
      <w:r>
        <w:rPr>
          <w:rFonts w:ascii="Arial" w:cs="Arial" w:eastAsia="Arial" w:hAnsi="Arial"/>
          <w:sz w:val="25"/>
          <w:szCs w:val="25"/>
          <w:b w:val="1"/>
          <w:bCs w:val="1"/>
          <w:color w:val="1414D2"/>
        </w:rPr>
        <w:t>Compensation Committee Report</w:t>
      </w:r>
    </w:p>
    <w:p>
      <w:pPr>
        <w:spacing w:after="0" w:line="111" w:lineRule="exact"/>
        <w:rPr>
          <w:sz w:val="20"/>
          <w:szCs w:val="20"/>
          <w:color w:val="auto"/>
        </w:rPr>
      </w:pPr>
    </w:p>
    <w:p>
      <w:pPr>
        <w:ind w:right="160"/>
        <w:spacing w:after="0" w:line="283" w:lineRule="auto"/>
        <w:rPr>
          <w:sz w:val="20"/>
          <w:szCs w:val="20"/>
          <w:color w:val="auto"/>
        </w:rPr>
      </w:pPr>
      <w:r>
        <w:rPr>
          <w:rFonts w:ascii="Arial" w:cs="Arial" w:eastAsia="Arial" w:hAnsi="Arial"/>
          <w:sz w:val="18"/>
          <w:szCs w:val="18"/>
          <w:b w:val="1"/>
          <w:bCs w:val="1"/>
          <w:i w:val="1"/>
          <w:iCs w:val="1"/>
          <w:color w:val="auto"/>
          <w:highlight w:val="white"/>
        </w:rPr>
        <w:t>The following Compensation Committee Report does not constitute soliciting material and shall not be deemed fled or incorporated by reference into any fling under the Securities Act or the Exchange Act, except to the extent we specifcally incorporate such information by reference.</w:t>
      </w:r>
    </w:p>
    <w:p>
      <w:pPr>
        <w:spacing w:after="0" w:line="31" w:lineRule="exact"/>
        <w:rPr>
          <w:sz w:val="20"/>
          <w:szCs w:val="20"/>
          <w:color w:val="auto"/>
        </w:rPr>
      </w:pPr>
    </w:p>
    <w:p>
      <w:pPr>
        <w:ind w:right="180"/>
        <w:spacing w:after="0" w:line="252" w:lineRule="auto"/>
        <w:rPr>
          <w:sz w:val="20"/>
          <w:szCs w:val="20"/>
          <w:color w:val="auto"/>
        </w:rPr>
      </w:pPr>
      <w:r>
        <w:rPr>
          <w:rFonts w:ascii="Arial" w:cs="Arial" w:eastAsia="Arial" w:hAnsi="Arial"/>
          <w:sz w:val="16"/>
          <w:szCs w:val="16"/>
          <w:color w:val="auto"/>
        </w:rPr>
        <w:t>The Committee has reviewed and discussed the above section of this Proxy Statement entitled “Compensation Discussion and Analysis” prepared in accordance with Item 402(b) of Regulation S-K with management. Based on such review and related discussions, the Committee recommended to the Board that the Compensation Discussion and Analysis be included in this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Proxy  Statement  and  United’s  Annual  Report  on  Form  10-K  for  the  year  ended  December  31,  2025.</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Respectfully  submitted,</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2340" w:type="dxa"/>
            <w:vAlign w:val="bottom"/>
            <w:shd w:val="clear" w:color="auto" w:fill="1414D2"/>
          </w:tcPr>
          <w:p>
            <w:pPr>
              <w:jc w:val="center"/>
              <w:ind w:right="47"/>
              <w:spacing w:after="0"/>
              <w:rPr>
                <w:sz w:val="20"/>
                <w:szCs w:val="20"/>
                <w:color w:val="auto"/>
              </w:rPr>
            </w:pPr>
            <w:r>
              <w:rPr>
                <w:rFonts w:ascii="Arial" w:cs="Arial" w:eastAsia="Arial" w:hAnsi="Arial"/>
                <w:sz w:val="15"/>
                <w:szCs w:val="15"/>
                <w:b w:val="1"/>
                <w:bCs w:val="1"/>
                <w:color w:val="FFFFFF"/>
                <w:w w:val="98"/>
              </w:rPr>
              <w:t>JAMES M. WHITEHURST</w:t>
            </w:r>
          </w:p>
        </w:tc>
        <w:tc>
          <w:tcPr>
            <w:tcW w:w="2440" w:type="dxa"/>
            <w:vAlign w:val="bottom"/>
            <w:shd w:val="clear" w:color="auto" w:fill="1414D2"/>
          </w:tcPr>
          <w:p>
            <w:pPr>
              <w:jc w:val="center"/>
              <w:spacing w:after="0"/>
              <w:rPr>
                <w:sz w:val="20"/>
                <w:szCs w:val="20"/>
                <w:color w:val="auto"/>
              </w:rPr>
            </w:pPr>
            <w:r>
              <w:rPr>
                <w:rFonts w:ascii="Arial" w:cs="Arial" w:eastAsia="Arial" w:hAnsi="Arial"/>
                <w:sz w:val="15"/>
                <w:szCs w:val="15"/>
                <w:b w:val="1"/>
                <w:bCs w:val="1"/>
                <w:color w:val="FFFFFF"/>
                <w:w w:val="97"/>
              </w:rPr>
              <w:t>ROSALIND BREWER</w:t>
            </w:r>
          </w:p>
        </w:tc>
        <w:tc>
          <w:tcPr>
            <w:tcW w:w="2420" w:type="dxa"/>
            <w:vAlign w:val="bottom"/>
            <w:shd w:val="clear" w:color="auto" w:fill="1414D2"/>
          </w:tcPr>
          <w:p>
            <w:pPr>
              <w:jc w:val="center"/>
              <w:spacing w:after="0"/>
              <w:rPr>
                <w:sz w:val="20"/>
                <w:szCs w:val="20"/>
                <w:color w:val="auto"/>
              </w:rPr>
            </w:pPr>
            <w:r>
              <w:rPr>
                <w:rFonts w:ascii="Arial" w:cs="Arial" w:eastAsia="Arial" w:hAnsi="Arial"/>
                <w:sz w:val="15"/>
                <w:szCs w:val="15"/>
                <w:b w:val="1"/>
                <w:bCs w:val="1"/>
                <w:color w:val="FFFFFF"/>
              </w:rPr>
              <w:t>MATTHEW FRIEND</w:t>
            </w:r>
          </w:p>
        </w:tc>
        <w:tc>
          <w:tcPr>
            <w:tcW w:w="2520" w:type="dxa"/>
            <w:vAlign w:val="bottom"/>
            <w:shd w:val="clear" w:color="auto" w:fill="1414D2"/>
          </w:tcPr>
          <w:p>
            <w:pPr>
              <w:jc w:val="center"/>
              <w:ind w:right="7"/>
              <w:spacing w:after="0"/>
              <w:rPr>
                <w:sz w:val="20"/>
                <w:szCs w:val="20"/>
                <w:color w:val="auto"/>
              </w:rPr>
            </w:pPr>
            <w:r>
              <w:rPr>
                <w:rFonts w:ascii="Arial" w:cs="Arial" w:eastAsia="Arial" w:hAnsi="Arial"/>
                <w:sz w:val="15"/>
                <w:szCs w:val="15"/>
                <w:b w:val="1"/>
                <w:bCs w:val="1"/>
                <w:color w:val="FFFFFF"/>
                <w:w w:val="99"/>
              </w:rPr>
              <w:t>EDWARD L. SHAPIRO</w:t>
            </w:r>
          </w:p>
        </w:tc>
      </w:tr>
      <w:tr>
        <w:trPr>
          <w:trHeight w:val="265"/>
        </w:trPr>
        <w:tc>
          <w:tcPr>
            <w:tcW w:w="2340" w:type="dxa"/>
            <w:vAlign w:val="bottom"/>
          </w:tcPr>
          <w:p>
            <w:pPr>
              <w:jc w:val="center"/>
              <w:ind w:right="27"/>
              <w:spacing w:after="0"/>
              <w:rPr>
                <w:sz w:val="20"/>
                <w:szCs w:val="20"/>
                <w:color w:val="auto"/>
              </w:rPr>
            </w:pPr>
            <w:r>
              <w:rPr>
                <w:rFonts w:ascii="Arial" w:cs="Arial" w:eastAsia="Arial" w:hAnsi="Arial"/>
                <w:sz w:val="14"/>
                <w:szCs w:val="14"/>
                <w:color w:val="auto"/>
              </w:rPr>
              <w:t>Compensation  Committee</w:t>
            </w:r>
          </w:p>
        </w:tc>
        <w:tc>
          <w:tcPr>
            <w:tcW w:w="2440" w:type="dxa"/>
            <w:vAlign w:val="bottom"/>
          </w:tcPr>
          <w:p>
            <w:pPr>
              <w:jc w:val="center"/>
              <w:spacing w:after="0"/>
              <w:rPr>
                <w:sz w:val="20"/>
                <w:szCs w:val="20"/>
                <w:color w:val="auto"/>
              </w:rPr>
            </w:pPr>
            <w:r>
              <w:rPr>
                <w:rFonts w:ascii="Arial" w:cs="Arial" w:eastAsia="Arial" w:hAnsi="Arial"/>
                <w:sz w:val="14"/>
                <w:szCs w:val="14"/>
                <w:color w:val="auto"/>
              </w:rPr>
              <w:t>Compensation  Committee</w:t>
            </w:r>
          </w:p>
        </w:tc>
        <w:tc>
          <w:tcPr>
            <w:tcW w:w="2420" w:type="dxa"/>
            <w:vAlign w:val="bottom"/>
          </w:tcPr>
          <w:p>
            <w:pPr>
              <w:jc w:val="center"/>
              <w:spacing w:after="0"/>
              <w:rPr>
                <w:sz w:val="20"/>
                <w:szCs w:val="20"/>
                <w:color w:val="auto"/>
              </w:rPr>
            </w:pPr>
            <w:r>
              <w:rPr>
                <w:rFonts w:ascii="Arial" w:cs="Arial" w:eastAsia="Arial" w:hAnsi="Arial"/>
                <w:sz w:val="14"/>
                <w:szCs w:val="14"/>
                <w:color w:val="auto"/>
              </w:rPr>
              <w:t>Compensation  Committee</w:t>
            </w:r>
          </w:p>
        </w:tc>
        <w:tc>
          <w:tcPr>
            <w:tcW w:w="2520" w:type="dxa"/>
            <w:vAlign w:val="bottom"/>
          </w:tcPr>
          <w:p>
            <w:pPr>
              <w:jc w:val="center"/>
              <w:ind w:right="27"/>
              <w:spacing w:after="0"/>
              <w:rPr>
                <w:sz w:val="20"/>
                <w:szCs w:val="20"/>
                <w:color w:val="auto"/>
              </w:rPr>
            </w:pPr>
            <w:r>
              <w:rPr>
                <w:rFonts w:ascii="Arial" w:cs="Arial" w:eastAsia="Arial" w:hAnsi="Arial"/>
                <w:sz w:val="14"/>
                <w:szCs w:val="14"/>
                <w:color w:val="auto"/>
              </w:rPr>
              <w:t>Compensation  Committee</w:t>
            </w:r>
          </w:p>
        </w:tc>
      </w:tr>
      <w:tr>
        <w:trPr>
          <w:trHeight w:val="208"/>
        </w:trPr>
        <w:tc>
          <w:tcPr>
            <w:tcW w:w="2340" w:type="dxa"/>
            <w:vAlign w:val="bottom"/>
            <w:tcBorders>
              <w:bottom w:val="single" w:sz="8" w:color="1414D2"/>
            </w:tcBorders>
          </w:tcPr>
          <w:p>
            <w:pPr>
              <w:jc w:val="center"/>
              <w:ind w:right="27"/>
              <w:spacing w:after="0"/>
              <w:rPr>
                <w:sz w:val="20"/>
                <w:szCs w:val="20"/>
                <w:color w:val="auto"/>
              </w:rPr>
            </w:pPr>
            <w:r>
              <w:rPr>
                <w:rFonts w:ascii="Arial" w:cs="Arial" w:eastAsia="Arial" w:hAnsi="Arial"/>
                <w:sz w:val="14"/>
                <w:szCs w:val="14"/>
                <w:color w:val="auto"/>
              </w:rPr>
              <w:t>Chairperson</w:t>
            </w:r>
          </w:p>
        </w:tc>
        <w:tc>
          <w:tcPr>
            <w:tcW w:w="2440" w:type="dxa"/>
            <w:vAlign w:val="bottom"/>
            <w:tcBorders>
              <w:bottom w:val="single" w:sz="8" w:color="1414D2"/>
            </w:tcBorders>
          </w:tcPr>
          <w:p>
            <w:pPr>
              <w:jc w:val="center"/>
              <w:spacing w:after="0"/>
              <w:rPr>
                <w:sz w:val="20"/>
                <w:szCs w:val="20"/>
                <w:color w:val="auto"/>
              </w:rPr>
            </w:pPr>
            <w:r>
              <w:rPr>
                <w:rFonts w:ascii="Arial" w:cs="Arial" w:eastAsia="Arial" w:hAnsi="Arial"/>
                <w:sz w:val="14"/>
                <w:szCs w:val="14"/>
                <w:color w:val="auto"/>
              </w:rPr>
              <w:t>Member</w:t>
            </w:r>
          </w:p>
        </w:tc>
        <w:tc>
          <w:tcPr>
            <w:tcW w:w="2420" w:type="dxa"/>
            <w:vAlign w:val="bottom"/>
            <w:tcBorders>
              <w:bottom w:val="single" w:sz="8" w:color="1414D2"/>
            </w:tcBorders>
          </w:tcPr>
          <w:p>
            <w:pPr>
              <w:jc w:val="center"/>
              <w:spacing w:after="0"/>
              <w:rPr>
                <w:sz w:val="20"/>
                <w:szCs w:val="20"/>
                <w:color w:val="auto"/>
              </w:rPr>
            </w:pPr>
            <w:r>
              <w:rPr>
                <w:rFonts w:ascii="Arial" w:cs="Arial" w:eastAsia="Arial" w:hAnsi="Arial"/>
                <w:sz w:val="14"/>
                <w:szCs w:val="14"/>
                <w:color w:val="auto"/>
              </w:rPr>
              <w:t>Member</w:t>
            </w:r>
          </w:p>
        </w:tc>
        <w:tc>
          <w:tcPr>
            <w:tcW w:w="2520" w:type="dxa"/>
            <w:vAlign w:val="bottom"/>
            <w:tcBorders>
              <w:bottom w:val="single" w:sz="8" w:color="1414D2"/>
            </w:tcBorders>
          </w:tcPr>
          <w:p>
            <w:pPr>
              <w:jc w:val="center"/>
              <w:ind w:right="27"/>
              <w:spacing w:after="0"/>
              <w:rPr>
                <w:sz w:val="20"/>
                <w:szCs w:val="20"/>
                <w:color w:val="auto"/>
              </w:rPr>
            </w:pPr>
            <w:r>
              <w:rPr>
                <w:rFonts w:ascii="Arial" w:cs="Arial" w:eastAsia="Arial" w:hAnsi="Arial"/>
                <w:sz w:val="14"/>
                <w:szCs w:val="14"/>
                <w:color w:val="auto"/>
              </w:rPr>
              <w:t>Member</w:t>
            </w:r>
          </w:p>
        </w:tc>
      </w:tr>
    </w:tbl>
    <w:p>
      <w:pPr>
        <w:spacing w:after="0" w:line="200" w:lineRule="exact"/>
        <w:rPr>
          <w:sz w:val="20"/>
          <w:szCs w:val="20"/>
          <w:color w:val="auto"/>
        </w:rPr>
      </w:pPr>
    </w:p>
    <w:p>
      <w:pPr>
        <w:sectPr>
          <w:pgSz w:w="11900" w:h="16838" w:orient="portrait"/>
          <w:cols w:equalWidth="0" w:num="1">
            <w:col w:w="9720"/>
          </w:cols>
          <w:pgMar w:left="1080" w:top="695"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right"/>
        <w:ind w:right="7720"/>
        <w:spacing w:after="0"/>
        <w:rPr>
          <w:sz w:val="20"/>
          <w:szCs w:val="20"/>
          <w:color w:val="auto"/>
        </w:rPr>
      </w:pPr>
      <w:r>
        <w:rPr>
          <w:rFonts w:ascii="Arial" w:cs="Arial" w:eastAsia="Arial" w:hAnsi="Arial"/>
          <w:sz w:val="16"/>
          <w:szCs w:val="16"/>
          <w:color w:val="auto"/>
        </w:rPr>
        <w:t>​​2026​  Proxy</w:t>
      </w:r>
    </w:p>
    <w:p>
      <w:pPr>
        <w:spacing w:after="0" w:line="5" w:lineRule="exact"/>
        <w:rPr>
          <w:sz w:val="20"/>
          <w:szCs w:val="20"/>
          <w:color w:val="auto"/>
        </w:rPr>
      </w:pPr>
    </w:p>
    <w:p>
      <w:pPr>
        <w:ind w:left="660" w:hanging="656"/>
        <w:spacing w:after="0"/>
        <w:tabs>
          <w:tab w:leader="none" w:pos="660" w:val="left"/>
        </w:tabs>
        <w:numPr>
          <w:ilvl w:val="0"/>
          <w:numId w:val="124"/>
        </w:numPr>
        <w:rPr>
          <w:rFonts w:ascii="Arial" w:cs="Arial" w:eastAsia="Arial" w:hAnsi="Arial"/>
          <w:sz w:val="16"/>
          <w:szCs w:val="16"/>
          <w:b w:val="1"/>
          <w:bCs w:val="1"/>
          <w:color w:val="1414D2"/>
        </w:rPr>
      </w:pPr>
      <w:r>
        <w:rPr>
          <w:rFonts w:ascii="Arial" w:cs="Arial" w:eastAsia="Arial" w:hAnsi="Arial"/>
          <w:sz w:val="16"/>
          <w:szCs w:val="16"/>
          <w:color w:val="auto"/>
        </w:rPr>
        <w:t>Statement</w:t>
      </w:r>
    </w:p>
    <w:p>
      <w:pPr>
        <w:sectPr>
          <w:pgSz w:w="11900" w:h="16838" w:orient="portrait"/>
          <w:cols w:equalWidth="0" w:num="1">
            <w:col w:w="9720"/>
          </w:cols>
          <w:pgMar w:left="1080" w:top="695" w:right="1099" w:bottom="1440" w:gutter="0" w:footer="0" w:header="0"/>
          <w:type w:val="continuous"/>
        </w:sectPr>
      </w:pPr>
    </w:p>
    <w:bookmarkStart w:id="121" w:name="page122"/>
    <w:bookmarkEnd w:id="121"/>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27" w:lineRule="exact"/>
        <w:rPr>
          <w:sz w:val="20"/>
          <w:szCs w:val="20"/>
          <w:color w:val="auto"/>
        </w:rPr>
      </w:pPr>
    </w:p>
    <w:p>
      <w:pPr>
        <w:ind w:left="8060"/>
        <w:spacing w:after="0"/>
        <w:rPr>
          <w:sz w:val="20"/>
          <w:szCs w:val="20"/>
          <w:color w:val="auto"/>
        </w:rPr>
      </w:pPr>
      <w:r>
        <w:rPr>
          <w:rFonts w:ascii="Arial" w:cs="Arial" w:eastAsia="Arial" w:hAnsi="Arial"/>
          <w:sz w:val="14"/>
          <w:szCs w:val="14"/>
          <w:color w:val="6D6F71"/>
        </w:rPr>
        <w:t>Executive  Compensation</w:t>
      </w:r>
    </w:p>
    <w:p>
      <w:pPr>
        <w:spacing w:after="0" w:line="223" w:lineRule="exact"/>
        <w:rPr>
          <w:sz w:val="20"/>
          <w:szCs w:val="20"/>
          <w:color w:val="auto"/>
        </w:rPr>
      </w:pPr>
    </w:p>
    <w:p>
      <w:pPr>
        <w:spacing w:after="0"/>
        <w:rPr>
          <w:sz w:val="20"/>
          <w:szCs w:val="20"/>
          <w:color w:val="auto"/>
        </w:rPr>
      </w:pPr>
      <w:r>
        <w:rPr>
          <w:rFonts w:ascii="Arial" w:cs="Arial" w:eastAsia="Arial" w:hAnsi="Arial"/>
          <w:sz w:val="25"/>
          <w:szCs w:val="25"/>
          <w:b w:val="1"/>
          <w:bCs w:val="1"/>
          <w:color w:val="1414D2"/>
        </w:rPr>
        <w:t>2025 Summary Compensation Table</w:t>
      </w:r>
    </w:p>
    <w:p>
      <w:pPr>
        <w:spacing w:after="0" w:line="52"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following table provides information regarding our NEOs for fscal year 2025, determined in accordance with applicable SEC disclosure rules. The table provides information for 2025, 2024 and, to the extent required by applicable SEC disclosure rules, 2023.</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900" w:type="dxa"/>
            <w:vAlign w:val="bottom"/>
            <w:tcBorders>
              <w:top w:val="single" w:sz="8" w:color="1414D2"/>
            </w:tcBorders>
            <w:shd w:val="clear" w:color="auto" w:fill="F2F2F2"/>
          </w:tcPr>
          <w:p>
            <w:pPr>
              <w:spacing w:after="0"/>
              <w:rPr>
                <w:sz w:val="16"/>
                <w:szCs w:val="16"/>
                <w:color w:val="auto"/>
              </w:rPr>
            </w:pPr>
          </w:p>
        </w:tc>
        <w:tc>
          <w:tcPr>
            <w:tcW w:w="740" w:type="dxa"/>
            <w:vAlign w:val="bottom"/>
            <w:tcBorders>
              <w:top w:val="single" w:sz="8" w:color="1414D2"/>
            </w:tcBorders>
            <w:shd w:val="clear" w:color="auto" w:fill="F2F2F2"/>
          </w:tcPr>
          <w:p>
            <w:pPr>
              <w:ind w:left="80"/>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1414D2"/>
            </w:tcBorders>
            <w:shd w:val="clear" w:color="auto" w:fill="F2F2F2"/>
          </w:tcPr>
          <w:p>
            <w:pPr>
              <w:jc w:val="right"/>
              <w:ind w:right="547"/>
              <w:spacing w:after="0"/>
              <w:rPr>
                <w:sz w:val="20"/>
                <w:szCs w:val="20"/>
                <w:color w:val="auto"/>
              </w:rPr>
            </w:pPr>
            <w:r>
              <w:rPr>
                <w:rFonts w:ascii="Arial" w:cs="Arial" w:eastAsia="Arial" w:hAnsi="Arial"/>
                <w:sz w:val="11"/>
                <w:szCs w:val="11"/>
                <w:b w:val="1"/>
                <w:bCs w:val="1"/>
                <w:color w:val="auto"/>
              </w:rPr>
              <w:t>​​​</w:t>
            </w:r>
          </w:p>
        </w:tc>
        <w:tc>
          <w:tcPr>
            <w:tcW w:w="720" w:type="dxa"/>
            <w:vAlign w:val="bottom"/>
            <w:tcBorders>
              <w:top w:val="single" w:sz="8" w:color="1414D2"/>
            </w:tcBorders>
            <w:shd w:val="clear" w:color="auto" w:fill="F2F2F2"/>
          </w:tcPr>
          <w:p>
            <w:pPr>
              <w:jc w:val="right"/>
              <w:ind w:right="526"/>
              <w:spacing w:after="0"/>
              <w:rPr>
                <w:sz w:val="20"/>
                <w:szCs w:val="20"/>
                <w:color w:val="auto"/>
              </w:rPr>
            </w:pPr>
            <w:r>
              <w:rPr>
                <w:rFonts w:ascii="Arial" w:cs="Arial" w:eastAsia="Arial" w:hAnsi="Arial"/>
                <w:sz w:val="11"/>
                <w:szCs w:val="11"/>
                <w:b w:val="1"/>
                <w:bCs w:val="1"/>
                <w:color w:val="auto"/>
              </w:rPr>
              <w:t>​​​</w:t>
            </w:r>
          </w:p>
        </w:tc>
        <w:tc>
          <w:tcPr>
            <w:tcW w:w="720" w:type="dxa"/>
            <w:vAlign w:val="bottom"/>
            <w:tcBorders>
              <w:top w:val="single" w:sz="8" w:color="1414D2"/>
            </w:tcBorders>
            <w:shd w:val="clear" w:color="auto" w:fill="F2F2F2"/>
          </w:tcPr>
          <w:p>
            <w:pPr>
              <w:jc w:val="right"/>
              <w:ind w:right="547"/>
              <w:spacing w:after="0"/>
              <w:rPr>
                <w:sz w:val="20"/>
                <w:szCs w:val="20"/>
                <w:color w:val="auto"/>
              </w:rPr>
            </w:pPr>
            <w:r>
              <w:rPr>
                <w:rFonts w:ascii="Arial" w:cs="Arial" w:eastAsia="Arial" w:hAnsi="Arial"/>
                <w:sz w:val="11"/>
                <w:szCs w:val="11"/>
                <w:b w:val="1"/>
                <w:bCs w:val="1"/>
                <w:color w:val="auto"/>
              </w:rPr>
              <w:t>​​​</w:t>
            </w:r>
          </w:p>
        </w:tc>
        <w:tc>
          <w:tcPr>
            <w:tcW w:w="900" w:type="dxa"/>
            <w:vAlign w:val="bottom"/>
            <w:tcBorders>
              <w:top w:val="single" w:sz="8" w:color="1414D2"/>
            </w:tcBorders>
            <w:shd w:val="clear" w:color="auto" w:fill="F2F2F2"/>
          </w:tcPr>
          <w:p>
            <w:pPr>
              <w:jc w:val="right"/>
              <w:ind w:right="727"/>
              <w:spacing w:after="0"/>
              <w:rPr>
                <w:sz w:val="20"/>
                <w:szCs w:val="20"/>
                <w:color w:val="auto"/>
              </w:rPr>
            </w:pPr>
            <w:r>
              <w:rPr>
                <w:rFonts w:ascii="Arial" w:cs="Arial" w:eastAsia="Arial" w:hAnsi="Arial"/>
                <w:sz w:val="11"/>
                <w:szCs w:val="11"/>
                <w:b w:val="1"/>
                <w:bCs w:val="1"/>
                <w:color w:val="auto"/>
              </w:rPr>
              <w:t>​​​</w:t>
            </w:r>
          </w:p>
        </w:tc>
        <w:tc>
          <w:tcPr>
            <w:tcW w:w="220" w:type="dxa"/>
            <w:vAlign w:val="bottom"/>
            <w:tcBorders>
              <w:top w:val="single" w:sz="8" w:color="1414D2"/>
            </w:tcBorders>
            <w:shd w:val="clear" w:color="auto" w:fill="F2F2F2"/>
          </w:tcPr>
          <w:p>
            <w:pPr>
              <w:ind w:left="20"/>
              <w:spacing w:after="0"/>
              <w:rPr>
                <w:sz w:val="20"/>
                <w:szCs w:val="20"/>
                <w:color w:val="auto"/>
              </w:rPr>
            </w:pPr>
            <w:r>
              <w:rPr>
                <w:rFonts w:ascii="Arial" w:cs="Arial" w:eastAsia="Arial" w:hAnsi="Arial"/>
                <w:sz w:val="11"/>
                <w:szCs w:val="11"/>
                <w:b w:val="1"/>
                <w:bCs w:val="1"/>
                <w:color w:val="auto"/>
              </w:rPr>
              <w:t>​​​</w:t>
            </w:r>
          </w:p>
        </w:tc>
        <w:tc>
          <w:tcPr>
            <w:tcW w:w="1160" w:type="dxa"/>
            <w:vAlign w:val="bottom"/>
            <w:tcBorders>
              <w:top w:val="single" w:sz="8" w:color="1414D2"/>
            </w:tcBorders>
            <w:shd w:val="clear" w:color="auto" w:fill="F2F2F2"/>
          </w:tcPr>
          <w:p>
            <w:pPr>
              <w:jc w:val="center"/>
              <w:ind w:right="127"/>
              <w:spacing w:after="0"/>
              <w:rPr>
                <w:sz w:val="20"/>
                <w:szCs w:val="20"/>
                <w:color w:val="auto"/>
              </w:rPr>
            </w:pPr>
            <w:r>
              <w:rPr>
                <w:rFonts w:ascii="Arial" w:cs="Arial" w:eastAsia="Arial" w:hAnsi="Arial"/>
                <w:sz w:val="11"/>
                <w:szCs w:val="11"/>
                <w:b w:val="1"/>
                <w:bCs w:val="1"/>
                <w:color w:val="auto"/>
              </w:rPr>
              <w:t>Change in</w:t>
            </w:r>
          </w:p>
        </w:tc>
        <w:tc>
          <w:tcPr>
            <w:tcW w:w="880" w:type="dxa"/>
            <w:vAlign w:val="bottom"/>
            <w:tcBorders>
              <w:top w:val="single" w:sz="8" w:color="1414D2"/>
            </w:tcBorders>
            <w:shd w:val="clear" w:color="auto" w:fill="F2F2F2"/>
          </w:tcPr>
          <w:p>
            <w:pPr>
              <w:jc w:val="right"/>
              <w:ind w:right="707"/>
              <w:spacing w:after="0"/>
              <w:rPr>
                <w:sz w:val="20"/>
                <w:szCs w:val="20"/>
                <w:color w:val="auto"/>
              </w:rPr>
            </w:pPr>
            <w:r>
              <w:rPr>
                <w:rFonts w:ascii="Arial" w:cs="Arial" w:eastAsia="Arial" w:hAnsi="Arial"/>
                <w:sz w:val="11"/>
                <w:szCs w:val="11"/>
                <w:b w:val="1"/>
                <w:bCs w:val="1"/>
                <w:color w:val="auto"/>
              </w:rPr>
              <w:t>​​​</w:t>
            </w:r>
          </w:p>
        </w:tc>
        <w:tc>
          <w:tcPr>
            <w:tcW w:w="720" w:type="dxa"/>
            <w:vAlign w:val="bottom"/>
            <w:tcBorders>
              <w:top w:val="single" w:sz="8" w:color="1414D2"/>
            </w:tcBorders>
            <w:shd w:val="clear" w:color="auto" w:fill="F2F2F2"/>
          </w:tcPr>
          <w:p>
            <w:pPr>
              <w:jc w:val="right"/>
              <w:ind w:right="566"/>
              <w:spacing w:after="0"/>
              <w:rPr>
                <w:sz w:val="20"/>
                <w:szCs w:val="20"/>
                <w:color w:val="auto"/>
              </w:rPr>
            </w:pPr>
            <w:r>
              <w:rPr>
                <w:rFonts w:ascii="Arial" w:cs="Arial" w:eastAsia="Arial" w:hAnsi="Arial"/>
                <w:sz w:val="11"/>
                <w:szCs w:val="11"/>
                <w:b w:val="1"/>
                <w:bCs w:val="1"/>
                <w:color w:val="auto"/>
              </w:rPr>
              <w:t>​​​</w:t>
            </w:r>
          </w:p>
        </w:tc>
        <w:tc>
          <w:tcPr>
            <w:tcW w:w="40" w:type="dxa"/>
            <w:vAlign w:val="bottom"/>
          </w:tcPr>
          <w:p>
            <w:pPr>
              <w:spacing w:after="0"/>
              <w:rPr>
                <w:sz w:val="20"/>
                <w:szCs w:val="20"/>
                <w:color w:val="auto"/>
              </w:rPr>
            </w:pPr>
            <w:r>
              <w:rPr>
                <w:rFonts w:ascii="Arial" w:cs="Arial" w:eastAsia="Arial" w:hAnsi="Arial"/>
                <w:sz w:val="11"/>
                <w:szCs w:val="11"/>
                <w:b w:val="1"/>
                <w:bCs w:val="1"/>
                <w:color w:val="auto"/>
              </w:rPr>
              <w:t>​</w:t>
            </w:r>
          </w:p>
        </w:tc>
      </w:tr>
      <w:tr>
        <w:trPr>
          <w:trHeight w:val="135"/>
        </w:trPr>
        <w:tc>
          <w:tcPr>
            <w:tcW w:w="2900" w:type="dxa"/>
            <w:vAlign w:val="bottom"/>
            <w:shd w:val="clear" w:color="auto" w:fill="F2F2F2"/>
          </w:tcPr>
          <w:p>
            <w:pPr>
              <w:spacing w:after="0"/>
              <w:rPr>
                <w:sz w:val="11"/>
                <w:szCs w:val="11"/>
                <w:color w:val="auto"/>
              </w:rPr>
            </w:pPr>
          </w:p>
        </w:tc>
        <w:tc>
          <w:tcPr>
            <w:tcW w:w="740" w:type="dxa"/>
            <w:vAlign w:val="bottom"/>
            <w:shd w:val="clear" w:color="auto" w:fill="F2F2F2"/>
          </w:tcPr>
          <w:p>
            <w:pPr>
              <w:spacing w:after="0"/>
              <w:rPr>
                <w:sz w:val="11"/>
                <w:szCs w:val="11"/>
                <w:color w:val="auto"/>
              </w:rPr>
            </w:pPr>
          </w:p>
        </w:tc>
        <w:tc>
          <w:tcPr>
            <w:tcW w:w="760" w:type="dxa"/>
            <w:vAlign w:val="bottom"/>
            <w:shd w:val="clear" w:color="auto" w:fill="F2F2F2"/>
          </w:tcPr>
          <w:p>
            <w:pPr>
              <w:spacing w:after="0"/>
              <w:rPr>
                <w:sz w:val="11"/>
                <w:szCs w:val="11"/>
                <w:color w:val="auto"/>
              </w:rPr>
            </w:pPr>
          </w:p>
        </w:tc>
        <w:tc>
          <w:tcPr>
            <w:tcW w:w="720" w:type="dxa"/>
            <w:vAlign w:val="bottom"/>
            <w:shd w:val="clear" w:color="auto" w:fill="F2F2F2"/>
          </w:tcPr>
          <w:p>
            <w:pPr>
              <w:spacing w:after="0"/>
              <w:rPr>
                <w:sz w:val="11"/>
                <w:szCs w:val="11"/>
                <w:color w:val="auto"/>
              </w:rPr>
            </w:pPr>
          </w:p>
        </w:tc>
        <w:tc>
          <w:tcPr>
            <w:tcW w:w="720" w:type="dxa"/>
            <w:vAlign w:val="bottom"/>
            <w:shd w:val="clear" w:color="auto" w:fill="F2F2F2"/>
          </w:tcPr>
          <w:p>
            <w:pPr>
              <w:spacing w:after="0"/>
              <w:rPr>
                <w:sz w:val="11"/>
                <w:szCs w:val="11"/>
                <w:color w:val="auto"/>
              </w:rPr>
            </w:pPr>
          </w:p>
        </w:tc>
        <w:tc>
          <w:tcPr>
            <w:tcW w:w="900" w:type="dxa"/>
            <w:vAlign w:val="bottom"/>
            <w:shd w:val="clear" w:color="auto" w:fill="F2F2F2"/>
          </w:tcPr>
          <w:p>
            <w:pPr>
              <w:jc w:val="center"/>
              <w:ind w:left="7"/>
              <w:spacing w:after="0"/>
              <w:rPr>
                <w:sz w:val="20"/>
                <w:szCs w:val="20"/>
                <w:color w:val="auto"/>
              </w:rPr>
            </w:pPr>
            <w:r>
              <w:rPr>
                <w:rFonts w:ascii="Arial" w:cs="Arial" w:eastAsia="Arial" w:hAnsi="Arial"/>
                <w:sz w:val="11"/>
                <w:szCs w:val="11"/>
                <w:b w:val="1"/>
                <w:bCs w:val="1"/>
                <w:color w:val="auto"/>
              </w:rPr>
              <w:t>Non-Equity</w:t>
            </w:r>
          </w:p>
        </w:tc>
        <w:tc>
          <w:tcPr>
            <w:tcW w:w="220" w:type="dxa"/>
            <w:vAlign w:val="bottom"/>
            <w:shd w:val="clear" w:color="auto" w:fill="F2F2F2"/>
          </w:tcPr>
          <w:p>
            <w:pPr>
              <w:spacing w:after="0"/>
              <w:rPr>
                <w:sz w:val="11"/>
                <w:szCs w:val="11"/>
                <w:color w:val="auto"/>
              </w:rPr>
            </w:pPr>
          </w:p>
        </w:tc>
        <w:tc>
          <w:tcPr>
            <w:tcW w:w="1160" w:type="dxa"/>
            <w:vAlign w:val="bottom"/>
            <w:shd w:val="clear" w:color="auto" w:fill="F2F2F2"/>
          </w:tcPr>
          <w:p>
            <w:pPr>
              <w:jc w:val="center"/>
              <w:ind w:right="127"/>
              <w:spacing w:after="0"/>
              <w:rPr>
                <w:sz w:val="20"/>
                <w:szCs w:val="20"/>
                <w:color w:val="auto"/>
              </w:rPr>
            </w:pPr>
            <w:r>
              <w:rPr>
                <w:rFonts w:ascii="Arial" w:cs="Arial" w:eastAsia="Arial" w:hAnsi="Arial"/>
                <w:sz w:val="11"/>
                <w:szCs w:val="11"/>
                <w:b w:val="1"/>
                <w:bCs w:val="1"/>
                <w:color w:val="auto"/>
                <w:w w:val="98"/>
              </w:rPr>
              <w:t>Pension Value</w:t>
            </w:r>
          </w:p>
        </w:tc>
        <w:tc>
          <w:tcPr>
            <w:tcW w:w="880" w:type="dxa"/>
            <w:vAlign w:val="bottom"/>
            <w:shd w:val="clear" w:color="auto" w:fill="F2F2F2"/>
          </w:tcPr>
          <w:p>
            <w:pPr>
              <w:spacing w:after="0"/>
              <w:rPr>
                <w:sz w:val="11"/>
                <w:szCs w:val="11"/>
                <w:color w:val="auto"/>
              </w:rPr>
            </w:pPr>
          </w:p>
        </w:tc>
        <w:tc>
          <w:tcPr>
            <w:tcW w:w="720" w:type="dxa"/>
            <w:vAlign w:val="bottom"/>
            <w:shd w:val="clear" w:color="auto" w:fill="F2F2F2"/>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2900" w:type="dxa"/>
            <w:vAlign w:val="bottom"/>
            <w:shd w:val="clear" w:color="auto" w:fill="F2F2F2"/>
          </w:tcPr>
          <w:p>
            <w:pPr>
              <w:spacing w:after="0"/>
              <w:rPr>
                <w:sz w:val="11"/>
                <w:szCs w:val="11"/>
                <w:color w:val="auto"/>
              </w:rPr>
            </w:pPr>
          </w:p>
        </w:tc>
        <w:tc>
          <w:tcPr>
            <w:tcW w:w="740" w:type="dxa"/>
            <w:vAlign w:val="bottom"/>
            <w:shd w:val="clear" w:color="auto" w:fill="F2F2F2"/>
          </w:tcPr>
          <w:p>
            <w:pPr>
              <w:spacing w:after="0"/>
              <w:rPr>
                <w:sz w:val="11"/>
                <w:szCs w:val="11"/>
                <w:color w:val="auto"/>
              </w:rPr>
            </w:pPr>
          </w:p>
        </w:tc>
        <w:tc>
          <w:tcPr>
            <w:tcW w:w="760" w:type="dxa"/>
            <w:vAlign w:val="bottom"/>
            <w:shd w:val="clear" w:color="auto" w:fill="F2F2F2"/>
          </w:tcPr>
          <w:p>
            <w:pPr>
              <w:spacing w:after="0"/>
              <w:rPr>
                <w:sz w:val="11"/>
                <w:szCs w:val="11"/>
                <w:color w:val="auto"/>
              </w:rPr>
            </w:pPr>
          </w:p>
        </w:tc>
        <w:tc>
          <w:tcPr>
            <w:tcW w:w="720" w:type="dxa"/>
            <w:vAlign w:val="bottom"/>
            <w:shd w:val="clear" w:color="auto" w:fill="F2F2F2"/>
          </w:tcPr>
          <w:p>
            <w:pPr>
              <w:spacing w:after="0"/>
              <w:rPr>
                <w:sz w:val="11"/>
                <w:szCs w:val="11"/>
                <w:color w:val="auto"/>
              </w:rPr>
            </w:pPr>
          </w:p>
        </w:tc>
        <w:tc>
          <w:tcPr>
            <w:tcW w:w="720" w:type="dxa"/>
            <w:vAlign w:val="bottom"/>
            <w:shd w:val="clear" w:color="auto" w:fill="F2F2F2"/>
          </w:tcPr>
          <w:p>
            <w:pPr>
              <w:spacing w:after="0"/>
              <w:rPr>
                <w:sz w:val="11"/>
                <w:szCs w:val="11"/>
                <w:color w:val="auto"/>
              </w:rPr>
            </w:pPr>
          </w:p>
        </w:tc>
        <w:tc>
          <w:tcPr>
            <w:tcW w:w="900" w:type="dxa"/>
            <w:vAlign w:val="bottom"/>
            <w:shd w:val="clear" w:color="auto" w:fill="F2F2F2"/>
          </w:tcPr>
          <w:p>
            <w:pPr>
              <w:jc w:val="center"/>
              <w:spacing w:after="0"/>
              <w:rPr>
                <w:sz w:val="20"/>
                <w:szCs w:val="20"/>
                <w:color w:val="auto"/>
              </w:rPr>
            </w:pPr>
            <w:r>
              <w:rPr>
                <w:rFonts w:ascii="Arial" w:cs="Arial" w:eastAsia="Arial" w:hAnsi="Arial"/>
                <w:sz w:val="11"/>
                <w:szCs w:val="11"/>
                <w:b w:val="1"/>
                <w:bCs w:val="1"/>
                <w:color w:val="auto"/>
              </w:rPr>
              <w:t>Incentive</w:t>
            </w:r>
          </w:p>
        </w:tc>
        <w:tc>
          <w:tcPr>
            <w:tcW w:w="220" w:type="dxa"/>
            <w:vAlign w:val="bottom"/>
            <w:shd w:val="clear" w:color="auto" w:fill="F2F2F2"/>
          </w:tcPr>
          <w:p>
            <w:pPr>
              <w:spacing w:after="0"/>
              <w:rPr>
                <w:sz w:val="11"/>
                <w:szCs w:val="11"/>
                <w:color w:val="auto"/>
              </w:rPr>
            </w:pPr>
          </w:p>
        </w:tc>
        <w:tc>
          <w:tcPr>
            <w:tcW w:w="1160" w:type="dxa"/>
            <w:vAlign w:val="bottom"/>
            <w:shd w:val="clear" w:color="auto" w:fill="F2F2F2"/>
          </w:tcPr>
          <w:p>
            <w:pPr>
              <w:jc w:val="center"/>
              <w:ind w:right="127"/>
              <w:spacing w:after="0"/>
              <w:rPr>
                <w:sz w:val="20"/>
                <w:szCs w:val="20"/>
                <w:color w:val="auto"/>
              </w:rPr>
            </w:pPr>
            <w:r>
              <w:rPr>
                <w:rFonts w:ascii="Arial" w:cs="Arial" w:eastAsia="Arial" w:hAnsi="Arial"/>
                <w:sz w:val="11"/>
                <w:szCs w:val="11"/>
                <w:b w:val="1"/>
                <w:bCs w:val="1"/>
                <w:color w:val="auto"/>
              </w:rPr>
              <w:t>Non-Qualifed</w:t>
            </w:r>
          </w:p>
        </w:tc>
        <w:tc>
          <w:tcPr>
            <w:tcW w:w="880" w:type="dxa"/>
            <w:vAlign w:val="bottom"/>
            <w:shd w:val="clear" w:color="auto" w:fill="F2F2F2"/>
          </w:tcPr>
          <w:p>
            <w:pPr>
              <w:spacing w:after="0"/>
              <w:rPr>
                <w:sz w:val="11"/>
                <w:szCs w:val="11"/>
                <w:color w:val="auto"/>
              </w:rPr>
            </w:pPr>
          </w:p>
        </w:tc>
        <w:tc>
          <w:tcPr>
            <w:tcW w:w="720" w:type="dxa"/>
            <w:vAlign w:val="bottom"/>
            <w:shd w:val="clear" w:color="auto" w:fill="F2F2F2"/>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2900" w:type="dxa"/>
            <w:vAlign w:val="bottom"/>
            <w:shd w:val="clear" w:color="auto" w:fill="F2F2F2"/>
          </w:tcPr>
          <w:p>
            <w:pPr>
              <w:spacing w:after="0"/>
              <w:rPr>
                <w:sz w:val="11"/>
                <w:szCs w:val="11"/>
                <w:color w:val="auto"/>
              </w:rPr>
            </w:pPr>
          </w:p>
        </w:tc>
        <w:tc>
          <w:tcPr>
            <w:tcW w:w="740" w:type="dxa"/>
            <w:vAlign w:val="bottom"/>
            <w:shd w:val="clear" w:color="auto" w:fill="F2F2F2"/>
          </w:tcPr>
          <w:p>
            <w:pPr>
              <w:spacing w:after="0"/>
              <w:rPr>
                <w:sz w:val="11"/>
                <w:szCs w:val="11"/>
                <w:color w:val="auto"/>
              </w:rPr>
            </w:pPr>
          </w:p>
        </w:tc>
        <w:tc>
          <w:tcPr>
            <w:tcW w:w="760" w:type="dxa"/>
            <w:vAlign w:val="bottom"/>
            <w:shd w:val="clear" w:color="auto" w:fill="F2F2F2"/>
          </w:tcPr>
          <w:p>
            <w:pPr>
              <w:spacing w:after="0"/>
              <w:rPr>
                <w:sz w:val="11"/>
                <w:szCs w:val="11"/>
                <w:color w:val="auto"/>
              </w:rPr>
            </w:pPr>
          </w:p>
        </w:tc>
        <w:tc>
          <w:tcPr>
            <w:tcW w:w="720" w:type="dxa"/>
            <w:vAlign w:val="bottom"/>
            <w:shd w:val="clear" w:color="auto" w:fill="F2F2F2"/>
          </w:tcPr>
          <w:p>
            <w:pPr>
              <w:spacing w:after="0"/>
              <w:rPr>
                <w:sz w:val="11"/>
                <w:szCs w:val="11"/>
                <w:color w:val="auto"/>
              </w:rPr>
            </w:pPr>
          </w:p>
        </w:tc>
        <w:tc>
          <w:tcPr>
            <w:tcW w:w="720" w:type="dxa"/>
            <w:vAlign w:val="bottom"/>
            <w:shd w:val="clear" w:color="auto" w:fill="F2F2F2"/>
          </w:tcPr>
          <w:p>
            <w:pPr>
              <w:jc w:val="center"/>
              <w:ind w:left="27"/>
              <w:spacing w:after="0"/>
              <w:rPr>
                <w:sz w:val="20"/>
                <w:szCs w:val="20"/>
                <w:color w:val="auto"/>
              </w:rPr>
            </w:pPr>
            <w:r>
              <w:rPr>
                <w:rFonts w:ascii="Arial" w:cs="Arial" w:eastAsia="Arial" w:hAnsi="Arial"/>
                <w:sz w:val="11"/>
                <w:szCs w:val="11"/>
                <w:b w:val="1"/>
                <w:bCs w:val="1"/>
                <w:color w:val="auto"/>
                <w:w w:val="93"/>
              </w:rPr>
              <w:t>Stock</w:t>
            </w:r>
          </w:p>
        </w:tc>
        <w:tc>
          <w:tcPr>
            <w:tcW w:w="900" w:type="dxa"/>
            <w:vAlign w:val="bottom"/>
            <w:shd w:val="clear" w:color="auto" w:fill="F2F2F2"/>
          </w:tcPr>
          <w:p>
            <w:pPr>
              <w:jc w:val="center"/>
              <w:ind w:left="7"/>
              <w:spacing w:after="0"/>
              <w:rPr>
                <w:sz w:val="20"/>
                <w:szCs w:val="20"/>
                <w:color w:val="auto"/>
              </w:rPr>
            </w:pPr>
            <w:r>
              <w:rPr>
                <w:rFonts w:ascii="Arial" w:cs="Arial" w:eastAsia="Arial" w:hAnsi="Arial"/>
                <w:sz w:val="11"/>
                <w:szCs w:val="11"/>
                <w:b w:val="1"/>
                <w:bCs w:val="1"/>
                <w:color w:val="auto"/>
              </w:rPr>
              <w:t>Plan</w:t>
            </w:r>
          </w:p>
        </w:tc>
        <w:tc>
          <w:tcPr>
            <w:tcW w:w="1380" w:type="dxa"/>
            <w:vAlign w:val="bottom"/>
            <w:gridSpan w:val="2"/>
            <w:shd w:val="clear" w:color="auto" w:fill="F2F2F2"/>
          </w:tcPr>
          <w:p>
            <w:pPr>
              <w:jc w:val="center"/>
              <w:spacing w:after="0"/>
              <w:rPr>
                <w:sz w:val="20"/>
                <w:szCs w:val="20"/>
                <w:color w:val="auto"/>
              </w:rPr>
            </w:pPr>
            <w:r>
              <w:rPr>
                <w:rFonts w:ascii="Arial" w:cs="Arial" w:eastAsia="Arial" w:hAnsi="Arial"/>
                <w:sz w:val="11"/>
                <w:szCs w:val="11"/>
                <w:b w:val="1"/>
                <w:bCs w:val="1"/>
                <w:color w:val="auto"/>
              </w:rPr>
              <w:t>Deferred Compensation</w:t>
            </w:r>
          </w:p>
        </w:tc>
        <w:tc>
          <w:tcPr>
            <w:tcW w:w="880" w:type="dxa"/>
            <w:vAlign w:val="bottom"/>
            <w:shd w:val="clear" w:color="auto" w:fill="F2F2F2"/>
          </w:tcPr>
          <w:p>
            <w:pPr>
              <w:jc w:val="center"/>
              <w:spacing w:after="0"/>
              <w:rPr>
                <w:sz w:val="20"/>
                <w:szCs w:val="20"/>
                <w:color w:val="auto"/>
              </w:rPr>
            </w:pPr>
            <w:r>
              <w:rPr>
                <w:rFonts w:ascii="Arial" w:cs="Arial" w:eastAsia="Arial" w:hAnsi="Arial"/>
                <w:sz w:val="11"/>
                <w:szCs w:val="11"/>
                <w:b w:val="1"/>
                <w:bCs w:val="1"/>
                <w:color w:val="auto"/>
              </w:rPr>
              <w:t>All Other</w:t>
            </w:r>
          </w:p>
        </w:tc>
        <w:tc>
          <w:tcPr>
            <w:tcW w:w="720" w:type="dxa"/>
            <w:vAlign w:val="bottom"/>
            <w:shd w:val="clear" w:color="auto" w:fill="F2F2F2"/>
          </w:tcPr>
          <w:p>
            <w:pPr>
              <w:spacing w:after="0"/>
              <w:rPr>
                <w:sz w:val="11"/>
                <w:szCs w:val="11"/>
                <w:color w:val="auto"/>
              </w:rPr>
            </w:pPr>
          </w:p>
        </w:tc>
        <w:tc>
          <w:tcPr>
            <w:tcW w:w="40" w:type="dxa"/>
            <w:vAlign w:val="bottom"/>
          </w:tcPr>
          <w:p>
            <w:pPr>
              <w:spacing w:after="0"/>
              <w:rPr>
                <w:sz w:val="11"/>
                <w:szCs w:val="11"/>
                <w:color w:val="auto"/>
              </w:rPr>
            </w:pPr>
          </w:p>
        </w:tc>
      </w:tr>
      <w:tr>
        <w:trPr>
          <w:trHeight w:val="142"/>
        </w:trPr>
        <w:tc>
          <w:tcPr>
            <w:tcW w:w="2900" w:type="dxa"/>
            <w:vAlign w:val="bottom"/>
            <w:shd w:val="clear" w:color="auto" w:fill="F2F2F2"/>
          </w:tcPr>
          <w:p>
            <w:pPr>
              <w:spacing w:after="0"/>
              <w:rPr>
                <w:sz w:val="12"/>
                <w:szCs w:val="12"/>
                <w:color w:val="auto"/>
              </w:rPr>
            </w:pPr>
          </w:p>
        </w:tc>
        <w:tc>
          <w:tcPr>
            <w:tcW w:w="740" w:type="dxa"/>
            <w:vAlign w:val="bottom"/>
            <w:shd w:val="clear" w:color="auto" w:fill="F2F2F2"/>
          </w:tcPr>
          <w:p>
            <w:pPr>
              <w:spacing w:after="0"/>
              <w:rPr>
                <w:sz w:val="12"/>
                <w:szCs w:val="12"/>
                <w:color w:val="auto"/>
              </w:rPr>
            </w:pPr>
          </w:p>
        </w:tc>
        <w:tc>
          <w:tcPr>
            <w:tcW w:w="760" w:type="dxa"/>
            <w:vAlign w:val="bottom"/>
            <w:shd w:val="clear" w:color="auto" w:fill="F2F2F2"/>
          </w:tcPr>
          <w:p>
            <w:pPr>
              <w:jc w:val="right"/>
              <w:ind w:right="107"/>
              <w:spacing w:after="0"/>
              <w:rPr>
                <w:sz w:val="20"/>
                <w:szCs w:val="20"/>
                <w:color w:val="auto"/>
              </w:rPr>
            </w:pPr>
            <w:r>
              <w:rPr>
                <w:rFonts w:ascii="Arial" w:cs="Arial" w:eastAsia="Arial" w:hAnsi="Arial"/>
                <w:sz w:val="11"/>
                <w:szCs w:val="11"/>
                <w:b w:val="1"/>
                <w:bCs w:val="1"/>
                <w:color w:val="auto"/>
              </w:rPr>
              <w:t>Salary</w:t>
            </w:r>
          </w:p>
        </w:tc>
        <w:tc>
          <w:tcPr>
            <w:tcW w:w="720" w:type="dxa"/>
            <w:vAlign w:val="bottom"/>
            <w:shd w:val="clear" w:color="auto" w:fill="F2F2F2"/>
          </w:tcPr>
          <w:p>
            <w:pPr>
              <w:jc w:val="right"/>
              <w:ind w:right="86"/>
              <w:spacing w:after="0"/>
              <w:rPr>
                <w:sz w:val="20"/>
                <w:szCs w:val="20"/>
                <w:color w:val="auto"/>
              </w:rPr>
            </w:pPr>
            <w:r>
              <w:rPr>
                <w:rFonts w:ascii="Arial" w:cs="Arial" w:eastAsia="Arial" w:hAnsi="Arial"/>
                <w:sz w:val="11"/>
                <w:szCs w:val="11"/>
                <w:b w:val="1"/>
                <w:bCs w:val="1"/>
                <w:color w:val="auto"/>
              </w:rPr>
              <w:t>Bonus</w:t>
            </w:r>
          </w:p>
        </w:tc>
        <w:tc>
          <w:tcPr>
            <w:tcW w:w="720" w:type="dxa"/>
            <w:vAlign w:val="bottom"/>
            <w:shd w:val="clear" w:color="auto" w:fill="F2F2F2"/>
          </w:tcPr>
          <w:p>
            <w:pPr>
              <w:jc w:val="center"/>
              <w:ind w:left="67"/>
              <w:spacing w:after="0"/>
              <w:rPr>
                <w:sz w:val="20"/>
                <w:szCs w:val="20"/>
                <w:color w:val="auto"/>
              </w:rPr>
            </w:pPr>
            <w:r>
              <w:rPr>
                <w:rFonts w:ascii="Arial" w:cs="Arial" w:eastAsia="Arial" w:hAnsi="Arial"/>
                <w:sz w:val="11"/>
                <w:szCs w:val="11"/>
                <w:b w:val="1"/>
                <w:bCs w:val="1"/>
                <w:color w:val="auto"/>
              </w:rPr>
              <w:t>Awards</w:t>
            </w:r>
          </w:p>
        </w:tc>
        <w:tc>
          <w:tcPr>
            <w:tcW w:w="900" w:type="dxa"/>
            <w:vAlign w:val="bottom"/>
            <w:shd w:val="clear" w:color="auto" w:fill="F2F2F2"/>
          </w:tcPr>
          <w:p>
            <w:pPr>
              <w:jc w:val="center"/>
              <w:ind w:left="27"/>
              <w:spacing w:after="0"/>
              <w:rPr>
                <w:sz w:val="20"/>
                <w:szCs w:val="20"/>
                <w:color w:val="auto"/>
              </w:rPr>
            </w:pPr>
            <w:r>
              <w:rPr>
                <w:rFonts w:ascii="Arial" w:cs="Arial" w:eastAsia="Arial" w:hAnsi="Arial"/>
                <w:sz w:val="11"/>
                <w:szCs w:val="11"/>
                <w:b w:val="1"/>
                <w:bCs w:val="1"/>
                <w:color w:val="auto"/>
              </w:rPr>
              <w:t>Compensation</w:t>
            </w:r>
          </w:p>
        </w:tc>
        <w:tc>
          <w:tcPr>
            <w:tcW w:w="220" w:type="dxa"/>
            <w:vAlign w:val="bottom"/>
            <w:shd w:val="clear" w:color="auto" w:fill="F2F2F2"/>
          </w:tcPr>
          <w:p>
            <w:pPr>
              <w:spacing w:after="0"/>
              <w:rPr>
                <w:sz w:val="12"/>
                <w:szCs w:val="12"/>
                <w:color w:val="auto"/>
              </w:rPr>
            </w:pPr>
          </w:p>
        </w:tc>
        <w:tc>
          <w:tcPr>
            <w:tcW w:w="1160" w:type="dxa"/>
            <w:vAlign w:val="bottom"/>
            <w:shd w:val="clear" w:color="auto" w:fill="F2F2F2"/>
          </w:tcPr>
          <w:p>
            <w:pPr>
              <w:jc w:val="center"/>
              <w:ind w:right="127"/>
              <w:spacing w:after="0"/>
              <w:rPr>
                <w:sz w:val="20"/>
                <w:szCs w:val="20"/>
                <w:color w:val="auto"/>
              </w:rPr>
            </w:pPr>
            <w:r>
              <w:rPr>
                <w:rFonts w:ascii="Arial" w:cs="Arial" w:eastAsia="Arial" w:hAnsi="Arial"/>
                <w:sz w:val="11"/>
                <w:szCs w:val="11"/>
                <w:b w:val="1"/>
                <w:bCs w:val="1"/>
                <w:color w:val="auto"/>
                <w:w w:val="97"/>
              </w:rPr>
              <w:t>Earnings</w:t>
            </w:r>
          </w:p>
        </w:tc>
        <w:tc>
          <w:tcPr>
            <w:tcW w:w="880" w:type="dxa"/>
            <w:vAlign w:val="bottom"/>
            <w:shd w:val="clear" w:color="auto" w:fill="F2F2F2"/>
          </w:tcPr>
          <w:p>
            <w:pPr>
              <w:jc w:val="center"/>
              <w:ind w:left="7"/>
              <w:spacing w:after="0"/>
              <w:rPr>
                <w:sz w:val="20"/>
                <w:szCs w:val="20"/>
                <w:color w:val="auto"/>
              </w:rPr>
            </w:pPr>
            <w:r>
              <w:rPr>
                <w:rFonts w:ascii="Arial" w:cs="Arial" w:eastAsia="Arial" w:hAnsi="Arial"/>
                <w:sz w:val="11"/>
                <w:szCs w:val="11"/>
                <w:b w:val="1"/>
                <w:bCs w:val="1"/>
                <w:color w:val="auto"/>
              </w:rPr>
              <w:t>Compensation</w:t>
            </w:r>
          </w:p>
        </w:tc>
        <w:tc>
          <w:tcPr>
            <w:tcW w:w="720" w:type="dxa"/>
            <w:vAlign w:val="bottom"/>
            <w:shd w:val="clear" w:color="auto" w:fill="F2F2F2"/>
          </w:tcPr>
          <w:p>
            <w:pPr>
              <w:jc w:val="right"/>
              <w:ind w:right="166"/>
              <w:spacing w:after="0"/>
              <w:rPr>
                <w:sz w:val="20"/>
                <w:szCs w:val="20"/>
                <w:color w:val="auto"/>
              </w:rPr>
            </w:pPr>
            <w:r>
              <w:rPr>
                <w:rFonts w:ascii="Arial" w:cs="Arial" w:eastAsia="Arial" w:hAnsi="Arial"/>
                <w:sz w:val="11"/>
                <w:szCs w:val="11"/>
                <w:b w:val="1"/>
                <w:bCs w:val="1"/>
                <w:color w:val="auto"/>
              </w:rPr>
              <w:t>Total</w:t>
            </w:r>
          </w:p>
        </w:tc>
        <w:tc>
          <w:tcPr>
            <w:tcW w:w="40" w:type="dxa"/>
            <w:vAlign w:val="bottom"/>
          </w:tcPr>
          <w:p>
            <w:pPr>
              <w:spacing w:after="0"/>
              <w:rPr>
                <w:sz w:val="12"/>
                <w:szCs w:val="12"/>
                <w:color w:val="auto"/>
              </w:rPr>
            </w:pPr>
          </w:p>
        </w:tc>
      </w:tr>
      <w:tr>
        <w:trPr>
          <w:trHeight w:val="176"/>
        </w:trPr>
        <w:tc>
          <w:tcPr>
            <w:tcW w:w="2900" w:type="dxa"/>
            <w:vAlign w:val="bottom"/>
            <w:shd w:val="clear" w:color="auto" w:fill="F2F2F2"/>
          </w:tcPr>
          <w:p>
            <w:pPr>
              <w:ind w:left="120"/>
              <w:spacing w:after="0"/>
              <w:rPr>
                <w:sz w:val="20"/>
                <w:szCs w:val="20"/>
                <w:color w:val="auto"/>
              </w:rPr>
            </w:pPr>
            <w:r>
              <w:rPr>
                <w:rFonts w:ascii="Arial" w:cs="Arial" w:eastAsia="Arial" w:hAnsi="Arial"/>
                <w:sz w:val="11"/>
                <w:szCs w:val="11"/>
                <w:b w:val="1"/>
                <w:bCs w:val="1"/>
                <w:color w:val="auto"/>
              </w:rPr>
              <w:t>Name and Principal Position</w:t>
            </w:r>
          </w:p>
        </w:tc>
        <w:tc>
          <w:tcPr>
            <w:tcW w:w="740" w:type="dxa"/>
            <w:vAlign w:val="bottom"/>
            <w:shd w:val="clear" w:color="auto" w:fill="F2F2F2"/>
          </w:tcPr>
          <w:p>
            <w:pPr>
              <w:ind w:left="340"/>
              <w:spacing w:after="0"/>
              <w:rPr>
                <w:sz w:val="20"/>
                <w:szCs w:val="20"/>
                <w:color w:val="auto"/>
              </w:rPr>
            </w:pPr>
            <w:r>
              <w:rPr>
                <w:rFonts w:ascii="Arial" w:cs="Arial" w:eastAsia="Arial" w:hAnsi="Arial"/>
                <w:sz w:val="11"/>
                <w:szCs w:val="11"/>
                <w:b w:val="1"/>
                <w:bCs w:val="1"/>
                <w:color w:val="auto"/>
              </w:rPr>
              <w:t>Year</w:t>
            </w:r>
          </w:p>
        </w:tc>
        <w:tc>
          <w:tcPr>
            <w:tcW w:w="760" w:type="dxa"/>
            <w:vAlign w:val="bottom"/>
            <w:shd w:val="clear" w:color="auto" w:fill="F2F2F2"/>
          </w:tcPr>
          <w:p>
            <w:pPr>
              <w:jc w:val="right"/>
              <w:ind w:right="147"/>
              <w:spacing w:after="0" w:line="176"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8"/>
                <w:szCs w:val="8"/>
                <w:b w:val="1"/>
                <w:bCs w:val="1"/>
                <w:color w:val="auto"/>
              </w:rPr>
              <w:t>(1)</w:t>
            </w:r>
          </w:p>
        </w:tc>
        <w:tc>
          <w:tcPr>
            <w:tcW w:w="720" w:type="dxa"/>
            <w:vAlign w:val="bottom"/>
            <w:shd w:val="clear" w:color="auto" w:fill="F2F2F2"/>
          </w:tcPr>
          <w:p>
            <w:pPr>
              <w:jc w:val="right"/>
              <w:ind w:right="186"/>
              <w:spacing w:after="0"/>
              <w:rPr>
                <w:sz w:val="20"/>
                <w:szCs w:val="20"/>
                <w:color w:val="auto"/>
              </w:rPr>
            </w:pPr>
            <w:r>
              <w:rPr>
                <w:rFonts w:ascii="Arial" w:cs="Arial" w:eastAsia="Arial" w:hAnsi="Arial"/>
                <w:sz w:val="11"/>
                <w:szCs w:val="11"/>
                <w:b w:val="1"/>
                <w:bCs w:val="1"/>
                <w:color w:val="auto"/>
              </w:rPr>
              <w:t>($)</w:t>
            </w:r>
          </w:p>
        </w:tc>
        <w:tc>
          <w:tcPr>
            <w:tcW w:w="720" w:type="dxa"/>
            <w:vAlign w:val="bottom"/>
            <w:shd w:val="clear" w:color="auto" w:fill="F2F2F2"/>
          </w:tcPr>
          <w:p>
            <w:pPr>
              <w:jc w:val="center"/>
              <w:ind w:left="27"/>
              <w:spacing w:after="0" w:line="176" w:lineRule="exact"/>
              <w:rPr>
                <w:sz w:val="20"/>
                <w:szCs w:val="20"/>
                <w:color w:val="auto"/>
              </w:rPr>
            </w:pPr>
            <w:r>
              <w:rPr>
                <w:rFonts w:ascii="Arial" w:cs="Arial" w:eastAsia="Arial" w:hAnsi="Arial"/>
                <w:sz w:val="20"/>
                <w:szCs w:val="20"/>
                <w:b w:val="1"/>
                <w:bCs w:val="1"/>
                <w:color w:val="auto"/>
                <w:w w:val="91"/>
                <w:vertAlign w:val="subscript"/>
              </w:rPr>
              <w:t>($)</w:t>
            </w:r>
            <w:r>
              <w:rPr>
                <w:rFonts w:ascii="Arial" w:cs="Arial" w:eastAsia="Arial" w:hAnsi="Arial"/>
                <w:sz w:val="8"/>
                <w:szCs w:val="8"/>
                <w:b w:val="1"/>
                <w:bCs w:val="1"/>
                <w:color w:val="auto"/>
                <w:w w:val="91"/>
              </w:rPr>
              <w:t>(2)</w:t>
            </w:r>
          </w:p>
        </w:tc>
        <w:tc>
          <w:tcPr>
            <w:tcW w:w="900" w:type="dxa"/>
            <w:vAlign w:val="bottom"/>
            <w:shd w:val="clear" w:color="auto" w:fill="F2F2F2"/>
          </w:tcPr>
          <w:p>
            <w:pPr>
              <w:jc w:val="center"/>
              <w:ind w:left="7"/>
              <w:spacing w:after="0" w:line="176" w:lineRule="exact"/>
              <w:rPr>
                <w:sz w:val="20"/>
                <w:szCs w:val="20"/>
                <w:color w:val="auto"/>
              </w:rPr>
            </w:pPr>
            <w:r>
              <w:rPr>
                <w:rFonts w:ascii="Arial" w:cs="Arial" w:eastAsia="Arial" w:hAnsi="Arial"/>
                <w:sz w:val="20"/>
                <w:szCs w:val="20"/>
                <w:b w:val="1"/>
                <w:bCs w:val="1"/>
                <w:color w:val="auto"/>
                <w:w w:val="91"/>
                <w:vertAlign w:val="subscript"/>
              </w:rPr>
              <w:t>($)</w:t>
            </w:r>
            <w:r>
              <w:rPr>
                <w:rFonts w:ascii="Arial" w:cs="Arial" w:eastAsia="Arial" w:hAnsi="Arial"/>
                <w:sz w:val="8"/>
                <w:szCs w:val="8"/>
                <w:b w:val="1"/>
                <w:bCs w:val="1"/>
                <w:color w:val="auto"/>
                <w:w w:val="91"/>
              </w:rPr>
              <w:t>(3)</w:t>
            </w:r>
          </w:p>
        </w:tc>
        <w:tc>
          <w:tcPr>
            <w:tcW w:w="220" w:type="dxa"/>
            <w:vAlign w:val="bottom"/>
            <w:shd w:val="clear" w:color="auto" w:fill="F2F2F2"/>
          </w:tcPr>
          <w:p>
            <w:pPr>
              <w:spacing w:after="0"/>
              <w:rPr>
                <w:sz w:val="15"/>
                <w:szCs w:val="15"/>
                <w:color w:val="auto"/>
              </w:rPr>
            </w:pPr>
          </w:p>
        </w:tc>
        <w:tc>
          <w:tcPr>
            <w:tcW w:w="1160" w:type="dxa"/>
            <w:vAlign w:val="bottom"/>
            <w:shd w:val="clear" w:color="auto" w:fill="F2F2F2"/>
          </w:tcPr>
          <w:p>
            <w:pPr>
              <w:jc w:val="center"/>
              <w:ind w:right="127"/>
              <w:spacing w:after="0" w:line="176" w:lineRule="exact"/>
              <w:rPr>
                <w:sz w:val="20"/>
                <w:szCs w:val="20"/>
                <w:color w:val="auto"/>
              </w:rPr>
            </w:pPr>
            <w:r>
              <w:rPr>
                <w:rFonts w:ascii="Arial" w:cs="Arial" w:eastAsia="Arial" w:hAnsi="Arial"/>
                <w:sz w:val="20"/>
                <w:szCs w:val="20"/>
                <w:b w:val="1"/>
                <w:bCs w:val="1"/>
                <w:color w:val="auto"/>
                <w:w w:val="84"/>
                <w:vertAlign w:val="subscript"/>
              </w:rPr>
              <w:t>($)</w:t>
            </w:r>
            <w:r>
              <w:rPr>
                <w:rFonts w:ascii="Arial" w:cs="Arial" w:eastAsia="Arial" w:hAnsi="Arial"/>
                <w:sz w:val="8"/>
                <w:szCs w:val="8"/>
                <w:b w:val="1"/>
                <w:bCs w:val="1"/>
                <w:color w:val="auto"/>
                <w:w w:val="84"/>
              </w:rPr>
              <w:t>(4)</w:t>
            </w:r>
          </w:p>
        </w:tc>
        <w:tc>
          <w:tcPr>
            <w:tcW w:w="880" w:type="dxa"/>
            <w:vAlign w:val="bottom"/>
            <w:shd w:val="clear" w:color="auto" w:fill="F2F2F2"/>
          </w:tcPr>
          <w:p>
            <w:pPr>
              <w:jc w:val="center"/>
              <w:spacing w:after="0" w:line="176" w:lineRule="exact"/>
              <w:rPr>
                <w:sz w:val="20"/>
                <w:szCs w:val="20"/>
                <w:color w:val="auto"/>
              </w:rPr>
            </w:pPr>
            <w:r>
              <w:rPr>
                <w:rFonts w:ascii="Arial" w:cs="Arial" w:eastAsia="Arial" w:hAnsi="Arial"/>
                <w:sz w:val="20"/>
                <w:szCs w:val="20"/>
                <w:b w:val="1"/>
                <w:bCs w:val="1"/>
                <w:color w:val="auto"/>
                <w:w w:val="91"/>
                <w:vertAlign w:val="subscript"/>
              </w:rPr>
              <w:t>($)</w:t>
            </w:r>
            <w:r>
              <w:rPr>
                <w:rFonts w:ascii="Arial" w:cs="Arial" w:eastAsia="Arial" w:hAnsi="Arial"/>
                <w:sz w:val="8"/>
                <w:szCs w:val="8"/>
                <w:b w:val="1"/>
                <w:bCs w:val="1"/>
                <w:color w:val="auto"/>
                <w:w w:val="91"/>
              </w:rPr>
              <w:t>(5)</w:t>
            </w:r>
          </w:p>
        </w:tc>
        <w:tc>
          <w:tcPr>
            <w:tcW w:w="720" w:type="dxa"/>
            <w:vAlign w:val="bottom"/>
            <w:shd w:val="clear" w:color="auto" w:fill="F2F2F2"/>
          </w:tcPr>
          <w:p>
            <w:pPr>
              <w:jc w:val="right"/>
              <w:ind w:right="226"/>
              <w:spacing w:after="0"/>
              <w:rPr>
                <w:sz w:val="20"/>
                <w:szCs w:val="20"/>
                <w:color w:val="auto"/>
              </w:rPr>
            </w:pPr>
            <w:r>
              <w:rPr>
                <w:rFonts w:ascii="Arial" w:cs="Arial" w:eastAsia="Arial" w:hAnsi="Arial"/>
                <w:sz w:val="11"/>
                <w:szCs w:val="11"/>
                <w:b w:val="1"/>
                <w:bCs w:val="1"/>
                <w:color w:val="auto"/>
              </w:rPr>
              <w:t>($)</w:t>
            </w:r>
          </w:p>
        </w:tc>
        <w:tc>
          <w:tcPr>
            <w:tcW w:w="40" w:type="dxa"/>
            <w:vAlign w:val="bottom"/>
          </w:tcPr>
          <w:p>
            <w:pPr>
              <w:spacing w:after="0"/>
              <w:rPr>
                <w:sz w:val="15"/>
                <w:szCs w:val="15"/>
                <w:color w:val="auto"/>
              </w:rPr>
            </w:pPr>
          </w:p>
        </w:tc>
      </w:tr>
      <w:tr>
        <w:trPr>
          <w:trHeight w:val="285"/>
        </w:trPr>
        <w:tc>
          <w:tcPr>
            <w:tcW w:w="2900" w:type="dxa"/>
            <w:vAlign w:val="bottom"/>
          </w:tcPr>
          <w:p>
            <w:pPr>
              <w:ind w:left="120"/>
              <w:spacing w:after="0"/>
              <w:rPr>
                <w:sz w:val="20"/>
                <w:szCs w:val="20"/>
                <w:color w:val="auto"/>
              </w:rPr>
            </w:pPr>
            <w:r>
              <w:rPr>
                <w:rFonts w:ascii="Arial" w:cs="Arial" w:eastAsia="Arial" w:hAnsi="Arial"/>
                <w:sz w:val="11"/>
                <w:szCs w:val="11"/>
                <w:b w:val="1"/>
                <w:bCs w:val="1"/>
                <w:color w:val="auto"/>
              </w:rPr>
              <w:t>Scott Kirby</w:t>
            </w:r>
          </w:p>
        </w:tc>
        <w:tc>
          <w:tcPr>
            <w:tcW w:w="740" w:type="dxa"/>
            <w:vAlign w:val="bottom"/>
          </w:tcPr>
          <w:p>
            <w:pPr>
              <w:ind w:left="340"/>
              <w:spacing w:after="0"/>
              <w:rPr>
                <w:sz w:val="20"/>
                <w:szCs w:val="20"/>
                <w:color w:val="auto"/>
              </w:rPr>
            </w:pPr>
            <w:r>
              <w:rPr>
                <w:rFonts w:ascii="Arial" w:cs="Arial" w:eastAsia="Arial" w:hAnsi="Arial"/>
                <w:sz w:val="11"/>
                <w:szCs w:val="11"/>
                <w:color w:val="auto"/>
              </w:rPr>
              <w:t>2025</w:t>
            </w:r>
          </w:p>
        </w:tc>
        <w:tc>
          <w:tcPr>
            <w:tcW w:w="760" w:type="dxa"/>
            <w:vAlign w:val="bottom"/>
          </w:tcPr>
          <w:p>
            <w:pPr>
              <w:jc w:val="right"/>
              <w:spacing w:after="0"/>
              <w:rPr>
                <w:sz w:val="20"/>
                <w:szCs w:val="20"/>
                <w:color w:val="auto"/>
              </w:rPr>
            </w:pPr>
            <w:r>
              <w:rPr>
                <w:rFonts w:ascii="Arial" w:cs="Arial" w:eastAsia="Arial" w:hAnsi="Arial"/>
                <w:sz w:val="11"/>
                <w:szCs w:val="11"/>
                <w:color w:val="auto"/>
              </w:rPr>
              <w:t>1,200,000</w:t>
            </w: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7"/>
              <w:spacing w:after="0"/>
              <w:rPr>
                <w:sz w:val="20"/>
                <w:szCs w:val="20"/>
                <w:color w:val="auto"/>
              </w:rPr>
            </w:pPr>
            <w:r>
              <w:rPr>
                <w:rFonts w:ascii="Arial" w:cs="Arial" w:eastAsia="Arial" w:hAnsi="Arial"/>
                <w:sz w:val="11"/>
                <w:szCs w:val="11"/>
                <w:color w:val="auto"/>
              </w:rPr>
              <w:t>22,565,804</w:t>
            </w:r>
          </w:p>
        </w:tc>
        <w:tc>
          <w:tcPr>
            <w:tcW w:w="900" w:type="dxa"/>
            <w:vAlign w:val="bottom"/>
          </w:tcPr>
          <w:p>
            <w:pPr>
              <w:jc w:val="right"/>
              <w:ind w:right="27"/>
              <w:spacing w:after="0"/>
              <w:rPr>
                <w:sz w:val="20"/>
                <w:szCs w:val="20"/>
                <w:color w:val="auto"/>
              </w:rPr>
            </w:pPr>
            <w:r>
              <w:rPr>
                <w:rFonts w:ascii="Arial" w:cs="Arial" w:eastAsia="Arial" w:hAnsi="Arial"/>
                <w:sz w:val="11"/>
                <w:szCs w:val="11"/>
                <w:color w:val="auto"/>
              </w:rPr>
              <w:t>8,010,000</w:t>
            </w:r>
          </w:p>
        </w:tc>
        <w:tc>
          <w:tcPr>
            <w:tcW w:w="220" w:type="dxa"/>
            <w:vAlign w:val="bottom"/>
          </w:tcPr>
          <w:p>
            <w:pPr>
              <w:spacing w:after="0"/>
              <w:rPr>
                <w:sz w:val="24"/>
                <w:szCs w:val="24"/>
                <w:color w:val="auto"/>
              </w:rPr>
            </w:pPr>
          </w:p>
        </w:tc>
        <w:tc>
          <w:tcPr>
            <w:tcW w:w="1160" w:type="dxa"/>
            <w:vAlign w:val="bottom"/>
          </w:tcPr>
          <w:p>
            <w:pPr>
              <w:jc w:val="right"/>
              <w:ind w:right="7"/>
              <w:spacing w:after="0"/>
              <w:rPr>
                <w:sz w:val="20"/>
                <w:szCs w:val="20"/>
                <w:color w:val="auto"/>
              </w:rPr>
            </w:pPr>
            <w:r>
              <w:rPr>
                <w:rFonts w:ascii="Arial" w:cs="Arial" w:eastAsia="Arial" w:hAnsi="Arial"/>
                <w:sz w:val="11"/>
                <w:szCs w:val="11"/>
                <w:color w:val="auto"/>
              </w:rPr>
              <w:t>—</w:t>
            </w:r>
          </w:p>
        </w:tc>
        <w:tc>
          <w:tcPr>
            <w:tcW w:w="880" w:type="dxa"/>
            <w:vAlign w:val="bottom"/>
          </w:tcPr>
          <w:p>
            <w:pPr>
              <w:jc w:val="right"/>
              <w:ind w:right="27"/>
              <w:spacing w:after="0"/>
              <w:rPr>
                <w:sz w:val="20"/>
                <w:szCs w:val="20"/>
                <w:color w:val="auto"/>
              </w:rPr>
            </w:pPr>
            <w:r>
              <w:rPr>
                <w:rFonts w:ascii="Arial" w:cs="Arial" w:eastAsia="Arial" w:hAnsi="Arial"/>
                <w:sz w:val="11"/>
                <w:szCs w:val="11"/>
                <w:color w:val="auto"/>
              </w:rPr>
              <w:t>506,449</w:t>
            </w:r>
          </w:p>
        </w:tc>
        <w:tc>
          <w:tcPr>
            <w:tcW w:w="720" w:type="dxa"/>
            <w:vAlign w:val="bottom"/>
          </w:tcPr>
          <w:p>
            <w:pPr>
              <w:jc w:val="right"/>
              <w:ind w:right="46"/>
              <w:spacing w:after="0"/>
              <w:rPr>
                <w:sz w:val="20"/>
                <w:szCs w:val="20"/>
                <w:color w:val="auto"/>
              </w:rPr>
            </w:pPr>
            <w:r>
              <w:rPr>
                <w:rFonts w:ascii="Arial" w:cs="Arial" w:eastAsia="Arial" w:hAnsi="Arial"/>
                <w:sz w:val="11"/>
                <w:szCs w:val="11"/>
                <w:color w:val="auto"/>
              </w:rPr>
              <w:t>32,282,253</w:t>
            </w:r>
          </w:p>
        </w:tc>
        <w:tc>
          <w:tcPr>
            <w:tcW w:w="40" w:type="dxa"/>
            <w:vAlign w:val="bottom"/>
          </w:tcPr>
          <w:p>
            <w:pPr>
              <w:spacing w:after="0"/>
              <w:rPr>
                <w:sz w:val="24"/>
                <w:szCs w:val="24"/>
                <w:color w:val="auto"/>
              </w:rPr>
            </w:pPr>
          </w:p>
        </w:tc>
      </w:tr>
      <w:tr>
        <w:trPr>
          <w:trHeight w:val="257"/>
        </w:trPr>
        <w:tc>
          <w:tcPr>
            <w:tcW w:w="2900" w:type="dxa"/>
            <w:vAlign w:val="bottom"/>
          </w:tcPr>
          <w:p>
            <w:pPr>
              <w:ind w:left="220"/>
              <w:spacing w:after="0"/>
              <w:rPr>
                <w:sz w:val="20"/>
                <w:szCs w:val="20"/>
                <w:color w:val="auto"/>
              </w:rPr>
            </w:pPr>
            <w:r>
              <w:rPr>
                <w:rFonts w:ascii="Arial" w:cs="Arial" w:eastAsia="Arial" w:hAnsi="Arial"/>
                <w:sz w:val="11"/>
                <w:szCs w:val="11"/>
                <w:color w:val="auto"/>
              </w:rPr>
              <w:t>Chief  Executive  Ofcer</w:t>
            </w:r>
          </w:p>
        </w:tc>
        <w:tc>
          <w:tcPr>
            <w:tcW w:w="740" w:type="dxa"/>
            <w:vAlign w:val="bottom"/>
          </w:tcPr>
          <w:p>
            <w:pPr>
              <w:ind w:left="340"/>
              <w:spacing w:after="0"/>
              <w:rPr>
                <w:sz w:val="20"/>
                <w:szCs w:val="20"/>
                <w:color w:val="auto"/>
              </w:rPr>
            </w:pPr>
            <w:r>
              <w:rPr>
                <w:rFonts w:ascii="Arial" w:cs="Arial" w:eastAsia="Arial" w:hAnsi="Arial"/>
                <w:sz w:val="11"/>
                <w:szCs w:val="11"/>
                <w:color w:val="auto"/>
              </w:rPr>
              <w:t>2024</w:t>
            </w:r>
          </w:p>
        </w:tc>
        <w:tc>
          <w:tcPr>
            <w:tcW w:w="760" w:type="dxa"/>
            <w:vAlign w:val="bottom"/>
          </w:tcPr>
          <w:p>
            <w:pPr>
              <w:jc w:val="right"/>
              <w:spacing w:after="0"/>
              <w:rPr>
                <w:sz w:val="20"/>
                <w:szCs w:val="20"/>
                <w:color w:val="auto"/>
              </w:rPr>
            </w:pPr>
            <w:r>
              <w:rPr>
                <w:rFonts w:ascii="Arial" w:cs="Arial" w:eastAsia="Arial" w:hAnsi="Arial"/>
                <w:sz w:val="11"/>
                <w:szCs w:val="11"/>
                <w:color w:val="auto"/>
              </w:rPr>
              <w:t>1,175,000</w:t>
            </w: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3,000,000</w:t>
            </w:r>
          </w:p>
        </w:tc>
        <w:tc>
          <w:tcPr>
            <w:tcW w:w="720" w:type="dxa"/>
            <w:vAlign w:val="bottom"/>
          </w:tcPr>
          <w:p>
            <w:pPr>
              <w:jc w:val="right"/>
              <w:ind w:right="7"/>
              <w:spacing w:after="0"/>
              <w:rPr>
                <w:sz w:val="20"/>
                <w:szCs w:val="20"/>
                <w:color w:val="auto"/>
              </w:rPr>
            </w:pPr>
            <w:r>
              <w:rPr>
                <w:rFonts w:ascii="Arial" w:cs="Arial" w:eastAsia="Arial" w:hAnsi="Arial"/>
                <w:sz w:val="11"/>
                <w:szCs w:val="11"/>
                <w:color w:val="auto"/>
              </w:rPr>
              <w:t>24,405,267</w:t>
            </w:r>
          </w:p>
        </w:tc>
        <w:tc>
          <w:tcPr>
            <w:tcW w:w="900" w:type="dxa"/>
            <w:vAlign w:val="bottom"/>
          </w:tcPr>
          <w:p>
            <w:pPr>
              <w:jc w:val="right"/>
              <w:ind w:right="27"/>
              <w:spacing w:after="0"/>
              <w:rPr>
                <w:sz w:val="20"/>
                <w:szCs w:val="20"/>
                <w:color w:val="auto"/>
              </w:rPr>
            </w:pPr>
            <w:r>
              <w:rPr>
                <w:rFonts w:ascii="Arial" w:cs="Arial" w:eastAsia="Arial" w:hAnsi="Arial"/>
                <w:sz w:val="11"/>
                <w:szCs w:val="11"/>
                <w:color w:val="auto"/>
              </w:rPr>
              <w:t>5,141,223</w:t>
            </w:r>
          </w:p>
        </w:tc>
        <w:tc>
          <w:tcPr>
            <w:tcW w:w="220" w:type="dxa"/>
            <w:vAlign w:val="bottom"/>
          </w:tcPr>
          <w:p>
            <w:pPr>
              <w:spacing w:after="0"/>
              <w:rPr>
                <w:sz w:val="22"/>
                <w:szCs w:val="22"/>
                <w:color w:val="auto"/>
              </w:rPr>
            </w:pPr>
          </w:p>
        </w:tc>
        <w:tc>
          <w:tcPr>
            <w:tcW w:w="1160" w:type="dxa"/>
            <w:vAlign w:val="bottom"/>
          </w:tcPr>
          <w:p>
            <w:pPr>
              <w:jc w:val="right"/>
              <w:ind w:right="7"/>
              <w:spacing w:after="0"/>
              <w:rPr>
                <w:sz w:val="20"/>
                <w:szCs w:val="20"/>
                <w:color w:val="auto"/>
              </w:rPr>
            </w:pPr>
            <w:r>
              <w:rPr>
                <w:rFonts w:ascii="Arial" w:cs="Arial" w:eastAsia="Arial" w:hAnsi="Arial"/>
                <w:sz w:val="11"/>
                <w:szCs w:val="11"/>
                <w:color w:val="auto"/>
              </w:rPr>
              <w:t>—</w:t>
            </w:r>
          </w:p>
        </w:tc>
        <w:tc>
          <w:tcPr>
            <w:tcW w:w="880" w:type="dxa"/>
            <w:vAlign w:val="bottom"/>
          </w:tcPr>
          <w:p>
            <w:pPr>
              <w:jc w:val="right"/>
              <w:ind w:right="27"/>
              <w:spacing w:after="0"/>
              <w:rPr>
                <w:sz w:val="20"/>
                <w:szCs w:val="20"/>
                <w:color w:val="auto"/>
              </w:rPr>
            </w:pPr>
            <w:r>
              <w:rPr>
                <w:rFonts w:ascii="Arial" w:cs="Arial" w:eastAsia="Arial" w:hAnsi="Arial"/>
                <w:sz w:val="11"/>
                <w:szCs w:val="11"/>
                <w:color w:val="auto"/>
              </w:rPr>
              <w:t>203,498</w:t>
            </w:r>
          </w:p>
        </w:tc>
        <w:tc>
          <w:tcPr>
            <w:tcW w:w="720" w:type="dxa"/>
            <w:vAlign w:val="bottom"/>
          </w:tcPr>
          <w:p>
            <w:pPr>
              <w:jc w:val="right"/>
              <w:ind w:right="46"/>
              <w:spacing w:after="0"/>
              <w:rPr>
                <w:sz w:val="20"/>
                <w:szCs w:val="20"/>
                <w:color w:val="auto"/>
              </w:rPr>
            </w:pPr>
            <w:r>
              <w:rPr>
                <w:rFonts w:ascii="Arial" w:cs="Arial" w:eastAsia="Arial" w:hAnsi="Arial"/>
                <w:sz w:val="11"/>
                <w:szCs w:val="11"/>
                <w:color w:val="auto"/>
              </w:rPr>
              <w:t>33,924,988</w:t>
            </w:r>
          </w:p>
        </w:tc>
        <w:tc>
          <w:tcPr>
            <w:tcW w:w="40" w:type="dxa"/>
            <w:vAlign w:val="bottom"/>
          </w:tcPr>
          <w:p>
            <w:pPr>
              <w:spacing w:after="0"/>
              <w:rPr>
                <w:sz w:val="22"/>
                <w:szCs w:val="22"/>
                <w:color w:val="auto"/>
              </w:rPr>
            </w:pPr>
          </w:p>
        </w:tc>
      </w:tr>
      <w:tr>
        <w:trPr>
          <w:trHeight w:val="228"/>
        </w:trPr>
        <w:tc>
          <w:tcPr>
            <w:tcW w:w="29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ind w:left="340"/>
              <w:spacing w:after="0"/>
              <w:rPr>
                <w:sz w:val="20"/>
                <w:szCs w:val="20"/>
                <w:color w:val="auto"/>
              </w:rPr>
            </w:pPr>
            <w:r>
              <w:rPr>
                <w:rFonts w:ascii="Arial" w:cs="Arial" w:eastAsia="Arial" w:hAnsi="Arial"/>
                <w:sz w:val="11"/>
                <w:szCs w:val="11"/>
                <w:color w:val="auto"/>
              </w:rPr>
              <w:t>2023</w:t>
            </w:r>
          </w:p>
        </w:tc>
        <w:tc>
          <w:tcPr>
            <w:tcW w:w="760" w:type="dxa"/>
            <w:vAlign w:val="bottom"/>
            <w:tcBorders>
              <w:bottom w:val="single" w:sz="8" w:color="808080"/>
            </w:tcBorders>
          </w:tcPr>
          <w:p>
            <w:pPr>
              <w:jc w:val="right"/>
              <w:spacing w:after="0"/>
              <w:rPr>
                <w:sz w:val="20"/>
                <w:szCs w:val="20"/>
                <w:color w:val="auto"/>
              </w:rPr>
            </w:pPr>
            <w:r>
              <w:rPr>
                <w:rFonts w:ascii="Arial" w:cs="Arial" w:eastAsia="Arial" w:hAnsi="Arial"/>
                <w:sz w:val="11"/>
                <w:szCs w:val="11"/>
                <w:color w:val="auto"/>
              </w:rPr>
              <w:t>1,075,000</w:t>
            </w:r>
          </w:p>
        </w:tc>
        <w:tc>
          <w:tcPr>
            <w:tcW w:w="720" w:type="dxa"/>
            <w:vAlign w:val="bottom"/>
            <w:tcBorders>
              <w:bottom w:val="single" w:sz="8" w:color="808080"/>
            </w:tcBorders>
          </w:tcPr>
          <w:p>
            <w:pPr>
              <w:jc w:val="right"/>
              <w:ind w:right="6"/>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808080"/>
            </w:tcBorders>
          </w:tcPr>
          <w:p>
            <w:pPr>
              <w:jc w:val="right"/>
              <w:ind w:right="7"/>
              <w:spacing w:after="0"/>
              <w:rPr>
                <w:sz w:val="20"/>
                <w:szCs w:val="20"/>
                <w:color w:val="auto"/>
              </w:rPr>
            </w:pPr>
            <w:r>
              <w:rPr>
                <w:rFonts w:ascii="Arial" w:cs="Arial" w:eastAsia="Arial" w:hAnsi="Arial"/>
                <w:sz w:val="11"/>
                <w:szCs w:val="11"/>
                <w:color w:val="auto"/>
              </w:rPr>
              <w:t>10,705,744</w:t>
            </w:r>
          </w:p>
        </w:tc>
        <w:tc>
          <w:tcPr>
            <w:tcW w:w="900" w:type="dxa"/>
            <w:vAlign w:val="bottom"/>
            <w:tcBorders>
              <w:bottom w:val="single" w:sz="8" w:color="808080"/>
            </w:tcBorders>
          </w:tcPr>
          <w:p>
            <w:pPr>
              <w:jc w:val="right"/>
              <w:ind w:right="27"/>
              <w:spacing w:after="0"/>
              <w:rPr>
                <w:sz w:val="20"/>
                <w:szCs w:val="20"/>
                <w:color w:val="auto"/>
              </w:rPr>
            </w:pPr>
            <w:r>
              <w:rPr>
                <w:rFonts w:ascii="Arial" w:cs="Arial" w:eastAsia="Arial" w:hAnsi="Arial"/>
                <w:sz w:val="11"/>
                <w:szCs w:val="11"/>
                <w:color w:val="auto"/>
              </w:rPr>
              <w:t>6,636,815</w:t>
            </w:r>
          </w:p>
        </w:tc>
        <w:tc>
          <w:tcPr>
            <w:tcW w:w="22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jc w:val="right"/>
              <w:ind w:right="7"/>
              <w:spacing w:after="0"/>
              <w:rPr>
                <w:sz w:val="20"/>
                <w:szCs w:val="20"/>
                <w:color w:val="auto"/>
              </w:rPr>
            </w:pPr>
            <w:r>
              <w:rPr>
                <w:rFonts w:ascii="Arial" w:cs="Arial" w:eastAsia="Arial" w:hAnsi="Arial"/>
                <w:sz w:val="11"/>
                <w:szCs w:val="11"/>
                <w:color w:val="auto"/>
              </w:rPr>
              <w:t>—</w:t>
            </w:r>
          </w:p>
        </w:tc>
        <w:tc>
          <w:tcPr>
            <w:tcW w:w="880" w:type="dxa"/>
            <w:vAlign w:val="bottom"/>
            <w:tcBorders>
              <w:bottom w:val="single" w:sz="8" w:color="808080"/>
            </w:tcBorders>
          </w:tcPr>
          <w:p>
            <w:pPr>
              <w:jc w:val="right"/>
              <w:ind w:right="27"/>
              <w:spacing w:after="0"/>
              <w:rPr>
                <w:sz w:val="20"/>
                <w:szCs w:val="20"/>
                <w:color w:val="auto"/>
              </w:rPr>
            </w:pPr>
            <w:r>
              <w:rPr>
                <w:rFonts w:ascii="Arial" w:cs="Arial" w:eastAsia="Arial" w:hAnsi="Arial"/>
                <w:sz w:val="11"/>
                <w:szCs w:val="11"/>
                <w:color w:val="auto"/>
              </w:rPr>
              <w:t>155,740</w:t>
            </w:r>
          </w:p>
        </w:tc>
        <w:tc>
          <w:tcPr>
            <w:tcW w:w="720" w:type="dxa"/>
            <w:vAlign w:val="bottom"/>
            <w:tcBorders>
              <w:bottom w:val="single" w:sz="8" w:color="808080"/>
            </w:tcBorders>
          </w:tcPr>
          <w:p>
            <w:pPr>
              <w:jc w:val="right"/>
              <w:ind w:right="46"/>
              <w:spacing w:after="0"/>
              <w:rPr>
                <w:sz w:val="20"/>
                <w:szCs w:val="20"/>
                <w:color w:val="auto"/>
              </w:rPr>
            </w:pPr>
            <w:r>
              <w:rPr>
                <w:rFonts w:ascii="Arial" w:cs="Arial" w:eastAsia="Arial" w:hAnsi="Arial"/>
                <w:sz w:val="11"/>
                <w:szCs w:val="11"/>
                <w:color w:val="auto"/>
              </w:rPr>
              <w:t>18,573,299</w:t>
            </w:r>
          </w:p>
        </w:tc>
        <w:tc>
          <w:tcPr>
            <w:tcW w:w="40" w:type="dxa"/>
            <w:vAlign w:val="bottom"/>
          </w:tcPr>
          <w:p>
            <w:pPr>
              <w:spacing w:after="0"/>
              <w:rPr>
                <w:sz w:val="19"/>
                <w:szCs w:val="19"/>
                <w:color w:val="auto"/>
              </w:rPr>
            </w:pPr>
          </w:p>
        </w:tc>
      </w:tr>
      <w:tr>
        <w:trPr>
          <w:trHeight w:val="184"/>
        </w:trPr>
        <w:tc>
          <w:tcPr>
            <w:tcW w:w="2900" w:type="dxa"/>
            <w:vAlign w:val="bottom"/>
          </w:tcPr>
          <w:p>
            <w:pPr>
              <w:ind w:left="120"/>
              <w:spacing w:after="0"/>
              <w:rPr>
                <w:sz w:val="20"/>
                <w:szCs w:val="20"/>
                <w:color w:val="auto"/>
              </w:rPr>
            </w:pPr>
            <w:r>
              <w:rPr>
                <w:rFonts w:ascii="Arial" w:cs="Arial" w:eastAsia="Arial" w:hAnsi="Arial"/>
                <w:sz w:val="11"/>
                <w:szCs w:val="11"/>
                <w:b w:val="1"/>
                <w:bCs w:val="1"/>
                <w:color w:val="auto"/>
              </w:rPr>
              <w:t>Michael Leskinen</w:t>
            </w:r>
          </w:p>
        </w:tc>
        <w:tc>
          <w:tcPr>
            <w:tcW w:w="740" w:type="dxa"/>
            <w:vAlign w:val="bottom"/>
          </w:tcPr>
          <w:p>
            <w:pPr>
              <w:ind w:left="340"/>
              <w:spacing w:after="0"/>
              <w:rPr>
                <w:sz w:val="20"/>
                <w:szCs w:val="20"/>
                <w:color w:val="auto"/>
              </w:rPr>
            </w:pPr>
            <w:r>
              <w:rPr>
                <w:rFonts w:ascii="Arial" w:cs="Arial" w:eastAsia="Arial" w:hAnsi="Arial"/>
                <w:sz w:val="11"/>
                <w:szCs w:val="11"/>
                <w:color w:val="auto"/>
              </w:rPr>
              <w:t>2025</w:t>
            </w:r>
          </w:p>
        </w:tc>
        <w:tc>
          <w:tcPr>
            <w:tcW w:w="760" w:type="dxa"/>
            <w:vAlign w:val="bottom"/>
          </w:tcPr>
          <w:p>
            <w:pPr>
              <w:jc w:val="right"/>
              <w:spacing w:after="0"/>
              <w:rPr>
                <w:sz w:val="20"/>
                <w:szCs w:val="20"/>
                <w:color w:val="auto"/>
              </w:rPr>
            </w:pPr>
            <w:r>
              <w:rPr>
                <w:rFonts w:ascii="Arial" w:cs="Arial" w:eastAsia="Arial" w:hAnsi="Arial"/>
                <w:sz w:val="11"/>
                <w:szCs w:val="11"/>
                <w:color w:val="auto"/>
              </w:rPr>
              <w:t>783,750</w:t>
            </w: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7"/>
              <w:spacing w:after="0"/>
              <w:rPr>
                <w:sz w:val="20"/>
                <w:szCs w:val="20"/>
                <w:color w:val="auto"/>
              </w:rPr>
            </w:pPr>
            <w:r>
              <w:rPr>
                <w:rFonts w:ascii="Arial" w:cs="Arial" w:eastAsia="Arial" w:hAnsi="Arial"/>
                <w:sz w:val="11"/>
                <w:szCs w:val="11"/>
                <w:color w:val="auto"/>
              </w:rPr>
              <w:t>4,799,695</w:t>
            </w:r>
          </w:p>
        </w:tc>
        <w:tc>
          <w:tcPr>
            <w:tcW w:w="900" w:type="dxa"/>
            <w:vAlign w:val="bottom"/>
          </w:tcPr>
          <w:p>
            <w:pPr>
              <w:jc w:val="right"/>
              <w:ind w:right="27"/>
              <w:spacing w:after="0"/>
              <w:rPr>
                <w:sz w:val="20"/>
                <w:szCs w:val="20"/>
                <w:color w:val="auto"/>
              </w:rPr>
            </w:pPr>
            <w:r>
              <w:rPr>
                <w:rFonts w:ascii="Arial" w:cs="Arial" w:eastAsia="Arial" w:hAnsi="Arial"/>
                <w:sz w:val="11"/>
                <w:szCs w:val="11"/>
                <w:color w:val="auto"/>
              </w:rPr>
              <w:t>1,324,701</w:t>
            </w:r>
          </w:p>
        </w:tc>
        <w:tc>
          <w:tcPr>
            <w:tcW w:w="220" w:type="dxa"/>
            <w:vAlign w:val="bottom"/>
          </w:tcPr>
          <w:p>
            <w:pPr>
              <w:spacing w:after="0"/>
              <w:rPr>
                <w:sz w:val="16"/>
                <w:szCs w:val="16"/>
                <w:color w:val="auto"/>
              </w:rPr>
            </w:pPr>
          </w:p>
        </w:tc>
        <w:tc>
          <w:tcPr>
            <w:tcW w:w="1160" w:type="dxa"/>
            <w:vAlign w:val="bottom"/>
          </w:tcPr>
          <w:p>
            <w:pPr>
              <w:jc w:val="right"/>
              <w:ind w:right="7"/>
              <w:spacing w:after="0"/>
              <w:rPr>
                <w:sz w:val="20"/>
                <w:szCs w:val="20"/>
                <w:color w:val="auto"/>
              </w:rPr>
            </w:pPr>
            <w:r>
              <w:rPr>
                <w:rFonts w:ascii="Arial" w:cs="Arial" w:eastAsia="Arial" w:hAnsi="Arial"/>
                <w:sz w:val="11"/>
                <w:szCs w:val="11"/>
                <w:color w:val="auto"/>
              </w:rPr>
              <w:t>—</w:t>
            </w:r>
          </w:p>
        </w:tc>
        <w:tc>
          <w:tcPr>
            <w:tcW w:w="880" w:type="dxa"/>
            <w:vAlign w:val="bottom"/>
          </w:tcPr>
          <w:p>
            <w:pPr>
              <w:jc w:val="right"/>
              <w:ind w:right="27"/>
              <w:spacing w:after="0"/>
              <w:rPr>
                <w:sz w:val="20"/>
                <w:szCs w:val="20"/>
                <w:color w:val="auto"/>
              </w:rPr>
            </w:pPr>
            <w:r>
              <w:rPr>
                <w:rFonts w:ascii="Arial" w:cs="Arial" w:eastAsia="Arial" w:hAnsi="Arial"/>
                <w:sz w:val="11"/>
                <w:szCs w:val="11"/>
                <w:color w:val="auto"/>
              </w:rPr>
              <w:t>143,264</w:t>
            </w:r>
          </w:p>
        </w:tc>
        <w:tc>
          <w:tcPr>
            <w:tcW w:w="720" w:type="dxa"/>
            <w:vAlign w:val="bottom"/>
          </w:tcPr>
          <w:p>
            <w:pPr>
              <w:jc w:val="right"/>
              <w:ind w:right="46"/>
              <w:spacing w:after="0"/>
              <w:rPr>
                <w:sz w:val="20"/>
                <w:szCs w:val="20"/>
                <w:color w:val="auto"/>
              </w:rPr>
            </w:pPr>
            <w:r>
              <w:rPr>
                <w:rFonts w:ascii="Arial" w:cs="Arial" w:eastAsia="Arial" w:hAnsi="Arial"/>
                <w:sz w:val="11"/>
                <w:szCs w:val="11"/>
                <w:color w:val="auto"/>
              </w:rPr>
              <w:t>7,051,410</w:t>
            </w:r>
          </w:p>
        </w:tc>
        <w:tc>
          <w:tcPr>
            <w:tcW w:w="40" w:type="dxa"/>
            <w:vAlign w:val="bottom"/>
          </w:tcPr>
          <w:p>
            <w:pPr>
              <w:spacing w:after="0"/>
              <w:rPr>
                <w:sz w:val="16"/>
                <w:szCs w:val="16"/>
                <w:color w:val="auto"/>
              </w:rPr>
            </w:pPr>
          </w:p>
        </w:tc>
      </w:tr>
      <w:tr>
        <w:trPr>
          <w:trHeight w:val="176"/>
        </w:trPr>
        <w:tc>
          <w:tcPr>
            <w:tcW w:w="2900" w:type="dxa"/>
            <w:vAlign w:val="bottom"/>
          </w:tcPr>
          <w:p>
            <w:pPr>
              <w:ind w:left="220"/>
              <w:spacing w:after="0"/>
              <w:rPr>
                <w:sz w:val="20"/>
                <w:szCs w:val="20"/>
                <w:color w:val="auto"/>
              </w:rPr>
            </w:pPr>
            <w:r>
              <w:rPr>
                <w:rFonts w:ascii="Arial" w:cs="Arial" w:eastAsia="Arial" w:hAnsi="Arial"/>
                <w:sz w:val="11"/>
                <w:szCs w:val="11"/>
                <w:color w:val="auto"/>
              </w:rPr>
              <w:t>Executive  Vice  President  and</w:t>
            </w:r>
          </w:p>
        </w:tc>
        <w:tc>
          <w:tcPr>
            <w:tcW w:w="740" w:type="dxa"/>
            <w:vAlign w:val="bottom"/>
          </w:tcPr>
          <w:p>
            <w:pPr>
              <w:ind w:left="340"/>
              <w:spacing w:after="0"/>
              <w:rPr>
                <w:sz w:val="20"/>
                <w:szCs w:val="20"/>
                <w:color w:val="auto"/>
              </w:rPr>
            </w:pPr>
            <w:r>
              <w:rPr>
                <w:rFonts w:ascii="Arial" w:cs="Arial" w:eastAsia="Arial" w:hAnsi="Arial"/>
                <w:sz w:val="11"/>
                <w:szCs w:val="11"/>
                <w:color w:val="auto"/>
              </w:rPr>
              <w:t>2024</w:t>
            </w:r>
          </w:p>
        </w:tc>
        <w:tc>
          <w:tcPr>
            <w:tcW w:w="760" w:type="dxa"/>
            <w:vAlign w:val="bottom"/>
          </w:tcPr>
          <w:p>
            <w:pPr>
              <w:jc w:val="right"/>
              <w:spacing w:after="0"/>
              <w:rPr>
                <w:sz w:val="20"/>
                <w:szCs w:val="20"/>
                <w:color w:val="auto"/>
              </w:rPr>
            </w:pPr>
            <w:r>
              <w:rPr>
                <w:rFonts w:ascii="Arial" w:cs="Arial" w:eastAsia="Arial" w:hAnsi="Arial"/>
                <w:sz w:val="11"/>
                <w:szCs w:val="11"/>
                <w:color w:val="auto"/>
              </w:rPr>
              <w:t>761,250</w:t>
            </w: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569,307</w:t>
            </w:r>
          </w:p>
        </w:tc>
        <w:tc>
          <w:tcPr>
            <w:tcW w:w="720" w:type="dxa"/>
            <w:vAlign w:val="bottom"/>
          </w:tcPr>
          <w:p>
            <w:pPr>
              <w:jc w:val="right"/>
              <w:ind w:right="7"/>
              <w:spacing w:after="0"/>
              <w:rPr>
                <w:sz w:val="20"/>
                <w:szCs w:val="20"/>
                <w:color w:val="auto"/>
              </w:rPr>
            </w:pPr>
            <w:r>
              <w:rPr>
                <w:rFonts w:ascii="Arial" w:cs="Arial" w:eastAsia="Arial" w:hAnsi="Arial"/>
                <w:sz w:val="11"/>
                <w:szCs w:val="11"/>
                <w:color w:val="auto"/>
              </w:rPr>
              <w:t>5,045,623</w:t>
            </w:r>
          </w:p>
        </w:tc>
        <w:tc>
          <w:tcPr>
            <w:tcW w:w="900" w:type="dxa"/>
            <w:vAlign w:val="bottom"/>
          </w:tcPr>
          <w:p>
            <w:pPr>
              <w:jc w:val="right"/>
              <w:ind w:right="27"/>
              <w:spacing w:after="0"/>
              <w:rPr>
                <w:sz w:val="20"/>
                <w:szCs w:val="20"/>
                <w:color w:val="auto"/>
              </w:rPr>
            </w:pPr>
            <w:r>
              <w:rPr>
                <w:rFonts w:ascii="Arial" w:cs="Arial" w:eastAsia="Arial" w:hAnsi="Arial"/>
                <w:sz w:val="11"/>
                <w:szCs w:val="11"/>
                <w:color w:val="auto"/>
              </w:rPr>
              <w:t>1,580,451</w:t>
            </w:r>
          </w:p>
        </w:tc>
        <w:tc>
          <w:tcPr>
            <w:tcW w:w="220" w:type="dxa"/>
            <w:vAlign w:val="bottom"/>
          </w:tcPr>
          <w:p>
            <w:pPr>
              <w:spacing w:after="0"/>
              <w:rPr>
                <w:sz w:val="15"/>
                <w:szCs w:val="15"/>
                <w:color w:val="auto"/>
              </w:rPr>
            </w:pPr>
          </w:p>
        </w:tc>
        <w:tc>
          <w:tcPr>
            <w:tcW w:w="1160" w:type="dxa"/>
            <w:vAlign w:val="bottom"/>
          </w:tcPr>
          <w:p>
            <w:pPr>
              <w:jc w:val="right"/>
              <w:ind w:right="7"/>
              <w:spacing w:after="0"/>
              <w:rPr>
                <w:sz w:val="20"/>
                <w:szCs w:val="20"/>
                <w:color w:val="auto"/>
              </w:rPr>
            </w:pPr>
            <w:r>
              <w:rPr>
                <w:rFonts w:ascii="Arial" w:cs="Arial" w:eastAsia="Arial" w:hAnsi="Arial"/>
                <w:sz w:val="11"/>
                <w:szCs w:val="11"/>
                <w:color w:val="auto"/>
              </w:rPr>
              <w:t>—</w:t>
            </w:r>
          </w:p>
        </w:tc>
        <w:tc>
          <w:tcPr>
            <w:tcW w:w="880" w:type="dxa"/>
            <w:vAlign w:val="bottom"/>
          </w:tcPr>
          <w:p>
            <w:pPr>
              <w:jc w:val="right"/>
              <w:ind w:right="27"/>
              <w:spacing w:after="0"/>
              <w:rPr>
                <w:sz w:val="20"/>
                <w:szCs w:val="20"/>
                <w:color w:val="auto"/>
              </w:rPr>
            </w:pPr>
            <w:r>
              <w:rPr>
                <w:rFonts w:ascii="Arial" w:cs="Arial" w:eastAsia="Arial" w:hAnsi="Arial"/>
                <w:sz w:val="11"/>
                <w:szCs w:val="11"/>
                <w:color w:val="auto"/>
              </w:rPr>
              <w:t>150,215</w:t>
            </w:r>
          </w:p>
        </w:tc>
        <w:tc>
          <w:tcPr>
            <w:tcW w:w="720" w:type="dxa"/>
            <w:vAlign w:val="bottom"/>
          </w:tcPr>
          <w:p>
            <w:pPr>
              <w:jc w:val="right"/>
              <w:ind w:right="46"/>
              <w:spacing w:after="0"/>
              <w:rPr>
                <w:sz w:val="20"/>
                <w:szCs w:val="20"/>
                <w:color w:val="auto"/>
              </w:rPr>
            </w:pPr>
            <w:r>
              <w:rPr>
                <w:rFonts w:ascii="Arial" w:cs="Arial" w:eastAsia="Arial" w:hAnsi="Arial"/>
                <w:sz w:val="11"/>
                <w:szCs w:val="11"/>
                <w:color w:val="auto"/>
              </w:rPr>
              <w:t>8,106,846</w:t>
            </w:r>
          </w:p>
        </w:tc>
        <w:tc>
          <w:tcPr>
            <w:tcW w:w="40" w:type="dxa"/>
            <w:vAlign w:val="bottom"/>
          </w:tcPr>
          <w:p>
            <w:pPr>
              <w:spacing w:after="0"/>
              <w:rPr>
                <w:sz w:val="15"/>
                <w:szCs w:val="15"/>
                <w:color w:val="auto"/>
              </w:rPr>
            </w:pPr>
          </w:p>
        </w:tc>
      </w:tr>
      <w:tr>
        <w:trPr>
          <w:trHeight w:val="161"/>
        </w:trPr>
        <w:tc>
          <w:tcPr>
            <w:tcW w:w="2900" w:type="dxa"/>
            <w:vAlign w:val="bottom"/>
            <w:tcBorders>
              <w:bottom w:val="single" w:sz="8" w:color="808080"/>
            </w:tcBorders>
          </w:tcPr>
          <w:p>
            <w:pPr>
              <w:ind w:left="220"/>
              <w:spacing w:after="0"/>
              <w:rPr>
                <w:sz w:val="20"/>
                <w:szCs w:val="20"/>
                <w:color w:val="auto"/>
              </w:rPr>
            </w:pPr>
            <w:r>
              <w:rPr>
                <w:rFonts w:ascii="Arial" w:cs="Arial" w:eastAsia="Arial" w:hAnsi="Arial"/>
                <w:sz w:val="11"/>
                <w:szCs w:val="11"/>
                <w:color w:val="auto"/>
              </w:rPr>
              <w:t>Chief  Financial  Ofcer</w:t>
            </w:r>
          </w:p>
        </w:tc>
        <w:tc>
          <w:tcPr>
            <w:tcW w:w="740" w:type="dxa"/>
            <w:vAlign w:val="bottom"/>
            <w:tcBorders>
              <w:bottom w:val="single" w:sz="8" w:color="808080"/>
            </w:tcBorders>
          </w:tcPr>
          <w:p>
            <w:pPr>
              <w:ind w:left="340"/>
              <w:spacing w:after="0"/>
              <w:rPr>
                <w:sz w:val="20"/>
                <w:szCs w:val="20"/>
                <w:color w:val="auto"/>
              </w:rPr>
            </w:pPr>
            <w:r>
              <w:rPr>
                <w:rFonts w:ascii="Arial" w:cs="Arial" w:eastAsia="Arial" w:hAnsi="Arial"/>
                <w:sz w:val="11"/>
                <w:szCs w:val="11"/>
                <w:color w:val="auto"/>
              </w:rPr>
              <w:t>2023</w:t>
            </w:r>
          </w:p>
        </w:tc>
        <w:tc>
          <w:tcPr>
            <w:tcW w:w="760" w:type="dxa"/>
            <w:vAlign w:val="bottom"/>
            <w:tcBorders>
              <w:bottom w:val="single" w:sz="8" w:color="808080"/>
            </w:tcBorders>
          </w:tcPr>
          <w:p>
            <w:pPr>
              <w:jc w:val="right"/>
              <w:spacing w:after="0"/>
              <w:rPr>
                <w:sz w:val="20"/>
                <w:szCs w:val="20"/>
                <w:color w:val="auto"/>
              </w:rPr>
            </w:pPr>
            <w:r>
              <w:rPr>
                <w:rFonts w:ascii="Arial" w:cs="Arial" w:eastAsia="Arial" w:hAnsi="Arial"/>
                <w:sz w:val="11"/>
                <w:szCs w:val="11"/>
                <w:color w:val="auto"/>
              </w:rPr>
              <w:t>447,103</w:t>
            </w:r>
          </w:p>
        </w:tc>
        <w:tc>
          <w:tcPr>
            <w:tcW w:w="720" w:type="dxa"/>
            <w:vAlign w:val="bottom"/>
            <w:tcBorders>
              <w:bottom w:val="single" w:sz="8" w:color="808080"/>
            </w:tcBorders>
          </w:tcPr>
          <w:p>
            <w:pPr>
              <w:jc w:val="right"/>
              <w:ind w:right="6"/>
              <w:spacing w:after="0"/>
              <w:rPr>
                <w:sz w:val="20"/>
                <w:szCs w:val="20"/>
                <w:color w:val="auto"/>
              </w:rPr>
            </w:pPr>
            <w:r>
              <w:rPr>
                <w:rFonts w:ascii="Arial" w:cs="Arial" w:eastAsia="Arial" w:hAnsi="Arial"/>
                <w:sz w:val="11"/>
                <w:szCs w:val="11"/>
                <w:color w:val="auto"/>
              </w:rPr>
              <w:t>1,128,240</w:t>
            </w:r>
          </w:p>
        </w:tc>
        <w:tc>
          <w:tcPr>
            <w:tcW w:w="720" w:type="dxa"/>
            <w:vAlign w:val="bottom"/>
            <w:tcBorders>
              <w:bottom w:val="single" w:sz="8" w:color="808080"/>
            </w:tcBorders>
          </w:tcPr>
          <w:p>
            <w:pPr>
              <w:jc w:val="right"/>
              <w:ind w:right="7"/>
              <w:spacing w:after="0"/>
              <w:rPr>
                <w:sz w:val="20"/>
                <w:szCs w:val="20"/>
                <w:color w:val="auto"/>
              </w:rPr>
            </w:pPr>
            <w:r>
              <w:rPr>
                <w:rFonts w:ascii="Arial" w:cs="Arial" w:eastAsia="Arial" w:hAnsi="Arial"/>
                <w:sz w:val="11"/>
                <w:szCs w:val="11"/>
                <w:color w:val="auto"/>
              </w:rPr>
              <w:t>988,963</w:t>
            </w:r>
          </w:p>
        </w:tc>
        <w:tc>
          <w:tcPr>
            <w:tcW w:w="900" w:type="dxa"/>
            <w:vAlign w:val="bottom"/>
            <w:tcBorders>
              <w:bottom w:val="single" w:sz="8" w:color="808080"/>
            </w:tcBorders>
          </w:tcPr>
          <w:p>
            <w:pPr>
              <w:jc w:val="right"/>
              <w:ind w:right="27"/>
              <w:spacing w:after="0"/>
              <w:rPr>
                <w:sz w:val="20"/>
                <w:szCs w:val="20"/>
                <w:color w:val="auto"/>
              </w:rPr>
            </w:pPr>
            <w:r>
              <w:rPr>
                <w:rFonts w:ascii="Arial" w:cs="Arial" w:eastAsia="Arial" w:hAnsi="Arial"/>
                <w:sz w:val="11"/>
                <w:szCs w:val="11"/>
                <w:color w:val="auto"/>
              </w:rPr>
              <w:t>770,131</w:t>
            </w:r>
          </w:p>
        </w:tc>
        <w:tc>
          <w:tcPr>
            <w:tcW w:w="220" w:type="dxa"/>
            <w:vAlign w:val="bottom"/>
            <w:tcBorders>
              <w:bottom w:val="single" w:sz="8" w:color="808080"/>
            </w:tcBorders>
          </w:tcPr>
          <w:p>
            <w:pPr>
              <w:spacing w:after="0"/>
              <w:rPr>
                <w:sz w:val="13"/>
                <w:szCs w:val="13"/>
                <w:color w:val="auto"/>
              </w:rPr>
            </w:pPr>
          </w:p>
        </w:tc>
        <w:tc>
          <w:tcPr>
            <w:tcW w:w="1160" w:type="dxa"/>
            <w:vAlign w:val="bottom"/>
            <w:tcBorders>
              <w:bottom w:val="single" w:sz="8" w:color="808080"/>
            </w:tcBorders>
          </w:tcPr>
          <w:p>
            <w:pPr>
              <w:jc w:val="right"/>
              <w:ind w:right="7"/>
              <w:spacing w:after="0"/>
              <w:rPr>
                <w:sz w:val="20"/>
                <w:szCs w:val="20"/>
                <w:color w:val="auto"/>
              </w:rPr>
            </w:pPr>
            <w:r>
              <w:rPr>
                <w:rFonts w:ascii="Arial" w:cs="Arial" w:eastAsia="Arial" w:hAnsi="Arial"/>
                <w:sz w:val="11"/>
                <w:szCs w:val="11"/>
                <w:color w:val="auto"/>
              </w:rPr>
              <w:t>—</w:t>
            </w:r>
          </w:p>
        </w:tc>
        <w:tc>
          <w:tcPr>
            <w:tcW w:w="880" w:type="dxa"/>
            <w:vAlign w:val="bottom"/>
            <w:tcBorders>
              <w:bottom w:val="single" w:sz="8" w:color="808080"/>
            </w:tcBorders>
          </w:tcPr>
          <w:p>
            <w:pPr>
              <w:jc w:val="right"/>
              <w:ind w:right="27"/>
              <w:spacing w:after="0"/>
              <w:rPr>
                <w:sz w:val="20"/>
                <w:szCs w:val="20"/>
                <w:color w:val="auto"/>
              </w:rPr>
            </w:pPr>
            <w:r>
              <w:rPr>
                <w:rFonts w:ascii="Arial" w:cs="Arial" w:eastAsia="Arial" w:hAnsi="Arial"/>
                <w:sz w:val="11"/>
                <w:szCs w:val="11"/>
                <w:color w:val="auto"/>
              </w:rPr>
              <w:t>109,090</w:t>
            </w:r>
          </w:p>
        </w:tc>
        <w:tc>
          <w:tcPr>
            <w:tcW w:w="720" w:type="dxa"/>
            <w:vAlign w:val="bottom"/>
            <w:tcBorders>
              <w:bottom w:val="single" w:sz="8" w:color="808080"/>
            </w:tcBorders>
          </w:tcPr>
          <w:p>
            <w:pPr>
              <w:jc w:val="right"/>
              <w:ind w:right="46"/>
              <w:spacing w:after="0"/>
              <w:rPr>
                <w:sz w:val="20"/>
                <w:szCs w:val="20"/>
                <w:color w:val="auto"/>
              </w:rPr>
            </w:pPr>
            <w:r>
              <w:rPr>
                <w:rFonts w:ascii="Arial" w:cs="Arial" w:eastAsia="Arial" w:hAnsi="Arial"/>
                <w:sz w:val="11"/>
                <w:szCs w:val="11"/>
                <w:color w:val="auto"/>
              </w:rPr>
              <w:t>3,443,527</w:t>
            </w:r>
          </w:p>
        </w:tc>
        <w:tc>
          <w:tcPr>
            <w:tcW w:w="40" w:type="dxa"/>
            <w:vAlign w:val="bottom"/>
          </w:tcPr>
          <w:p>
            <w:pPr>
              <w:spacing w:after="0"/>
              <w:rPr>
                <w:sz w:val="13"/>
                <w:szCs w:val="13"/>
                <w:color w:val="auto"/>
              </w:rPr>
            </w:pPr>
          </w:p>
        </w:tc>
      </w:tr>
      <w:tr>
        <w:trPr>
          <w:trHeight w:val="278"/>
        </w:trPr>
        <w:tc>
          <w:tcPr>
            <w:tcW w:w="2900" w:type="dxa"/>
            <w:vAlign w:val="bottom"/>
          </w:tcPr>
          <w:p>
            <w:pPr>
              <w:ind w:left="120"/>
              <w:spacing w:after="0"/>
              <w:rPr>
                <w:sz w:val="20"/>
                <w:szCs w:val="20"/>
                <w:color w:val="auto"/>
              </w:rPr>
            </w:pPr>
            <w:r>
              <w:rPr>
                <w:rFonts w:ascii="Arial" w:cs="Arial" w:eastAsia="Arial" w:hAnsi="Arial"/>
                <w:sz w:val="11"/>
                <w:szCs w:val="11"/>
                <w:b w:val="1"/>
                <w:bCs w:val="1"/>
                <w:color w:val="auto"/>
              </w:rPr>
              <w:t>Brett Hart</w:t>
            </w:r>
          </w:p>
        </w:tc>
        <w:tc>
          <w:tcPr>
            <w:tcW w:w="740" w:type="dxa"/>
            <w:vAlign w:val="bottom"/>
          </w:tcPr>
          <w:p>
            <w:pPr>
              <w:ind w:left="340"/>
              <w:spacing w:after="0"/>
              <w:rPr>
                <w:sz w:val="20"/>
                <w:szCs w:val="20"/>
                <w:color w:val="auto"/>
              </w:rPr>
            </w:pPr>
            <w:r>
              <w:rPr>
                <w:rFonts w:ascii="Arial" w:cs="Arial" w:eastAsia="Arial" w:hAnsi="Arial"/>
                <w:sz w:val="11"/>
                <w:szCs w:val="11"/>
                <w:color w:val="auto"/>
              </w:rPr>
              <w:t>2025</w:t>
            </w:r>
          </w:p>
        </w:tc>
        <w:tc>
          <w:tcPr>
            <w:tcW w:w="760" w:type="dxa"/>
            <w:vAlign w:val="bottom"/>
          </w:tcPr>
          <w:p>
            <w:pPr>
              <w:jc w:val="right"/>
              <w:spacing w:after="0"/>
              <w:rPr>
                <w:sz w:val="20"/>
                <w:szCs w:val="20"/>
                <w:color w:val="auto"/>
              </w:rPr>
            </w:pPr>
            <w:r>
              <w:rPr>
                <w:rFonts w:ascii="Arial" w:cs="Arial" w:eastAsia="Arial" w:hAnsi="Arial"/>
                <w:sz w:val="11"/>
                <w:szCs w:val="11"/>
                <w:color w:val="auto"/>
              </w:rPr>
              <w:t>1,000,000</w:t>
            </w: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7"/>
              <w:spacing w:after="0"/>
              <w:rPr>
                <w:sz w:val="20"/>
                <w:szCs w:val="20"/>
                <w:color w:val="auto"/>
              </w:rPr>
            </w:pPr>
            <w:r>
              <w:rPr>
                <w:rFonts w:ascii="Arial" w:cs="Arial" w:eastAsia="Arial" w:hAnsi="Arial"/>
                <w:sz w:val="11"/>
                <w:szCs w:val="11"/>
                <w:color w:val="auto"/>
              </w:rPr>
              <w:t>13,905,113</w:t>
            </w:r>
          </w:p>
        </w:tc>
        <w:tc>
          <w:tcPr>
            <w:tcW w:w="900" w:type="dxa"/>
            <w:vAlign w:val="bottom"/>
          </w:tcPr>
          <w:p>
            <w:pPr>
              <w:jc w:val="right"/>
              <w:ind w:right="27"/>
              <w:spacing w:after="0"/>
              <w:rPr>
                <w:sz w:val="20"/>
                <w:szCs w:val="20"/>
                <w:color w:val="auto"/>
              </w:rPr>
            </w:pPr>
            <w:r>
              <w:rPr>
                <w:rFonts w:ascii="Arial" w:cs="Arial" w:eastAsia="Arial" w:hAnsi="Arial"/>
                <w:sz w:val="11"/>
                <w:szCs w:val="11"/>
                <w:color w:val="auto"/>
              </w:rPr>
              <w:t>5,232,500</w:t>
            </w:r>
          </w:p>
        </w:tc>
        <w:tc>
          <w:tcPr>
            <w:tcW w:w="220" w:type="dxa"/>
            <w:vAlign w:val="bottom"/>
          </w:tcPr>
          <w:p>
            <w:pPr>
              <w:spacing w:after="0"/>
              <w:rPr>
                <w:sz w:val="24"/>
                <w:szCs w:val="24"/>
                <w:color w:val="auto"/>
              </w:rPr>
            </w:pPr>
          </w:p>
        </w:tc>
        <w:tc>
          <w:tcPr>
            <w:tcW w:w="1160" w:type="dxa"/>
            <w:vAlign w:val="bottom"/>
          </w:tcPr>
          <w:p>
            <w:pPr>
              <w:jc w:val="right"/>
              <w:ind w:right="7"/>
              <w:spacing w:after="0"/>
              <w:rPr>
                <w:sz w:val="20"/>
                <w:szCs w:val="20"/>
                <w:color w:val="auto"/>
              </w:rPr>
            </w:pPr>
            <w:r>
              <w:rPr>
                <w:rFonts w:ascii="Arial" w:cs="Arial" w:eastAsia="Arial" w:hAnsi="Arial"/>
                <w:sz w:val="11"/>
                <w:szCs w:val="11"/>
                <w:color w:val="auto"/>
              </w:rPr>
              <w:t>—</w:t>
            </w:r>
          </w:p>
        </w:tc>
        <w:tc>
          <w:tcPr>
            <w:tcW w:w="880" w:type="dxa"/>
            <w:vAlign w:val="bottom"/>
          </w:tcPr>
          <w:p>
            <w:pPr>
              <w:jc w:val="right"/>
              <w:ind w:right="27"/>
              <w:spacing w:after="0"/>
              <w:rPr>
                <w:sz w:val="20"/>
                <w:szCs w:val="20"/>
                <w:color w:val="auto"/>
              </w:rPr>
            </w:pPr>
            <w:r>
              <w:rPr>
                <w:rFonts w:ascii="Arial" w:cs="Arial" w:eastAsia="Arial" w:hAnsi="Arial"/>
                <w:sz w:val="11"/>
                <w:szCs w:val="11"/>
                <w:color w:val="auto"/>
              </w:rPr>
              <w:t>148,078</w:t>
            </w:r>
          </w:p>
        </w:tc>
        <w:tc>
          <w:tcPr>
            <w:tcW w:w="720" w:type="dxa"/>
            <w:vAlign w:val="bottom"/>
          </w:tcPr>
          <w:p>
            <w:pPr>
              <w:jc w:val="right"/>
              <w:ind w:right="46"/>
              <w:spacing w:after="0"/>
              <w:rPr>
                <w:sz w:val="20"/>
                <w:szCs w:val="20"/>
                <w:color w:val="auto"/>
              </w:rPr>
            </w:pPr>
            <w:r>
              <w:rPr>
                <w:rFonts w:ascii="Arial" w:cs="Arial" w:eastAsia="Arial" w:hAnsi="Arial"/>
                <w:sz w:val="11"/>
                <w:szCs w:val="11"/>
                <w:color w:val="auto"/>
              </w:rPr>
              <w:t>20,285,691</w:t>
            </w:r>
          </w:p>
        </w:tc>
        <w:tc>
          <w:tcPr>
            <w:tcW w:w="40" w:type="dxa"/>
            <w:vAlign w:val="bottom"/>
          </w:tcPr>
          <w:p>
            <w:pPr>
              <w:spacing w:after="0"/>
              <w:rPr>
                <w:sz w:val="24"/>
                <w:szCs w:val="24"/>
                <w:color w:val="auto"/>
              </w:rPr>
            </w:pPr>
          </w:p>
        </w:tc>
      </w:tr>
      <w:tr>
        <w:trPr>
          <w:trHeight w:val="256"/>
        </w:trPr>
        <w:tc>
          <w:tcPr>
            <w:tcW w:w="2900" w:type="dxa"/>
            <w:vAlign w:val="bottom"/>
          </w:tcPr>
          <w:p>
            <w:pPr>
              <w:ind w:left="220"/>
              <w:spacing w:after="0"/>
              <w:rPr>
                <w:sz w:val="20"/>
                <w:szCs w:val="20"/>
                <w:color w:val="auto"/>
              </w:rPr>
            </w:pPr>
            <w:r>
              <w:rPr>
                <w:rFonts w:ascii="Arial" w:cs="Arial" w:eastAsia="Arial" w:hAnsi="Arial"/>
                <w:sz w:val="11"/>
                <w:szCs w:val="11"/>
                <w:color w:val="auto"/>
              </w:rPr>
              <w:t>President</w:t>
            </w:r>
          </w:p>
        </w:tc>
        <w:tc>
          <w:tcPr>
            <w:tcW w:w="740" w:type="dxa"/>
            <w:vAlign w:val="bottom"/>
          </w:tcPr>
          <w:p>
            <w:pPr>
              <w:ind w:left="340"/>
              <w:spacing w:after="0"/>
              <w:rPr>
                <w:sz w:val="20"/>
                <w:szCs w:val="20"/>
                <w:color w:val="auto"/>
              </w:rPr>
            </w:pPr>
            <w:r>
              <w:rPr>
                <w:rFonts w:ascii="Arial" w:cs="Arial" w:eastAsia="Arial" w:hAnsi="Arial"/>
                <w:sz w:val="11"/>
                <w:szCs w:val="11"/>
                <w:color w:val="auto"/>
              </w:rPr>
              <w:t>2024</w:t>
            </w:r>
          </w:p>
        </w:tc>
        <w:tc>
          <w:tcPr>
            <w:tcW w:w="760" w:type="dxa"/>
            <w:vAlign w:val="bottom"/>
          </w:tcPr>
          <w:p>
            <w:pPr>
              <w:jc w:val="right"/>
              <w:spacing w:after="0"/>
              <w:rPr>
                <w:sz w:val="20"/>
                <w:szCs w:val="20"/>
                <w:color w:val="auto"/>
              </w:rPr>
            </w:pPr>
            <w:r>
              <w:rPr>
                <w:rFonts w:ascii="Arial" w:cs="Arial" w:eastAsia="Arial" w:hAnsi="Arial"/>
                <w:sz w:val="11"/>
                <w:szCs w:val="11"/>
                <w:color w:val="auto"/>
              </w:rPr>
              <w:t>975,000</w:t>
            </w: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4,200,000</w:t>
            </w:r>
          </w:p>
        </w:tc>
        <w:tc>
          <w:tcPr>
            <w:tcW w:w="720" w:type="dxa"/>
            <w:vAlign w:val="bottom"/>
          </w:tcPr>
          <w:p>
            <w:pPr>
              <w:jc w:val="right"/>
              <w:ind w:right="7"/>
              <w:spacing w:after="0"/>
              <w:rPr>
                <w:sz w:val="20"/>
                <w:szCs w:val="20"/>
                <w:color w:val="auto"/>
              </w:rPr>
            </w:pPr>
            <w:r>
              <w:rPr>
                <w:rFonts w:ascii="Arial" w:cs="Arial" w:eastAsia="Arial" w:hAnsi="Arial"/>
                <w:sz w:val="11"/>
                <w:szCs w:val="11"/>
                <w:color w:val="auto"/>
              </w:rPr>
              <w:t>15,263,264</w:t>
            </w:r>
          </w:p>
        </w:tc>
        <w:tc>
          <w:tcPr>
            <w:tcW w:w="900" w:type="dxa"/>
            <w:vAlign w:val="bottom"/>
          </w:tcPr>
          <w:p>
            <w:pPr>
              <w:jc w:val="right"/>
              <w:ind w:right="27"/>
              <w:spacing w:after="0"/>
              <w:rPr>
                <w:sz w:val="20"/>
                <w:szCs w:val="20"/>
                <w:color w:val="auto"/>
              </w:rPr>
            </w:pPr>
            <w:r>
              <w:rPr>
                <w:rFonts w:ascii="Arial" w:cs="Arial" w:eastAsia="Arial" w:hAnsi="Arial"/>
                <w:sz w:val="11"/>
                <w:szCs w:val="11"/>
                <w:color w:val="auto"/>
              </w:rPr>
              <w:t>2,986,356</w:t>
            </w:r>
          </w:p>
        </w:tc>
        <w:tc>
          <w:tcPr>
            <w:tcW w:w="220" w:type="dxa"/>
            <w:vAlign w:val="bottom"/>
          </w:tcPr>
          <w:p>
            <w:pPr>
              <w:spacing w:after="0"/>
              <w:rPr>
                <w:sz w:val="22"/>
                <w:szCs w:val="22"/>
                <w:color w:val="auto"/>
              </w:rPr>
            </w:pPr>
          </w:p>
        </w:tc>
        <w:tc>
          <w:tcPr>
            <w:tcW w:w="1160" w:type="dxa"/>
            <w:vAlign w:val="bottom"/>
          </w:tcPr>
          <w:p>
            <w:pPr>
              <w:jc w:val="right"/>
              <w:ind w:right="7"/>
              <w:spacing w:after="0"/>
              <w:rPr>
                <w:sz w:val="20"/>
                <w:szCs w:val="20"/>
                <w:color w:val="auto"/>
              </w:rPr>
            </w:pPr>
            <w:r>
              <w:rPr>
                <w:rFonts w:ascii="Arial" w:cs="Arial" w:eastAsia="Arial" w:hAnsi="Arial"/>
                <w:sz w:val="11"/>
                <w:szCs w:val="11"/>
                <w:color w:val="auto"/>
              </w:rPr>
              <w:t>—</w:t>
            </w:r>
          </w:p>
        </w:tc>
        <w:tc>
          <w:tcPr>
            <w:tcW w:w="880" w:type="dxa"/>
            <w:vAlign w:val="bottom"/>
          </w:tcPr>
          <w:p>
            <w:pPr>
              <w:jc w:val="right"/>
              <w:ind w:right="27"/>
              <w:spacing w:after="0"/>
              <w:rPr>
                <w:sz w:val="20"/>
                <w:szCs w:val="20"/>
                <w:color w:val="auto"/>
              </w:rPr>
            </w:pPr>
            <w:r>
              <w:rPr>
                <w:rFonts w:ascii="Arial" w:cs="Arial" w:eastAsia="Arial" w:hAnsi="Arial"/>
                <w:sz w:val="11"/>
                <w:szCs w:val="11"/>
                <w:color w:val="auto"/>
              </w:rPr>
              <w:t>225,159</w:t>
            </w:r>
          </w:p>
        </w:tc>
        <w:tc>
          <w:tcPr>
            <w:tcW w:w="720" w:type="dxa"/>
            <w:vAlign w:val="bottom"/>
          </w:tcPr>
          <w:p>
            <w:pPr>
              <w:jc w:val="right"/>
              <w:ind w:right="46"/>
              <w:spacing w:after="0"/>
              <w:rPr>
                <w:sz w:val="20"/>
                <w:szCs w:val="20"/>
                <w:color w:val="auto"/>
              </w:rPr>
            </w:pPr>
            <w:r>
              <w:rPr>
                <w:rFonts w:ascii="Arial" w:cs="Arial" w:eastAsia="Arial" w:hAnsi="Arial"/>
                <w:sz w:val="11"/>
                <w:szCs w:val="11"/>
                <w:color w:val="auto"/>
              </w:rPr>
              <w:t>23,649,779</w:t>
            </w:r>
          </w:p>
        </w:tc>
        <w:tc>
          <w:tcPr>
            <w:tcW w:w="40" w:type="dxa"/>
            <w:vAlign w:val="bottom"/>
          </w:tcPr>
          <w:p>
            <w:pPr>
              <w:spacing w:after="0"/>
              <w:rPr>
                <w:sz w:val="22"/>
                <w:szCs w:val="22"/>
                <w:color w:val="auto"/>
              </w:rPr>
            </w:pPr>
          </w:p>
        </w:tc>
      </w:tr>
      <w:tr>
        <w:trPr>
          <w:trHeight w:val="228"/>
        </w:trPr>
        <w:tc>
          <w:tcPr>
            <w:tcW w:w="29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ind w:left="340"/>
              <w:spacing w:after="0"/>
              <w:rPr>
                <w:sz w:val="20"/>
                <w:szCs w:val="20"/>
                <w:color w:val="auto"/>
              </w:rPr>
            </w:pPr>
            <w:r>
              <w:rPr>
                <w:rFonts w:ascii="Arial" w:cs="Arial" w:eastAsia="Arial" w:hAnsi="Arial"/>
                <w:sz w:val="11"/>
                <w:szCs w:val="11"/>
                <w:color w:val="auto"/>
              </w:rPr>
              <w:t>2023</w:t>
            </w:r>
          </w:p>
        </w:tc>
        <w:tc>
          <w:tcPr>
            <w:tcW w:w="760" w:type="dxa"/>
            <w:vAlign w:val="bottom"/>
            <w:tcBorders>
              <w:bottom w:val="single" w:sz="8" w:color="808080"/>
            </w:tcBorders>
          </w:tcPr>
          <w:p>
            <w:pPr>
              <w:jc w:val="right"/>
              <w:spacing w:after="0"/>
              <w:rPr>
                <w:sz w:val="20"/>
                <w:szCs w:val="20"/>
                <w:color w:val="auto"/>
              </w:rPr>
            </w:pPr>
            <w:r>
              <w:rPr>
                <w:rFonts w:ascii="Arial" w:cs="Arial" w:eastAsia="Arial" w:hAnsi="Arial"/>
                <w:sz w:val="11"/>
                <w:szCs w:val="11"/>
                <w:color w:val="auto"/>
              </w:rPr>
              <w:t>868,750</w:t>
            </w:r>
          </w:p>
        </w:tc>
        <w:tc>
          <w:tcPr>
            <w:tcW w:w="720" w:type="dxa"/>
            <w:vAlign w:val="bottom"/>
            <w:tcBorders>
              <w:bottom w:val="single" w:sz="8" w:color="808080"/>
            </w:tcBorders>
          </w:tcPr>
          <w:p>
            <w:pPr>
              <w:jc w:val="right"/>
              <w:ind w:right="6"/>
              <w:spacing w:after="0"/>
              <w:rPr>
                <w:sz w:val="20"/>
                <w:szCs w:val="20"/>
                <w:color w:val="auto"/>
              </w:rPr>
            </w:pPr>
            <w:r>
              <w:rPr>
                <w:rFonts w:ascii="Arial" w:cs="Arial" w:eastAsia="Arial" w:hAnsi="Arial"/>
                <w:sz w:val="11"/>
                <w:szCs w:val="11"/>
                <w:color w:val="auto"/>
              </w:rPr>
              <w:t>3,875,000</w:t>
            </w:r>
          </w:p>
        </w:tc>
        <w:tc>
          <w:tcPr>
            <w:tcW w:w="720" w:type="dxa"/>
            <w:vAlign w:val="bottom"/>
            <w:tcBorders>
              <w:bottom w:val="single" w:sz="8" w:color="808080"/>
            </w:tcBorders>
          </w:tcPr>
          <w:p>
            <w:pPr>
              <w:jc w:val="right"/>
              <w:ind w:right="7"/>
              <w:spacing w:after="0"/>
              <w:rPr>
                <w:sz w:val="20"/>
                <w:szCs w:val="20"/>
                <w:color w:val="auto"/>
              </w:rPr>
            </w:pPr>
            <w:r>
              <w:rPr>
                <w:rFonts w:ascii="Arial" w:cs="Arial" w:eastAsia="Arial" w:hAnsi="Arial"/>
                <w:sz w:val="11"/>
                <w:szCs w:val="11"/>
                <w:color w:val="auto"/>
              </w:rPr>
              <w:t>6,420,817</w:t>
            </w:r>
          </w:p>
        </w:tc>
        <w:tc>
          <w:tcPr>
            <w:tcW w:w="900" w:type="dxa"/>
            <w:vAlign w:val="bottom"/>
            <w:tcBorders>
              <w:bottom w:val="single" w:sz="8" w:color="808080"/>
            </w:tcBorders>
          </w:tcPr>
          <w:p>
            <w:pPr>
              <w:jc w:val="right"/>
              <w:ind w:right="27"/>
              <w:spacing w:after="0"/>
              <w:rPr>
                <w:sz w:val="20"/>
                <w:szCs w:val="20"/>
                <w:color w:val="auto"/>
              </w:rPr>
            </w:pPr>
            <w:r>
              <w:rPr>
                <w:rFonts w:ascii="Arial" w:cs="Arial" w:eastAsia="Arial" w:hAnsi="Arial"/>
                <w:sz w:val="11"/>
                <w:szCs w:val="11"/>
                <w:color w:val="auto"/>
              </w:rPr>
              <w:t>3,687,526</w:t>
            </w:r>
          </w:p>
        </w:tc>
        <w:tc>
          <w:tcPr>
            <w:tcW w:w="22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jc w:val="right"/>
              <w:ind w:right="7"/>
              <w:spacing w:after="0"/>
              <w:rPr>
                <w:sz w:val="20"/>
                <w:szCs w:val="20"/>
                <w:color w:val="auto"/>
              </w:rPr>
            </w:pPr>
            <w:r>
              <w:rPr>
                <w:rFonts w:ascii="Arial" w:cs="Arial" w:eastAsia="Arial" w:hAnsi="Arial"/>
                <w:sz w:val="11"/>
                <w:szCs w:val="11"/>
                <w:color w:val="auto"/>
              </w:rPr>
              <w:t>—</w:t>
            </w:r>
          </w:p>
        </w:tc>
        <w:tc>
          <w:tcPr>
            <w:tcW w:w="880" w:type="dxa"/>
            <w:vAlign w:val="bottom"/>
            <w:tcBorders>
              <w:bottom w:val="single" w:sz="8" w:color="808080"/>
            </w:tcBorders>
          </w:tcPr>
          <w:p>
            <w:pPr>
              <w:jc w:val="right"/>
              <w:ind w:right="27"/>
              <w:spacing w:after="0"/>
              <w:rPr>
                <w:sz w:val="20"/>
                <w:szCs w:val="20"/>
                <w:color w:val="auto"/>
              </w:rPr>
            </w:pPr>
            <w:r>
              <w:rPr>
                <w:rFonts w:ascii="Arial" w:cs="Arial" w:eastAsia="Arial" w:hAnsi="Arial"/>
                <w:sz w:val="11"/>
                <w:szCs w:val="11"/>
                <w:color w:val="auto"/>
              </w:rPr>
              <w:t>132,851</w:t>
            </w:r>
          </w:p>
        </w:tc>
        <w:tc>
          <w:tcPr>
            <w:tcW w:w="720" w:type="dxa"/>
            <w:vAlign w:val="bottom"/>
            <w:tcBorders>
              <w:bottom w:val="single" w:sz="8" w:color="808080"/>
            </w:tcBorders>
          </w:tcPr>
          <w:p>
            <w:pPr>
              <w:jc w:val="right"/>
              <w:ind w:right="46"/>
              <w:spacing w:after="0"/>
              <w:rPr>
                <w:sz w:val="20"/>
                <w:szCs w:val="20"/>
                <w:color w:val="auto"/>
              </w:rPr>
            </w:pPr>
            <w:r>
              <w:rPr>
                <w:rFonts w:ascii="Arial" w:cs="Arial" w:eastAsia="Arial" w:hAnsi="Arial"/>
                <w:sz w:val="11"/>
                <w:szCs w:val="11"/>
                <w:color w:val="auto"/>
              </w:rPr>
              <w:t>14,984,944</w:t>
            </w:r>
          </w:p>
        </w:tc>
        <w:tc>
          <w:tcPr>
            <w:tcW w:w="40" w:type="dxa"/>
            <w:vAlign w:val="bottom"/>
          </w:tcPr>
          <w:p>
            <w:pPr>
              <w:spacing w:after="0"/>
              <w:rPr>
                <w:sz w:val="19"/>
                <w:szCs w:val="19"/>
                <w:color w:val="auto"/>
              </w:rPr>
            </w:pPr>
          </w:p>
        </w:tc>
      </w:tr>
      <w:tr>
        <w:trPr>
          <w:trHeight w:val="278"/>
        </w:trPr>
        <w:tc>
          <w:tcPr>
            <w:tcW w:w="2900" w:type="dxa"/>
            <w:vAlign w:val="bottom"/>
          </w:tcPr>
          <w:p>
            <w:pPr>
              <w:ind w:left="120"/>
              <w:spacing w:after="0"/>
              <w:rPr>
                <w:sz w:val="20"/>
                <w:szCs w:val="20"/>
                <w:color w:val="auto"/>
              </w:rPr>
            </w:pPr>
            <w:r>
              <w:rPr>
                <w:rFonts w:ascii="Arial" w:cs="Arial" w:eastAsia="Arial" w:hAnsi="Arial"/>
                <w:sz w:val="11"/>
                <w:szCs w:val="11"/>
                <w:b w:val="1"/>
                <w:bCs w:val="1"/>
                <w:color w:val="auto"/>
              </w:rPr>
              <w:t>Torbjorn Enqvist</w:t>
            </w:r>
          </w:p>
        </w:tc>
        <w:tc>
          <w:tcPr>
            <w:tcW w:w="740" w:type="dxa"/>
            <w:vAlign w:val="bottom"/>
          </w:tcPr>
          <w:p>
            <w:pPr>
              <w:ind w:left="340"/>
              <w:spacing w:after="0"/>
              <w:rPr>
                <w:sz w:val="20"/>
                <w:szCs w:val="20"/>
                <w:color w:val="auto"/>
              </w:rPr>
            </w:pPr>
            <w:r>
              <w:rPr>
                <w:rFonts w:ascii="Arial" w:cs="Arial" w:eastAsia="Arial" w:hAnsi="Arial"/>
                <w:sz w:val="11"/>
                <w:szCs w:val="11"/>
                <w:color w:val="auto"/>
              </w:rPr>
              <w:t>2025</w:t>
            </w:r>
          </w:p>
        </w:tc>
        <w:tc>
          <w:tcPr>
            <w:tcW w:w="760" w:type="dxa"/>
            <w:vAlign w:val="bottom"/>
          </w:tcPr>
          <w:p>
            <w:pPr>
              <w:jc w:val="right"/>
              <w:spacing w:after="0"/>
              <w:rPr>
                <w:sz w:val="20"/>
                <w:szCs w:val="20"/>
                <w:color w:val="auto"/>
              </w:rPr>
            </w:pPr>
            <w:r>
              <w:rPr>
                <w:rFonts w:ascii="Arial" w:cs="Arial" w:eastAsia="Arial" w:hAnsi="Arial"/>
                <w:sz w:val="11"/>
                <w:szCs w:val="11"/>
                <w:color w:val="auto"/>
              </w:rPr>
              <w:t>880,000</w:t>
            </w: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7"/>
              <w:spacing w:after="0"/>
              <w:rPr>
                <w:sz w:val="20"/>
                <w:szCs w:val="20"/>
                <w:color w:val="auto"/>
              </w:rPr>
            </w:pPr>
            <w:r>
              <w:rPr>
                <w:rFonts w:ascii="Arial" w:cs="Arial" w:eastAsia="Arial" w:hAnsi="Arial"/>
                <w:sz w:val="11"/>
                <w:szCs w:val="11"/>
                <w:color w:val="auto"/>
              </w:rPr>
              <w:t>6,417,260</w:t>
            </w:r>
          </w:p>
        </w:tc>
        <w:tc>
          <w:tcPr>
            <w:tcW w:w="900" w:type="dxa"/>
            <w:vAlign w:val="bottom"/>
          </w:tcPr>
          <w:p>
            <w:pPr>
              <w:jc w:val="right"/>
              <w:ind w:right="27"/>
              <w:spacing w:after="0"/>
              <w:rPr>
                <w:sz w:val="20"/>
                <w:szCs w:val="20"/>
                <w:color w:val="auto"/>
              </w:rPr>
            </w:pPr>
            <w:r>
              <w:rPr>
                <w:rFonts w:ascii="Arial" w:cs="Arial" w:eastAsia="Arial" w:hAnsi="Arial"/>
                <w:sz w:val="11"/>
                <w:szCs w:val="11"/>
                <w:color w:val="auto"/>
              </w:rPr>
              <w:t>3,669,260</w:t>
            </w:r>
          </w:p>
        </w:tc>
        <w:tc>
          <w:tcPr>
            <w:tcW w:w="220" w:type="dxa"/>
            <w:vAlign w:val="bottom"/>
          </w:tcPr>
          <w:p>
            <w:pPr>
              <w:spacing w:after="0"/>
              <w:rPr>
                <w:sz w:val="24"/>
                <w:szCs w:val="24"/>
                <w:color w:val="auto"/>
              </w:rPr>
            </w:pPr>
          </w:p>
        </w:tc>
        <w:tc>
          <w:tcPr>
            <w:tcW w:w="1160" w:type="dxa"/>
            <w:vAlign w:val="bottom"/>
          </w:tcPr>
          <w:p>
            <w:pPr>
              <w:jc w:val="right"/>
              <w:ind w:right="7"/>
              <w:spacing w:after="0"/>
              <w:rPr>
                <w:sz w:val="20"/>
                <w:szCs w:val="20"/>
                <w:color w:val="auto"/>
              </w:rPr>
            </w:pPr>
            <w:r>
              <w:rPr>
                <w:rFonts w:ascii="Arial" w:cs="Arial" w:eastAsia="Arial" w:hAnsi="Arial"/>
                <w:sz w:val="11"/>
                <w:szCs w:val="11"/>
                <w:color w:val="auto"/>
              </w:rPr>
              <w:t>17,923</w:t>
            </w:r>
          </w:p>
        </w:tc>
        <w:tc>
          <w:tcPr>
            <w:tcW w:w="880" w:type="dxa"/>
            <w:vAlign w:val="bottom"/>
          </w:tcPr>
          <w:p>
            <w:pPr>
              <w:jc w:val="right"/>
              <w:ind w:right="27"/>
              <w:spacing w:after="0"/>
              <w:rPr>
                <w:sz w:val="20"/>
                <w:szCs w:val="20"/>
                <w:color w:val="auto"/>
              </w:rPr>
            </w:pPr>
            <w:r>
              <w:rPr>
                <w:rFonts w:ascii="Arial" w:cs="Arial" w:eastAsia="Arial" w:hAnsi="Arial"/>
                <w:sz w:val="11"/>
                <w:szCs w:val="11"/>
                <w:color w:val="auto"/>
              </w:rPr>
              <w:t>115,384</w:t>
            </w:r>
          </w:p>
        </w:tc>
        <w:tc>
          <w:tcPr>
            <w:tcW w:w="720" w:type="dxa"/>
            <w:vAlign w:val="bottom"/>
          </w:tcPr>
          <w:p>
            <w:pPr>
              <w:jc w:val="right"/>
              <w:ind w:right="46"/>
              <w:spacing w:after="0"/>
              <w:rPr>
                <w:sz w:val="20"/>
                <w:szCs w:val="20"/>
                <w:color w:val="auto"/>
              </w:rPr>
            </w:pPr>
            <w:r>
              <w:rPr>
                <w:rFonts w:ascii="Arial" w:cs="Arial" w:eastAsia="Arial" w:hAnsi="Arial"/>
                <w:sz w:val="11"/>
                <w:szCs w:val="11"/>
                <w:color w:val="auto"/>
              </w:rPr>
              <w:t>11,099,827</w:t>
            </w:r>
          </w:p>
        </w:tc>
        <w:tc>
          <w:tcPr>
            <w:tcW w:w="40" w:type="dxa"/>
            <w:vAlign w:val="bottom"/>
          </w:tcPr>
          <w:p>
            <w:pPr>
              <w:spacing w:after="0"/>
              <w:rPr>
                <w:sz w:val="24"/>
                <w:szCs w:val="24"/>
                <w:color w:val="auto"/>
              </w:rPr>
            </w:pPr>
          </w:p>
        </w:tc>
      </w:tr>
      <w:tr>
        <w:trPr>
          <w:trHeight w:val="257"/>
        </w:trPr>
        <w:tc>
          <w:tcPr>
            <w:tcW w:w="2900" w:type="dxa"/>
            <w:vAlign w:val="bottom"/>
          </w:tcPr>
          <w:p>
            <w:pPr>
              <w:ind w:left="220"/>
              <w:spacing w:after="0"/>
              <w:rPr>
                <w:sz w:val="20"/>
                <w:szCs w:val="20"/>
                <w:color w:val="auto"/>
              </w:rPr>
            </w:pPr>
            <w:r>
              <w:rPr>
                <w:rFonts w:ascii="Arial" w:cs="Arial" w:eastAsia="Arial" w:hAnsi="Arial"/>
                <w:sz w:val="11"/>
                <w:szCs w:val="11"/>
                <w:color w:val="auto"/>
              </w:rPr>
              <w:t>Executive  Vice  President  and</w:t>
            </w:r>
          </w:p>
        </w:tc>
        <w:tc>
          <w:tcPr>
            <w:tcW w:w="740" w:type="dxa"/>
            <w:vAlign w:val="bottom"/>
          </w:tcPr>
          <w:p>
            <w:pPr>
              <w:ind w:left="340"/>
              <w:spacing w:after="0"/>
              <w:rPr>
                <w:sz w:val="20"/>
                <w:szCs w:val="20"/>
                <w:color w:val="auto"/>
              </w:rPr>
            </w:pPr>
            <w:r>
              <w:rPr>
                <w:rFonts w:ascii="Arial" w:cs="Arial" w:eastAsia="Arial" w:hAnsi="Arial"/>
                <w:sz w:val="11"/>
                <w:szCs w:val="11"/>
                <w:color w:val="auto"/>
              </w:rPr>
              <w:t>2024</w:t>
            </w:r>
          </w:p>
        </w:tc>
        <w:tc>
          <w:tcPr>
            <w:tcW w:w="760" w:type="dxa"/>
            <w:vAlign w:val="bottom"/>
          </w:tcPr>
          <w:p>
            <w:pPr>
              <w:jc w:val="right"/>
              <w:spacing w:after="0"/>
              <w:rPr>
                <w:sz w:val="20"/>
                <w:szCs w:val="20"/>
                <w:color w:val="auto"/>
              </w:rPr>
            </w:pPr>
            <w:r>
              <w:rPr>
                <w:rFonts w:ascii="Arial" w:cs="Arial" w:eastAsia="Arial" w:hAnsi="Arial"/>
                <w:sz w:val="11"/>
                <w:szCs w:val="11"/>
                <w:color w:val="auto"/>
              </w:rPr>
              <w:t>860,000</w:t>
            </w: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2,220,980</w:t>
            </w:r>
          </w:p>
        </w:tc>
        <w:tc>
          <w:tcPr>
            <w:tcW w:w="720" w:type="dxa"/>
            <w:vAlign w:val="bottom"/>
          </w:tcPr>
          <w:p>
            <w:pPr>
              <w:jc w:val="right"/>
              <w:ind w:right="7"/>
              <w:spacing w:after="0"/>
              <w:rPr>
                <w:sz w:val="20"/>
                <w:szCs w:val="20"/>
                <w:color w:val="auto"/>
              </w:rPr>
            </w:pPr>
            <w:r>
              <w:rPr>
                <w:rFonts w:ascii="Arial" w:cs="Arial" w:eastAsia="Arial" w:hAnsi="Arial"/>
                <w:sz w:val="11"/>
                <w:szCs w:val="11"/>
                <w:color w:val="auto"/>
              </w:rPr>
              <w:t>7,568,878</w:t>
            </w:r>
          </w:p>
        </w:tc>
        <w:tc>
          <w:tcPr>
            <w:tcW w:w="900" w:type="dxa"/>
            <w:vAlign w:val="bottom"/>
          </w:tcPr>
          <w:p>
            <w:pPr>
              <w:jc w:val="right"/>
              <w:ind w:right="27"/>
              <w:spacing w:after="0"/>
              <w:rPr>
                <w:sz w:val="20"/>
                <w:szCs w:val="20"/>
                <w:color w:val="auto"/>
              </w:rPr>
            </w:pPr>
            <w:r>
              <w:rPr>
                <w:rFonts w:ascii="Arial" w:cs="Arial" w:eastAsia="Arial" w:hAnsi="Arial"/>
                <w:sz w:val="11"/>
                <w:szCs w:val="11"/>
                <w:color w:val="auto"/>
              </w:rPr>
              <w:t>1,881,489</w:t>
            </w:r>
          </w:p>
        </w:tc>
        <w:tc>
          <w:tcPr>
            <w:tcW w:w="220" w:type="dxa"/>
            <w:vAlign w:val="bottom"/>
          </w:tcPr>
          <w:p>
            <w:pPr>
              <w:spacing w:after="0"/>
              <w:rPr>
                <w:sz w:val="22"/>
                <w:szCs w:val="22"/>
                <w:color w:val="auto"/>
              </w:rPr>
            </w:pPr>
          </w:p>
        </w:tc>
        <w:tc>
          <w:tcPr>
            <w:tcW w:w="1160" w:type="dxa"/>
            <w:vAlign w:val="bottom"/>
          </w:tcPr>
          <w:p>
            <w:pPr>
              <w:jc w:val="right"/>
              <w:ind w:right="7"/>
              <w:spacing w:after="0"/>
              <w:rPr>
                <w:sz w:val="20"/>
                <w:szCs w:val="20"/>
                <w:color w:val="auto"/>
              </w:rPr>
            </w:pPr>
            <w:r>
              <w:rPr>
                <w:rFonts w:ascii="Arial" w:cs="Arial" w:eastAsia="Arial" w:hAnsi="Arial"/>
                <w:sz w:val="11"/>
                <w:szCs w:val="11"/>
                <w:color w:val="auto"/>
              </w:rPr>
              <w:t>—</w:t>
            </w:r>
          </w:p>
        </w:tc>
        <w:tc>
          <w:tcPr>
            <w:tcW w:w="880" w:type="dxa"/>
            <w:vAlign w:val="bottom"/>
          </w:tcPr>
          <w:p>
            <w:pPr>
              <w:jc w:val="right"/>
              <w:ind w:right="27"/>
              <w:spacing w:after="0"/>
              <w:rPr>
                <w:sz w:val="20"/>
                <w:szCs w:val="20"/>
                <w:color w:val="auto"/>
              </w:rPr>
            </w:pPr>
            <w:r>
              <w:rPr>
                <w:rFonts w:ascii="Arial" w:cs="Arial" w:eastAsia="Arial" w:hAnsi="Arial"/>
                <w:sz w:val="11"/>
                <w:szCs w:val="11"/>
                <w:color w:val="auto"/>
              </w:rPr>
              <w:t>115,635</w:t>
            </w:r>
          </w:p>
        </w:tc>
        <w:tc>
          <w:tcPr>
            <w:tcW w:w="720" w:type="dxa"/>
            <w:vAlign w:val="bottom"/>
          </w:tcPr>
          <w:p>
            <w:pPr>
              <w:jc w:val="right"/>
              <w:ind w:right="46"/>
              <w:spacing w:after="0"/>
              <w:rPr>
                <w:sz w:val="20"/>
                <w:szCs w:val="20"/>
                <w:color w:val="auto"/>
              </w:rPr>
            </w:pPr>
            <w:r>
              <w:rPr>
                <w:rFonts w:ascii="Arial" w:cs="Arial" w:eastAsia="Arial" w:hAnsi="Arial"/>
                <w:sz w:val="11"/>
                <w:szCs w:val="11"/>
                <w:color w:val="auto"/>
              </w:rPr>
              <w:t>12,646,982</w:t>
            </w:r>
          </w:p>
        </w:tc>
        <w:tc>
          <w:tcPr>
            <w:tcW w:w="40" w:type="dxa"/>
            <w:vAlign w:val="bottom"/>
          </w:tcPr>
          <w:p>
            <w:pPr>
              <w:spacing w:after="0"/>
              <w:rPr>
                <w:sz w:val="22"/>
                <w:szCs w:val="22"/>
                <w:color w:val="auto"/>
              </w:rPr>
            </w:pPr>
          </w:p>
        </w:tc>
      </w:tr>
      <w:tr>
        <w:trPr>
          <w:trHeight w:val="147"/>
        </w:trPr>
        <w:tc>
          <w:tcPr>
            <w:tcW w:w="2900" w:type="dxa"/>
            <w:vAlign w:val="bottom"/>
            <w:tcBorders>
              <w:bottom w:val="single" w:sz="8" w:color="808080"/>
            </w:tcBorders>
          </w:tcPr>
          <w:p>
            <w:pPr>
              <w:ind w:left="220"/>
              <w:spacing w:after="0"/>
              <w:rPr>
                <w:sz w:val="20"/>
                <w:szCs w:val="20"/>
                <w:color w:val="auto"/>
              </w:rPr>
            </w:pPr>
            <w:r>
              <w:rPr>
                <w:rFonts w:ascii="Arial" w:cs="Arial" w:eastAsia="Arial" w:hAnsi="Arial"/>
                <w:sz w:val="11"/>
                <w:szCs w:val="11"/>
                <w:color w:val="auto"/>
              </w:rPr>
              <w:t>Chief  Operations  Ofcer</w:t>
            </w:r>
          </w:p>
        </w:tc>
        <w:tc>
          <w:tcPr>
            <w:tcW w:w="740" w:type="dxa"/>
            <w:vAlign w:val="bottom"/>
            <w:tcBorders>
              <w:bottom w:val="single" w:sz="8" w:color="808080"/>
            </w:tcBorders>
          </w:tcPr>
          <w:p>
            <w:pPr>
              <w:ind w:left="340"/>
              <w:spacing w:after="0"/>
              <w:rPr>
                <w:sz w:val="20"/>
                <w:szCs w:val="20"/>
                <w:color w:val="auto"/>
              </w:rPr>
            </w:pPr>
            <w:r>
              <w:rPr>
                <w:rFonts w:ascii="Arial" w:cs="Arial" w:eastAsia="Arial" w:hAnsi="Arial"/>
                <w:sz w:val="11"/>
                <w:szCs w:val="11"/>
                <w:color w:val="auto"/>
              </w:rPr>
              <w:t>2023</w:t>
            </w:r>
          </w:p>
        </w:tc>
        <w:tc>
          <w:tcPr>
            <w:tcW w:w="760" w:type="dxa"/>
            <w:vAlign w:val="bottom"/>
            <w:tcBorders>
              <w:bottom w:val="single" w:sz="8" w:color="808080"/>
            </w:tcBorders>
          </w:tcPr>
          <w:p>
            <w:pPr>
              <w:jc w:val="right"/>
              <w:spacing w:after="0"/>
              <w:rPr>
                <w:sz w:val="20"/>
                <w:szCs w:val="20"/>
                <w:color w:val="auto"/>
              </w:rPr>
            </w:pPr>
            <w:r>
              <w:rPr>
                <w:rFonts w:ascii="Arial" w:cs="Arial" w:eastAsia="Arial" w:hAnsi="Arial"/>
                <w:sz w:val="11"/>
                <w:szCs w:val="11"/>
                <w:color w:val="auto"/>
              </w:rPr>
              <w:t>775,000</w:t>
            </w:r>
          </w:p>
        </w:tc>
        <w:tc>
          <w:tcPr>
            <w:tcW w:w="720" w:type="dxa"/>
            <w:vAlign w:val="bottom"/>
            <w:tcBorders>
              <w:bottom w:val="single" w:sz="8" w:color="808080"/>
            </w:tcBorders>
          </w:tcPr>
          <w:p>
            <w:pPr>
              <w:jc w:val="right"/>
              <w:ind w:right="6"/>
              <w:spacing w:after="0"/>
              <w:rPr>
                <w:sz w:val="20"/>
                <w:szCs w:val="20"/>
                <w:color w:val="auto"/>
              </w:rPr>
            </w:pPr>
            <w:r>
              <w:rPr>
                <w:rFonts w:ascii="Arial" w:cs="Arial" w:eastAsia="Arial" w:hAnsi="Arial"/>
                <w:sz w:val="11"/>
                <w:szCs w:val="11"/>
                <w:color w:val="auto"/>
              </w:rPr>
              <w:t>1,525,000</w:t>
            </w:r>
          </w:p>
        </w:tc>
        <w:tc>
          <w:tcPr>
            <w:tcW w:w="720" w:type="dxa"/>
            <w:vAlign w:val="bottom"/>
            <w:tcBorders>
              <w:bottom w:val="single" w:sz="8" w:color="808080"/>
            </w:tcBorders>
          </w:tcPr>
          <w:p>
            <w:pPr>
              <w:jc w:val="right"/>
              <w:ind w:right="7"/>
              <w:spacing w:after="0"/>
              <w:rPr>
                <w:sz w:val="20"/>
                <w:szCs w:val="20"/>
                <w:color w:val="auto"/>
              </w:rPr>
            </w:pPr>
            <w:r>
              <w:rPr>
                <w:rFonts w:ascii="Arial" w:cs="Arial" w:eastAsia="Arial" w:hAnsi="Arial"/>
                <w:sz w:val="11"/>
                <w:szCs w:val="11"/>
                <w:color w:val="auto"/>
              </w:rPr>
              <w:t>2,996,475</w:t>
            </w:r>
          </w:p>
        </w:tc>
        <w:tc>
          <w:tcPr>
            <w:tcW w:w="900" w:type="dxa"/>
            <w:vAlign w:val="bottom"/>
            <w:tcBorders>
              <w:bottom w:val="single" w:sz="8" w:color="808080"/>
            </w:tcBorders>
          </w:tcPr>
          <w:p>
            <w:pPr>
              <w:jc w:val="right"/>
              <w:ind w:right="27"/>
              <w:spacing w:after="0"/>
              <w:rPr>
                <w:sz w:val="20"/>
                <w:szCs w:val="20"/>
                <w:color w:val="auto"/>
              </w:rPr>
            </w:pPr>
            <w:r>
              <w:rPr>
                <w:rFonts w:ascii="Arial" w:cs="Arial" w:eastAsia="Arial" w:hAnsi="Arial"/>
                <w:sz w:val="11"/>
                <w:szCs w:val="11"/>
                <w:color w:val="auto"/>
              </w:rPr>
              <w:t>2,121,677</w:t>
            </w:r>
          </w:p>
        </w:tc>
        <w:tc>
          <w:tcPr>
            <w:tcW w:w="220" w:type="dxa"/>
            <w:vAlign w:val="bottom"/>
            <w:tcBorders>
              <w:bottom w:val="single" w:sz="8" w:color="808080"/>
            </w:tcBorders>
          </w:tcPr>
          <w:p>
            <w:pPr>
              <w:spacing w:after="0"/>
              <w:rPr>
                <w:sz w:val="12"/>
                <w:szCs w:val="12"/>
                <w:color w:val="auto"/>
              </w:rPr>
            </w:pPr>
          </w:p>
        </w:tc>
        <w:tc>
          <w:tcPr>
            <w:tcW w:w="1160" w:type="dxa"/>
            <w:vAlign w:val="bottom"/>
            <w:tcBorders>
              <w:bottom w:val="single" w:sz="8" w:color="808080"/>
            </w:tcBorders>
          </w:tcPr>
          <w:p>
            <w:pPr>
              <w:jc w:val="right"/>
              <w:ind w:right="7"/>
              <w:spacing w:after="0"/>
              <w:rPr>
                <w:sz w:val="20"/>
                <w:szCs w:val="20"/>
                <w:color w:val="auto"/>
              </w:rPr>
            </w:pPr>
            <w:r>
              <w:rPr>
                <w:rFonts w:ascii="Arial" w:cs="Arial" w:eastAsia="Arial" w:hAnsi="Arial"/>
                <w:sz w:val="11"/>
                <w:szCs w:val="11"/>
                <w:color w:val="auto"/>
              </w:rPr>
              <w:t>19,595</w:t>
            </w:r>
          </w:p>
        </w:tc>
        <w:tc>
          <w:tcPr>
            <w:tcW w:w="880" w:type="dxa"/>
            <w:vAlign w:val="bottom"/>
            <w:tcBorders>
              <w:bottom w:val="single" w:sz="8" w:color="808080"/>
            </w:tcBorders>
          </w:tcPr>
          <w:p>
            <w:pPr>
              <w:jc w:val="right"/>
              <w:ind w:right="27"/>
              <w:spacing w:after="0"/>
              <w:rPr>
                <w:sz w:val="20"/>
                <w:szCs w:val="20"/>
                <w:color w:val="auto"/>
              </w:rPr>
            </w:pPr>
            <w:r>
              <w:rPr>
                <w:rFonts w:ascii="Arial" w:cs="Arial" w:eastAsia="Arial" w:hAnsi="Arial"/>
                <w:sz w:val="11"/>
                <w:szCs w:val="11"/>
                <w:color w:val="auto"/>
              </w:rPr>
              <w:t>116,480</w:t>
            </w:r>
          </w:p>
        </w:tc>
        <w:tc>
          <w:tcPr>
            <w:tcW w:w="720" w:type="dxa"/>
            <w:vAlign w:val="bottom"/>
            <w:tcBorders>
              <w:bottom w:val="single" w:sz="8" w:color="808080"/>
            </w:tcBorders>
          </w:tcPr>
          <w:p>
            <w:pPr>
              <w:jc w:val="right"/>
              <w:ind w:right="46"/>
              <w:spacing w:after="0"/>
              <w:rPr>
                <w:sz w:val="20"/>
                <w:szCs w:val="20"/>
                <w:color w:val="auto"/>
              </w:rPr>
            </w:pPr>
            <w:r>
              <w:rPr>
                <w:rFonts w:ascii="Arial" w:cs="Arial" w:eastAsia="Arial" w:hAnsi="Arial"/>
                <w:sz w:val="11"/>
                <w:szCs w:val="11"/>
                <w:color w:val="auto"/>
              </w:rPr>
              <w:t>7,554,227</w:t>
            </w:r>
          </w:p>
        </w:tc>
        <w:tc>
          <w:tcPr>
            <w:tcW w:w="40" w:type="dxa"/>
            <w:vAlign w:val="bottom"/>
          </w:tcPr>
          <w:p>
            <w:pPr>
              <w:spacing w:after="0"/>
              <w:rPr>
                <w:sz w:val="12"/>
                <w:szCs w:val="12"/>
                <w:color w:val="auto"/>
              </w:rPr>
            </w:pPr>
          </w:p>
        </w:tc>
      </w:tr>
      <w:tr>
        <w:trPr>
          <w:trHeight w:val="184"/>
        </w:trPr>
        <w:tc>
          <w:tcPr>
            <w:tcW w:w="2900" w:type="dxa"/>
            <w:vAlign w:val="bottom"/>
          </w:tcPr>
          <w:p>
            <w:pPr>
              <w:ind w:left="120"/>
              <w:spacing w:after="0"/>
              <w:rPr>
                <w:sz w:val="20"/>
                <w:szCs w:val="20"/>
                <w:color w:val="auto"/>
              </w:rPr>
            </w:pPr>
            <w:r>
              <w:rPr>
                <w:rFonts w:ascii="Arial" w:cs="Arial" w:eastAsia="Arial" w:hAnsi="Arial"/>
                <w:sz w:val="11"/>
                <w:szCs w:val="11"/>
                <w:b w:val="1"/>
                <w:bCs w:val="1"/>
                <w:color w:val="auto"/>
              </w:rPr>
              <w:t>Andrew Nocella</w:t>
            </w:r>
          </w:p>
        </w:tc>
        <w:tc>
          <w:tcPr>
            <w:tcW w:w="740" w:type="dxa"/>
            <w:vAlign w:val="bottom"/>
          </w:tcPr>
          <w:p>
            <w:pPr>
              <w:ind w:left="340"/>
              <w:spacing w:after="0"/>
              <w:rPr>
                <w:sz w:val="20"/>
                <w:szCs w:val="20"/>
                <w:color w:val="auto"/>
              </w:rPr>
            </w:pPr>
            <w:r>
              <w:rPr>
                <w:rFonts w:ascii="Arial" w:cs="Arial" w:eastAsia="Arial" w:hAnsi="Arial"/>
                <w:sz w:val="11"/>
                <w:szCs w:val="11"/>
                <w:color w:val="auto"/>
              </w:rPr>
              <w:t>2025</w:t>
            </w:r>
          </w:p>
        </w:tc>
        <w:tc>
          <w:tcPr>
            <w:tcW w:w="760" w:type="dxa"/>
            <w:vAlign w:val="bottom"/>
          </w:tcPr>
          <w:p>
            <w:pPr>
              <w:jc w:val="right"/>
              <w:spacing w:after="0"/>
              <w:rPr>
                <w:sz w:val="20"/>
                <w:szCs w:val="20"/>
                <w:color w:val="auto"/>
              </w:rPr>
            </w:pPr>
            <w:r>
              <w:rPr>
                <w:rFonts w:ascii="Arial" w:cs="Arial" w:eastAsia="Arial" w:hAnsi="Arial"/>
                <w:sz w:val="11"/>
                <w:szCs w:val="11"/>
                <w:color w:val="auto"/>
              </w:rPr>
              <w:t>808,500</w:t>
            </w: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7"/>
              <w:spacing w:after="0"/>
              <w:rPr>
                <w:sz w:val="20"/>
                <w:szCs w:val="20"/>
                <w:color w:val="auto"/>
              </w:rPr>
            </w:pPr>
            <w:r>
              <w:rPr>
                <w:rFonts w:ascii="Arial" w:cs="Arial" w:eastAsia="Arial" w:hAnsi="Arial"/>
                <w:sz w:val="11"/>
                <w:szCs w:val="11"/>
                <w:color w:val="auto"/>
              </w:rPr>
              <w:t>5,447,921</w:t>
            </w:r>
          </w:p>
        </w:tc>
        <w:tc>
          <w:tcPr>
            <w:tcW w:w="900" w:type="dxa"/>
            <w:vAlign w:val="bottom"/>
          </w:tcPr>
          <w:p>
            <w:pPr>
              <w:jc w:val="right"/>
              <w:ind w:right="27"/>
              <w:spacing w:after="0"/>
              <w:rPr>
                <w:sz w:val="20"/>
                <w:szCs w:val="20"/>
                <w:color w:val="auto"/>
              </w:rPr>
            </w:pPr>
            <w:r>
              <w:rPr>
                <w:rFonts w:ascii="Arial" w:cs="Arial" w:eastAsia="Arial" w:hAnsi="Arial"/>
                <w:sz w:val="11"/>
                <w:szCs w:val="11"/>
                <w:color w:val="auto"/>
              </w:rPr>
              <w:t>2,990,887</w:t>
            </w:r>
          </w:p>
        </w:tc>
        <w:tc>
          <w:tcPr>
            <w:tcW w:w="220" w:type="dxa"/>
            <w:vAlign w:val="bottom"/>
          </w:tcPr>
          <w:p>
            <w:pPr>
              <w:spacing w:after="0"/>
              <w:rPr>
                <w:sz w:val="16"/>
                <w:szCs w:val="16"/>
                <w:color w:val="auto"/>
              </w:rPr>
            </w:pPr>
          </w:p>
        </w:tc>
        <w:tc>
          <w:tcPr>
            <w:tcW w:w="1160" w:type="dxa"/>
            <w:vAlign w:val="bottom"/>
          </w:tcPr>
          <w:p>
            <w:pPr>
              <w:jc w:val="right"/>
              <w:ind w:right="7"/>
              <w:spacing w:after="0"/>
              <w:rPr>
                <w:sz w:val="20"/>
                <w:szCs w:val="20"/>
                <w:color w:val="auto"/>
              </w:rPr>
            </w:pPr>
            <w:r>
              <w:rPr>
                <w:rFonts w:ascii="Arial" w:cs="Arial" w:eastAsia="Arial" w:hAnsi="Arial"/>
                <w:sz w:val="11"/>
                <w:szCs w:val="11"/>
                <w:color w:val="auto"/>
              </w:rPr>
              <w:t>—</w:t>
            </w:r>
          </w:p>
        </w:tc>
        <w:tc>
          <w:tcPr>
            <w:tcW w:w="880" w:type="dxa"/>
            <w:vAlign w:val="bottom"/>
          </w:tcPr>
          <w:p>
            <w:pPr>
              <w:jc w:val="right"/>
              <w:ind w:right="27"/>
              <w:spacing w:after="0"/>
              <w:rPr>
                <w:sz w:val="20"/>
                <w:szCs w:val="20"/>
                <w:color w:val="auto"/>
              </w:rPr>
            </w:pPr>
            <w:r>
              <w:rPr>
                <w:rFonts w:ascii="Arial" w:cs="Arial" w:eastAsia="Arial" w:hAnsi="Arial"/>
                <w:sz w:val="11"/>
                <w:szCs w:val="11"/>
                <w:color w:val="auto"/>
              </w:rPr>
              <w:t>115,885</w:t>
            </w:r>
          </w:p>
        </w:tc>
        <w:tc>
          <w:tcPr>
            <w:tcW w:w="720" w:type="dxa"/>
            <w:vAlign w:val="bottom"/>
          </w:tcPr>
          <w:p>
            <w:pPr>
              <w:jc w:val="right"/>
              <w:ind w:right="46"/>
              <w:spacing w:after="0"/>
              <w:rPr>
                <w:sz w:val="20"/>
                <w:szCs w:val="20"/>
                <w:color w:val="auto"/>
              </w:rPr>
            </w:pPr>
            <w:r>
              <w:rPr>
                <w:rFonts w:ascii="Arial" w:cs="Arial" w:eastAsia="Arial" w:hAnsi="Arial"/>
                <w:sz w:val="11"/>
                <w:szCs w:val="11"/>
                <w:color w:val="auto"/>
              </w:rPr>
              <w:t>9,363,193</w:t>
            </w:r>
          </w:p>
        </w:tc>
        <w:tc>
          <w:tcPr>
            <w:tcW w:w="40" w:type="dxa"/>
            <w:vAlign w:val="bottom"/>
          </w:tcPr>
          <w:p>
            <w:pPr>
              <w:spacing w:after="0"/>
              <w:rPr>
                <w:sz w:val="16"/>
                <w:szCs w:val="16"/>
                <w:color w:val="auto"/>
              </w:rPr>
            </w:pPr>
          </w:p>
        </w:tc>
      </w:tr>
      <w:tr>
        <w:trPr>
          <w:trHeight w:val="270"/>
        </w:trPr>
        <w:tc>
          <w:tcPr>
            <w:tcW w:w="2900" w:type="dxa"/>
            <w:vAlign w:val="bottom"/>
          </w:tcPr>
          <w:p>
            <w:pPr>
              <w:ind w:left="220"/>
              <w:spacing w:after="0"/>
              <w:rPr>
                <w:sz w:val="20"/>
                <w:szCs w:val="20"/>
                <w:color w:val="auto"/>
              </w:rPr>
            </w:pPr>
            <w:r>
              <w:rPr>
                <w:rFonts w:ascii="Arial" w:cs="Arial" w:eastAsia="Arial" w:hAnsi="Arial"/>
                <w:sz w:val="11"/>
                <w:szCs w:val="11"/>
                <w:color w:val="auto"/>
              </w:rPr>
              <w:t>Executive  Vice  President  and</w:t>
            </w:r>
          </w:p>
        </w:tc>
        <w:tc>
          <w:tcPr>
            <w:tcW w:w="740" w:type="dxa"/>
            <w:vAlign w:val="bottom"/>
          </w:tcPr>
          <w:p>
            <w:pPr>
              <w:ind w:left="340"/>
              <w:spacing w:after="0"/>
              <w:rPr>
                <w:sz w:val="20"/>
                <w:szCs w:val="20"/>
                <w:color w:val="auto"/>
              </w:rPr>
            </w:pPr>
            <w:r>
              <w:rPr>
                <w:rFonts w:ascii="Arial" w:cs="Arial" w:eastAsia="Arial" w:hAnsi="Arial"/>
                <w:sz w:val="11"/>
                <w:szCs w:val="11"/>
                <w:color w:val="auto"/>
              </w:rPr>
              <w:t>2024</w:t>
            </w:r>
          </w:p>
        </w:tc>
        <w:tc>
          <w:tcPr>
            <w:tcW w:w="760" w:type="dxa"/>
            <w:vAlign w:val="bottom"/>
          </w:tcPr>
          <w:p>
            <w:pPr>
              <w:jc w:val="right"/>
              <w:spacing w:after="0"/>
              <w:rPr>
                <w:sz w:val="20"/>
                <w:szCs w:val="20"/>
                <w:color w:val="auto"/>
              </w:rPr>
            </w:pPr>
            <w:r>
              <w:rPr>
                <w:rFonts w:ascii="Arial" w:cs="Arial" w:eastAsia="Arial" w:hAnsi="Arial"/>
                <w:sz w:val="11"/>
                <w:szCs w:val="11"/>
                <w:color w:val="auto"/>
              </w:rPr>
              <w:t>798,875</w:t>
            </w: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2,600,000</w:t>
            </w:r>
          </w:p>
        </w:tc>
        <w:tc>
          <w:tcPr>
            <w:tcW w:w="720" w:type="dxa"/>
            <w:vAlign w:val="bottom"/>
          </w:tcPr>
          <w:p>
            <w:pPr>
              <w:jc w:val="right"/>
              <w:ind w:right="7"/>
              <w:spacing w:after="0"/>
              <w:rPr>
                <w:sz w:val="20"/>
                <w:szCs w:val="20"/>
                <w:color w:val="auto"/>
              </w:rPr>
            </w:pPr>
            <w:r>
              <w:rPr>
                <w:rFonts w:ascii="Arial" w:cs="Arial" w:eastAsia="Arial" w:hAnsi="Arial"/>
                <w:sz w:val="11"/>
                <w:szCs w:val="11"/>
                <w:color w:val="auto"/>
              </w:rPr>
              <w:t>6,464,807</w:t>
            </w:r>
          </w:p>
        </w:tc>
        <w:tc>
          <w:tcPr>
            <w:tcW w:w="900" w:type="dxa"/>
            <w:vAlign w:val="bottom"/>
          </w:tcPr>
          <w:p>
            <w:pPr>
              <w:jc w:val="right"/>
              <w:ind w:right="27"/>
              <w:spacing w:after="0"/>
              <w:rPr>
                <w:sz w:val="20"/>
                <w:szCs w:val="20"/>
                <w:color w:val="auto"/>
              </w:rPr>
            </w:pPr>
            <w:r>
              <w:rPr>
                <w:rFonts w:ascii="Arial" w:cs="Arial" w:eastAsia="Arial" w:hAnsi="Arial"/>
                <w:sz w:val="11"/>
                <w:szCs w:val="11"/>
                <w:color w:val="auto"/>
              </w:rPr>
              <w:t>1,677,748</w:t>
            </w:r>
          </w:p>
        </w:tc>
        <w:tc>
          <w:tcPr>
            <w:tcW w:w="220" w:type="dxa"/>
            <w:vAlign w:val="bottom"/>
          </w:tcPr>
          <w:p>
            <w:pPr>
              <w:spacing w:after="0"/>
              <w:rPr>
                <w:sz w:val="23"/>
                <w:szCs w:val="23"/>
                <w:color w:val="auto"/>
              </w:rPr>
            </w:pPr>
          </w:p>
        </w:tc>
        <w:tc>
          <w:tcPr>
            <w:tcW w:w="1160" w:type="dxa"/>
            <w:vAlign w:val="bottom"/>
          </w:tcPr>
          <w:p>
            <w:pPr>
              <w:jc w:val="right"/>
              <w:ind w:right="7"/>
              <w:spacing w:after="0"/>
              <w:rPr>
                <w:sz w:val="20"/>
                <w:szCs w:val="20"/>
                <w:color w:val="auto"/>
              </w:rPr>
            </w:pPr>
            <w:r>
              <w:rPr>
                <w:rFonts w:ascii="Arial" w:cs="Arial" w:eastAsia="Arial" w:hAnsi="Arial"/>
                <w:sz w:val="11"/>
                <w:szCs w:val="11"/>
                <w:color w:val="auto"/>
              </w:rPr>
              <w:t>—</w:t>
            </w:r>
          </w:p>
        </w:tc>
        <w:tc>
          <w:tcPr>
            <w:tcW w:w="880" w:type="dxa"/>
            <w:vAlign w:val="bottom"/>
          </w:tcPr>
          <w:p>
            <w:pPr>
              <w:jc w:val="right"/>
              <w:ind w:right="27"/>
              <w:spacing w:after="0"/>
              <w:rPr>
                <w:sz w:val="20"/>
                <w:szCs w:val="20"/>
                <w:color w:val="auto"/>
              </w:rPr>
            </w:pPr>
            <w:r>
              <w:rPr>
                <w:rFonts w:ascii="Arial" w:cs="Arial" w:eastAsia="Arial" w:hAnsi="Arial"/>
                <w:sz w:val="11"/>
                <w:szCs w:val="11"/>
                <w:color w:val="auto"/>
              </w:rPr>
              <w:t>103,174</w:t>
            </w:r>
          </w:p>
        </w:tc>
        <w:tc>
          <w:tcPr>
            <w:tcW w:w="720" w:type="dxa"/>
            <w:vAlign w:val="bottom"/>
          </w:tcPr>
          <w:p>
            <w:pPr>
              <w:jc w:val="right"/>
              <w:ind w:right="46"/>
              <w:spacing w:after="0"/>
              <w:rPr>
                <w:sz w:val="20"/>
                <w:szCs w:val="20"/>
                <w:color w:val="auto"/>
              </w:rPr>
            </w:pPr>
            <w:r>
              <w:rPr>
                <w:rFonts w:ascii="Arial" w:cs="Arial" w:eastAsia="Arial" w:hAnsi="Arial"/>
                <w:sz w:val="11"/>
                <w:szCs w:val="11"/>
                <w:color w:val="auto"/>
              </w:rPr>
              <w:t>11,644,604</w:t>
            </w:r>
          </w:p>
        </w:tc>
        <w:tc>
          <w:tcPr>
            <w:tcW w:w="40" w:type="dxa"/>
            <w:vAlign w:val="bottom"/>
          </w:tcPr>
          <w:p>
            <w:pPr>
              <w:spacing w:after="0"/>
              <w:rPr>
                <w:sz w:val="23"/>
                <w:szCs w:val="23"/>
                <w:color w:val="auto"/>
              </w:rPr>
            </w:pPr>
          </w:p>
        </w:tc>
      </w:tr>
      <w:tr>
        <w:trPr>
          <w:trHeight w:val="147"/>
        </w:trPr>
        <w:tc>
          <w:tcPr>
            <w:tcW w:w="2900" w:type="dxa"/>
            <w:vAlign w:val="bottom"/>
            <w:tcBorders>
              <w:bottom w:val="single" w:sz="8" w:color="808080"/>
            </w:tcBorders>
          </w:tcPr>
          <w:p>
            <w:pPr>
              <w:ind w:left="220"/>
              <w:spacing w:after="0"/>
              <w:rPr>
                <w:sz w:val="20"/>
                <w:szCs w:val="20"/>
                <w:color w:val="auto"/>
              </w:rPr>
            </w:pPr>
            <w:r>
              <w:rPr>
                <w:rFonts w:ascii="Arial" w:cs="Arial" w:eastAsia="Arial" w:hAnsi="Arial"/>
                <w:sz w:val="11"/>
                <w:szCs w:val="11"/>
                <w:color w:val="auto"/>
              </w:rPr>
              <w:t>Chief  Commercial  Ofcer</w:t>
            </w:r>
          </w:p>
        </w:tc>
        <w:tc>
          <w:tcPr>
            <w:tcW w:w="740" w:type="dxa"/>
            <w:vAlign w:val="bottom"/>
            <w:tcBorders>
              <w:bottom w:val="single" w:sz="8" w:color="808080"/>
            </w:tcBorders>
          </w:tcPr>
          <w:p>
            <w:pPr>
              <w:spacing w:after="0"/>
              <w:rPr>
                <w:sz w:val="12"/>
                <w:szCs w:val="12"/>
                <w:color w:val="auto"/>
              </w:rPr>
            </w:pPr>
          </w:p>
        </w:tc>
        <w:tc>
          <w:tcPr>
            <w:tcW w:w="760" w:type="dxa"/>
            <w:vAlign w:val="bottom"/>
            <w:tcBorders>
              <w:bottom w:val="single" w:sz="8" w:color="808080"/>
            </w:tcBorders>
          </w:tcPr>
          <w:p>
            <w:pPr>
              <w:spacing w:after="0"/>
              <w:rPr>
                <w:sz w:val="12"/>
                <w:szCs w:val="12"/>
                <w:color w:val="auto"/>
              </w:rPr>
            </w:pPr>
          </w:p>
        </w:tc>
        <w:tc>
          <w:tcPr>
            <w:tcW w:w="720" w:type="dxa"/>
            <w:vAlign w:val="bottom"/>
            <w:tcBorders>
              <w:bottom w:val="single" w:sz="8" w:color="808080"/>
            </w:tcBorders>
          </w:tcPr>
          <w:p>
            <w:pPr>
              <w:spacing w:after="0"/>
              <w:rPr>
                <w:sz w:val="12"/>
                <w:szCs w:val="12"/>
                <w:color w:val="auto"/>
              </w:rPr>
            </w:pPr>
          </w:p>
        </w:tc>
        <w:tc>
          <w:tcPr>
            <w:tcW w:w="720" w:type="dxa"/>
            <w:vAlign w:val="bottom"/>
            <w:tcBorders>
              <w:bottom w:val="single" w:sz="8" w:color="808080"/>
            </w:tcBorders>
          </w:tcPr>
          <w:p>
            <w:pPr>
              <w:spacing w:after="0"/>
              <w:rPr>
                <w:sz w:val="12"/>
                <w:szCs w:val="12"/>
                <w:color w:val="auto"/>
              </w:rPr>
            </w:pPr>
          </w:p>
        </w:tc>
        <w:tc>
          <w:tcPr>
            <w:tcW w:w="900" w:type="dxa"/>
            <w:vAlign w:val="bottom"/>
            <w:tcBorders>
              <w:bottom w:val="single" w:sz="8" w:color="808080"/>
            </w:tcBorders>
          </w:tcPr>
          <w:p>
            <w:pPr>
              <w:spacing w:after="0"/>
              <w:rPr>
                <w:sz w:val="12"/>
                <w:szCs w:val="12"/>
                <w:color w:val="auto"/>
              </w:rPr>
            </w:pPr>
          </w:p>
        </w:tc>
        <w:tc>
          <w:tcPr>
            <w:tcW w:w="220" w:type="dxa"/>
            <w:vAlign w:val="bottom"/>
            <w:tcBorders>
              <w:bottom w:val="single" w:sz="8" w:color="808080"/>
            </w:tcBorders>
          </w:tcPr>
          <w:p>
            <w:pPr>
              <w:spacing w:after="0"/>
              <w:rPr>
                <w:sz w:val="12"/>
                <w:szCs w:val="12"/>
                <w:color w:val="auto"/>
              </w:rPr>
            </w:pPr>
          </w:p>
        </w:tc>
        <w:tc>
          <w:tcPr>
            <w:tcW w:w="1160" w:type="dxa"/>
            <w:vAlign w:val="bottom"/>
            <w:tcBorders>
              <w:bottom w:val="single" w:sz="8" w:color="808080"/>
            </w:tcBorders>
          </w:tcPr>
          <w:p>
            <w:pPr>
              <w:spacing w:after="0"/>
              <w:rPr>
                <w:sz w:val="12"/>
                <w:szCs w:val="12"/>
                <w:color w:val="auto"/>
              </w:rPr>
            </w:pPr>
          </w:p>
        </w:tc>
        <w:tc>
          <w:tcPr>
            <w:tcW w:w="880" w:type="dxa"/>
            <w:vAlign w:val="bottom"/>
            <w:tcBorders>
              <w:bottom w:val="single" w:sz="8" w:color="808080"/>
            </w:tcBorders>
          </w:tcPr>
          <w:p>
            <w:pPr>
              <w:spacing w:after="0"/>
              <w:rPr>
                <w:sz w:val="12"/>
                <w:szCs w:val="12"/>
                <w:color w:val="auto"/>
              </w:rPr>
            </w:pPr>
          </w:p>
        </w:tc>
        <w:tc>
          <w:tcPr>
            <w:tcW w:w="720" w:type="dxa"/>
            <w:vAlign w:val="bottom"/>
            <w:tcBorders>
              <w:bottom w:val="single" w:sz="8" w:color="808080"/>
            </w:tcBorders>
          </w:tcPr>
          <w:p>
            <w:pPr>
              <w:spacing w:after="0"/>
              <w:rPr>
                <w:sz w:val="12"/>
                <w:szCs w:val="12"/>
                <w:color w:val="auto"/>
              </w:rPr>
            </w:pPr>
          </w:p>
        </w:tc>
        <w:tc>
          <w:tcPr>
            <w:tcW w:w="40" w:type="dxa"/>
            <w:vAlign w:val="bottom"/>
          </w:tcPr>
          <w:p>
            <w:pPr>
              <w:spacing w:after="0"/>
              <w:rPr>
                <w:sz w:val="12"/>
                <w:szCs w:val="12"/>
                <w:color w:val="auto"/>
              </w:rPr>
            </w:pPr>
          </w:p>
        </w:tc>
      </w:tr>
    </w:tbl>
    <w:p>
      <w:pPr>
        <w:ind w:left="320" w:hanging="316"/>
        <w:spacing w:after="0" w:line="203" w:lineRule="auto"/>
        <w:tabs>
          <w:tab w:leader="none" w:pos="320" w:val="left"/>
        </w:tabs>
        <w:numPr>
          <w:ilvl w:val="0"/>
          <w:numId w:val="125"/>
        </w:numPr>
        <w:rPr>
          <w:rFonts w:ascii="Arial" w:cs="Arial" w:eastAsia="Arial" w:hAnsi="Arial"/>
          <w:sz w:val="24"/>
          <w:szCs w:val="24"/>
          <w:color w:val="auto"/>
          <w:vertAlign w:val="superscript"/>
        </w:rPr>
      </w:pPr>
      <w:r>
        <w:rPr>
          <w:rFonts w:ascii="Arial" w:cs="Arial" w:eastAsia="Arial" w:hAnsi="Arial"/>
          <w:sz w:val="13"/>
          <w:szCs w:val="13"/>
          <w:color w:val="auto"/>
        </w:rPr>
        <w:t>Represents  the  actual  salary  earned  by  each  NEO  in  2025.</w:t>
      </w:r>
    </w:p>
    <w:p>
      <w:pPr>
        <w:ind w:left="320" w:right="40" w:hanging="316"/>
        <w:spacing w:after="0"/>
        <w:tabs>
          <w:tab w:leader="none" w:pos="320" w:val="left"/>
        </w:tabs>
        <w:numPr>
          <w:ilvl w:val="0"/>
          <w:numId w:val="125"/>
        </w:numPr>
        <w:rPr>
          <w:rFonts w:ascii="Arial" w:cs="Arial" w:eastAsia="Arial" w:hAnsi="Arial"/>
          <w:sz w:val="24"/>
          <w:szCs w:val="24"/>
          <w:color w:val="auto"/>
          <w:vertAlign w:val="superscript"/>
        </w:rPr>
      </w:pPr>
      <w:r>
        <w:rPr>
          <w:rFonts w:ascii="Arial" w:cs="Arial" w:eastAsia="Arial" w:hAnsi="Arial"/>
          <w:sz w:val="13"/>
          <w:szCs w:val="13"/>
          <w:color w:val="auto"/>
        </w:rPr>
        <w:t xml:space="preserve">For each named executive ofcer’s rows for 2025, represents the grant date fair value of time-vested RSUs as well as the Performance-Based RSUs granted in 2025 (i.e., tranche 1), the Performance-Based RSUs granted in 2024 (i.e., tranche 2) and the Performance-Based RSUs granted in 2023 (i.e., tranche 3), each as computed in accordance with FASB ASC Topic 718. </w:t>
      </w:r>
      <w:r>
        <w:rPr>
          <w:rFonts w:ascii="Arial" w:cs="Arial" w:eastAsia="Arial" w:hAnsi="Arial"/>
          <w:sz w:val="13"/>
          <w:szCs w:val="13"/>
          <w:color w:val="auto"/>
          <w:highlight w:val="white"/>
        </w:rPr>
        <w:t>For Mr. Leskinen, the amount also includes the second half of his 2023</w:t>
      </w:r>
      <w:r>
        <w:rPr>
          <w:rFonts w:ascii="Arial" w:cs="Arial" w:eastAsia="Arial" w:hAnsi="Arial"/>
          <w:sz w:val="13"/>
          <w:szCs w:val="13"/>
          <w:color w:val="auto"/>
        </w:rPr>
        <w:t xml:space="preserve"> </w:t>
      </w:r>
      <w:r>
        <w:rPr>
          <w:rFonts w:ascii="Arial" w:cs="Arial" w:eastAsia="Arial" w:hAnsi="Arial"/>
          <w:sz w:val="13"/>
          <w:szCs w:val="13"/>
          <w:color w:val="auto"/>
          <w:highlight w:val="white"/>
        </w:rPr>
        <w:t>promotional PBRSU award, for which half of the award vested based on performance measures established in 2024 and half of the award vested based on performance measures established in 2025.</w:t>
      </w:r>
    </w:p>
    <w:p>
      <w:pPr>
        <w:spacing w:after="0" w:line="220" w:lineRule="exact"/>
        <w:rPr>
          <w:rFonts w:ascii="Arial" w:cs="Arial" w:eastAsia="Arial" w:hAnsi="Arial"/>
          <w:sz w:val="24"/>
          <w:szCs w:val="24"/>
          <w:color w:val="auto"/>
          <w:vertAlign w:val="superscript"/>
        </w:rPr>
      </w:pPr>
    </w:p>
    <w:p>
      <w:pPr>
        <w:ind w:left="320" w:right="60"/>
        <w:spacing w:after="0" w:line="262" w:lineRule="auto"/>
        <w:rPr>
          <w:rFonts w:ascii="Arial" w:cs="Arial" w:eastAsia="Arial" w:hAnsi="Arial"/>
          <w:sz w:val="24"/>
          <w:szCs w:val="24"/>
          <w:color w:val="auto"/>
          <w:vertAlign w:val="superscript"/>
        </w:rPr>
      </w:pPr>
      <w:r>
        <w:rPr>
          <w:rFonts w:ascii="Arial" w:cs="Arial" w:eastAsia="Arial" w:hAnsi="Arial"/>
          <w:sz w:val="13"/>
          <w:szCs w:val="13"/>
          <w:color w:val="auto"/>
        </w:rPr>
        <w:t>For Performance-Based RSUs, the grant date fair value is based on the closing price of Common Stock on the date of grant for the portion of awards based on performance conditions and for Performance-Based RSUs granted in 2024, on a Monte Carlo valuation for the portion of awards attributable to the relative TSR modifer. The Monte Carlo simulation was performed using the remaining performance period of 3.0 years and assuming an expected volatility of 40.3% and risk-free interest rate of 4.00%. The expected volatility was based on an analysis of the historical volatility of Common Stock on the grant date for 1.75 years. The risk-free interest rate corresponding with the remaining performance period was calculated using a forward rate curve based on the U.S. Treasury yield curve as of the measurement date. For a discussion of the assumptions made in the valuation referenced in this column, see note 5 to the consolidated fnancial statements in the Company’s 2025 Annual Report on Form 10-K. As discussed in the CD&amp;A, the Committee designed the 2025, 2024 and 2023 Performance-Based RSUs so that the performance measures and levels are set in one-third increments at the beginning of each year of the three-year performance Period ( January 1, 2025 – December 31, 2027 for the 2025 Performance-Based RSUs, January 1, 2024 – December 31, 2026 for the 2024 Performance-Based RSUs and January 1, 2023 – December 31, 2025 for the 2023 Performance-Based RSUs). The Committee will set or has set performance measures for the remaining two-thirds of the 2025 Performance-Based RSU awards in each of 2026 and 2027 and for the remaining one-third of the 2024 Performance-Based RSU awards in 2026. Values with respect to Performance-Based RSUs were calculated based on the probable satisfaction of the applicable performance conditions as of the date of grant (which was target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2026  Proxy  Statement</w:t>
      </w:r>
    </w:p>
    <w:p>
      <w:pPr>
        <w:spacing w:after="0" w:line="167" w:lineRule="exact"/>
        <w:rPr>
          <w:sz w:val="20"/>
          <w:szCs w:val="20"/>
          <w:color w:val="auto"/>
        </w:rPr>
      </w:pPr>
    </w:p>
    <w:p>
      <w:pPr>
        <w:ind w:left="9440"/>
        <w:spacing w:after="0"/>
        <w:rPr>
          <w:sz w:val="20"/>
          <w:szCs w:val="20"/>
          <w:color w:val="auto"/>
        </w:rPr>
      </w:pPr>
      <w:r>
        <w:rPr>
          <w:rFonts w:ascii="Arial" w:cs="Arial" w:eastAsia="Arial" w:hAnsi="Arial"/>
          <w:sz w:val="16"/>
          <w:szCs w:val="16"/>
          <w:b w:val="1"/>
          <w:bCs w:val="1"/>
          <w:color w:val="1414D2"/>
        </w:rPr>
        <w:t>111</w:t>
      </w:r>
    </w:p>
    <w:p>
      <w:pPr>
        <w:sectPr>
          <w:pgSz w:w="11900" w:h="16838" w:orient="portrait"/>
          <w:cols w:equalWidth="0" w:num="1">
            <w:col w:w="9760"/>
          </w:cols>
          <w:pgMar w:left="1080" w:top="695" w:right="1059" w:bottom="1440" w:gutter="0" w:footer="0" w:header="0"/>
        </w:sectPr>
      </w:pPr>
    </w:p>
    <w:bookmarkStart w:id="122" w:name="page123"/>
    <w:bookmarkEnd w:id="122"/>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6D6F71"/>
        </w:rPr>
        <w:t>Executive  Compensation</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4"/>
          <w:szCs w:val="14"/>
          <w:color w:val="auto"/>
        </w:rPr>
        <w:t>The  following  table  refects  the  aggregate  grant  date  fair  value  at  the  maximum  or  “stretch”  level  of  (i)  the  third  tranche  of  2023</w:t>
      </w:r>
    </w:p>
    <w:p>
      <w:pPr>
        <w:spacing w:after="0" w:line="15" w:lineRule="exact"/>
        <w:rPr>
          <w:sz w:val="20"/>
          <w:szCs w:val="20"/>
          <w:color w:val="auto"/>
        </w:rPr>
      </w:pPr>
    </w:p>
    <w:p>
      <w:pPr>
        <w:ind w:left="660" w:right="160"/>
        <w:spacing w:after="0" w:line="251" w:lineRule="auto"/>
        <w:rPr>
          <w:sz w:val="20"/>
          <w:szCs w:val="20"/>
          <w:color w:val="auto"/>
        </w:rPr>
      </w:pPr>
      <w:r>
        <w:rPr>
          <w:rFonts w:ascii="Arial" w:cs="Arial" w:eastAsia="Arial" w:hAnsi="Arial"/>
          <w:sz w:val="14"/>
          <w:szCs w:val="14"/>
          <w:color w:val="auto"/>
        </w:rPr>
        <w:t>Performance-Based RSUs (the “stretch” level is 200% of the target level), (ii) the second tranche of the 2024 Performance-Based RSUs (the “stretch” level is 300% of the target level assuming maximum application of the relative TSR modifer) and (iii) the frst tranche of</w:t>
      </w:r>
    </w:p>
    <w:p>
      <w:pPr>
        <w:spacing w:after="0" w:line="1" w:lineRule="exact"/>
        <w:rPr>
          <w:sz w:val="20"/>
          <w:szCs w:val="20"/>
          <w:color w:val="auto"/>
        </w:rPr>
      </w:pPr>
    </w:p>
    <w:p>
      <w:pPr>
        <w:ind w:left="660" w:right="180"/>
        <w:spacing w:after="0" w:line="331" w:lineRule="auto"/>
        <w:rPr>
          <w:sz w:val="20"/>
          <w:szCs w:val="20"/>
          <w:color w:val="auto"/>
        </w:rPr>
      </w:pPr>
      <w:r>
        <w:rPr>
          <w:rFonts w:ascii="Arial" w:cs="Arial" w:eastAsia="Arial" w:hAnsi="Arial"/>
          <w:sz w:val="14"/>
          <w:szCs w:val="14"/>
          <w:color w:val="auto"/>
        </w:rPr>
        <w:t>the 2025 Performance-Based RSUs (the “stretch” level is 200% of the target level). For Mr. Leskinen, the below table also discloses the maximum value of the second-half of his 2023 promotional PBRSU award, as noted in footnote (a) below.</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260" w:type="dxa"/>
            <w:vAlign w:val="bottom"/>
            <w:tcBorders>
              <w:top w:val="single" w:sz="8" w:color="1414D2"/>
            </w:tcBorders>
            <w:shd w:val="clear" w:color="auto" w:fill="F2F2F2"/>
          </w:tcPr>
          <w:p>
            <w:pPr>
              <w:spacing w:after="0"/>
              <w:rPr>
                <w:sz w:val="21"/>
                <w:szCs w:val="21"/>
                <w:color w:val="auto"/>
              </w:rPr>
            </w:pPr>
          </w:p>
        </w:tc>
        <w:tc>
          <w:tcPr>
            <w:tcW w:w="1280" w:type="dxa"/>
            <w:vAlign w:val="bottom"/>
            <w:tcBorders>
              <w:top w:val="single" w:sz="8" w:color="1414D2"/>
            </w:tcBorders>
            <w:shd w:val="clear" w:color="auto" w:fill="F2F2F2"/>
          </w:tcPr>
          <w:p>
            <w:pPr>
              <w:ind w:left="100"/>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1414D2"/>
            </w:tcBorders>
            <w:shd w:val="clear" w:color="auto" w:fill="F2F2F2"/>
          </w:tcPr>
          <w:p>
            <w:pPr>
              <w:ind w:left="100"/>
              <w:spacing w:after="0"/>
              <w:rPr>
                <w:sz w:val="20"/>
                <w:szCs w:val="20"/>
                <w:color w:val="auto"/>
              </w:rPr>
            </w:pPr>
            <w:r>
              <w:rPr>
                <w:rFonts w:ascii="Arial" w:cs="Arial" w:eastAsia="Arial" w:hAnsi="Arial"/>
                <w:sz w:val="14"/>
                <w:szCs w:val="14"/>
                <w:b w:val="1"/>
                <w:bCs w:val="1"/>
                <w:color w:val="auto"/>
              </w:rPr>
              <w:t>​​​</w:t>
            </w:r>
          </w:p>
        </w:tc>
        <w:tc>
          <w:tcPr>
            <w:tcW w:w="1420" w:type="dxa"/>
            <w:vAlign w:val="bottom"/>
            <w:tcBorders>
              <w:top w:val="single" w:sz="8" w:color="1414D2"/>
            </w:tcBorders>
            <w:shd w:val="clear" w:color="auto" w:fill="F2F2F2"/>
          </w:tcPr>
          <w:p>
            <w:pPr>
              <w:jc w:val="center"/>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top w:val="single" w:sz="8" w:color="1414D2"/>
            </w:tcBorders>
            <w:shd w:val="clear" w:color="auto" w:fill="F2F2F2"/>
          </w:tcPr>
          <w:p>
            <w:pPr>
              <w:ind w:left="140"/>
              <w:spacing w:after="0"/>
              <w:rPr>
                <w:sz w:val="20"/>
                <w:szCs w:val="20"/>
                <w:color w:val="auto"/>
              </w:rPr>
            </w:pPr>
            <w:r>
              <w:rPr>
                <w:rFonts w:ascii="Arial" w:cs="Arial" w:eastAsia="Arial" w:hAnsi="Arial"/>
                <w:sz w:val="14"/>
                <w:szCs w:val="14"/>
                <w:b w:val="1"/>
                <w:bCs w:val="1"/>
                <w:color w:val="auto"/>
              </w:rPr>
              <w:t>​​​</w:t>
            </w:r>
          </w:p>
        </w:tc>
        <w:tc>
          <w:tcPr>
            <w:tcW w:w="1480" w:type="dxa"/>
            <w:vAlign w:val="bottom"/>
            <w:tcBorders>
              <w:top w:val="single" w:sz="8" w:color="1414D2"/>
            </w:tcBorders>
            <w:shd w:val="clear" w:color="auto" w:fill="F2F2F2"/>
          </w:tcPr>
          <w:p>
            <w:pPr>
              <w:jc w:val="center"/>
              <w:spacing w:after="0"/>
              <w:rPr>
                <w:sz w:val="20"/>
                <w:szCs w:val="20"/>
                <w:color w:val="auto"/>
              </w:rPr>
            </w:pPr>
            <w:r>
              <w:rPr>
                <w:rFonts w:ascii="Arial" w:cs="Arial" w:eastAsia="Arial" w:hAnsi="Arial"/>
                <w:sz w:val="14"/>
                <w:szCs w:val="14"/>
                <w:b w:val="1"/>
                <w:bCs w:val="1"/>
                <w:color w:val="auto"/>
              </w:rPr>
              <w:t>2024</w:t>
            </w:r>
          </w:p>
        </w:tc>
        <w:tc>
          <w:tcPr>
            <w:tcW w:w="180" w:type="dxa"/>
            <w:vAlign w:val="bottom"/>
            <w:tcBorders>
              <w:top w:val="single" w:sz="8" w:color="1414D2"/>
            </w:tcBorders>
            <w:shd w:val="clear" w:color="auto" w:fill="F2F2F2"/>
          </w:tcPr>
          <w:p>
            <w:pPr>
              <w:ind w:left="60"/>
              <w:spacing w:after="0"/>
              <w:rPr>
                <w:sz w:val="20"/>
                <w:szCs w:val="20"/>
                <w:color w:val="auto"/>
              </w:rPr>
            </w:pPr>
            <w:r>
              <w:rPr>
                <w:rFonts w:ascii="Arial" w:cs="Arial" w:eastAsia="Arial" w:hAnsi="Arial"/>
                <w:sz w:val="14"/>
                <w:szCs w:val="14"/>
                <w:b w:val="1"/>
                <w:bCs w:val="1"/>
                <w:color w:val="auto"/>
              </w:rPr>
              <w:t>​​​</w:t>
            </w:r>
          </w:p>
        </w:tc>
        <w:tc>
          <w:tcPr>
            <w:tcW w:w="1480" w:type="dxa"/>
            <w:vAlign w:val="bottom"/>
            <w:tcBorders>
              <w:top w:val="single" w:sz="8" w:color="1414D2"/>
            </w:tcBorders>
            <w:shd w:val="clear" w:color="auto" w:fill="F2F2F2"/>
          </w:tcPr>
          <w:p>
            <w:pPr>
              <w:jc w:val="center"/>
              <w:spacing w:after="0"/>
              <w:rPr>
                <w:sz w:val="20"/>
                <w:szCs w:val="20"/>
                <w:color w:val="auto"/>
              </w:rPr>
            </w:pPr>
            <w:r>
              <w:rPr>
                <w:rFonts w:ascii="Arial" w:cs="Arial" w:eastAsia="Arial" w:hAnsi="Arial"/>
                <w:sz w:val="14"/>
                <w:szCs w:val="14"/>
                <w:b w:val="1"/>
                <w:bCs w:val="1"/>
                <w:color w:val="auto"/>
              </w:rPr>
              <w:t>2025</w:t>
            </w:r>
          </w:p>
        </w:tc>
        <w:tc>
          <w:tcPr>
            <w:tcW w:w="140" w:type="dxa"/>
            <w:vAlign w:val="bottom"/>
            <w:tcBorders>
              <w:top w:val="single" w:sz="8" w:color="1414D2"/>
            </w:tcBorders>
            <w:shd w:val="clear" w:color="auto" w:fill="F2F2F2"/>
          </w:tcPr>
          <w:p>
            <w:pPr>
              <w:ind w:left="4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21"/>
                <w:szCs w:val="21"/>
                <w:color w:val="auto"/>
              </w:rPr>
            </w:pPr>
          </w:p>
        </w:tc>
      </w:tr>
      <w:tr>
        <w:trPr>
          <w:trHeight w:val="216"/>
        </w:trPr>
        <w:tc>
          <w:tcPr>
            <w:tcW w:w="3260" w:type="dxa"/>
            <w:vAlign w:val="bottom"/>
            <w:shd w:val="clear" w:color="auto" w:fill="F2F2F2"/>
          </w:tcPr>
          <w:p>
            <w:pPr>
              <w:spacing w:after="0"/>
              <w:rPr>
                <w:sz w:val="18"/>
                <w:szCs w:val="18"/>
                <w:color w:val="auto"/>
              </w:rPr>
            </w:pPr>
          </w:p>
        </w:tc>
        <w:tc>
          <w:tcPr>
            <w:tcW w:w="1280" w:type="dxa"/>
            <w:vAlign w:val="bottom"/>
            <w:shd w:val="clear" w:color="auto" w:fill="F2F2F2"/>
          </w:tcPr>
          <w:p>
            <w:pPr>
              <w:spacing w:after="0"/>
              <w:rPr>
                <w:sz w:val="18"/>
                <w:szCs w:val="18"/>
                <w:color w:val="auto"/>
              </w:rPr>
            </w:pPr>
          </w:p>
        </w:tc>
        <w:tc>
          <w:tcPr>
            <w:tcW w:w="220" w:type="dxa"/>
            <w:vAlign w:val="bottom"/>
            <w:shd w:val="clear" w:color="auto" w:fill="F2F2F2"/>
          </w:tcPr>
          <w:p>
            <w:pPr>
              <w:spacing w:after="0"/>
              <w:rPr>
                <w:sz w:val="18"/>
                <w:szCs w:val="18"/>
                <w:color w:val="auto"/>
              </w:rPr>
            </w:pPr>
          </w:p>
        </w:tc>
        <w:tc>
          <w:tcPr>
            <w:tcW w:w="1420" w:type="dxa"/>
            <w:vAlign w:val="bottom"/>
            <w:shd w:val="clear" w:color="auto" w:fill="F2F2F2"/>
          </w:tcPr>
          <w:p>
            <w:pPr>
              <w:jc w:val="center"/>
              <w:spacing w:after="0"/>
              <w:rPr>
                <w:sz w:val="20"/>
                <w:szCs w:val="20"/>
                <w:color w:val="auto"/>
              </w:rPr>
            </w:pPr>
            <w:r>
              <w:rPr>
                <w:rFonts w:ascii="Arial" w:cs="Arial" w:eastAsia="Arial" w:hAnsi="Arial"/>
                <w:sz w:val="14"/>
                <w:szCs w:val="14"/>
                <w:b w:val="1"/>
                <w:bCs w:val="1"/>
                <w:color w:val="auto"/>
              </w:rPr>
              <w:t>Performance-Based</w:t>
            </w:r>
          </w:p>
        </w:tc>
        <w:tc>
          <w:tcPr>
            <w:tcW w:w="260" w:type="dxa"/>
            <w:vAlign w:val="bottom"/>
            <w:shd w:val="clear" w:color="auto" w:fill="F2F2F2"/>
          </w:tcPr>
          <w:p>
            <w:pPr>
              <w:spacing w:after="0"/>
              <w:rPr>
                <w:sz w:val="18"/>
                <w:szCs w:val="18"/>
                <w:color w:val="auto"/>
              </w:rPr>
            </w:pPr>
          </w:p>
        </w:tc>
        <w:tc>
          <w:tcPr>
            <w:tcW w:w="1480" w:type="dxa"/>
            <w:vAlign w:val="bottom"/>
            <w:shd w:val="clear" w:color="auto" w:fill="F2F2F2"/>
          </w:tcPr>
          <w:p>
            <w:pPr>
              <w:jc w:val="center"/>
              <w:spacing w:after="0"/>
              <w:rPr>
                <w:sz w:val="20"/>
                <w:szCs w:val="20"/>
                <w:color w:val="auto"/>
              </w:rPr>
            </w:pPr>
            <w:r>
              <w:rPr>
                <w:rFonts w:ascii="Arial" w:cs="Arial" w:eastAsia="Arial" w:hAnsi="Arial"/>
                <w:sz w:val="14"/>
                <w:szCs w:val="14"/>
                <w:b w:val="1"/>
                <w:bCs w:val="1"/>
                <w:color w:val="auto"/>
              </w:rPr>
              <w:t>Performance-Based</w:t>
            </w:r>
          </w:p>
        </w:tc>
        <w:tc>
          <w:tcPr>
            <w:tcW w:w="180" w:type="dxa"/>
            <w:vAlign w:val="bottom"/>
            <w:shd w:val="clear" w:color="auto" w:fill="F2F2F2"/>
          </w:tcPr>
          <w:p>
            <w:pPr>
              <w:spacing w:after="0"/>
              <w:rPr>
                <w:sz w:val="18"/>
                <w:szCs w:val="18"/>
                <w:color w:val="auto"/>
              </w:rPr>
            </w:pPr>
          </w:p>
        </w:tc>
        <w:tc>
          <w:tcPr>
            <w:tcW w:w="1480" w:type="dxa"/>
            <w:vAlign w:val="bottom"/>
            <w:shd w:val="clear" w:color="auto" w:fill="F2F2F2"/>
          </w:tcPr>
          <w:p>
            <w:pPr>
              <w:jc w:val="center"/>
              <w:spacing w:after="0"/>
              <w:rPr>
                <w:sz w:val="20"/>
                <w:szCs w:val="20"/>
                <w:color w:val="auto"/>
              </w:rPr>
            </w:pPr>
            <w:r>
              <w:rPr>
                <w:rFonts w:ascii="Arial" w:cs="Arial" w:eastAsia="Arial" w:hAnsi="Arial"/>
                <w:sz w:val="14"/>
                <w:szCs w:val="14"/>
                <w:b w:val="1"/>
                <w:bCs w:val="1"/>
                <w:color w:val="auto"/>
              </w:rPr>
              <w:t>Performance-Based</w:t>
            </w:r>
          </w:p>
        </w:tc>
        <w:tc>
          <w:tcPr>
            <w:tcW w:w="140" w:type="dxa"/>
            <w:vAlign w:val="bottom"/>
            <w:shd w:val="clear" w:color="auto" w:fill="F2F2F2"/>
          </w:tcPr>
          <w:p>
            <w:pPr>
              <w:spacing w:after="0"/>
              <w:rPr>
                <w:sz w:val="18"/>
                <w:szCs w:val="18"/>
                <w:color w:val="auto"/>
              </w:rPr>
            </w:pPr>
          </w:p>
        </w:tc>
        <w:tc>
          <w:tcPr>
            <w:tcW w:w="20" w:type="dxa"/>
            <w:vAlign w:val="bottom"/>
          </w:tcPr>
          <w:p>
            <w:pPr>
              <w:spacing w:after="0"/>
              <w:rPr>
                <w:sz w:val="18"/>
                <w:szCs w:val="18"/>
                <w:color w:val="auto"/>
              </w:rPr>
            </w:pPr>
          </w:p>
        </w:tc>
      </w:tr>
      <w:tr>
        <w:trPr>
          <w:trHeight w:val="197"/>
        </w:trPr>
        <w:tc>
          <w:tcPr>
            <w:tcW w:w="3260" w:type="dxa"/>
            <w:vAlign w:val="bottom"/>
            <w:shd w:val="clear" w:color="auto" w:fill="F2F2F2"/>
          </w:tcPr>
          <w:p>
            <w:pPr>
              <w:spacing w:after="0"/>
              <w:rPr>
                <w:sz w:val="17"/>
                <w:szCs w:val="17"/>
                <w:color w:val="auto"/>
              </w:rPr>
            </w:pPr>
          </w:p>
        </w:tc>
        <w:tc>
          <w:tcPr>
            <w:tcW w:w="1280" w:type="dxa"/>
            <w:vAlign w:val="bottom"/>
            <w:shd w:val="clear" w:color="auto" w:fill="F2F2F2"/>
          </w:tcPr>
          <w:p>
            <w:pPr>
              <w:spacing w:after="0"/>
              <w:rPr>
                <w:sz w:val="17"/>
                <w:szCs w:val="17"/>
                <w:color w:val="auto"/>
              </w:rPr>
            </w:pPr>
          </w:p>
        </w:tc>
        <w:tc>
          <w:tcPr>
            <w:tcW w:w="220" w:type="dxa"/>
            <w:vAlign w:val="bottom"/>
            <w:shd w:val="clear" w:color="auto" w:fill="F2F2F2"/>
          </w:tcPr>
          <w:p>
            <w:pPr>
              <w:spacing w:after="0"/>
              <w:rPr>
                <w:sz w:val="17"/>
                <w:szCs w:val="17"/>
                <w:color w:val="auto"/>
              </w:rPr>
            </w:pPr>
          </w:p>
        </w:tc>
        <w:tc>
          <w:tcPr>
            <w:tcW w:w="1420" w:type="dxa"/>
            <w:vAlign w:val="bottom"/>
            <w:shd w:val="clear" w:color="auto" w:fill="F2F2F2"/>
          </w:tcPr>
          <w:p>
            <w:pPr>
              <w:jc w:val="center"/>
              <w:spacing w:after="0"/>
              <w:rPr>
                <w:sz w:val="20"/>
                <w:szCs w:val="20"/>
                <w:color w:val="auto"/>
              </w:rPr>
            </w:pPr>
            <w:r>
              <w:rPr>
                <w:rFonts w:ascii="Arial" w:cs="Arial" w:eastAsia="Arial" w:hAnsi="Arial"/>
                <w:sz w:val="14"/>
                <w:szCs w:val="14"/>
                <w:b w:val="1"/>
                <w:bCs w:val="1"/>
                <w:color w:val="auto"/>
              </w:rPr>
              <w:t>RSUs Maximum</w:t>
            </w:r>
          </w:p>
        </w:tc>
        <w:tc>
          <w:tcPr>
            <w:tcW w:w="260" w:type="dxa"/>
            <w:vAlign w:val="bottom"/>
            <w:shd w:val="clear" w:color="auto" w:fill="F2F2F2"/>
          </w:tcPr>
          <w:p>
            <w:pPr>
              <w:spacing w:after="0"/>
              <w:rPr>
                <w:sz w:val="17"/>
                <w:szCs w:val="17"/>
                <w:color w:val="auto"/>
              </w:rPr>
            </w:pPr>
          </w:p>
        </w:tc>
        <w:tc>
          <w:tcPr>
            <w:tcW w:w="1480" w:type="dxa"/>
            <w:vAlign w:val="bottom"/>
            <w:shd w:val="clear" w:color="auto" w:fill="F2F2F2"/>
          </w:tcPr>
          <w:p>
            <w:pPr>
              <w:jc w:val="center"/>
              <w:spacing w:after="0"/>
              <w:rPr>
                <w:sz w:val="20"/>
                <w:szCs w:val="20"/>
                <w:color w:val="auto"/>
              </w:rPr>
            </w:pPr>
            <w:r>
              <w:rPr>
                <w:rFonts w:ascii="Arial" w:cs="Arial" w:eastAsia="Arial" w:hAnsi="Arial"/>
                <w:sz w:val="14"/>
                <w:szCs w:val="14"/>
                <w:b w:val="1"/>
                <w:bCs w:val="1"/>
                <w:color w:val="auto"/>
              </w:rPr>
              <w:t>RSUs Maximum</w:t>
            </w:r>
          </w:p>
        </w:tc>
        <w:tc>
          <w:tcPr>
            <w:tcW w:w="180" w:type="dxa"/>
            <w:vAlign w:val="bottom"/>
            <w:shd w:val="clear" w:color="auto" w:fill="F2F2F2"/>
          </w:tcPr>
          <w:p>
            <w:pPr>
              <w:spacing w:after="0"/>
              <w:rPr>
                <w:sz w:val="17"/>
                <w:szCs w:val="17"/>
                <w:color w:val="auto"/>
              </w:rPr>
            </w:pPr>
          </w:p>
        </w:tc>
        <w:tc>
          <w:tcPr>
            <w:tcW w:w="1480" w:type="dxa"/>
            <w:vAlign w:val="bottom"/>
            <w:shd w:val="clear" w:color="auto" w:fill="F2F2F2"/>
          </w:tcPr>
          <w:p>
            <w:pPr>
              <w:jc w:val="center"/>
              <w:spacing w:after="0"/>
              <w:rPr>
                <w:sz w:val="20"/>
                <w:szCs w:val="20"/>
                <w:color w:val="auto"/>
              </w:rPr>
            </w:pPr>
            <w:r>
              <w:rPr>
                <w:rFonts w:ascii="Arial" w:cs="Arial" w:eastAsia="Arial" w:hAnsi="Arial"/>
                <w:sz w:val="14"/>
                <w:szCs w:val="14"/>
                <w:b w:val="1"/>
                <w:bCs w:val="1"/>
                <w:color w:val="auto"/>
              </w:rPr>
              <w:t>RSUs Maximum</w:t>
            </w:r>
          </w:p>
        </w:tc>
        <w:tc>
          <w:tcPr>
            <w:tcW w:w="140" w:type="dxa"/>
            <w:vAlign w:val="bottom"/>
            <w:shd w:val="clear" w:color="auto" w:fill="F2F2F2"/>
          </w:tcPr>
          <w:p>
            <w:pPr>
              <w:spacing w:after="0"/>
              <w:rPr>
                <w:sz w:val="17"/>
                <w:szCs w:val="17"/>
                <w:color w:val="auto"/>
              </w:rPr>
            </w:pPr>
          </w:p>
        </w:tc>
        <w:tc>
          <w:tcPr>
            <w:tcW w:w="20" w:type="dxa"/>
            <w:vAlign w:val="bottom"/>
          </w:tcPr>
          <w:p>
            <w:pPr>
              <w:spacing w:after="0"/>
              <w:rPr>
                <w:sz w:val="17"/>
                <w:szCs w:val="17"/>
                <w:color w:val="auto"/>
              </w:rPr>
            </w:pPr>
          </w:p>
        </w:tc>
      </w:tr>
      <w:tr>
        <w:trPr>
          <w:trHeight w:val="242"/>
        </w:trPr>
        <w:tc>
          <w:tcPr>
            <w:tcW w:w="3260" w:type="dxa"/>
            <w:vAlign w:val="bottom"/>
            <w:tcBorders>
              <w:bottom w:val="single" w:sz="8" w:color="F2F2F2"/>
            </w:tcBorders>
            <w:shd w:val="clear" w:color="auto" w:fill="F2F2F2"/>
          </w:tcPr>
          <w:p>
            <w:pPr>
              <w:ind w:left="120"/>
              <w:spacing w:after="0"/>
              <w:rPr>
                <w:sz w:val="20"/>
                <w:szCs w:val="20"/>
                <w:color w:val="auto"/>
              </w:rPr>
            </w:pPr>
            <w:r>
              <w:rPr>
                <w:rFonts w:ascii="Arial" w:cs="Arial" w:eastAsia="Arial" w:hAnsi="Arial"/>
                <w:sz w:val="14"/>
                <w:szCs w:val="14"/>
                <w:b w:val="1"/>
                <w:bCs w:val="1"/>
                <w:color w:val="auto"/>
              </w:rPr>
              <w:t>Name</w:t>
            </w:r>
          </w:p>
        </w:tc>
        <w:tc>
          <w:tcPr>
            <w:tcW w:w="1280" w:type="dxa"/>
            <w:vAlign w:val="bottom"/>
            <w:tcBorders>
              <w:bottom w:val="single" w:sz="8" w:color="F2F2F2"/>
            </w:tcBorders>
            <w:shd w:val="clear" w:color="auto" w:fill="F2F2F2"/>
          </w:tcPr>
          <w:p>
            <w:pPr>
              <w:jc w:val="center"/>
              <w:ind w:left="139"/>
              <w:spacing w:after="0"/>
              <w:rPr>
                <w:sz w:val="20"/>
                <w:szCs w:val="20"/>
                <w:color w:val="auto"/>
              </w:rPr>
            </w:pPr>
            <w:r>
              <w:rPr>
                <w:rFonts w:ascii="Arial" w:cs="Arial" w:eastAsia="Arial" w:hAnsi="Arial"/>
                <w:sz w:val="14"/>
                <w:szCs w:val="14"/>
                <w:b w:val="1"/>
                <w:bCs w:val="1"/>
                <w:color w:val="auto"/>
              </w:rPr>
              <w:t>Grant Date</w:t>
            </w:r>
          </w:p>
        </w:tc>
        <w:tc>
          <w:tcPr>
            <w:tcW w:w="220" w:type="dxa"/>
            <w:vAlign w:val="bottom"/>
            <w:tcBorders>
              <w:bottom w:val="single" w:sz="8" w:color="F2F2F2"/>
            </w:tcBorders>
            <w:shd w:val="clear" w:color="auto" w:fill="F2F2F2"/>
          </w:tcPr>
          <w:p>
            <w:pPr>
              <w:spacing w:after="0"/>
              <w:rPr>
                <w:sz w:val="21"/>
                <w:szCs w:val="21"/>
                <w:color w:val="auto"/>
              </w:rPr>
            </w:pPr>
          </w:p>
        </w:tc>
        <w:tc>
          <w:tcPr>
            <w:tcW w:w="142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b w:val="1"/>
                <w:bCs w:val="1"/>
                <w:color w:val="auto"/>
              </w:rPr>
              <w:t>Value ($)</w:t>
            </w:r>
          </w:p>
        </w:tc>
        <w:tc>
          <w:tcPr>
            <w:tcW w:w="260" w:type="dxa"/>
            <w:vAlign w:val="bottom"/>
            <w:tcBorders>
              <w:bottom w:val="single" w:sz="8" w:color="F2F2F2"/>
            </w:tcBorders>
            <w:shd w:val="clear" w:color="auto" w:fill="F2F2F2"/>
          </w:tcPr>
          <w:p>
            <w:pPr>
              <w:spacing w:after="0"/>
              <w:rPr>
                <w:sz w:val="21"/>
                <w:szCs w:val="21"/>
                <w:color w:val="auto"/>
              </w:rPr>
            </w:pPr>
          </w:p>
        </w:tc>
        <w:tc>
          <w:tcPr>
            <w:tcW w:w="14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b w:val="1"/>
                <w:bCs w:val="1"/>
                <w:color w:val="auto"/>
              </w:rPr>
              <w:t>Value ($)</w:t>
            </w:r>
          </w:p>
        </w:tc>
        <w:tc>
          <w:tcPr>
            <w:tcW w:w="180" w:type="dxa"/>
            <w:vAlign w:val="bottom"/>
            <w:tcBorders>
              <w:bottom w:val="single" w:sz="8" w:color="F2F2F2"/>
            </w:tcBorders>
            <w:shd w:val="clear" w:color="auto" w:fill="F2F2F2"/>
          </w:tcPr>
          <w:p>
            <w:pPr>
              <w:spacing w:after="0"/>
              <w:rPr>
                <w:sz w:val="21"/>
                <w:szCs w:val="21"/>
                <w:color w:val="auto"/>
              </w:rPr>
            </w:pPr>
          </w:p>
        </w:tc>
        <w:tc>
          <w:tcPr>
            <w:tcW w:w="14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b w:val="1"/>
                <w:bCs w:val="1"/>
                <w:color w:val="auto"/>
              </w:rPr>
              <w:t>Value ($)</w:t>
            </w:r>
          </w:p>
        </w:tc>
        <w:tc>
          <w:tcPr>
            <w:tcW w:w="140" w:type="dxa"/>
            <w:vAlign w:val="bottom"/>
            <w:tcBorders>
              <w:bottom w:val="single" w:sz="8" w:color="F2F2F2"/>
            </w:tcBorders>
            <w:shd w:val="clear" w:color="auto" w:fill="F2F2F2"/>
          </w:tcPr>
          <w:p>
            <w:pPr>
              <w:spacing w:after="0"/>
              <w:rPr>
                <w:sz w:val="21"/>
                <w:szCs w:val="21"/>
                <w:color w:val="auto"/>
              </w:rPr>
            </w:pPr>
          </w:p>
        </w:tc>
        <w:tc>
          <w:tcPr>
            <w:tcW w:w="20" w:type="dxa"/>
            <w:vAlign w:val="bottom"/>
          </w:tcPr>
          <w:p>
            <w:pPr>
              <w:spacing w:after="0"/>
              <w:rPr>
                <w:sz w:val="21"/>
                <w:szCs w:val="21"/>
                <w:color w:val="auto"/>
              </w:rPr>
            </w:pPr>
          </w:p>
        </w:tc>
      </w:tr>
      <w:tr>
        <w:trPr>
          <w:trHeight w:val="189"/>
        </w:trPr>
        <w:tc>
          <w:tcPr>
            <w:tcW w:w="3260" w:type="dxa"/>
            <w:vAlign w:val="bottom"/>
            <w:tcBorders>
              <w:bottom w:val="single" w:sz="8" w:color="808080"/>
            </w:tcBorders>
          </w:tcPr>
          <w:p>
            <w:pPr>
              <w:ind w:left="120"/>
              <w:spacing w:after="0"/>
              <w:rPr>
                <w:sz w:val="20"/>
                <w:szCs w:val="20"/>
                <w:color w:val="auto"/>
              </w:rPr>
            </w:pPr>
            <w:r>
              <w:rPr>
                <w:rFonts w:ascii="Arial" w:cs="Arial" w:eastAsia="Arial" w:hAnsi="Arial"/>
                <w:sz w:val="16"/>
                <w:szCs w:val="16"/>
                <w:color w:val="auto"/>
              </w:rPr>
              <w:t>Scott  Kirby</w:t>
            </w:r>
          </w:p>
        </w:tc>
        <w:tc>
          <w:tcPr>
            <w:tcW w:w="1280" w:type="dxa"/>
            <w:vAlign w:val="bottom"/>
            <w:tcBorders>
              <w:bottom w:val="single" w:sz="8" w:color="808080"/>
            </w:tcBorders>
          </w:tcPr>
          <w:p>
            <w:pPr>
              <w:jc w:val="center"/>
              <w:ind w:left="139"/>
              <w:spacing w:after="0"/>
              <w:rPr>
                <w:sz w:val="20"/>
                <w:szCs w:val="20"/>
                <w:color w:val="auto"/>
              </w:rPr>
            </w:pPr>
            <w:r>
              <w:rPr>
                <w:rFonts w:ascii="Arial" w:cs="Arial" w:eastAsia="Arial" w:hAnsi="Arial"/>
                <w:sz w:val="16"/>
                <w:szCs w:val="16"/>
                <w:color w:val="auto"/>
              </w:rPr>
              <w:t>2/28/25</w:t>
            </w:r>
          </w:p>
        </w:tc>
        <w:tc>
          <w:tcPr>
            <w:tcW w:w="220" w:type="dxa"/>
            <w:vAlign w:val="bottom"/>
            <w:tcBorders>
              <w:bottom w:val="single" w:sz="8" w:color="808080"/>
            </w:tcBorders>
          </w:tcPr>
          <w:p>
            <w:pPr>
              <w:spacing w:after="0"/>
              <w:rPr>
                <w:sz w:val="16"/>
                <w:szCs w:val="16"/>
                <w:color w:val="auto"/>
              </w:rPr>
            </w:pPr>
          </w:p>
        </w:tc>
        <w:tc>
          <w:tcPr>
            <w:tcW w:w="1420" w:type="dxa"/>
            <w:vAlign w:val="bottom"/>
            <w:tcBorders>
              <w:bottom w:val="single" w:sz="8" w:color="808080"/>
            </w:tcBorders>
          </w:tcPr>
          <w:p>
            <w:pPr>
              <w:jc w:val="right"/>
              <w:spacing w:after="0"/>
              <w:rPr>
                <w:sz w:val="20"/>
                <w:szCs w:val="20"/>
                <w:color w:val="auto"/>
              </w:rPr>
            </w:pPr>
            <w:r>
              <w:rPr>
                <w:rFonts w:ascii="Arial" w:cs="Arial" w:eastAsia="Arial" w:hAnsi="Arial"/>
                <w:sz w:val="16"/>
                <w:szCs w:val="16"/>
                <w:color w:val="auto"/>
              </w:rPr>
              <w:t>9,298,635</w:t>
            </w:r>
          </w:p>
        </w:tc>
        <w:tc>
          <w:tcPr>
            <w:tcW w:w="260" w:type="dxa"/>
            <w:vAlign w:val="bottom"/>
            <w:tcBorders>
              <w:bottom w:val="single" w:sz="8" w:color="808080"/>
            </w:tcBorders>
          </w:tcPr>
          <w:p>
            <w:pPr>
              <w:spacing w:after="0"/>
              <w:rPr>
                <w:sz w:val="16"/>
                <w:szCs w:val="16"/>
                <w:color w:val="auto"/>
              </w:rPr>
            </w:pPr>
          </w:p>
        </w:tc>
        <w:tc>
          <w:tcPr>
            <w:tcW w:w="1480" w:type="dxa"/>
            <w:vAlign w:val="bottom"/>
            <w:tcBorders>
              <w:bottom w:val="single" w:sz="8" w:color="808080"/>
            </w:tcBorders>
          </w:tcPr>
          <w:p>
            <w:pPr>
              <w:jc w:val="right"/>
              <w:ind w:right="43"/>
              <w:spacing w:after="0"/>
              <w:rPr>
                <w:sz w:val="20"/>
                <w:szCs w:val="20"/>
                <w:color w:val="auto"/>
              </w:rPr>
            </w:pPr>
            <w:r>
              <w:rPr>
                <w:rFonts w:ascii="Arial" w:cs="Arial" w:eastAsia="Arial" w:hAnsi="Arial"/>
                <w:sz w:val="16"/>
                <w:szCs w:val="16"/>
                <w:color w:val="auto"/>
              </w:rPr>
              <w:t>20,749,824</w:t>
            </w:r>
          </w:p>
        </w:tc>
        <w:tc>
          <w:tcPr>
            <w:tcW w:w="180" w:type="dxa"/>
            <w:vAlign w:val="bottom"/>
            <w:tcBorders>
              <w:bottom w:val="single" w:sz="8" w:color="808080"/>
            </w:tcBorders>
          </w:tcPr>
          <w:p>
            <w:pPr>
              <w:spacing w:after="0"/>
              <w:rPr>
                <w:sz w:val="16"/>
                <w:szCs w:val="16"/>
                <w:color w:val="auto"/>
              </w:rPr>
            </w:pPr>
          </w:p>
        </w:tc>
        <w:tc>
          <w:tcPr>
            <w:tcW w:w="1480" w:type="dxa"/>
            <w:vAlign w:val="bottom"/>
            <w:tcBorders>
              <w:bottom w:val="single" w:sz="8" w:color="808080"/>
            </w:tcBorders>
          </w:tcPr>
          <w:p>
            <w:pPr>
              <w:jc w:val="right"/>
              <w:ind w:right="43"/>
              <w:spacing w:after="0"/>
              <w:rPr>
                <w:sz w:val="20"/>
                <w:szCs w:val="20"/>
                <w:color w:val="auto"/>
              </w:rPr>
            </w:pPr>
            <w:r>
              <w:rPr>
                <w:rFonts w:ascii="Arial" w:cs="Arial" w:eastAsia="Arial" w:hAnsi="Arial"/>
                <w:sz w:val="16"/>
                <w:szCs w:val="16"/>
                <w:color w:val="auto"/>
              </w:rPr>
              <w:t>5,499,893</w:t>
            </w:r>
          </w:p>
        </w:tc>
        <w:tc>
          <w:tcPr>
            <w:tcW w:w="140" w:type="dxa"/>
            <w:vAlign w:val="bottom"/>
            <w:tcBorders>
              <w:bottom w:val="single" w:sz="8" w:color="808080"/>
            </w:tcBorders>
          </w:tcPr>
          <w:p>
            <w:pPr>
              <w:spacing w:after="0"/>
              <w:rPr>
                <w:sz w:val="16"/>
                <w:szCs w:val="16"/>
                <w:color w:val="auto"/>
              </w:rPr>
            </w:pPr>
          </w:p>
        </w:tc>
        <w:tc>
          <w:tcPr>
            <w:tcW w:w="20" w:type="dxa"/>
            <w:vAlign w:val="bottom"/>
          </w:tcPr>
          <w:p>
            <w:pPr>
              <w:spacing w:after="0"/>
              <w:rPr>
                <w:sz w:val="16"/>
                <w:szCs w:val="16"/>
                <w:color w:val="auto"/>
              </w:rPr>
            </w:pPr>
          </w:p>
        </w:tc>
      </w:tr>
      <w:tr>
        <w:trPr>
          <w:trHeight w:val="158"/>
        </w:trPr>
        <w:tc>
          <w:tcPr>
            <w:tcW w:w="3260" w:type="dxa"/>
            <w:vAlign w:val="bottom"/>
          </w:tcPr>
          <w:p>
            <w:pPr>
              <w:ind w:left="120"/>
              <w:spacing w:after="0" w:line="158" w:lineRule="exact"/>
              <w:rPr>
                <w:sz w:val="20"/>
                <w:szCs w:val="20"/>
                <w:color w:val="auto"/>
              </w:rPr>
            </w:pPr>
            <w:r>
              <w:rPr>
                <w:rFonts w:ascii="Arial" w:cs="Arial" w:eastAsia="Arial" w:hAnsi="Arial"/>
                <w:sz w:val="16"/>
                <w:szCs w:val="16"/>
                <w:color w:val="auto"/>
              </w:rPr>
              <w:t>Michael  Leskinen</w:t>
            </w:r>
          </w:p>
        </w:tc>
        <w:tc>
          <w:tcPr>
            <w:tcW w:w="1280" w:type="dxa"/>
            <w:vAlign w:val="bottom"/>
          </w:tcPr>
          <w:p>
            <w:pPr>
              <w:jc w:val="center"/>
              <w:ind w:left="139"/>
              <w:spacing w:after="0" w:line="158" w:lineRule="exact"/>
              <w:rPr>
                <w:sz w:val="20"/>
                <w:szCs w:val="20"/>
                <w:color w:val="auto"/>
              </w:rPr>
            </w:pPr>
            <w:r>
              <w:rPr>
                <w:rFonts w:ascii="Arial" w:cs="Arial" w:eastAsia="Arial" w:hAnsi="Arial"/>
                <w:sz w:val="16"/>
                <w:szCs w:val="16"/>
                <w:color w:val="auto"/>
              </w:rPr>
              <w:t>2/28/25</w:t>
            </w:r>
          </w:p>
        </w:tc>
        <w:tc>
          <w:tcPr>
            <w:tcW w:w="220" w:type="dxa"/>
            <w:vAlign w:val="bottom"/>
          </w:tcPr>
          <w:p>
            <w:pPr>
              <w:spacing w:after="0"/>
              <w:rPr>
                <w:sz w:val="13"/>
                <w:szCs w:val="13"/>
                <w:color w:val="auto"/>
              </w:rPr>
            </w:pPr>
          </w:p>
        </w:tc>
        <w:tc>
          <w:tcPr>
            <w:tcW w:w="1420" w:type="dxa"/>
            <w:vAlign w:val="bottom"/>
          </w:tcPr>
          <w:p>
            <w:pPr>
              <w:jc w:val="right"/>
              <w:spacing w:after="0" w:line="158" w:lineRule="exact"/>
              <w:rPr>
                <w:sz w:val="20"/>
                <w:szCs w:val="20"/>
                <w:color w:val="auto"/>
              </w:rPr>
            </w:pPr>
            <w:r>
              <w:rPr>
                <w:rFonts w:ascii="Arial" w:cs="Arial" w:eastAsia="Arial" w:hAnsi="Arial"/>
                <w:sz w:val="16"/>
                <w:szCs w:val="16"/>
                <w:color w:val="auto"/>
              </w:rPr>
              <w:t>157,226</w:t>
            </w:r>
          </w:p>
        </w:tc>
        <w:tc>
          <w:tcPr>
            <w:tcW w:w="260" w:type="dxa"/>
            <w:vAlign w:val="bottom"/>
          </w:tcPr>
          <w:p>
            <w:pPr>
              <w:spacing w:after="0"/>
              <w:rPr>
                <w:sz w:val="13"/>
                <w:szCs w:val="13"/>
                <w:color w:val="auto"/>
              </w:rPr>
            </w:pPr>
          </w:p>
        </w:tc>
        <w:tc>
          <w:tcPr>
            <w:tcW w:w="1480" w:type="dxa"/>
            <w:vAlign w:val="bottom"/>
          </w:tcPr>
          <w:p>
            <w:pPr>
              <w:jc w:val="right"/>
              <w:ind w:right="43"/>
              <w:spacing w:after="0" w:line="158" w:lineRule="exact"/>
              <w:rPr>
                <w:sz w:val="20"/>
                <w:szCs w:val="20"/>
                <w:color w:val="auto"/>
              </w:rPr>
            </w:pPr>
            <w:r>
              <w:rPr>
                <w:rFonts w:ascii="Arial" w:cs="Arial" w:eastAsia="Arial" w:hAnsi="Arial"/>
                <w:sz w:val="16"/>
                <w:szCs w:val="16"/>
                <w:color w:val="auto"/>
              </w:rPr>
              <w:t>4,341,622</w:t>
            </w:r>
          </w:p>
        </w:tc>
        <w:tc>
          <w:tcPr>
            <w:tcW w:w="180" w:type="dxa"/>
            <w:vAlign w:val="bottom"/>
          </w:tcPr>
          <w:p>
            <w:pPr>
              <w:spacing w:after="0"/>
              <w:rPr>
                <w:sz w:val="13"/>
                <w:szCs w:val="13"/>
                <w:color w:val="auto"/>
              </w:rPr>
            </w:pPr>
          </w:p>
        </w:tc>
        <w:tc>
          <w:tcPr>
            <w:tcW w:w="1480" w:type="dxa"/>
            <w:vAlign w:val="bottom"/>
          </w:tcPr>
          <w:p>
            <w:pPr>
              <w:jc w:val="right"/>
              <w:ind w:right="43"/>
              <w:spacing w:after="0" w:line="158" w:lineRule="exact"/>
              <w:rPr>
                <w:sz w:val="20"/>
                <w:szCs w:val="20"/>
                <w:color w:val="auto"/>
              </w:rPr>
            </w:pPr>
            <w:r>
              <w:rPr>
                <w:rFonts w:ascii="Arial" w:cs="Arial" w:eastAsia="Arial" w:hAnsi="Arial"/>
                <w:sz w:val="16"/>
                <w:szCs w:val="16"/>
                <w:color w:val="auto"/>
              </w:rPr>
              <w:t>1,199,830</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4"/>
        </w:trPr>
        <w:tc>
          <w:tcPr>
            <w:tcW w:w="3260" w:type="dxa"/>
            <w:vAlign w:val="bottom"/>
            <w:tcBorders>
              <w:bottom w:val="single" w:sz="8" w:color="808080"/>
            </w:tcBorders>
          </w:tcPr>
          <w:p>
            <w:pPr>
              <w:spacing w:after="0"/>
              <w:rPr>
                <w:sz w:val="18"/>
                <w:szCs w:val="18"/>
                <w:color w:val="auto"/>
              </w:rPr>
            </w:pPr>
          </w:p>
        </w:tc>
        <w:tc>
          <w:tcPr>
            <w:tcW w:w="1280" w:type="dxa"/>
            <w:vAlign w:val="bottom"/>
            <w:tcBorders>
              <w:bottom w:val="single" w:sz="8" w:color="808080"/>
            </w:tcBorders>
          </w:tcPr>
          <w:p>
            <w:pPr>
              <w:jc w:val="center"/>
              <w:ind w:left="139"/>
              <w:spacing w:after="0"/>
              <w:rPr>
                <w:sz w:val="20"/>
                <w:szCs w:val="20"/>
                <w:color w:val="auto"/>
              </w:rPr>
            </w:pPr>
            <w:r>
              <w:rPr>
                <w:rFonts w:ascii="Arial" w:cs="Arial" w:eastAsia="Arial" w:hAnsi="Arial"/>
                <w:sz w:val="16"/>
                <w:szCs w:val="16"/>
                <w:color w:val="auto"/>
              </w:rPr>
              <w:t>2/28/25</w:t>
            </w:r>
          </w:p>
        </w:tc>
        <w:tc>
          <w:tcPr>
            <w:tcW w:w="220" w:type="dxa"/>
            <w:vAlign w:val="bottom"/>
            <w:tcBorders>
              <w:bottom w:val="single" w:sz="8" w:color="808080"/>
            </w:tcBorders>
          </w:tcPr>
          <w:p>
            <w:pPr>
              <w:spacing w:after="0"/>
              <w:rPr>
                <w:sz w:val="18"/>
                <w:szCs w:val="18"/>
                <w:color w:val="auto"/>
              </w:rPr>
            </w:pPr>
          </w:p>
        </w:tc>
        <w:tc>
          <w:tcPr>
            <w:tcW w:w="1420" w:type="dxa"/>
            <w:vAlign w:val="bottom"/>
            <w:tcBorders>
              <w:bottom w:val="single" w:sz="8" w:color="808080"/>
            </w:tcBorders>
          </w:tcPr>
          <w:p>
            <w:pPr>
              <w:jc w:val="right"/>
              <w:spacing w:after="0"/>
              <w:rPr>
                <w:sz w:val="20"/>
                <w:szCs w:val="20"/>
                <w:color w:val="auto"/>
              </w:rPr>
            </w:pPr>
            <w:r>
              <w:rPr>
                <w:rFonts w:ascii="Arial" w:cs="Arial" w:eastAsia="Arial" w:hAnsi="Arial"/>
                <w:sz w:val="16"/>
                <w:szCs w:val="16"/>
                <w:color w:val="auto"/>
              </w:rPr>
              <w:t>1,748,056</w:t>
            </w:r>
          </w:p>
        </w:tc>
        <w:tc>
          <w:tcPr>
            <w:tcW w:w="260" w:type="dxa"/>
            <w:vAlign w:val="bottom"/>
            <w:tcBorders>
              <w:bottom w:val="single" w:sz="8" w:color="808080"/>
            </w:tcBorders>
          </w:tcPr>
          <w:p>
            <w:pPr>
              <w:ind w:left="20"/>
              <w:spacing w:after="0"/>
              <w:rPr>
                <w:sz w:val="20"/>
                <w:szCs w:val="20"/>
                <w:color w:val="auto"/>
              </w:rPr>
            </w:pPr>
            <w:r>
              <w:rPr>
                <w:rFonts w:ascii="Arial" w:cs="Arial" w:eastAsia="Arial" w:hAnsi="Arial"/>
                <w:sz w:val="16"/>
                <w:szCs w:val="16"/>
                <w:color w:val="auto"/>
              </w:rPr>
              <w:t>(a)</w:t>
            </w:r>
          </w:p>
        </w:tc>
        <w:tc>
          <w:tcPr>
            <w:tcW w:w="1480" w:type="dxa"/>
            <w:vAlign w:val="bottom"/>
            <w:tcBorders>
              <w:bottom w:val="single" w:sz="8" w:color="808080"/>
            </w:tcBorders>
          </w:tcPr>
          <w:p>
            <w:pPr>
              <w:jc w:val="right"/>
              <w:ind w:right="43"/>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808080"/>
            </w:tcBorders>
          </w:tcPr>
          <w:p>
            <w:pPr>
              <w:spacing w:after="0"/>
              <w:rPr>
                <w:sz w:val="18"/>
                <w:szCs w:val="18"/>
                <w:color w:val="auto"/>
              </w:rPr>
            </w:pPr>
          </w:p>
        </w:tc>
        <w:tc>
          <w:tcPr>
            <w:tcW w:w="1480" w:type="dxa"/>
            <w:vAlign w:val="bottom"/>
            <w:tcBorders>
              <w:bottom w:val="single" w:sz="8" w:color="808080"/>
            </w:tcBorders>
          </w:tcPr>
          <w:p>
            <w:pPr>
              <w:jc w:val="right"/>
              <w:ind w:right="43"/>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808080"/>
            </w:tcBorders>
          </w:tcPr>
          <w:p>
            <w:pPr>
              <w:spacing w:after="0"/>
              <w:rPr>
                <w:sz w:val="18"/>
                <w:szCs w:val="18"/>
                <w:color w:val="auto"/>
              </w:rPr>
            </w:pPr>
          </w:p>
        </w:tc>
        <w:tc>
          <w:tcPr>
            <w:tcW w:w="20" w:type="dxa"/>
            <w:vAlign w:val="bottom"/>
          </w:tcPr>
          <w:p>
            <w:pPr>
              <w:spacing w:after="0"/>
              <w:rPr>
                <w:sz w:val="18"/>
                <w:szCs w:val="18"/>
                <w:color w:val="auto"/>
              </w:rPr>
            </w:pPr>
          </w:p>
        </w:tc>
      </w:tr>
      <w:tr>
        <w:trPr>
          <w:trHeight w:val="183"/>
        </w:trPr>
        <w:tc>
          <w:tcPr>
            <w:tcW w:w="3260" w:type="dxa"/>
            <w:vAlign w:val="bottom"/>
            <w:tcBorders>
              <w:bottom w:val="single" w:sz="8" w:color="808080"/>
            </w:tcBorders>
          </w:tcPr>
          <w:p>
            <w:pPr>
              <w:ind w:left="120"/>
              <w:spacing w:after="0" w:line="183" w:lineRule="exact"/>
              <w:rPr>
                <w:sz w:val="20"/>
                <w:szCs w:val="20"/>
                <w:color w:val="auto"/>
              </w:rPr>
            </w:pPr>
            <w:r>
              <w:rPr>
                <w:rFonts w:ascii="Arial" w:cs="Arial" w:eastAsia="Arial" w:hAnsi="Arial"/>
                <w:sz w:val="16"/>
                <w:szCs w:val="16"/>
                <w:color w:val="auto"/>
              </w:rPr>
              <w:t>Brett  Hart</w:t>
            </w:r>
          </w:p>
        </w:tc>
        <w:tc>
          <w:tcPr>
            <w:tcW w:w="1280" w:type="dxa"/>
            <w:vAlign w:val="bottom"/>
            <w:tcBorders>
              <w:bottom w:val="single" w:sz="8" w:color="808080"/>
            </w:tcBorders>
          </w:tcPr>
          <w:p>
            <w:pPr>
              <w:jc w:val="center"/>
              <w:ind w:left="139"/>
              <w:spacing w:after="0" w:line="183" w:lineRule="exact"/>
              <w:rPr>
                <w:sz w:val="20"/>
                <w:szCs w:val="20"/>
                <w:color w:val="auto"/>
              </w:rPr>
            </w:pPr>
            <w:r>
              <w:rPr>
                <w:rFonts w:ascii="Arial" w:cs="Arial" w:eastAsia="Arial" w:hAnsi="Arial"/>
                <w:sz w:val="16"/>
                <w:szCs w:val="16"/>
                <w:color w:val="auto"/>
              </w:rPr>
              <w:t>2/28/25</w:t>
            </w:r>
          </w:p>
        </w:tc>
        <w:tc>
          <w:tcPr>
            <w:tcW w:w="220" w:type="dxa"/>
            <w:vAlign w:val="bottom"/>
            <w:tcBorders>
              <w:bottom w:val="single" w:sz="8" w:color="808080"/>
            </w:tcBorders>
          </w:tcPr>
          <w:p>
            <w:pPr>
              <w:spacing w:after="0"/>
              <w:rPr>
                <w:sz w:val="15"/>
                <w:szCs w:val="15"/>
                <w:color w:val="auto"/>
              </w:rPr>
            </w:pPr>
          </w:p>
        </w:tc>
        <w:tc>
          <w:tcPr>
            <w:tcW w:w="1420" w:type="dxa"/>
            <w:vAlign w:val="bottom"/>
            <w:tcBorders>
              <w:bottom w:val="single" w:sz="8" w:color="808080"/>
            </w:tcBorders>
          </w:tcPr>
          <w:p>
            <w:pPr>
              <w:jc w:val="right"/>
              <w:spacing w:after="0" w:line="183" w:lineRule="exact"/>
              <w:rPr>
                <w:sz w:val="20"/>
                <w:szCs w:val="20"/>
                <w:color w:val="auto"/>
              </w:rPr>
            </w:pPr>
            <w:r>
              <w:rPr>
                <w:rFonts w:ascii="Arial" w:cs="Arial" w:eastAsia="Arial" w:hAnsi="Arial"/>
                <w:sz w:val="16"/>
                <w:szCs w:val="16"/>
                <w:color w:val="auto"/>
              </w:rPr>
              <w:t>5,623,347</w:t>
            </w:r>
          </w:p>
        </w:tc>
        <w:tc>
          <w:tcPr>
            <w:tcW w:w="260" w:type="dxa"/>
            <w:vAlign w:val="bottom"/>
            <w:tcBorders>
              <w:bottom w:val="single" w:sz="8" w:color="808080"/>
            </w:tcBorders>
          </w:tcPr>
          <w:p>
            <w:pPr>
              <w:spacing w:after="0"/>
              <w:rPr>
                <w:sz w:val="15"/>
                <w:szCs w:val="15"/>
                <w:color w:val="auto"/>
              </w:rPr>
            </w:pPr>
          </w:p>
        </w:tc>
        <w:tc>
          <w:tcPr>
            <w:tcW w:w="1480" w:type="dxa"/>
            <w:vAlign w:val="bottom"/>
            <w:tcBorders>
              <w:bottom w:val="single" w:sz="8" w:color="808080"/>
            </w:tcBorders>
          </w:tcPr>
          <w:p>
            <w:pPr>
              <w:jc w:val="right"/>
              <w:ind w:right="43"/>
              <w:spacing w:after="0" w:line="183" w:lineRule="exact"/>
              <w:rPr>
                <w:sz w:val="20"/>
                <w:szCs w:val="20"/>
                <w:color w:val="auto"/>
              </w:rPr>
            </w:pPr>
            <w:r>
              <w:rPr>
                <w:rFonts w:ascii="Arial" w:cs="Arial" w:eastAsia="Arial" w:hAnsi="Arial"/>
                <w:sz w:val="16"/>
                <w:szCs w:val="16"/>
                <w:color w:val="auto"/>
              </w:rPr>
              <w:t>12,780,677</w:t>
            </w:r>
          </w:p>
        </w:tc>
        <w:tc>
          <w:tcPr>
            <w:tcW w:w="180" w:type="dxa"/>
            <w:vAlign w:val="bottom"/>
            <w:tcBorders>
              <w:bottom w:val="single" w:sz="8" w:color="808080"/>
            </w:tcBorders>
          </w:tcPr>
          <w:p>
            <w:pPr>
              <w:spacing w:after="0"/>
              <w:rPr>
                <w:sz w:val="15"/>
                <w:szCs w:val="15"/>
                <w:color w:val="auto"/>
              </w:rPr>
            </w:pPr>
          </w:p>
        </w:tc>
        <w:tc>
          <w:tcPr>
            <w:tcW w:w="1480" w:type="dxa"/>
            <w:vAlign w:val="bottom"/>
            <w:tcBorders>
              <w:bottom w:val="single" w:sz="8" w:color="808080"/>
            </w:tcBorders>
          </w:tcPr>
          <w:p>
            <w:pPr>
              <w:jc w:val="right"/>
              <w:ind w:right="43"/>
              <w:spacing w:after="0" w:line="183" w:lineRule="exact"/>
              <w:rPr>
                <w:sz w:val="20"/>
                <w:szCs w:val="20"/>
                <w:color w:val="auto"/>
              </w:rPr>
            </w:pPr>
            <w:r>
              <w:rPr>
                <w:rFonts w:ascii="Arial" w:cs="Arial" w:eastAsia="Arial" w:hAnsi="Arial"/>
                <w:sz w:val="16"/>
                <w:szCs w:val="16"/>
                <w:color w:val="auto"/>
              </w:rPr>
              <w:t>3,416,560</w:t>
            </w:r>
          </w:p>
        </w:tc>
        <w:tc>
          <w:tcPr>
            <w:tcW w:w="140" w:type="dxa"/>
            <w:vAlign w:val="bottom"/>
            <w:tcBorders>
              <w:bottom w:val="single" w:sz="8" w:color="808080"/>
            </w:tcBorders>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3260" w:type="dxa"/>
            <w:vAlign w:val="bottom"/>
            <w:tcBorders>
              <w:bottom w:val="single" w:sz="8" w:color="808080"/>
            </w:tcBorders>
          </w:tcPr>
          <w:p>
            <w:pPr>
              <w:ind w:left="120"/>
              <w:spacing w:after="0" w:line="183" w:lineRule="exact"/>
              <w:rPr>
                <w:sz w:val="20"/>
                <w:szCs w:val="20"/>
                <w:color w:val="auto"/>
              </w:rPr>
            </w:pPr>
            <w:r>
              <w:rPr>
                <w:rFonts w:ascii="Arial" w:cs="Arial" w:eastAsia="Arial" w:hAnsi="Arial"/>
                <w:sz w:val="16"/>
                <w:szCs w:val="16"/>
                <w:color w:val="auto"/>
              </w:rPr>
              <w:t>Torbjorn  Enqvist</w:t>
            </w:r>
          </w:p>
        </w:tc>
        <w:tc>
          <w:tcPr>
            <w:tcW w:w="1280" w:type="dxa"/>
            <w:vAlign w:val="bottom"/>
            <w:tcBorders>
              <w:bottom w:val="single" w:sz="8" w:color="808080"/>
            </w:tcBorders>
          </w:tcPr>
          <w:p>
            <w:pPr>
              <w:jc w:val="center"/>
              <w:ind w:left="139"/>
              <w:spacing w:after="0" w:line="183" w:lineRule="exact"/>
              <w:rPr>
                <w:sz w:val="20"/>
                <w:szCs w:val="20"/>
                <w:color w:val="auto"/>
              </w:rPr>
            </w:pPr>
            <w:r>
              <w:rPr>
                <w:rFonts w:ascii="Arial" w:cs="Arial" w:eastAsia="Arial" w:hAnsi="Arial"/>
                <w:sz w:val="16"/>
                <w:szCs w:val="16"/>
                <w:color w:val="auto"/>
              </w:rPr>
              <w:t>2/28/25</w:t>
            </w:r>
          </w:p>
        </w:tc>
        <w:tc>
          <w:tcPr>
            <w:tcW w:w="220" w:type="dxa"/>
            <w:vAlign w:val="bottom"/>
            <w:tcBorders>
              <w:bottom w:val="single" w:sz="8" w:color="808080"/>
            </w:tcBorders>
          </w:tcPr>
          <w:p>
            <w:pPr>
              <w:spacing w:after="0"/>
              <w:rPr>
                <w:sz w:val="15"/>
                <w:szCs w:val="15"/>
                <w:color w:val="auto"/>
              </w:rPr>
            </w:pPr>
          </w:p>
        </w:tc>
        <w:tc>
          <w:tcPr>
            <w:tcW w:w="1420" w:type="dxa"/>
            <w:vAlign w:val="bottom"/>
            <w:tcBorders>
              <w:bottom w:val="single" w:sz="8" w:color="808080"/>
            </w:tcBorders>
          </w:tcPr>
          <w:p>
            <w:pPr>
              <w:jc w:val="right"/>
              <w:spacing w:after="0" w:line="183" w:lineRule="exact"/>
              <w:rPr>
                <w:sz w:val="20"/>
                <w:szCs w:val="20"/>
                <w:color w:val="auto"/>
              </w:rPr>
            </w:pPr>
            <w:r>
              <w:rPr>
                <w:rFonts w:ascii="Arial" w:cs="Arial" w:eastAsia="Arial" w:hAnsi="Arial"/>
                <w:sz w:val="16"/>
                <w:szCs w:val="16"/>
                <w:color w:val="auto"/>
              </w:rPr>
              <w:t>2,646,380</w:t>
            </w:r>
          </w:p>
        </w:tc>
        <w:tc>
          <w:tcPr>
            <w:tcW w:w="260" w:type="dxa"/>
            <w:vAlign w:val="bottom"/>
            <w:tcBorders>
              <w:bottom w:val="single" w:sz="8" w:color="808080"/>
            </w:tcBorders>
          </w:tcPr>
          <w:p>
            <w:pPr>
              <w:spacing w:after="0"/>
              <w:rPr>
                <w:sz w:val="15"/>
                <w:szCs w:val="15"/>
                <w:color w:val="auto"/>
              </w:rPr>
            </w:pPr>
          </w:p>
        </w:tc>
        <w:tc>
          <w:tcPr>
            <w:tcW w:w="1480" w:type="dxa"/>
            <w:vAlign w:val="bottom"/>
            <w:tcBorders>
              <w:bottom w:val="single" w:sz="8" w:color="808080"/>
            </w:tcBorders>
          </w:tcPr>
          <w:p>
            <w:pPr>
              <w:jc w:val="right"/>
              <w:ind w:right="43"/>
              <w:spacing w:after="0" w:line="183" w:lineRule="exact"/>
              <w:rPr>
                <w:sz w:val="20"/>
                <w:szCs w:val="20"/>
                <w:color w:val="auto"/>
              </w:rPr>
            </w:pPr>
            <w:r>
              <w:rPr>
                <w:rFonts w:ascii="Arial" w:cs="Arial" w:eastAsia="Arial" w:hAnsi="Arial"/>
                <w:sz w:val="16"/>
                <w:szCs w:val="16"/>
                <w:color w:val="auto"/>
              </w:rPr>
              <w:t>5,954,494</w:t>
            </w:r>
          </w:p>
        </w:tc>
        <w:tc>
          <w:tcPr>
            <w:tcW w:w="180" w:type="dxa"/>
            <w:vAlign w:val="bottom"/>
            <w:tcBorders>
              <w:bottom w:val="single" w:sz="8" w:color="808080"/>
            </w:tcBorders>
          </w:tcPr>
          <w:p>
            <w:pPr>
              <w:spacing w:after="0"/>
              <w:rPr>
                <w:sz w:val="15"/>
                <w:szCs w:val="15"/>
                <w:color w:val="auto"/>
              </w:rPr>
            </w:pPr>
          </w:p>
        </w:tc>
        <w:tc>
          <w:tcPr>
            <w:tcW w:w="1480" w:type="dxa"/>
            <w:vAlign w:val="bottom"/>
            <w:tcBorders>
              <w:bottom w:val="single" w:sz="8" w:color="808080"/>
            </w:tcBorders>
          </w:tcPr>
          <w:p>
            <w:pPr>
              <w:jc w:val="right"/>
              <w:ind w:right="43"/>
              <w:spacing w:after="0" w:line="183" w:lineRule="exact"/>
              <w:rPr>
                <w:sz w:val="20"/>
                <w:szCs w:val="20"/>
                <w:color w:val="auto"/>
              </w:rPr>
            </w:pPr>
            <w:r>
              <w:rPr>
                <w:rFonts w:ascii="Arial" w:cs="Arial" w:eastAsia="Arial" w:hAnsi="Arial"/>
                <w:sz w:val="16"/>
                <w:szCs w:val="16"/>
                <w:color w:val="auto"/>
              </w:rPr>
              <w:t>1,554,619</w:t>
            </w:r>
          </w:p>
        </w:tc>
        <w:tc>
          <w:tcPr>
            <w:tcW w:w="140" w:type="dxa"/>
            <w:vAlign w:val="bottom"/>
            <w:tcBorders>
              <w:bottom w:val="single" w:sz="8" w:color="808080"/>
            </w:tcBorders>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3260" w:type="dxa"/>
            <w:vAlign w:val="bottom"/>
            <w:tcBorders>
              <w:bottom w:val="single" w:sz="8" w:color="808080"/>
            </w:tcBorders>
          </w:tcPr>
          <w:p>
            <w:pPr>
              <w:ind w:left="120"/>
              <w:spacing w:after="0" w:line="183" w:lineRule="exact"/>
              <w:rPr>
                <w:sz w:val="20"/>
                <w:szCs w:val="20"/>
                <w:color w:val="auto"/>
              </w:rPr>
            </w:pPr>
            <w:r>
              <w:rPr>
                <w:rFonts w:ascii="Arial" w:cs="Arial" w:eastAsia="Arial" w:hAnsi="Arial"/>
                <w:sz w:val="16"/>
                <w:szCs w:val="16"/>
                <w:color w:val="auto"/>
              </w:rPr>
              <w:t>Andrew  Nocella</w:t>
            </w:r>
          </w:p>
        </w:tc>
        <w:tc>
          <w:tcPr>
            <w:tcW w:w="1280" w:type="dxa"/>
            <w:vAlign w:val="bottom"/>
            <w:tcBorders>
              <w:bottom w:val="single" w:sz="8" w:color="808080"/>
            </w:tcBorders>
          </w:tcPr>
          <w:p>
            <w:pPr>
              <w:jc w:val="center"/>
              <w:ind w:left="139"/>
              <w:spacing w:after="0" w:line="183" w:lineRule="exact"/>
              <w:rPr>
                <w:sz w:val="20"/>
                <w:szCs w:val="20"/>
                <w:color w:val="auto"/>
              </w:rPr>
            </w:pPr>
            <w:r>
              <w:rPr>
                <w:rFonts w:ascii="Arial" w:cs="Arial" w:eastAsia="Arial" w:hAnsi="Arial"/>
                <w:sz w:val="16"/>
                <w:szCs w:val="16"/>
                <w:color w:val="auto"/>
              </w:rPr>
              <w:t>2/28/25</w:t>
            </w:r>
          </w:p>
        </w:tc>
        <w:tc>
          <w:tcPr>
            <w:tcW w:w="220" w:type="dxa"/>
            <w:vAlign w:val="bottom"/>
            <w:tcBorders>
              <w:bottom w:val="single" w:sz="8" w:color="808080"/>
            </w:tcBorders>
          </w:tcPr>
          <w:p>
            <w:pPr>
              <w:spacing w:after="0"/>
              <w:rPr>
                <w:sz w:val="15"/>
                <w:szCs w:val="15"/>
                <w:color w:val="auto"/>
              </w:rPr>
            </w:pPr>
          </w:p>
        </w:tc>
        <w:tc>
          <w:tcPr>
            <w:tcW w:w="1420" w:type="dxa"/>
            <w:vAlign w:val="bottom"/>
            <w:tcBorders>
              <w:bottom w:val="single" w:sz="8" w:color="808080"/>
            </w:tcBorders>
          </w:tcPr>
          <w:p>
            <w:pPr>
              <w:jc w:val="right"/>
              <w:spacing w:after="0" w:line="183" w:lineRule="exact"/>
              <w:rPr>
                <w:sz w:val="20"/>
                <w:szCs w:val="20"/>
                <w:color w:val="auto"/>
              </w:rPr>
            </w:pPr>
            <w:r>
              <w:rPr>
                <w:rFonts w:ascii="Arial" w:cs="Arial" w:eastAsia="Arial" w:hAnsi="Arial"/>
                <w:sz w:val="16"/>
                <w:szCs w:val="16"/>
                <w:color w:val="auto"/>
              </w:rPr>
              <w:t>2,264,011</w:t>
            </w:r>
          </w:p>
        </w:tc>
        <w:tc>
          <w:tcPr>
            <w:tcW w:w="260" w:type="dxa"/>
            <w:vAlign w:val="bottom"/>
            <w:tcBorders>
              <w:bottom w:val="single" w:sz="8" w:color="808080"/>
            </w:tcBorders>
          </w:tcPr>
          <w:p>
            <w:pPr>
              <w:spacing w:after="0"/>
              <w:rPr>
                <w:sz w:val="15"/>
                <w:szCs w:val="15"/>
                <w:color w:val="auto"/>
              </w:rPr>
            </w:pPr>
          </w:p>
        </w:tc>
        <w:tc>
          <w:tcPr>
            <w:tcW w:w="1480" w:type="dxa"/>
            <w:vAlign w:val="bottom"/>
            <w:tcBorders>
              <w:bottom w:val="single" w:sz="8" w:color="808080"/>
            </w:tcBorders>
          </w:tcPr>
          <w:p>
            <w:pPr>
              <w:jc w:val="right"/>
              <w:ind w:right="43"/>
              <w:spacing w:after="0" w:line="183" w:lineRule="exact"/>
              <w:rPr>
                <w:sz w:val="20"/>
                <w:szCs w:val="20"/>
                <w:color w:val="auto"/>
              </w:rPr>
            </w:pPr>
            <w:r>
              <w:rPr>
                <w:rFonts w:ascii="Arial" w:cs="Arial" w:eastAsia="Arial" w:hAnsi="Arial"/>
                <w:sz w:val="16"/>
                <w:szCs w:val="16"/>
                <w:color w:val="auto"/>
              </w:rPr>
              <w:t>4,862,830</w:t>
            </w:r>
          </w:p>
        </w:tc>
        <w:tc>
          <w:tcPr>
            <w:tcW w:w="180" w:type="dxa"/>
            <w:vAlign w:val="bottom"/>
            <w:tcBorders>
              <w:bottom w:val="single" w:sz="8" w:color="808080"/>
            </w:tcBorders>
          </w:tcPr>
          <w:p>
            <w:pPr>
              <w:spacing w:after="0"/>
              <w:rPr>
                <w:sz w:val="15"/>
                <w:szCs w:val="15"/>
                <w:color w:val="auto"/>
              </w:rPr>
            </w:pPr>
          </w:p>
        </w:tc>
        <w:tc>
          <w:tcPr>
            <w:tcW w:w="1480" w:type="dxa"/>
            <w:vAlign w:val="bottom"/>
            <w:tcBorders>
              <w:bottom w:val="single" w:sz="8" w:color="808080"/>
            </w:tcBorders>
          </w:tcPr>
          <w:p>
            <w:pPr>
              <w:jc w:val="right"/>
              <w:ind w:right="43"/>
              <w:spacing w:after="0" w:line="183" w:lineRule="exact"/>
              <w:rPr>
                <w:sz w:val="20"/>
                <w:szCs w:val="20"/>
                <w:color w:val="auto"/>
              </w:rPr>
            </w:pPr>
            <w:r>
              <w:rPr>
                <w:rFonts w:ascii="Arial" w:cs="Arial" w:eastAsia="Arial" w:hAnsi="Arial"/>
                <w:sz w:val="16"/>
                <w:szCs w:val="16"/>
                <w:color w:val="auto"/>
              </w:rPr>
              <w:t>1,347,487</w:t>
            </w:r>
          </w:p>
        </w:tc>
        <w:tc>
          <w:tcPr>
            <w:tcW w:w="140" w:type="dxa"/>
            <w:vAlign w:val="bottom"/>
            <w:tcBorders>
              <w:bottom w:val="single" w:sz="8" w:color="808080"/>
            </w:tcBorders>
          </w:tcPr>
          <w:p>
            <w:pPr>
              <w:spacing w:after="0"/>
              <w:rPr>
                <w:sz w:val="15"/>
                <w:szCs w:val="15"/>
                <w:color w:val="auto"/>
              </w:rPr>
            </w:pPr>
          </w:p>
        </w:tc>
        <w:tc>
          <w:tcPr>
            <w:tcW w:w="20" w:type="dxa"/>
            <w:vAlign w:val="bottom"/>
          </w:tcPr>
          <w:p>
            <w:pPr>
              <w:spacing w:after="0"/>
              <w:rPr>
                <w:sz w:val="15"/>
                <w:szCs w:val="15"/>
                <w:color w:val="auto"/>
              </w:rPr>
            </w:pPr>
          </w:p>
        </w:tc>
      </w:tr>
    </w:tbl>
    <w:p>
      <w:pPr>
        <w:spacing w:after="0" w:line="89" w:lineRule="exact"/>
        <w:rPr>
          <w:sz w:val="20"/>
          <w:szCs w:val="20"/>
          <w:color w:val="auto"/>
        </w:rPr>
      </w:pPr>
    </w:p>
    <w:p>
      <w:pPr>
        <w:ind w:left="660" w:right="160" w:hanging="332"/>
        <w:spacing w:after="0" w:line="222" w:lineRule="auto"/>
        <w:tabs>
          <w:tab w:leader="none" w:pos="660" w:val="left"/>
        </w:tabs>
        <w:numPr>
          <w:ilvl w:val="0"/>
          <w:numId w:val="126"/>
        </w:numPr>
        <w:rPr>
          <w:rFonts w:ascii="Arial" w:cs="Arial" w:eastAsia="Arial" w:hAnsi="Arial"/>
          <w:sz w:val="22"/>
          <w:szCs w:val="22"/>
          <w:color w:val="auto"/>
          <w:vertAlign w:val="superscript"/>
        </w:rPr>
      </w:pPr>
      <w:r>
        <w:rPr>
          <w:rFonts w:ascii="Arial" w:cs="Arial" w:eastAsia="Arial" w:hAnsi="Arial"/>
          <w:sz w:val="14"/>
          <w:szCs w:val="14"/>
          <w:color w:val="auto"/>
        </w:rPr>
        <w:t>Represents the maximum value of the second half of Mr. Leskinen’s 2023 promotional PBRSU award at “stretch” level of performance (200% of target).</w:t>
      </w:r>
    </w:p>
    <w:p>
      <w:pPr>
        <w:spacing w:after="0" w:line="171" w:lineRule="exact"/>
        <w:rPr>
          <w:sz w:val="20"/>
          <w:szCs w:val="20"/>
          <w:color w:val="auto"/>
        </w:rPr>
      </w:pPr>
    </w:p>
    <w:p>
      <w:pPr>
        <w:ind w:left="320" w:right="120"/>
        <w:spacing w:after="0" w:line="296" w:lineRule="auto"/>
        <w:rPr>
          <w:sz w:val="20"/>
          <w:szCs w:val="20"/>
          <w:color w:val="auto"/>
        </w:rPr>
      </w:pPr>
      <w:r>
        <w:rPr>
          <w:rFonts w:ascii="Arial" w:cs="Arial" w:eastAsia="Arial" w:hAnsi="Arial"/>
          <w:sz w:val="14"/>
          <w:szCs w:val="14"/>
          <w:color w:val="auto"/>
        </w:rPr>
        <w:t>For the time-vested RSU awards, the grant date fair value was calculated by multiplying the number of RSUs awarded by the closing price per share of Common Stock on the date of grant. See the footnotes to the Grants of Plan-Based Awards for 2025 table below for the share price on the date of grant.</w:t>
      </w:r>
    </w:p>
    <w:p>
      <w:pPr>
        <w:spacing w:after="0" w:line="106" w:lineRule="exact"/>
        <w:rPr>
          <w:sz w:val="20"/>
          <w:szCs w:val="20"/>
          <w:color w:val="auto"/>
        </w:rPr>
      </w:pPr>
    </w:p>
    <w:p>
      <w:pPr>
        <w:ind w:left="320" w:right="180" w:hanging="316"/>
        <w:spacing w:after="0"/>
        <w:tabs>
          <w:tab w:leader="none" w:pos="320" w:val="left"/>
        </w:tabs>
        <w:numPr>
          <w:ilvl w:val="0"/>
          <w:numId w:val="127"/>
        </w:numPr>
        <w:rPr>
          <w:rFonts w:ascii="Arial" w:cs="Arial" w:eastAsia="Arial" w:hAnsi="Arial"/>
          <w:sz w:val="22"/>
          <w:szCs w:val="22"/>
          <w:color w:val="auto"/>
          <w:vertAlign w:val="superscript"/>
        </w:rPr>
      </w:pPr>
      <w:r>
        <w:rPr>
          <w:rFonts w:ascii="Arial" w:cs="Arial" w:eastAsia="Arial" w:hAnsi="Arial"/>
          <w:sz w:val="14"/>
          <w:szCs w:val="14"/>
          <w:color w:val="auto"/>
        </w:rPr>
        <w:t>The amounts reported for 2025 in this column include: (i) for each NEO, payments under the 2025 STI program, for which our 2025 Company performance resulted in achievement at 135% of the total target opportunity level and (ii) for each of Mr. Kirby ($3,960,000), Mr. Hart ($2,870,000), Mr. Enqvist ($2,050,000) and Mr. Nocella ($1,640,000), the payout of the Transformation Incentive Awards which vested on September 22, 2025 following certifcation of achievement of the underlying performance metric, resulting in payout of 132% of the total target opportunity level. See “Short-Term Incentive Program” and “Transformation Incentive Awards” in the CD&amp;A above for additional details.</w:t>
      </w:r>
    </w:p>
    <w:p>
      <w:pPr>
        <w:spacing w:after="0" w:line="304" w:lineRule="exact"/>
        <w:rPr>
          <w:rFonts w:ascii="Arial" w:cs="Arial" w:eastAsia="Arial" w:hAnsi="Arial"/>
          <w:sz w:val="22"/>
          <w:szCs w:val="22"/>
          <w:color w:val="auto"/>
          <w:vertAlign w:val="superscript"/>
        </w:rPr>
      </w:pPr>
    </w:p>
    <w:p>
      <w:pPr>
        <w:ind w:left="320" w:right="40" w:hanging="316"/>
        <w:spacing w:after="0"/>
        <w:tabs>
          <w:tab w:leader="none" w:pos="320" w:val="left"/>
        </w:tabs>
        <w:numPr>
          <w:ilvl w:val="0"/>
          <w:numId w:val="127"/>
        </w:numPr>
        <w:rPr>
          <w:rFonts w:ascii="Arial" w:cs="Arial" w:eastAsia="Arial" w:hAnsi="Arial"/>
          <w:sz w:val="22"/>
          <w:szCs w:val="22"/>
          <w:color w:val="auto"/>
          <w:vertAlign w:val="superscript"/>
        </w:rPr>
      </w:pPr>
      <w:r>
        <w:rPr>
          <w:rFonts w:ascii="Arial" w:cs="Arial" w:eastAsia="Arial" w:hAnsi="Arial"/>
          <w:sz w:val="14"/>
          <w:szCs w:val="14"/>
          <w:color w:val="auto"/>
        </w:rPr>
        <w:t>Prior to the 2010 merger, Mr. Enqvist participated in pension benefts provided as part of the compensation program of Continental Airlines (“Continental”), including the CARP. None of the other NEOs participate in the pension benefts programs. The amounts are calculated based on the diference in the present value of accumulated benefts determined as of December 31, 2025, December 31, 2024 and December 31, 2023. These benefts are frozen, but the values of the frozen benefts continue to fuctuate based on changes in actuarial assumptions and the passage of time. Decreases in pension values are shown as zeroes in the Summary Compensation Table. See “Narrative to Pension Benefts Table” below for a discussion of the assumptions used to calculate the present values of these pension benefts and further information on the provisions of the plans.</w:t>
      </w:r>
    </w:p>
    <w:p>
      <w:pPr>
        <w:sectPr>
          <w:pgSz w:w="11900" w:h="16838" w:orient="portrait"/>
          <w:cols w:equalWidth="0" w:num="1">
            <w:col w:w="9740"/>
          </w:cols>
          <w:pgMar w:left="1080" w:top="695" w:right="10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ind w:right="7740"/>
        <w:spacing w:after="0"/>
        <w:rPr>
          <w:sz w:val="20"/>
          <w:szCs w:val="20"/>
          <w:color w:val="auto"/>
        </w:rPr>
      </w:pPr>
      <w:r>
        <w:rPr>
          <w:rFonts w:ascii="Arial" w:cs="Arial" w:eastAsia="Arial" w:hAnsi="Arial"/>
          <w:sz w:val="16"/>
          <w:szCs w:val="16"/>
          <w:color w:val="auto"/>
        </w:rPr>
        <w:t>​​2026​  Proxy</w:t>
      </w:r>
    </w:p>
    <w:p>
      <w:pPr>
        <w:spacing w:after="0" w:line="5" w:lineRule="exact"/>
        <w:rPr>
          <w:sz w:val="20"/>
          <w:szCs w:val="20"/>
          <w:color w:val="auto"/>
        </w:rPr>
      </w:pPr>
    </w:p>
    <w:p>
      <w:pPr>
        <w:ind w:left="660" w:hanging="656"/>
        <w:spacing w:after="0"/>
        <w:tabs>
          <w:tab w:leader="none" w:pos="660" w:val="left"/>
        </w:tabs>
        <w:numPr>
          <w:ilvl w:val="0"/>
          <w:numId w:val="128"/>
        </w:numPr>
        <w:rPr>
          <w:rFonts w:ascii="Arial" w:cs="Arial" w:eastAsia="Arial" w:hAnsi="Arial"/>
          <w:sz w:val="16"/>
          <w:szCs w:val="16"/>
          <w:b w:val="1"/>
          <w:bCs w:val="1"/>
          <w:color w:val="1414D2"/>
        </w:rPr>
      </w:pPr>
      <w:r>
        <w:rPr>
          <w:rFonts w:ascii="Arial" w:cs="Arial" w:eastAsia="Arial" w:hAnsi="Arial"/>
          <w:sz w:val="16"/>
          <w:szCs w:val="16"/>
          <w:color w:val="auto"/>
        </w:rPr>
        <w:t>Statement</w:t>
      </w:r>
    </w:p>
    <w:p>
      <w:pPr>
        <w:sectPr>
          <w:pgSz w:w="11900" w:h="16838" w:orient="portrait"/>
          <w:cols w:equalWidth="0" w:num="1">
            <w:col w:w="9740"/>
          </w:cols>
          <w:pgMar w:left="1080" w:top="695" w:right="1079" w:bottom="1440" w:gutter="0" w:footer="0" w:header="0"/>
          <w:type w:val="continuous"/>
        </w:sectPr>
      </w:pPr>
    </w:p>
    <w:bookmarkStart w:id="123" w:name="page124"/>
    <w:bookmarkEnd w:id="123"/>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27"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6D6F71"/>
        </w:rPr>
        <w:t>Executive  Compensation</w:t>
      </w:r>
    </w:p>
    <w:p>
      <w:pPr>
        <w:spacing w:after="0" w:line="185" w:lineRule="exact"/>
        <w:rPr>
          <w:sz w:val="20"/>
          <w:szCs w:val="20"/>
          <w:color w:val="auto"/>
        </w:rPr>
      </w:pPr>
    </w:p>
    <w:p>
      <w:pPr>
        <w:ind w:left="320" w:hanging="316"/>
        <w:spacing w:after="0"/>
        <w:tabs>
          <w:tab w:leader="none" w:pos="320" w:val="left"/>
        </w:tabs>
        <w:numPr>
          <w:ilvl w:val="0"/>
          <w:numId w:val="129"/>
        </w:numPr>
        <w:rPr>
          <w:rFonts w:ascii="Arial" w:cs="Arial" w:eastAsia="Arial" w:hAnsi="Arial"/>
          <w:sz w:val="22"/>
          <w:szCs w:val="22"/>
          <w:color w:val="auto"/>
          <w:vertAlign w:val="superscript"/>
        </w:rPr>
      </w:pPr>
      <w:r>
        <w:rPr>
          <w:rFonts w:ascii="Arial" w:cs="Arial" w:eastAsia="Arial" w:hAnsi="Arial"/>
          <w:sz w:val="14"/>
          <w:szCs w:val="14"/>
          <w:color w:val="auto"/>
        </w:rPr>
        <w:t>The  following  table  provides  details  regarding  amounts  disclosed  in  the  “All  Other  Compensation”  column  for  2025:</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1820" w:type="dxa"/>
            <w:vAlign w:val="bottom"/>
            <w:tcBorders>
              <w:top w:val="single" w:sz="8" w:color="1414D2"/>
            </w:tcBorders>
            <w:shd w:val="clear" w:color="auto" w:fill="F2F2F2"/>
          </w:tcPr>
          <w:p>
            <w:pPr>
              <w:spacing w:after="0"/>
              <w:rPr>
                <w:sz w:val="21"/>
                <w:szCs w:val="21"/>
                <w:color w:val="auto"/>
              </w:rPr>
            </w:pPr>
          </w:p>
        </w:tc>
        <w:tc>
          <w:tcPr>
            <w:tcW w:w="940" w:type="dxa"/>
            <w:vAlign w:val="bottom"/>
            <w:tcBorders>
              <w:top w:val="single" w:sz="8" w:color="1414D2"/>
            </w:tcBorders>
            <w:shd w:val="clear" w:color="auto" w:fill="F2F2F2"/>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4"/>
                <w:szCs w:val="14"/>
                <w:b w:val="1"/>
                <w:bCs w:val="1"/>
                <w:color w:val="auto"/>
              </w:rPr>
              <w:t>Insurance</w:t>
            </w:r>
          </w:p>
        </w:tc>
        <w:tc>
          <w:tcPr>
            <w:tcW w:w="1320" w:type="dxa"/>
            <w:vAlign w:val="bottom"/>
            <w:tcBorders>
              <w:top w:val="single" w:sz="8" w:color="1414D2"/>
            </w:tcBorders>
            <w:shd w:val="clear" w:color="auto" w:fill="F2F2F2"/>
          </w:tcPr>
          <w:p>
            <w:pPr>
              <w:jc w:val="right"/>
              <w:ind w:right="1045"/>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1414D2"/>
            </w:tcBorders>
            <w:shd w:val="clear" w:color="auto" w:fill="F2F2F2"/>
          </w:tcPr>
          <w:p>
            <w:pPr>
              <w:jc w:val="right"/>
              <w:spacing w:after="0"/>
              <w:rPr>
                <w:sz w:val="20"/>
                <w:szCs w:val="20"/>
                <w:color w:val="auto"/>
              </w:rPr>
            </w:pPr>
            <w:r>
              <w:rPr>
                <w:rFonts w:ascii="Arial" w:cs="Arial" w:eastAsia="Arial" w:hAnsi="Arial"/>
                <w:sz w:val="14"/>
                <w:szCs w:val="14"/>
                <w:b w:val="1"/>
                <w:bCs w:val="1"/>
                <w:color w:val="auto"/>
              </w:rPr>
              <w:t>​​​401(k) Cash</w:t>
            </w:r>
          </w:p>
        </w:tc>
        <w:tc>
          <w:tcPr>
            <w:tcW w:w="900" w:type="dxa"/>
            <w:vAlign w:val="bottom"/>
            <w:tcBorders>
              <w:top w:val="single" w:sz="8" w:color="1414D2"/>
            </w:tcBorders>
            <w:gridSpan w:val="3"/>
            <w:shd w:val="clear" w:color="auto" w:fill="F2F2F2"/>
          </w:tcPr>
          <w:p>
            <w:pPr>
              <w:ind w:left="40"/>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1414D2"/>
            </w:tcBorders>
            <w:shd w:val="clear" w:color="auto" w:fill="F2F2F2"/>
          </w:tcPr>
          <w:p>
            <w:pPr>
              <w:ind w:left="40"/>
              <w:spacing w:after="0"/>
              <w:rPr>
                <w:sz w:val="20"/>
                <w:szCs w:val="20"/>
                <w:color w:val="auto"/>
              </w:rPr>
            </w:pPr>
            <w:r>
              <w:rPr>
                <w:rFonts w:ascii="Arial" w:cs="Arial" w:eastAsia="Arial" w:hAnsi="Arial"/>
                <w:sz w:val="14"/>
                <w:szCs w:val="14"/>
                <w:b w:val="1"/>
                <w:bCs w:val="1"/>
                <w:color w:val="auto"/>
              </w:rPr>
              <w:t>​​​</w:t>
            </w:r>
          </w:p>
        </w:tc>
        <w:tc>
          <w:tcPr>
            <w:tcW w:w="1300" w:type="dxa"/>
            <w:vAlign w:val="bottom"/>
            <w:tcBorders>
              <w:top w:val="single" w:sz="8" w:color="1414D2"/>
            </w:tcBorders>
            <w:shd w:val="clear" w:color="auto" w:fill="F2F2F2"/>
          </w:tcPr>
          <w:p>
            <w:pPr>
              <w:jc w:val="right"/>
              <w:ind w:right="1065"/>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1414D2"/>
            </w:tcBorders>
            <w:shd w:val="clear" w:color="auto" w:fill="F2F2F2"/>
          </w:tcPr>
          <w:p>
            <w:pPr>
              <w:ind w:left="40"/>
              <w:spacing w:after="0"/>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1414D2"/>
            </w:tcBorders>
            <w:shd w:val="clear" w:color="auto" w:fill="F2F2F2"/>
          </w:tcPr>
          <w:p>
            <w:pPr>
              <w:spacing w:after="0"/>
              <w:rPr>
                <w:sz w:val="21"/>
                <w:szCs w:val="21"/>
                <w:color w:val="auto"/>
              </w:rPr>
            </w:pPr>
          </w:p>
        </w:tc>
        <w:tc>
          <w:tcPr>
            <w:tcW w:w="40" w:type="dxa"/>
            <w:vAlign w:val="bottom"/>
          </w:tcPr>
          <w:p>
            <w:pPr>
              <w:ind w:left="20"/>
              <w:spacing w:after="0"/>
              <w:rPr>
                <w:sz w:val="20"/>
                <w:szCs w:val="20"/>
                <w:color w:val="auto"/>
              </w:rPr>
            </w:pPr>
            <w:r>
              <w:rPr>
                <w:rFonts w:ascii="Arial" w:cs="Arial" w:eastAsia="Arial" w:hAnsi="Arial"/>
                <w:sz w:val="1"/>
                <w:szCs w:val="1"/>
                <w:b w:val="1"/>
                <w:bCs w:val="1"/>
                <w:color w:val="auto"/>
                <w:w w:val="4294942296"/>
              </w:rPr>
              <w:t>​</w:t>
            </w:r>
          </w:p>
        </w:tc>
      </w:tr>
      <w:tr>
        <w:trPr>
          <w:trHeight w:val="216"/>
        </w:trPr>
        <w:tc>
          <w:tcPr>
            <w:tcW w:w="1820" w:type="dxa"/>
            <w:vAlign w:val="bottom"/>
            <w:shd w:val="clear" w:color="auto" w:fill="F2F2F2"/>
          </w:tcPr>
          <w:p>
            <w:pPr>
              <w:spacing w:after="0"/>
              <w:rPr>
                <w:sz w:val="18"/>
                <w:szCs w:val="18"/>
                <w:color w:val="auto"/>
              </w:rPr>
            </w:pPr>
          </w:p>
        </w:tc>
        <w:tc>
          <w:tcPr>
            <w:tcW w:w="940" w:type="dxa"/>
            <w:vAlign w:val="bottom"/>
            <w:shd w:val="clear" w:color="auto" w:fill="F2F2F2"/>
          </w:tcPr>
          <w:p>
            <w:pPr>
              <w:jc w:val="center"/>
              <w:ind w:left="124"/>
              <w:spacing w:after="0"/>
              <w:rPr>
                <w:sz w:val="20"/>
                <w:szCs w:val="20"/>
                <w:color w:val="auto"/>
              </w:rPr>
            </w:pPr>
            <w:r>
              <w:rPr>
                <w:rFonts w:ascii="Arial" w:cs="Arial" w:eastAsia="Arial" w:hAnsi="Arial"/>
                <w:sz w:val="14"/>
                <w:szCs w:val="14"/>
                <w:b w:val="1"/>
                <w:bCs w:val="1"/>
                <w:color w:val="auto"/>
              </w:rPr>
              <w:t>Premiums</w:t>
            </w:r>
          </w:p>
        </w:tc>
        <w:tc>
          <w:tcPr>
            <w:tcW w:w="1320" w:type="dxa"/>
            <w:vAlign w:val="bottom"/>
            <w:shd w:val="clear" w:color="auto" w:fill="F2F2F2"/>
          </w:tcPr>
          <w:p>
            <w:pPr>
              <w:spacing w:after="0"/>
              <w:rPr>
                <w:sz w:val="18"/>
                <w:szCs w:val="18"/>
                <w:color w:val="auto"/>
              </w:rPr>
            </w:pPr>
          </w:p>
        </w:tc>
        <w:tc>
          <w:tcPr>
            <w:tcW w:w="1040" w:type="dxa"/>
            <w:vAlign w:val="bottom"/>
            <w:shd w:val="clear" w:color="auto" w:fill="F2F2F2"/>
          </w:tcPr>
          <w:p>
            <w:pPr>
              <w:jc w:val="right"/>
              <w:ind w:right="6"/>
              <w:spacing w:after="0"/>
              <w:rPr>
                <w:sz w:val="20"/>
                <w:szCs w:val="20"/>
                <w:color w:val="auto"/>
              </w:rPr>
            </w:pPr>
            <w:r>
              <w:rPr>
                <w:rFonts w:ascii="Arial" w:cs="Arial" w:eastAsia="Arial" w:hAnsi="Arial"/>
                <w:sz w:val="14"/>
                <w:szCs w:val="14"/>
                <w:b w:val="1"/>
                <w:bCs w:val="1"/>
                <w:color w:val="auto"/>
              </w:rPr>
              <w:t>Direct and</w:t>
            </w:r>
          </w:p>
        </w:tc>
        <w:tc>
          <w:tcPr>
            <w:tcW w:w="120" w:type="dxa"/>
            <w:vAlign w:val="bottom"/>
            <w:shd w:val="clear" w:color="auto" w:fill="F2F2F2"/>
          </w:tcPr>
          <w:p>
            <w:pPr>
              <w:spacing w:after="0"/>
              <w:rPr>
                <w:sz w:val="18"/>
                <w:szCs w:val="18"/>
                <w:color w:val="auto"/>
              </w:rPr>
            </w:pPr>
          </w:p>
        </w:tc>
        <w:tc>
          <w:tcPr>
            <w:tcW w:w="780" w:type="dxa"/>
            <w:vAlign w:val="bottom"/>
            <w:gridSpan w:val="2"/>
            <w:shd w:val="clear" w:color="auto" w:fill="F2F2F2"/>
          </w:tcPr>
          <w:p>
            <w:pPr>
              <w:jc w:val="center"/>
              <w:ind w:right="20"/>
              <w:spacing w:after="0"/>
              <w:rPr>
                <w:sz w:val="20"/>
                <w:szCs w:val="20"/>
                <w:color w:val="auto"/>
              </w:rPr>
            </w:pPr>
            <w:r>
              <w:rPr>
                <w:rFonts w:ascii="Arial" w:cs="Arial" w:eastAsia="Arial" w:hAnsi="Arial"/>
                <w:sz w:val="14"/>
                <w:szCs w:val="14"/>
                <w:b w:val="1"/>
                <w:bCs w:val="1"/>
                <w:color w:val="auto"/>
              </w:rPr>
              <w:t>Charitable</w:t>
            </w:r>
          </w:p>
        </w:tc>
        <w:tc>
          <w:tcPr>
            <w:tcW w:w="940" w:type="dxa"/>
            <w:vAlign w:val="bottom"/>
            <w:shd w:val="clear" w:color="auto" w:fill="F2F2F2"/>
          </w:tcPr>
          <w:p>
            <w:pPr>
              <w:jc w:val="center"/>
              <w:ind w:left="26"/>
              <w:spacing w:after="0"/>
              <w:rPr>
                <w:sz w:val="20"/>
                <w:szCs w:val="20"/>
                <w:color w:val="auto"/>
              </w:rPr>
            </w:pPr>
            <w:r>
              <w:rPr>
                <w:rFonts w:ascii="Arial" w:cs="Arial" w:eastAsia="Arial" w:hAnsi="Arial"/>
                <w:sz w:val="14"/>
                <w:szCs w:val="14"/>
                <w:b w:val="1"/>
                <w:bCs w:val="1"/>
                <w:color w:val="auto"/>
              </w:rPr>
              <w:t>Perquisites</w:t>
            </w:r>
          </w:p>
        </w:tc>
        <w:tc>
          <w:tcPr>
            <w:tcW w:w="1300" w:type="dxa"/>
            <w:vAlign w:val="bottom"/>
            <w:shd w:val="clear" w:color="auto" w:fill="F2F2F2"/>
          </w:tcPr>
          <w:p>
            <w:pPr>
              <w:spacing w:after="0"/>
              <w:rPr>
                <w:sz w:val="18"/>
                <w:szCs w:val="18"/>
                <w:color w:val="auto"/>
              </w:rPr>
            </w:pPr>
          </w:p>
        </w:tc>
        <w:tc>
          <w:tcPr>
            <w:tcW w:w="820" w:type="dxa"/>
            <w:vAlign w:val="bottom"/>
            <w:shd w:val="clear" w:color="auto" w:fill="F2F2F2"/>
          </w:tcPr>
          <w:p>
            <w:pPr>
              <w:spacing w:after="0"/>
              <w:rPr>
                <w:sz w:val="18"/>
                <w:szCs w:val="18"/>
                <w:color w:val="auto"/>
              </w:rPr>
            </w:pPr>
          </w:p>
        </w:tc>
        <w:tc>
          <w:tcPr>
            <w:tcW w:w="640" w:type="dxa"/>
            <w:vAlign w:val="bottom"/>
            <w:shd w:val="clear" w:color="auto" w:fill="F2F2F2"/>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820" w:type="dxa"/>
            <w:vAlign w:val="bottom"/>
            <w:shd w:val="clear" w:color="auto" w:fill="F2F2F2"/>
          </w:tcPr>
          <w:p>
            <w:pPr>
              <w:spacing w:after="0"/>
              <w:rPr>
                <w:sz w:val="18"/>
                <w:szCs w:val="18"/>
                <w:color w:val="auto"/>
              </w:rPr>
            </w:pPr>
          </w:p>
        </w:tc>
        <w:tc>
          <w:tcPr>
            <w:tcW w:w="940" w:type="dxa"/>
            <w:vAlign w:val="bottom"/>
            <w:shd w:val="clear" w:color="auto" w:fill="F2F2F2"/>
          </w:tcPr>
          <w:p>
            <w:pPr>
              <w:jc w:val="center"/>
              <w:ind w:left="104"/>
              <w:spacing w:after="0"/>
              <w:rPr>
                <w:sz w:val="20"/>
                <w:szCs w:val="20"/>
                <w:color w:val="auto"/>
              </w:rPr>
            </w:pPr>
            <w:r>
              <w:rPr>
                <w:rFonts w:ascii="Arial" w:cs="Arial" w:eastAsia="Arial" w:hAnsi="Arial"/>
                <w:sz w:val="14"/>
                <w:szCs w:val="14"/>
                <w:b w:val="1"/>
                <w:bCs w:val="1"/>
                <w:color w:val="auto"/>
              </w:rPr>
              <w:t>Paid by</w:t>
            </w:r>
          </w:p>
        </w:tc>
        <w:tc>
          <w:tcPr>
            <w:tcW w:w="1320" w:type="dxa"/>
            <w:vAlign w:val="bottom"/>
            <w:shd w:val="clear" w:color="auto" w:fill="F2F2F2"/>
          </w:tcPr>
          <w:p>
            <w:pPr>
              <w:jc w:val="center"/>
              <w:ind w:left="85"/>
              <w:spacing w:after="0"/>
              <w:rPr>
                <w:sz w:val="20"/>
                <w:szCs w:val="20"/>
                <w:color w:val="auto"/>
              </w:rPr>
            </w:pPr>
            <w:r>
              <w:rPr>
                <w:rFonts w:ascii="Arial" w:cs="Arial" w:eastAsia="Arial" w:hAnsi="Arial"/>
                <w:sz w:val="14"/>
                <w:szCs w:val="14"/>
                <w:b w:val="1"/>
                <w:bCs w:val="1"/>
                <w:color w:val="auto"/>
              </w:rPr>
              <w:t>401(k) Company</w:t>
            </w:r>
          </w:p>
        </w:tc>
        <w:tc>
          <w:tcPr>
            <w:tcW w:w="1040" w:type="dxa"/>
            <w:vAlign w:val="bottom"/>
            <w:shd w:val="clear" w:color="auto" w:fill="F2F2F2"/>
          </w:tcPr>
          <w:p>
            <w:pPr>
              <w:jc w:val="center"/>
              <w:ind w:left="66"/>
              <w:spacing w:after="0"/>
              <w:rPr>
                <w:sz w:val="20"/>
                <w:szCs w:val="20"/>
                <w:color w:val="auto"/>
              </w:rPr>
            </w:pPr>
            <w:r>
              <w:rPr>
                <w:rFonts w:ascii="Arial" w:cs="Arial" w:eastAsia="Arial" w:hAnsi="Arial"/>
                <w:sz w:val="14"/>
                <w:szCs w:val="14"/>
                <w:b w:val="1"/>
                <w:bCs w:val="1"/>
                <w:color w:val="auto"/>
              </w:rPr>
              <w:t>Cash Match</w:t>
            </w:r>
          </w:p>
        </w:tc>
        <w:tc>
          <w:tcPr>
            <w:tcW w:w="120" w:type="dxa"/>
            <w:vAlign w:val="bottom"/>
            <w:shd w:val="clear" w:color="auto" w:fill="F2F2F2"/>
          </w:tcPr>
          <w:p>
            <w:pPr>
              <w:spacing w:after="0"/>
              <w:rPr>
                <w:sz w:val="18"/>
                <w:szCs w:val="18"/>
                <w:color w:val="auto"/>
              </w:rPr>
            </w:pPr>
          </w:p>
        </w:tc>
        <w:tc>
          <w:tcPr>
            <w:tcW w:w="780" w:type="dxa"/>
            <w:vAlign w:val="bottom"/>
            <w:gridSpan w:val="2"/>
            <w:shd w:val="clear" w:color="auto" w:fill="F2F2F2"/>
          </w:tcPr>
          <w:p>
            <w:pPr>
              <w:jc w:val="center"/>
              <w:ind w:right="20"/>
              <w:spacing w:after="0"/>
              <w:rPr>
                <w:sz w:val="20"/>
                <w:szCs w:val="20"/>
                <w:color w:val="auto"/>
              </w:rPr>
            </w:pPr>
            <w:r>
              <w:rPr>
                <w:rFonts w:ascii="Arial" w:cs="Arial" w:eastAsia="Arial" w:hAnsi="Arial"/>
                <w:sz w:val="14"/>
                <w:szCs w:val="14"/>
                <w:b w:val="1"/>
                <w:bCs w:val="1"/>
                <w:color w:val="auto"/>
              </w:rPr>
              <w:t>Ticket</w:t>
            </w:r>
          </w:p>
        </w:tc>
        <w:tc>
          <w:tcPr>
            <w:tcW w:w="940" w:type="dxa"/>
            <w:vAlign w:val="bottom"/>
            <w:shd w:val="clear" w:color="auto" w:fill="F2F2F2"/>
          </w:tcPr>
          <w:p>
            <w:pPr>
              <w:jc w:val="center"/>
              <w:ind w:left="6"/>
              <w:spacing w:after="0"/>
              <w:rPr>
                <w:sz w:val="20"/>
                <w:szCs w:val="20"/>
                <w:color w:val="auto"/>
              </w:rPr>
            </w:pPr>
            <w:r>
              <w:rPr>
                <w:rFonts w:ascii="Arial" w:cs="Arial" w:eastAsia="Arial" w:hAnsi="Arial"/>
                <w:sz w:val="14"/>
                <w:szCs w:val="14"/>
                <w:b w:val="1"/>
                <w:bCs w:val="1"/>
                <w:color w:val="auto"/>
              </w:rPr>
              <w:t>and Other</w:t>
            </w:r>
          </w:p>
        </w:tc>
        <w:tc>
          <w:tcPr>
            <w:tcW w:w="1300" w:type="dxa"/>
            <w:vAlign w:val="bottom"/>
            <w:shd w:val="clear" w:color="auto" w:fill="F2F2F2"/>
          </w:tcPr>
          <w:p>
            <w:pPr>
              <w:jc w:val="center"/>
              <w:ind w:left="25"/>
              <w:spacing w:after="0"/>
              <w:rPr>
                <w:sz w:val="20"/>
                <w:szCs w:val="20"/>
                <w:color w:val="auto"/>
              </w:rPr>
            </w:pPr>
            <w:r>
              <w:rPr>
                <w:rFonts w:ascii="Arial" w:cs="Arial" w:eastAsia="Arial" w:hAnsi="Arial"/>
                <w:sz w:val="14"/>
                <w:szCs w:val="14"/>
                <w:b w:val="1"/>
                <w:bCs w:val="1"/>
                <w:color w:val="auto"/>
              </w:rPr>
              <w:t>Air Travel Tax</w:t>
            </w:r>
          </w:p>
        </w:tc>
        <w:tc>
          <w:tcPr>
            <w:tcW w:w="820" w:type="dxa"/>
            <w:vAlign w:val="bottom"/>
            <w:shd w:val="clear" w:color="auto" w:fill="F2F2F2"/>
          </w:tcPr>
          <w:p>
            <w:pPr>
              <w:jc w:val="center"/>
              <w:spacing w:after="0"/>
              <w:rPr>
                <w:sz w:val="20"/>
                <w:szCs w:val="20"/>
                <w:color w:val="auto"/>
              </w:rPr>
            </w:pPr>
            <w:r>
              <w:rPr>
                <w:rFonts w:ascii="Arial" w:cs="Arial" w:eastAsia="Arial" w:hAnsi="Arial"/>
                <w:sz w:val="14"/>
                <w:szCs w:val="14"/>
                <w:b w:val="1"/>
                <w:bCs w:val="1"/>
                <w:color w:val="auto"/>
              </w:rPr>
              <w:t>Personal</w:t>
            </w:r>
          </w:p>
        </w:tc>
        <w:tc>
          <w:tcPr>
            <w:tcW w:w="640" w:type="dxa"/>
            <w:vAlign w:val="bottom"/>
            <w:shd w:val="clear" w:color="auto" w:fill="F2F2F2"/>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820" w:type="dxa"/>
            <w:vAlign w:val="bottom"/>
            <w:shd w:val="clear" w:color="auto" w:fill="F2F2F2"/>
          </w:tcPr>
          <w:p>
            <w:pPr>
              <w:spacing w:after="0"/>
              <w:rPr>
                <w:sz w:val="18"/>
                <w:szCs w:val="18"/>
                <w:color w:val="auto"/>
              </w:rPr>
            </w:pPr>
          </w:p>
        </w:tc>
        <w:tc>
          <w:tcPr>
            <w:tcW w:w="940" w:type="dxa"/>
            <w:vAlign w:val="bottom"/>
            <w:shd w:val="clear" w:color="auto" w:fill="F2F2F2"/>
          </w:tcPr>
          <w:p>
            <w:pPr>
              <w:jc w:val="center"/>
              <w:ind w:left="104"/>
              <w:spacing w:after="0"/>
              <w:rPr>
                <w:sz w:val="20"/>
                <w:szCs w:val="20"/>
                <w:color w:val="auto"/>
              </w:rPr>
            </w:pPr>
            <w:r>
              <w:rPr>
                <w:rFonts w:ascii="Arial" w:cs="Arial" w:eastAsia="Arial" w:hAnsi="Arial"/>
                <w:sz w:val="14"/>
                <w:szCs w:val="14"/>
                <w:b w:val="1"/>
                <w:bCs w:val="1"/>
                <w:color w:val="auto"/>
              </w:rPr>
              <w:t>Company</w:t>
            </w:r>
          </w:p>
        </w:tc>
        <w:tc>
          <w:tcPr>
            <w:tcW w:w="1320" w:type="dxa"/>
            <w:vAlign w:val="bottom"/>
            <w:shd w:val="clear" w:color="auto" w:fill="F2F2F2"/>
          </w:tcPr>
          <w:p>
            <w:pPr>
              <w:jc w:val="center"/>
              <w:ind w:left="85"/>
              <w:spacing w:after="0"/>
              <w:rPr>
                <w:sz w:val="20"/>
                <w:szCs w:val="20"/>
                <w:color w:val="auto"/>
              </w:rPr>
            </w:pPr>
            <w:r>
              <w:rPr>
                <w:rFonts w:ascii="Arial" w:cs="Arial" w:eastAsia="Arial" w:hAnsi="Arial"/>
                <w:sz w:val="14"/>
                <w:szCs w:val="14"/>
                <w:b w:val="1"/>
                <w:bCs w:val="1"/>
                <w:color w:val="auto"/>
              </w:rPr>
              <w:t>Contributions</w:t>
            </w:r>
          </w:p>
        </w:tc>
        <w:tc>
          <w:tcPr>
            <w:tcW w:w="1040" w:type="dxa"/>
            <w:vAlign w:val="bottom"/>
            <w:shd w:val="clear" w:color="auto" w:fill="F2F2F2"/>
          </w:tcPr>
          <w:p>
            <w:pPr>
              <w:jc w:val="center"/>
              <w:ind w:left="66"/>
              <w:spacing w:after="0"/>
              <w:rPr>
                <w:sz w:val="20"/>
                <w:szCs w:val="20"/>
                <w:color w:val="auto"/>
              </w:rPr>
            </w:pPr>
            <w:r>
              <w:rPr>
                <w:rFonts w:ascii="Arial" w:cs="Arial" w:eastAsia="Arial" w:hAnsi="Arial"/>
                <w:sz w:val="14"/>
                <w:szCs w:val="14"/>
                <w:b w:val="1"/>
                <w:bCs w:val="1"/>
                <w:color w:val="auto"/>
              </w:rPr>
              <w:t>Program</w:t>
            </w:r>
          </w:p>
        </w:tc>
        <w:tc>
          <w:tcPr>
            <w:tcW w:w="120" w:type="dxa"/>
            <w:vAlign w:val="bottom"/>
            <w:shd w:val="clear" w:color="auto" w:fill="F2F2F2"/>
          </w:tcPr>
          <w:p>
            <w:pPr>
              <w:spacing w:after="0"/>
              <w:rPr>
                <w:sz w:val="18"/>
                <w:szCs w:val="18"/>
                <w:color w:val="auto"/>
              </w:rPr>
            </w:pPr>
          </w:p>
        </w:tc>
        <w:tc>
          <w:tcPr>
            <w:tcW w:w="780" w:type="dxa"/>
            <w:vAlign w:val="bottom"/>
            <w:gridSpan w:val="2"/>
            <w:shd w:val="clear" w:color="auto" w:fill="F2F2F2"/>
          </w:tcPr>
          <w:p>
            <w:pPr>
              <w:jc w:val="center"/>
              <w:ind w:right="40"/>
              <w:spacing w:after="0"/>
              <w:rPr>
                <w:sz w:val="20"/>
                <w:szCs w:val="20"/>
                <w:color w:val="auto"/>
              </w:rPr>
            </w:pPr>
            <w:r>
              <w:rPr>
                <w:rFonts w:ascii="Arial" w:cs="Arial" w:eastAsia="Arial" w:hAnsi="Arial"/>
                <w:sz w:val="14"/>
                <w:szCs w:val="14"/>
                <w:b w:val="1"/>
                <w:bCs w:val="1"/>
                <w:color w:val="auto"/>
              </w:rPr>
              <w:t>Donation</w:t>
            </w:r>
          </w:p>
        </w:tc>
        <w:tc>
          <w:tcPr>
            <w:tcW w:w="940" w:type="dxa"/>
            <w:vAlign w:val="bottom"/>
            <w:shd w:val="clear" w:color="auto" w:fill="F2F2F2"/>
          </w:tcPr>
          <w:p>
            <w:pPr>
              <w:jc w:val="center"/>
              <w:ind w:left="6"/>
              <w:spacing w:after="0"/>
              <w:rPr>
                <w:sz w:val="20"/>
                <w:szCs w:val="20"/>
                <w:color w:val="auto"/>
              </w:rPr>
            </w:pPr>
            <w:r>
              <w:rPr>
                <w:rFonts w:ascii="Arial" w:cs="Arial" w:eastAsia="Arial" w:hAnsi="Arial"/>
                <w:sz w:val="14"/>
                <w:szCs w:val="14"/>
                <w:b w:val="1"/>
                <w:bCs w:val="1"/>
                <w:color w:val="auto"/>
              </w:rPr>
              <w:t>Benefts</w:t>
            </w:r>
          </w:p>
        </w:tc>
        <w:tc>
          <w:tcPr>
            <w:tcW w:w="1300" w:type="dxa"/>
            <w:vAlign w:val="bottom"/>
            <w:shd w:val="clear" w:color="auto" w:fill="F2F2F2"/>
          </w:tcPr>
          <w:p>
            <w:pPr>
              <w:jc w:val="center"/>
              <w:ind w:left="25"/>
              <w:spacing w:after="0"/>
              <w:rPr>
                <w:sz w:val="20"/>
                <w:szCs w:val="20"/>
                <w:color w:val="auto"/>
              </w:rPr>
            </w:pPr>
            <w:r>
              <w:rPr>
                <w:rFonts w:ascii="Arial" w:cs="Arial" w:eastAsia="Arial" w:hAnsi="Arial"/>
                <w:sz w:val="14"/>
                <w:szCs w:val="14"/>
                <w:b w:val="1"/>
                <w:bCs w:val="1"/>
                <w:color w:val="auto"/>
              </w:rPr>
              <w:t>Indemnifcation</w:t>
            </w:r>
          </w:p>
        </w:tc>
        <w:tc>
          <w:tcPr>
            <w:tcW w:w="820" w:type="dxa"/>
            <w:vAlign w:val="bottom"/>
            <w:shd w:val="clear" w:color="auto" w:fill="F2F2F2"/>
          </w:tcPr>
          <w:p>
            <w:pPr>
              <w:jc w:val="center"/>
              <w:spacing w:after="0"/>
              <w:rPr>
                <w:sz w:val="20"/>
                <w:szCs w:val="20"/>
                <w:color w:val="auto"/>
              </w:rPr>
            </w:pPr>
            <w:r>
              <w:rPr>
                <w:rFonts w:ascii="Arial" w:cs="Arial" w:eastAsia="Arial" w:hAnsi="Arial"/>
                <w:sz w:val="14"/>
                <w:szCs w:val="14"/>
                <w:b w:val="1"/>
                <w:bCs w:val="1"/>
                <w:color w:val="auto"/>
              </w:rPr>
              <w:t>Security</w:t>
            </w:r>
          </w:p>
        </w:tc>
        <w:tc>
          <w:tcPr>
            <w:tcW w:w="640" w:type="dxa"/>
            <w:vAlign w:val="bottom"/>
            <w:shd w:val="clear" w:color="auto" w:fill="F2F2F2"/>
          </w:tcPr>
          <w:p>
            <w:pPr>
              <w:jc w:val="right"/>
              <w:ind w:right="148"/>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8"/>
                <w:szCs w:val="18"/>
                <w:color w:val="auto"/>
              </w:rPr>
            </w:pPr>
          </w:p>
        </w:tc>
      </w:tr>
      <w:tr>
        <w:trPr>
          <w:trHeight w:val="223"/>
        </w:trPr>
        <w:tc>
          <w:tcPr>
            <w:tcW w:w="1820" w:type="dxa"/>
            <w:vAlign w:val="bottom"/>
            <w:tcBorders>
              <w:bottom w:val="single" w:sz="8" w:color="F2F2F2"/>
            </w:tcBorders>
            <w:shd w:val="clear" w:color="auto" w:fill="F2F2F2"/>
          </w:tcPr>
          <w:p>
            <w:pPr>
              <w:ind w:left="120"/>
              <w:spacing w:after="0"/>
              <w:rPr>
                <w:sz w:val="20"/>
                <w:szCs w:val="20"/>
                <w:color w:val="auto"/>
              </w:rPr>
            </w:pPr>
            <w:r>
              <w:rPr>
                <w:rFonts w:ascii="Arial" w:cs="Arial" w:eastAsia="Arial" w:hAnsi="Arial"/>
                <w:sz w:val="14"/>
                <w:szCs w:val="14"/>
                <w:b w:val="1"/>
                <w:bCs w:val="1"/>
                <w:color w:val="auto"/>
              </w:rPr>
              <w:t>Name</w:t>
            </w:r>
          </w:p>
        </w:tc>
        <w:tc>
          <w:tcPr>
            <w:tcW w:w="940" w:type="dxa"/>
            <w:vAlign w:val="bottom"/>
            <w:tcBorders>
              <w:bottom w:val="single" w:sz="8" w:color="F2F2F2"/>
            </w:tcBorders>
            <w:shd w:val="clear" w:color="auto" w:fill="F2F2F2"/>
          </w:tcPr>
          <w:p>
            <w:pPr>
              <w:jc w:val="center"/>
              <w:ind w:left="104"/>
              <w:spacing w:after="0" w:line="216" w:lineRule="exact"/>
              <w:rPr>
                <w:sz w:val="20"/>
                <w:szCs w:val="20"/>
                <w:color w:val="auto"/>
              </w:rPr>
            </w:pPr>
            <w:r>
              <w:rPr>
                <w:rFonts w:ascii="Arial" w:cs="Arial" w:eastAsia="Arial" w:hAnsi="Arial"/>
                <w:sz w:val="25"/>
                <w:szCs w:val="25"/>
                <w:b w:val="1"/>
                <w:bCs w:val="1"/>
                <w:color w:val="auto"/>
                <w:w w:val="98"/>
                <w:vertAlign w:val="subscript"/>
              </w:rPr>
              <w:t>($)</w:t>
            </w:r>
            <w:r>
              <w:rPr>
                <w:rFonts w:ascii="Arial" w:cs="Arial" w:eastAsia="Arial" w:hAnsi="Arial"/>
                <w:sz w:val="10"/>
                <w:szCs w:val="10"/>
                <w:b w:val="1"/>
                <w:bCs w:val="1"/>
                <w:color w:val="auto"/>
                <w:w w:val="98"/>
              </w:rPr>
              <w:t>(a)</w:t>
            </w:r>
          </w:p>
        </w:tc>
        <w:tc>
          <w:tcPr>
            <w:tcW w:w="1320" w:type="dxa"/>
            <w:vAlign w:val="bottom"/>
            <w:tcBorders>
              <w:bottom w:val="single" w:sz="8" w:color="F2F2F2"/>
            </w:tcBorders>
            <w:shd w:val="clear" w:color="auto" w:fill="F2F2F2"/>
          </w:tcPr>
          <w:p>
            <w:pPr>
              <w:jc w:val="center"/>
              <w:ind w:left="85"/>
              <w:spacing w:after="0" w:line="216" w:lineRule="exact"/>
              <w:rPr>
                <w:sz w:val="20"/>
                <w:szCs w:val="20"/>
                <w:color w:val="auto"/>
              </w:rPr>
            </w:pPr>
            <w:r>
              <w:rPr>
                <w:rFonts w:ascii="Arial" w:cs="Arial" w:eastAsia="Arial" w:hAnsi="Arial"/>
                <w:sz w:val="25"/>
                <w:szCs w:val="25"/>
                <w:b w:val="1"/>
                <w:bCs w:val="1"/>
                <w:color w:val="auto"/>
                <w:w w:val="96"/>
                <w:vertAlign w:val="subscript"/>
              </w:rPr>
              <w:t>($)</w:t>
            </w:r>
            <w:r>
              <w:rPr>
                <w:rFonts w:ascii="Arial" w:cs="Arial" w:eastAsia="Arial" w:hAnsi="Arial"/>
                <w:sz w:val="10"/>
                <w:szCs w:val="10"/>
                <w:b w:val="1"/>
                <w:bCs w:val="1"/>
                <w:color w:val="auto"/>
                <w:w w:val="96"/>
              </w:rPr>
              <w:t>(b)</w:t>
            </w:r>
          </w:p>
        </w:tc>
        <w:tc>
          <w:tcPr>
            <w:tcW w:w="1040" w:type="dxa"/>
            <w:vAlign w:val="bottom"/>
            <w:tcBorders>
              <w:bottom w:val="single" w:sz="8" w:color="F2F2F2"/>
            </w:tcBorders>
            <w:shd w:val="clear" w:color="auto" w:fill="F2F2F2"/>
          </w:tcPr>
          <w:p>
            <w:pPr>
              <w:jc w:val="center"/>
              <w:ind w:left="46"/>
              <w:spacing w:after="0" w:line="216" w:lineRule="exact"/>
              <w:rPr>
                <w:sz w:val="20"/>
                <w:szCs w:val="20"/>
                <w:color w:val="auto"/>
              </w:rPr>
            </w:pPr>
            <w:r>
              <w:rPr>
                <w:rFonts w:ascii="Arial" w:cs="Arial" w:eastAsia="Arial" w:hAnsi="Arial"/>
                <w:sz w:val="25"/>
                <w:szCs w:val="25"/>
                <w:b w:val="1"/>
                <w:bCs w:val="1"/>
                <w:color w:val="auto"/>
                <w:w w:val="96"/>
                <w:vertAlign w:val="subscript"/>
              </w:rPr>
              <w:t>($)</w:t>
            </w:r>
            <w:r>
              <w:rPr>
                <w:rFonts w:ascii="Arial" w:cs="Arial" w:eastAsia="Arial" w:hAnsi="Arial"/>
                <w:sz w:val="10"/>
                <w:szCs w:val="10"/>
                <w:b w:val="1"/>
                <w:bCs w:val="1"/>
                <w:color w:val="auto"/>
                <w:w w:val="96"/>
              </w:rPr>
              <w:t>(b)</w:t>
            </w:r>
          </w:p>
        </w:tc>
        <w:tc>
          <w:tcPr>
            <w:tcW w:w="120" w:type="dxa"/>
            <w:vAlign w:val="bottom"/>
            <w:tcBorders>
              <w:bottom w:val="single" w:sz="8" w:color="F2F2F2"/>
            </w:tcBorders>
            <w:shd w:val="clear" w:color="auto" w:fill="F2F2F2"/>
          </w:tcPr>
          <w:p>
            <w:pPr>
              <w:spacing w:after="0"/>
              <w:rPr>
                <w:sz w:val="19"/>
                <w:szCs w:val="19"/>
                <w:color w:val="auto"/>
              </w:rPr>
            </w:pPr>
          </w:p>
        </w:tc>
        <w:tc>
          <w:tcPr>
            <w:tcW w:w="780" w:type="dxa"/>
            <w:vAlign w:val="bottom"/>
            <w:tcBorders>
              <w:bottom w:val="single" w:sz="8" w:color="F2F2F2"/>
            </w:tcBorders>
            <w:gridSpan w:val="2"/>
            <w:shd w:val="clear" w:color="auto" w:fill="F2F2F2"/>
          </w:tcPr>
          <w:p>
            <w:pPr>
              <w:jc w:val="center"/>
              <w:ind w:right="40"/>
              <w:spacing w:after="0" w:line="216" w:lineRule="exact"/>
              <w:rPr>
                <w:sz w:val="20"/>
                <w:szCs w:val="20"/>
                <w:color w:val="auto"/>
              </w:rPr>
            </w:pPr>
            <w:r>
              <w:rPr>
                <w:rFonts w:ascii="Arial" w:cs="Arial" w:eastAsia="Arial" w:hAnsi="Arial"/>
                <w:sz w:val="25"/>
                <w:szCs w:val="25"/>
                <w:b w:val="1"/>
                <w:bCs w:val="1"/>
                <w:color w:val="auto"/>
                <w:w w:val="91"/>
                <w:vertAlign w:val="subscript"/>
              </w:rPr>
              <w:t>($)</w:t>
            </w:r>
            <w:r>
              <w:rPr>
                <w:rFonts w:ascii="Arial" w:cs="Arial" w:eastAsia="Arial" w:hAnsi="Arial"/>
                <w:sz w:val="10"/>
                <w:szCs w:val="10"/>
                <w:b w:val="1"/>
                <w:bCs w:val="1"/>
                <w:color w:val="auto"/>
                <w:w w:val="91"/>
              </w:rPr>
              <w:t>(c)</w:t>
            </w:r>
          </w:p>
        </w:tc>
        <w:tc>
          <w:tcPr>
            <w:tcW w:w="940" w:type="dxa"/>
            <w:vAlign w:val="bottom"/>
            <w:tcBorders>
              <w:bottom w:val="single" w:sz="8" w:color="F2F2F2"/>
            </w:tcBorders>
            <w:shd w:val="clear" w:color="auto" w:fill="F2F2F2"/>
          </w:tcPr>
          <w:p>
            <w:pPr>
              <w:ind w:left="360"/>
              <w:spacing w:after="0" w:line="216"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0"/>
                <w:szCs w:val="10"/>
                <w:b w:val="1"/>
                <w:bCs w:val="1"/>
                <w:color w:val="auto"/>
              </w:rPr>
              <w:t>(d)</w:t>
            </w:r>
          </w:p>
        </w:tc>
        <w:tc>
          <w:tcPr>
            <w:tcW w:w="1300" w:type="dxa"/>
            <w:vAlign w:val="bottom"/>
            <w:tcBorders>
              <w:bottom w:val="single" w:sz="8" w:color="F2F2F2"/>
            </w:tcBorders>
            <w:shd w:val="clear" w:color="auto" w:fill="F2F2F2"/>
          </w:tcPr>
          <w:p>
            <w:pPr>
              <w:jc w:val="center"/>
              <w:ind w:left="25"/>
              <w:spacing w:after="0" w:line="216" w:lineRule="exact"/>
              <w:rPr>
                <w:sz w:val="20"/>
                <w:szCs w:val="20"/>
                <w:color w:val="auto"/>
              </w:rPr>
            </w:pPr>
            <w:r>
              <w:rPr>
                <w:rFonts w:ascii="Arial" w:cs="Arial" w:eastAsia="Arial" w:hAnsi="Arial"/>
                <w:sz w:val="25"/>
                <w:szCs w:val="25"/>
                <w:b w:val="1"/>
                <w:bCs w:val="1"/>
                <w:color w:val="auto"/>
                <w:w w:val="98"/>
                <w:vertAlign w:val="subscript"/>
              </w:rPr>
              <w:t>($)</w:t>
            </w:r>
            <w:r>
              <w:rPr>
                <w:rFonts w:ascii="Arial" w:cs="Arial" w:eastAsia="Arial" w:hAnsi="Arial"/>
                <w:sz w:val="10"/>
                <w:szCs w:val="10"/>
                <w:b w:val="1"/>
                <w:bCs w:val="1"/>
                <w:color w:val="auto"/>
                <w:w w:val="98"/>
              </w:rPr>
              <w:t>(e)</w:t>
            </w:r>
          </w:p>
        </w:tc>
        <w:tc>
          <w:tcPr>
            <w:tcW w:w="820" w:type="dxa"/>
            <w:vAlign w:val="bottom"/>
            <w:tcBorders>
              <w:bottom w:val="single" w:sz="8" w:color="F2F2F2"/>
            </w:tcBorders>
            <w:shd w:val="clear" w:color="auto" w:fill="F2F2F2"/>
          </w:tcPr>
          <w:p>
            <w:pPr>
              <w:jc w:val="center"/>
              <w:spacing w:after="0" w:line="216" w:lineRule="exact"/>
              <w:rPr>
                <w:sz w:val="20"/>
                <w:szCs w:val="20"/>
                <w:color w:val="auto"/>
              </w:rPr>
            </w:pPr>
            <w:r>
              <w:rPr>
                <w:rFonts w:ascii="Arial" w:cs="Arial" w:eastAsia="Arial" w:hAnsi="Arial"/>
                <w:sz w:val="25"/>
                <w:szCs w:val="25"/>
                <w:b w:val="1"/>
                <w:bCs w:val="1"/>
                <w:color w:val="auto"/>
                <w:w w:val="98"/>
                <w:vertAlign w:val="subscript"/>
              </w:rPr>
              <w:t>($)</w:t>
            </w:r>
            <w:r>
              <w:rPr>
                <w:rFonts w:ascii="Arial" w:cs="Arial" w:eastAsia="Arial" w:hAnsi="Arial"/>
                <w:sz w:val="10"/>
                <w:szCs w:val="10"/>
                <w:b w:val="1"/>
                <w:bCs w:val="1"/>
                <w:color w:val="auto"/>
                <w:w w:val="98"/>
              </w:rPr>
              <w:t>(f)</w:t>
            </w:r>
          </w:p>
        </w:tc>
        <w:tc>
          <w:tcPr>
            <w:tcW w:w="640" w:type="dxa"/>
            <w:vAlign w:val="bottom"/>
            <w:tcBorders>
              <w:bottom w:val="single" w:sz="8" w:color="F2F2F2"/>
            </w:tcBorders>
            <w:shd w:val="clear" w:color="auto" w:fill="F2F2F2"/>
          </w:tcPr>
          <w:p>
            <w:pPr>
              <w:jc w:val="right"/>
              <w:ind w:right="228"/>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9"/>
                <w:szCs w:val="19"/>
                <w:color w:val="auto"/>
              </w:rPr>
            </w:pPr>
          </w:p>
        </w:tc>
      </w:tr>
      <w:tr>
        <w:trPr>
          <w:trHeight w:val="392"/>
        </w:trPr>
        <w:tc>
          <w:tcPr>
            <w:tcW w:w="1820" w:type="dxa"/>
            <w:vAlign w:val="bottom"/>
            <w:tcBorders>
              <w:bottom w:val="single" w:sz="8" w:color="808080"/>
            </w:tcBorders>
          </w:tcPr>
          <w:p>
            <w:pPr>
              <w:ind w:left="120"/>
              <w:spacing w:after="0"/>
              <w:rPr>
                <w:sz w:val="20"/>
                <w:szCs w:val="20"/>
                <w:color w:val="auto"/>
              </w:rPr>
            </w:pPr>
            <w:r>
              <w:rPr>
                <w:rFonts w:ascii="Arial" w:cs="Arial" w:eastAsia="Arial" w:hAnsi="Arial"/>
                <w:sz w:val="16"/>
                <w:szCs w:val="16"/>
                <w:color w:val="auto"/>
              </w:rPr>
              <w:t>Scott  Kirby</w:t>
            </w:r>
          </w:p>
        </w:tc>
        <w:tc>
          <w:tcPr>
            <w:tcW w:w="940" w:type="dxa"/>
            <w:vAlign w:val="bottom"/>
            <w:tcBorders>
              <w:bottom w:val="single" w:sz="8" w:color="808080"/>
            </w:tcBorders>
          </w:tcPr>
          <w:p>
            <w:pPr>
              <w:jc w:val="right"/>
              <w:spacing w:after="0"/>
              <w:rPr>
                <w:sz w:val="20"/>
                <w:szCs w:val="20"/>
                <w:color w:val="auto"/>
              </w:rPr>
            </w:pPr>
            <w:r>
              <w:rPr>
                <w:rFonts w:ascii="Arial" w:cs="Arial" w:eastAsia="Arial" w:hAnsi="Arial"/>
                <w:sz w:val="16"/>
                <w:szCs w:val="16"/>
                <w:color w:val="auto"/>
              </w:rPr>
              <w:t>13,850</w:t>
            </w:r>
          </w:p>
        </w:tc>
        <w:tc>
          <w:tcPr>
            <w:tcW w:w="1320" w:type="dxa"/>
            <w:vAlign w:val="bottom"/>
            <w:tcBorders>
              <w:bottom w:val="single" w:sz="8" w:color="808080"/>
            </w:tcBorders>
          </w:tcPr>
          <w:p>
            <w:pPr>
              <w:jc w:val="right"/>
              <w:spacing w:after="0"/>
              <w:rPr>
                <w:sz w:val="20"/>
                <w:szCs w:val="20"/>
                <w:color w:val="auto"/>
              </w:rPr>
            </w:pPr>
            <w:r>
              <w:rPr>
                <w:rFonts w:ascii="Arial" w:cs="Arial" w:eastAsia="Arial" w:hAnsi="Arial"/>
                <w:sz w:val="16"/>
                <w:szCs w:val="16"/>
                <w:color w:val="auto"/>
              </w:rPr>
              <w:t>24,500</w:t>
            </w:r>
          </w:p>
        </w:tc>
        <w:tc>
          <w:tcPr>
            <w:tcW w:w="1040" w:type="dxa"/>
            <w:vAlign w:val="bottom"/>
            <w:tcBorders>
              <w:bottom w:val="single" w:sz="8" w:color="808080"/>
            </w:tcBorders>
          </w:tcPr>
          <w:p>
            <w:pPr>
              <w:jc w:val="right"/>
              <w:ind w:right="6"/>
              <w:spacing w:after="0"/>
              <w:rPr>
                <w:sz w:val="20"/>
                <w:szCs w:val="20"/>
                <w:color w:val="auto"/>
              </w:rPr>
            </w:pPr>
            <w:r>
              <w:rPr>
                <w:rFonts w:ascii="Arial" w:cs="Arial" w:eastAsia="Arial" w:hAnsi="Arial"/>
                <w:sz w:val="16"/>
                <w:szCs w:val="16"/>
                <w:color w:val="auto"/>
              </w:rPr>
              <w:t>59,500</w:t>
            </w:r>
          </w:p>
        </w:tc>
        <w:tc>
          <w:tcPr>
            <w:tcW w:w="120" w:type="dxa"/>
            <w:vAlign w:val="bottom"/>
            <w:tcBorders>
              <w:bottom w:val="single" w:sz="8" w:color="808080"/>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33,000</w:t>
            </w:r>
          </w:p>
        </w:tc>
        <w:tc>
          <w:tcPr>
            <w:tcW w:w="4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ind w:left="340"/>
              <w:spacing w:after="0"/>
              <w:rPr>
                <w:sz w:val="20"/>
                <w:szCs w:val="20"/>
                <w:color w:val="auto"/>
              </w:rPr>
            </w:pPr>
            <w:r>
              <w:rPr>
                <w:rFonts w:ascii="Arial" w:cs="Arial" w:eastAsia="Arial" w:hAnsi="Arial"/>
                <w:sz w:val="16"/>
                <w:szCs w:val="16"/>
                <w:color w:val="auto"/>
              </w:rPr>
              <w:t>69,754</w:t>
            </w:r>
          </w:p>
        </w:tc>
        <w:tc>
          <w:tcPr>
            <w:tcW w:w="1300" w:type="dxa"/>
            <w:vAlign w:val="bottom"/>
            <w:tcBorders>
              <w:bottom w:val="single" w:sz="8" w:color="808080"/>
            </w:tcBorders>
          </w:tcPr>
          <w:p>
            <w:pPr>
              <w:jc w:val="right"/>
              <w:ind w:right="5"/>
              <w:spacing w:after="0"/>
              <w:rPr>
                <w:sz w:val="20"/>
                <w:szCs w:val="20"/>
                <w:color w:val="auto"/>
              </w:rPr>
            </w:pPr>
            <w:r>
              <w:rPr>
                <w:rFonts w:ascii="Arial" w:cs="Arial" w:eastAsia="Arial" w:hAnsi="Arial"/>
                <w:sz w:val="16"/>
                <w:szCs w:val="16"/>
                <w:color w:val="auto"/>
              </w:rPr>
              <w:t>32,723</w:t>
            </w:r>
          </w:p>
        </w:tc>
        <w:tc>
          <w:tcPr>
            <w:tcW w:w="1460" w:type="dxa"/>
            <w:vAlign w:val="bottom"/>
            <w:tcBorders>
              <w:bottom w:val="single" w:sz="8" w:color="808080"/>
            </w:tcBorders>
            <w:gridSpan w:val="2"/>
          </w:tcPr>
          <w:p>
            <w:pPr>
              <w:jc w:val="right"/>
              <w:ind w:right="48"/>
              <w:spacing w:after="0"/>
              <w:rPr>
                <w:sz w:val="20"/>
                <w:szCs w:val="20"/>
                <w:color w:val="auto"/>
              </w:rPr>
            </w:pPr>
            <w:r>
              <w:rPr>
                <w:rFonts w:ascii="Arial" w:cs="Arial" w:eastAsia="Arial" w:hAnsi="Arial"/>
                <w:sz w:val="16"/>
                <w:szCs w:val="16"/>
                <w:color w:val="auto"/>
              </w:rPr>
              <w:t>273,122 506,449</w:t>
            </w:r>
          </w:p>
        </w:tc>
        <w:tc>
          <w:tcPr>
            <w:tcW w:w="40" w:type="dxa"/>
            <w:vAlign w:val="bottom"/>
          </w:tcPr>
          <w:p>
            <w:pPr>
              <w:spacing w:after="0"/>
              <w:rPr>
                <w:sz w:val="24"/>
                <w:szCs w:val="24"/>
                <w:color w:val="auto"/>
              </w:rPr>
            </w:pPr>
          </w:p>
        </w:tc>
      </w:tr>
      <w:tr>
        <w:trPr>
          <w:trHeight w:val="385"/>
        </w:trPr>
        <w:tc>
          <w:tcPr>
            <w:tcW w:w="1820" w:type="dxa"/>
            <w:vAlign w:val="bottom"/>
            <w:tcBorders>
              <w:bottom w:val="single" w:sz="8" w:color="808080"/>
            </w:tcBorders>
          </w:tcPr>
          <w:p>
            <w:pPr>
              <w:ind w:left="120"/>
              <w:spacing w:after="0"/>
              <w:rPr>
                <w:sz w:val="20"/>
                <w:szCs w:val="20"/>
                <w:color w:val="auto"/>
              </w:rPr>
            </w:pPr>
            <w:r>
              <w:rPr>
                <w:rFonts w:ascii="Arial" w:cs="Arial" w:eastAsia="Arial" w:hAnsi="Arial"/>
                <w:sz w:val="16"/>
                <w:szCs w:val="16"/>
                <w:color w:val="auto"/>
              </w:rPr>
              <w:t>Michael  Leskinen</w:t>
            </w:r>
          </w:p>
        </w:tc>
        <w:tc>
          <w:tcPr>
            <w:tcW w:w="940" w:type="dxa"/>
            <w:vAlign w:val="bottom"/>
            <w:tcBorders>
              <w:bottom w:val="single" w:sz="8" w:color="808080"/>
            </w:tcBorders>
          </w:tcPr>
          <w:p>
            <w:pPr>
              <w:jc w:val="right"/>
              <w:spacing w:after="0"/>
              <w:rPr>
                <w:sz w:val="20"/>
                <w:szCs w:val="20"/>
                <w:color w:val="auto"/>
              </w:rPr>
            </w:pPr>
            <w:r>
              <w:rPr>
                <w:rFonts w:ascii="Arial" w:cs="Arial" w:eastAsia="Arial" w:hAnsi="Arial"/>
                <w:sz w:val="16"/>
                <w:szCs w:val="16"/>
                <w:color w:val="auto"/>
              </w:rPr>
              <w:t>3,485</w:t>
            </w:r>
          </w:p>
        </w:tc>
        <w:tc>
          <w:tcPr>
            <w:tcW w:w="1320" w:type="dxa"/>
            <w:vAlign w:val="bottom"/>
            <w:tcBorders>
              <w:bottom w:val="single" w:sz="8" w:color="808080"/>
            </w:tcBorders>
          </w:tcPr>
          <w:p>
            <w:pPr>
              <w:jc w:val="right"/>
              <w:spacing w:after="0"/>
              <w:rPr>
                <w:sz w:val="20"/>
                <w:szCs w:val="20"/>
                <w:color w:val="auto"/>
              </w:rPr>
            </w:pPr>
            <w:r>
              <w:rPr>
                <w:rFonts w:ascii="Arial" w:cs="Arial" w:eastAsia="Arial" w:hAnsi="Arial"/>
                <w:sz w:val="16"/>
                <w:szCs w:val="16"/>
                <w:color w:val="auto"/>
              </w:rPr>
              <w:t>22,750</w:t>
            </w:r>
          </w:p>
        </w:tc>
        <w:tc>
          <w:tcPr>
            <w:tcW w:w="1040" w:type="dxa"/>
            <w:vAlign w:val="bottom"/>
            <w:tcBorders>
              <w:bottom w:val="single" w:sz="8" w:color="808080"/>
            </w:tcBorders>
          </w:tcPr>
          <w:p>
            <w:pPr>
              <w:jc w:val="right"/>
              <w:ind w:right="6"/>
              <w:spacing w:after="0"/>
              <w:rPr>
                <w:sz w:val="20"/>
                <w:szCs w:val="20"/>
                <w:color w:val="auto"/>
              </w:rPr>
            </w:pPr>
            <w:r>
              <w:rPr>
                <w:rFonts w:ascii="Arial" w:cs="Arial" w:eastAsia="Arial" w:hAnsi="Arial"/>
                <w:sz w:val="16"/>
                <w:szCs w:val="16"/>
                <w:color w:val="auto"/>
              </w:rPr>
              <w:t>32,175</w:t>
            </w:r>
          </w:p>
        </w:tc>
        <w:tc>
          <w:tcPr>
            <w:tcW w:w="120" w:type="dxa"/>
            <w:vAlign w:val="bottom"/>
            <w:tcBorders>
              <w:bottom w:val="single" w:sz="8" w:color="808080"/>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3,800</w:t>
            </w:r>
          </w:p>
        </w:tc>
        <w:tc>
          <w:tcPr>
            <w:tcW w:w="4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ind w:left="340"/>
              <w:spacing w:after="0"/>
              <w:rPr>
                <w:sz w:val="20"/>
                <w:szCs w:val="20"/>
                <w:color w:val="auto"/>
              </w:rPr>
            </w:pPr>
            <w:r>
              <w:rPr>
                <w:rFonts w:ascii="Arial" w:cs="Arial" w:eastAsia="Arial" w:hAnsi="Arial"/>
                <w:sz w:val="16"/>
                <w:szCs w:val="16"/>
                <w:color w:val="auto"/>
              </w:rPr>
              <w:t>46,993</w:t>
            </w:r>
          </w:p>
        </w:tc>
        <w:tc>
          <w:tcPr>
            <w:tcW w:w="1300" w:type="dxa"/>
            <w:vAlign w:val="bottom"/>
            <w:tcBorders>
              <w:bottom w:val="single" w:sz="8" w:color="808080"/>
            </w:tcBorders>
          </w:tcPr>
          <w:p>
            <w:pPr>
              <w:jc w:val="right"/>
              <w:ind w:right="5"/>
              <w:spacing w:after="0"/>
              <w:rPr>
                <w:sz w:val="20"/>
                <w:szCs w:val="20"/>
                <w:color w:val="auto"/>
              </w:rPr>
            </w:pPr>
            <w:r>
              <w:rPr>
                <w:rFonts w:ascii="Arial" w:cs="Arial" w:eastAsia="Arial" w:hAnsi="Arial"/>
                <w:sz w:val="16"/>
                <w:szCs w:val="16"/>
                <w:color w:val="auto"/>
              </w:rPr>
              <w:t>34,061</w:t>
            </w:r>
          </w:p>
        </w:tc>
        <w:tc>
          <w:tcPr>
            <w:tcW w:w="1460" w:type="dxa"/>
            <w:vAlign w:val="bottom"/>
            <w:tcBorders>
              <w:bottom w:val="single" w:sz="8" w:color="808080"/>
            </w:tcBorders>
            <w:gridSpan w:val="2"/>
          </w:tcPr>
          <w:p>
            <w:pPr>
              <w:jc w:val="right"/>
              <w:ind w:right="48"/>
              <w:spacing w:after="0"/>
              <w:rPr>
                <w:sz w:val="20"/>
                <w:szCs w:val="20"/>
                <w:color w:val="auto"/>
              </w:rPr>
            </w:pPr>
            <w:r>
              <w:rPr>
                <w:rFonts w:ascii="Arial" w:cs="Arial" w:eastAsia="Arial" w:hAnsi="Arial"/>
                <w:sz w:val="16"/>
                <w:szCs w:val="16"/>
                <w:color w:val="auto"/>
              </w:rPr>
              <w:t>—  143,264</w:t>
            </w:r>
          </w:p>
        </w:tc>
        <w:tc>
          <w:tcPr>
            <w:tcW w:w="40" w:type="dxa"/>
            <w:vAlign w:val="bottom"/>
          </w:tcPr>
          <w:p>
            <w:pPr>
              <w:spacing w:after="0"/>
              <w:rPr>
                <w:sz w:val="24"/>
                <w:szCs w:val="24"/>
                <w:color w:val="auto"/>
              </w:rPr>
            </w:pPr>
          </w:p>
        </w:tc>
      </w:tr>
      <w:tr>
        <w:trPr>
          <w:trHeight w:val="385"/>
        </w:trPr>
        <w:tc>
          <w:tcPr>
            <w:tcW w:w="1820" w:type="dxa"/>
            <w:vAlign w:val="bottom"/>
            <w:tcBorders>
              <w:bottom w:val="single" w:sz="8" w:color="808080"/>
            </w:tcBorders>
          </w:tcPr>
          <w:p>
            <w:pPr>
              <w:ind w:left="120"/>
              <w:spacing w:after="0"/>
              <w:rPr>
                <w:sz w:val="20"/>
                <w:szCs w:val="20"/>
                <w:color w:val="auto"/>
              </w:rPr>
            </w:pPr>
            <w:r>
              <w:rPr>
                <w:rFonts w:ascii="Arial" w:cs="Arial" w:eastAsia="Arial" w:hAnsi="Arial"/>
                <w:sz w:val="16"/>
                <w:szCs w:val="16"/>
                <w:color w:val="auto"/>
              </w:rPr>
              <w:t>Brett  Hart</w:t>
            </w:r>
          </w:p>
        </w:tc>
        <w:tc>
          <w:tcPr>
            <w:tcW w:w="940" w:type="dxa"/>
            <w:vAlign w:val="bottom"/>
            <w:tcBorders>
              <w:bottom w:val="single" w:sz="8" w:color="808080"/>
            </w:tcBorders>
          </w:tcPr>
          <w:p>
            <w:pPr>
              <w:jc w:val="right"/>
              <w:spacing w:after="0"/>
              <w:rPr>
                <w:sz w:val="20"/>
                <w:szCs w:val="20"/>
                <w:color w:val="auto"/>
              </w:rPr>
            </w:pPr>
            <w:r>
              <w:rPr>
                <w:rFonts w:ascii="Arial" w:cs="Arial" w:eastAsia="Arial" w:hAnsi="Arial"/>
                <w:sz w:val="16"/>
                <w:szCs w:val="16"/>
                <w:color w:val="auto"/>
              </w:rPr>
              <w:t>11,883</w:t>
            </w:r>
          </w:p>
        </w:tc>
        <w:tc>
          <w:tcPr>
            <w:tcW w:w="1320" w:type="dxa"/>
            <w:vAlign w:val="bottom"/>
            <w:tcBorders>
              <w:bottom w:val="single" w:sz="8" w:color="808080"/>
            </w:tcBorders>
          </w:tcPr>
          <w:p>
            <w:pPr>
              <w:jc w:val="right"/>
              <w:spacing w:after="0"/>
              <w:rPr>
                <w:sz w:val="20"/>
                <w:szCs w:val="20"/>
                <w:color w:val="auto"/>
              </w:rPr>
            </w:pPr>
            <w:r>
              <w:rPr>
                <w:rFonts w:ascii="Arial" w:cs="Arial" w:eastAsia="Arial" w:hAnsi="Arial"/>
                <w:sz w:val="16"/>
                <w:szCs w:val="16"/>
                <w:color w:val="auto"/>
              </w:rPr>
              <w:t>24,500</w:t>
            </w:r>
          </w:p>
        </w:tc>
        <w:tc>
          <w:tcPr>
            <w:tcW w:w="1040" w:type="dxa"/>
            <w:vAlign w:val="bottom"/>
            <w:tcBorders>
              <w:bottom w:val="single" w:sz="8" w:color="808080"/>
            </w:tcBorders>
          </w:tcPr>
          <w:p>
            <w:pPr>
              <w:jc w:val="right"/>
              <w:ind w:right="6"/>
              <w:spacing w:after="0"/>
              <w:rPr>
                <w:sz w:val="20"/>
                <w:szCs w:val="20"/>
                <w:color w:val="auto"/>
              </w:rPr>
            </w:pPr>
            <w:r>
              <w:rPr>
                <w:rFonts w:ascii="Arial" w:cs="Arial" w:eastAsia="Arial" w:hAnsi="Arial"/>
                <w:sz w:val="16"/>
                <w:szCs w:val="16"/>
                <w:color w:val="auto"/>
              </w:rPr>
              <w:t>45,500</w:t>
            </w:r>
          </w:p>
        </w:tc>
        <w:tc>
          <w:tcPr>
            <w:tcW w:w="12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808080"/>
            </w:tcBorders>
          </w:tcPr>
          <w:p>
            <w:pPr>
              <w:ind w:left="340"/>
              <w:spacing w:after="0"/>
              <w:rPr>
                <w:sz w:val="20"/>
                <w:szCs w:val="20"/>
                <w:color w:val="auto"/>
              </w:rPr>
            </w:pPr>
            <w:r>
              <w:rPr>
                <w:rFonts w:ascii="Arial" w:cs="Arial" w:eastAsia="Arial" w:hAnsi="Arial"/>
                <w:sz w:val="16"/>
                <w:szCs w:val="16"/>
                <w:color w:val="auto"/>
              </w:rPr>
              <w:t>40,908</w:t>
            </w:r>
          </w:p>
        </w:tc>
        <w:tc>
          <w:tcPr>
            <w:tcW w:w="1300" w:type="dxa"/>
            <w:vAlign w:val="bottom"/>
            <w:tcBorders>
              <w:bottom w:val="single" w:sz="8" w:color="808080"/>
            </w:tcBorders>
          </w:tcPr>
          <w:p>
            <w:pPr>
              <w:jc w:val="right"/>
              <w:ind w:right="5"/>
              <w:spacing w:after="0"/>
              <w:rPr>
                <w:sz w:val="20"/>
                <w:szCs w:val="20"/>
                <w:color w:val="auto"/>
              </w:rPr>
            </w:pPr>
            <w:r>
              <w:rPr>
                <w:rFonts w:ascii="Arial" w:cs="Arial" w:eastAsia="Arial" w:hAnsi="Arial"/>
                <w:sz w:val="16"/>
                <w:szCs w:val="16"/>
                <w:color w:val="auto"/>
              </w:rPr>
              <w:t>25,287</w:t>
            </w:r>
          </w:p>
        </w:tc>
        <w:tc>
          <w:tcPr>
            <w:tcW w:w="1460" w:type="dxa"/>
            <w:vAlign w:val="bottom"/>
            <w:tcBorders>
              <w:bottom w:val="single" w:sz="8" w:color="808080"/>
            </w:tcBorders>
            <w:gridSpan w:val="2"/>
          </w:tcPr>
          <w:p>
            <w:pPr>
              <w:jc w:val="right"/>
              <w:ind w:right="48"/>
              <w:spacing w:after="0"/>
              <w:rPr>
                <w:sz w:val="20"/>
                <w:szCs w:val="20"/>
                <w:color w:val="auto"/>
              </w:rPr>
            </w:pPr>
            <w:r>
              <w:rPr>
                <w:rFonts w:ascii="Arial" w:cs="Arial" w:eastAsia="Arial" w:hAnsi="Arial"/>
                <w:sz w:val="16"/>
                <w:szCs w:val="16"/>
                <w:color w:val="auto"/>
              </w:rPr>
              <w:t>—  148,078</w:t>
            </w:r>
          </w:p>
        </w:tc>
        <w:tc>
          <w:tcPr>
            <w:tcW w:w="40" w:type="dxa"/>
            <w:vAlign w:val="bottom"/>
          </w:tcPr>
          <w:p>
            <w:pPr>
              <w:spacing w:after="0"/>
              <w:rPr>
                <w:sz w:val="24"/>
                <w:szCs w:val="24"/>
                <w:color w:val="auto"/>
              </w:rPr>
            </w:pPr>
          </w:p>
        </w:tc>
      </w:tr>
      <w:tr>
        <w:trPr>
          <w:trHeight w:val="385"/>
        </w:trPr>
        <w:tc>
          <w:tcPr>
            <w:tcW w:w="1820" w:type="dxa"/>
            <w:vAlign w:val="bottom"/>
            <w:tcBorders>
              <w:bottom w:val="single" w:sz="8" w:color="808080"/>
            </w:tcBorders>
          </w:tcPr>
          <w:p>
            <w:pPr>
              <w:ind w:left="120"/>
              <w:spacing w:after="0"/>
              <w:rPr>
                <w:sz w:val="20"/>
                <w:szCs w:val="20"/>
                <w:color w:val="auto"/>
              </w:rPr>
            </w:pPr>
            <w:r>
              <w:rPr>
                <w:rFonts w:ascii="Arial" w:cs="Arial" w:eastAsia="Arial" w:hAnsi="Arial"/>
                <w:sz w:val="16"/>
                <w:szCs w:val="16"/>
                <w:color w:val="auto"/>
              </w:rPr>
              <w:t>Torbjorn  Enqvist</w:t>
            </w:r>
          </w:p>
        </w:tc>
        <w:tc>
          <w:tcPr>
            <w:tcW w:w="940" w:type="dxa"/>
            <w:vAlign w:val="bottom"/>
            <w:tcBorders>
              <w:bottom w:val="single" w:sz="8" w:color="808080"/>
            </w:tcBorders>
          </w:tcPr>
          <w:p>
            <w:pPr>
              <w:jc w:val="right"/>
              <w:spacing w:after="0"/>
              <w:rPr>
                <w:sz w:val="20"/>
                <w:szCs w:val="20"/>
                <w:color w:val="auto"/>
              </w:rPr>
            </w:pPr>
            <w:r>
              <w:rPr>
                <w:rFonts w:ascii="Arial" w:cs="Arial" w:eastAsia="Arial" w:hAnsi="Arial"/>
                <w:sz w:val="16"/>
                <w:szCs w:val="16"/>
                <w:color w:val="auto"/>
              </w:rPr>
              <w:t>8,372</w:t>
            </w:r>
          </w:p>
        </w:tc>
        <w:tc>
          <w:tcPr>
            <w:tcW w:w="1320" w:type="dxa"/>
            <w:vAlign w:val="bottom"/>
            <w:tcBorders>
              <w:bottom w:val="single" w:sz="8" w:color="808080"/>
            </w:tcBorders>
          </w:tcPr>
          <w:p>
            <w:pPr>
              <w:jc w:val="right"/>
              <w:spacing w:after="0"/>
              <w:rPr>
                <w:sz w:val="20"/>
                <w:szCs w:val="20"/>
                <w:color w:val="auto"/>
              </w:rPr>
            </w:pPr>
            <w:r>
              <w:rPr>
                <w:rFonts w:ascii="Arial" w:cs="Arial" w:eastAsia="Arial" w:hAnsi="Arial"/>
                <w:sz w:val="16"/>
                <w:szCs w:val="16"/>
                <w:color w:val="auto"/>
              </w:rPr>
              <w:t>28,000</w:t>
            </w:r>
          </w:p>
        </w:tc>
        <w:tc>
          <w:tcPr>
            <w:tcW w:w="1040" w:type="dxa"/>
            <w:vAlign w:val="bottom"/>
            <w:tcBorders>
              <w:bottom w:val="single" w:sz="8" w:color="808080"/>
            </w:tcBorders>
          </w:tcPr>
          <w:p>
            <w:pPr>
              <w:jc w:val="right"/>
              <w:ind w:right="6"/>
              <w:spacing w:after="0"/>
              <w:rPr>
                <w:sz w:val="20"/>
                <w:szCs w:val="20"/>
                <w:color w:val="auto"/>
              </w:rPr>
            </w:pPr>
            <w:r>
              <w:rPr>
                <w:rFonts w:ascii="Arial" w:cs="Arial" w:eastAsia="Arial" w:hAnsi="Arial"/>
                <w:sz w:val="16"/>
                <w:szCs w:val="16"/>
                <w:color w:val="auto"/>
              </w:rPr>
              <w:t>42,400</w:t>
            </w:r>
          </w:p>
        </w:tc>
        <w:tc>
          <w:tcPr>
            <w:tcW w:w="120" w:type="dxa"/>
            <w:vAlign w:val="bottom"/>
            <w:tcBorders>
              <w:bottom w:val="single" w:sz="8" w:color="808080"/>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3,800</w:t>
            </w:r>
          </w:p>
        </w:tc>
        <w:tc>
          <w:tcPr>
            <w:tcW w:w="4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ind w:left="340"/>
              <w:spacing w:after="0"/>
              <w:rPr>
                <w:sz w:val="20"/>
                <w:szCs w:val="20"/>
                <w:color w:val="auto"/>
              </w:rPr>
            </w:pPr>
            <w:r>
              <w:rPr>
                <w:rFonts w:ascii="Arial" w:cs="Arial" w:eastAsia="Arial" w:hAnsi="Arial"/>
                <w:sz w:val="16"/>
                <w:szCs w:val="16"/>
                <w:color w:val="auto"/>
              </w:rPr>
              <w:t>24,958</w:t>
            </w:r>
          </w:p>
        </w:tc>
        <w:tc>
          <w:tcPr>
            <w:tcW w:w="1300" w:type="dxa"/>
            <w:vAlign w:val="bottom"/>
            <w:tcBorders>
              <w:bottom w:val="single" w:sz="8" w:color="808080"/>
            </w:tcBorders>
          </w:tcPr>
          <w:p>
            <w:pPr>
              <w:jc w:val="right"/>
              <w:ind w:right="5"/>
              <w:spacing w:after="0"/>
              <w:rPr>
                <w:sz w:val="20"/>
                <w:szCs w:val="20"/>
                <w:color w:val="auto"/>
              </w:rPr>
            </w:pPr>
            <w:r>
              <w:rPr>
                <w:rFonts w:ascii="Arial" w:cs="Arial" w:eastAsia="Arial" w:hAnsi="Arial"/>
                <w:sz w:val="16"/>
                <w:szCs w:val="16"/>
                <w:color w:val="auto"/>
              </w:rPr>
              <w:t>7,854</w:t>
            </w:r>
          </w:p>
        </w:tc>
        <w:tc>
          <w:tcPr>
            <w:tcW w:w="1460" w:type="dxa"/>
            <w:vAlign w:val="bottom"/>
            <w:tcBorders>
              <w:bottom w:val="single" w:sz="8" w:color="808080"/>
            </w:tcBorders>
            <w:gridSpan w:val="2"/>
          </w:tcPr>
          <w:p>
            <w:pPr>
              <w:jc w:val="right"/>
              <w:ind w:right="48"/>
              <w:spacing w:after="0"/>
              <w:rPr>
                <w:sz w:val="20"/>
                <w:szCs w:val="20"/>
                <w:color w:val="auto"/>
              </w:rPr>
            </w:pPr>
            <w:r>
              <w:rPr>
                <w:rFonts w:ascii="Arial" w:cs="Arial" w:eastAsia="Arial" w:hAnsi="Arial"/>
                <w:sz w:val="16"/>
                <w:szCs w:val="16"/>
                <w:color w:val="auto"/>
              </w:rPr>
              <w:t>—  115,384</w:t>
            </w:r>
          </w:p>
        </w:tc>
        <w:tc>
          <w:tcPr>
            <w:tcW w:w="40" w:type="dxa"/>
            <w:vAlign w:val="bottom"/>
          </w:tcPr>
          <w:p>
            <w:pPr>
              <w:spacing w:after="0"/>
              <w:rPr>
                <w:sz w:val="24"/>
                <w:szCs w:val="24"/>
                <w:color w:val="auto"/>
              </w:rPr>
            </w:pPr>
          </w:p>
        </w:tc>
      </w:tr>
      <w:tr>
        <w:trPr>
          <w:trHeight w:val="385"/>
        </w:trPr>
        <w:tc>
          <w:tcPr>
            <w:tcW w:w="1820" w:type="dxa"/>
            <w:vAlign w:val="bottom"/>
            <w:tcBorders>
              <w:bottom w:val="single" w:sz="8" w:color="808080"/>
            </w:tcBorders>
          </w:tcPr>
          <w:p>
            <w:pPr>
              <w:ind w:left="120"/>
              <w:spacing w:after="0"/>
              <w:rPr>
                <w:sz w:val="20"/>
                <w:szCs w:val="20"/>
                <w:color w:val="auto"/>
              </w:rPr>
            </w:pPr>
            <w:r>
              <w:rPr>
                <w:rFonts w:ascii="Arial" w:cs="Arial" w:eastAsia="Arial" w:hAnsi="Arial"/>
                <w:sz w:val="16"/>
                <w:szCs w:val="16"/>
                <w:color w:val="auto"/>
              </w:rPr>
              <w:t>Andrew  Nocella</w:t>
            </w:r>
          </w:p>
        </w:tc>
        <w:tc>
          <w:tcPr>
            <w:tcW w:w="940" w:type="dxa"/>
            <w:vAlign w:val="bottom"/>
            <w:tcBorders>
              <w:bottom w:val="single" w:sz="8" w:color="808080"/>
            </w:tcBorders>
          </w:tcPr>
          <w:p>
            <w:pPr>
              <w:jc w:val="right"/>
              <w:spacing w:after="0"/>
              <w:rPr>
                <w:sz w:val="20"/>
                <w:szCs w:val="20"/>
                <w:color w:val="auto"/>
              </w:rPr>
            </w:pPr>
            <w:r>
              <w:rPr>
                <w:rFonts w:ascii="Arial" w:cs="Arial" w:eastAsia="Arial" w:hAnsi="Arial"/>
                <w:sz w:val="16"/>
                <w:szCs w:val="16"/>
                <w:color w:val="auto"/>
              </w:rPr>
              <w:t>9,617</w:t>
            </w:r>
          </w:p>
        </w:tc>
        <w:tc>
          <w:tcPr>
            <w:tcW w:w="1320" w:type="dxa"/>
            <w:vAlign w:val="bottom"/>
            <w:tcBorders>
              <w:bottom w:val="single" w:sz="8" w:color="808080"/>
            </w:tcBorders>
          </w:tcPr>
          <w:p>
            <w:pPr>
              <w:jc w:val="right"/>
              <w:spacing w:after="0"/>
              <w:rPr>
                <w:sz w:val="20"/>
                <w:szCs w:val="20"/>
                <w:color w:val="auto"/>
              </w:rPr>
            </w:pPr>
            <w:r>
              <w:rPr>
                <w:rFonts w:ascii="Arial" w:cs="Arial" w:eastAsia="Arial" w:hAnsi="Arial"/>
                <w:sz w:val="16"/>
                <w:szCs w:val="16"/>
                <w:color w:val="auto"/>
              </w:rPr>
              <w:t>24,500</w:t>
            </w:r>
          </w:p>
        </w:tc>
        <w:tc>
          <w:tcPr>
            <w:tcW w:w="1040" w:type="dxa"/>
            <w:vAlign w:val="bottom"/>
            <w:tcBorders>
              <w:bottom w:val="single" w:sz="8" w:color="808080"/>
            </w:tcBorders>
          </w:tcPr>
          <w:p>
            <w:pPr>
              <w:jc w:val="right"/>
              <w:ind w:right="6"/>
              <w:spacing w:after="0"/>
              <w:rPr>
                <w:sz w:val="20"/>
                <w:szCs w:val="20"/>
                <w:color w:val="auto"/>
              </w:rPr>
            </w:pPr>
            <w:r>
              <w:rPr>
                <w:rFonts w:ascii="Arial" w:cs="Arial" w:eastAsia="Arial" w:hAnsi="Arial"/>
                <w:sz w:val="16"/>
                <w:szCs w:val="16"/>
                <w:color w:val="auto"/>
              </w:rPr>
              <w:t>32,095</w:t>
            </w:r>
          </w:p>
        </w:tc>
        <w:tc>
          <w:tcPr>
            <w:tcW w:w="120" w:type="dxa"/>
            <w:vAlign w:val="bottom"/>
            <w:tcBorders>
              <w:bottom w:val="single" w:sz="8" w:color="808080"/>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7,600</w:t>
            </w:r>
          </w:p>
        </w:tc>
        <w:tc>
          <w:tcPr>
            <w:tcW w:w="4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ind w:left="340"/>
              <w:spacing w:after="0"/>
              <w:rPr>
                <w:sz w:val="20"/>
                <w:szCs w:val="20"/>
                <w:color w:val="auto"/>
              </w:rPr>
            </w:pPr>
            <w:r>
              <w:rPr>
                <w:rFonts w:ascii="Arial" w:cs="Arial" w:eastAsia="Arial" w:hAnsi="Arial"/>
                <w:sz w:val="16"/>
                <w:szCs w:val="16"/>
                <w:color w:val="auto"/>
              </w:rPr>
              <w:t>23,265</w:t>
            </w:r>
          </w:p>
        </w:tc>
        <w:tc>
          <w:tcPr>
            <w:tcW w:w="1300" w:type="dxa"/>
            <w:vAlign w:val="bottom"/>
            <w:tcBorders>
              <w:bottom w:val="single" w:sz="8" w:color="808080"/>
            </w:tcBorders>
          </w:tcPr>
          <w:p>
            <w:pPr>
              <w:jc w:val="right"/>
              <w:ind w:right="5"/>
              <w:spacing w:after="0"/>
              <w:rPr>
                <w:sz w:val="20"/>
                <w:szCs w:val="20"/>
                <w:color w:val="auto"/>
              </w:rPr>
            </w:pPr>
            <w:r>
              <w:rPr>
                <w:rFonts w:ascii="Arial" w:cs="Arial" w:eastAsia="Arial" w:hAnsi="Arial"/>
                <w:sz w:val="16"/>
                <w:szCs w:val="16"/>
                <w:color w:val="auto"/>
              </w:rPr>
              <w:t>18,808</w:t>
            </w:r>
          </w:p>
        </w:tc>
        <w:tc>
          <w:tcPr>
            <w:tcW w:w="1460" w:type="dxa"/>
            <w:vAlign w:val="bottom"/>
            <w:tcBorders>
              <w:bottom w:val="single" w:sz="8" w:color="808080"/>
            </w:tcBorders>
            <w:gridSpan w:val="2"/>
          </w:tcPr>
          <w:p>
            <w:pPr>
              <w:jc w:val="right"/>
              <w:ind w:right="48"/>
              <w:spacing w:after="0"/>
              <w:rPr>
                <w:sz w:val="20"/>
                <w:szCs w:val="20"/>
                <w:color w:val="auto"/>
              </w:rPr>
            </w:pPr>
            <w:r>
              <w:rPr>
                <w:rFonts w:ascii="Arial" w:cs="Arial" w:eastAsia="Arial" w:hAnsi="Arial"/>
                <w:sz w:val="16"/>
                <w:szCs w:val="16"/>
                <w:color w:val="auto"/>
              </w:rPr>
              <w:t>—  115,885</w:t>
            </w:r>
          </w:p>
        </w:tc>
        <w:tc>
          <w:tcPr>
            <w:tcW w:w="40" w:type="dxa"/>
            <w:vAlign w:val="bottom"/>
          </w:tcPr>
          <w:p>
            <w:pPr>
              <w:spacing w:after="0"/>
              <w:rPr>
                <w:sz w:val="24"/>
                <w:szCs w:val="24"/>
                <w:color w:val="auto"/>
              </w:rPr>
            </w:pPr>
          </w:p>
        </w:tc>
      </w:tr>
    </w:tbl>
    <w:p>
      <w:pPr>
        <w:spacing w:after="0" w:line="44" w:lineRule="exact"/>
        <w:rPr>
          <w:sz w:val="20"/>
          <w:szCs w:val="20"/>
          <w:color w:val="auto"/>
        </w:rPr>
      </w:pPr>
    </w:p>
    <w:p>
      <w:pPr>
        <w:ind w:left="660" w:hanging="332"/>
        <w:spacing w:after="0"/>
        <w:tabs>
          <w:tab w:leader="none" w:pos="660" w:val="left"/>
        </w:tabs>
        <w:numPr>
          <w:ilvl w:val="0"/>
          <w:numId w:val="130"/>
        </w:numPr>
        <w:rPr>
          <w:rFonts w:ascii="Arial" w:cs="Arial" w:eastAsia="Arial" w:hAnsi="Arial"/>
          <w:sz w:val="22"/>
          <w:szCs w:val="22"/>
          <w:color w:val="auto"/>
          <w:vertAlign w:val="superscript"/>
        </w:rPr>
      </w:pPr>
      <w:r>
        <w:rPr>
          <w:rFonts w:ascii="Arial" w:cs="Arial" w:eastAsia="Arial" w:hAnsi="Arial"/>
          <w:sz w:val="14"/>
          <w:szCs w:val="14"/>
          <w:color w:val="auto"/>
        </w:rPr>
        <w:t>Represents  premiums  paid  by  the  Company  for  supplemental  life  insurance  provided  to  the  named  executive  ofcers.</w:t>
      </w:r>
    </w:p>
    <w:p>
      <w:pPr>
        <w:spacing w:after="0" w:line="183" w:lineRule="exact"/>
        <w:rPr>
          <w:rFonts w:ascii="Arial" w:cs="Arial" w:eastAsia="Arial" w:hAnsi="Arial"/>
          <w:sz w:val="22"/>
          <w:szCs w:val="22"/>
          <w:color w:val="auto"/>
          <w:vertAlign w:val="superscript"/>
        </w:rPr>
      </w:pPr>
    </w:p>
    <w:p>
      <w:pPr>
        <w:ind w:left="660" w:right="260" w:hanging="332"/>
        <w:spacing w:after="0" w:line="227" w:lineRule="auto"/>
        <w:tabs>
          <w:tab w:leader="none" w:pos="660" w:val="left"/>
        </w:tabs>
        <w:numPr>
          <w:ilvl w:val="0"/>
          <w:numId w:val="130"/>
        </w:numPr>
        <w:rPr>
          <w:rFonts w:ascii="Arial" w:cs="Arial" w:eastAsia="Arial" w:hAnsi="Arial"/>
          <w:sz w:val="22"/>
          <w:szCs w:val="22"/>
          <w:color w:val="auto"/>
          <w:vertAlign w:val="superscript"/>
        </w:rPr>
      </w:pPr>
      <w:r>
        <w:rPr>
          <w:rFonts w:ascii="Arial" w:cs="Arial" w:eastAsia="Arial" w:hAnsi="Arial"/>
          <w:sz w:val="14"/>
          <w:szCs w:val="14"/>
          <w:color w:val="auto"/>
        </w:rPr>
        <w:t>Amounts shown represent Company contributions to the 401(k) plan. The 401(k) cash direct and cash match program provides cash payments equivalent to direct and matching contributions that could not be made to the applicable 401(k) plan as a result of contribution limits imposed under the Internal Revenue Code.</w:t>
      </w:r>
    </w:p>
    <w:p>
      <w:pPr>
        <w:spacing w:after="0" w:line="185" w:lineRule="exact"/>
        <w:rPr>
          <w:rFonts w:ascii="Arial" w:cs="Arial" w:eastAsia="Arial" w:hAnsi="Arial"/>
          <w:sz w:val="22"/>
          <w:szCs w:val="22"/>
          <w:color w:val="auto"/>
          <w:vertAlign w:val="superscript"/>
        </w:rPr>
      </w:pPr>
    </w:p>
    <w:p>
      <w:pPr>
        <w:ind w:left="660" w:right="420" w:hanging="332"/>
        <w:spacing w:after="0" w:line="222" w:lineRule="auto"/>
        <w:tabs>
          <w:tab w:leader="none" w:pos="660" w:val="left"/>
        </w:tabs>
        <w:numPr>
          <w:ilvl w:val="0"/>
          <w:numId w:val="130"/>
        </w:numPr>
        <w:rPr>
          <w:rFonts w:ascii="Arial" w:cs="Arial" w:eastAsia="Arial" w:hAnsi="Arial"/>
          <w:sz w:val="22"/>
          <w:szCs w:val="22"/>
          <w:color w:val="auto"/>
          <w:vertAlign w:val="superscript"/>
        </w:rPr>
      </w:pPr>
      <w:r>
        <w:rPr>
          <w:rFonts w:ascii="Arial" w:cs="Arial" w:eastAsia="Arial" w:hAnsi="Arial"/>
          <w:sz w:val="14"/>
          <w:szCs w:val="14"/>
          <w:color w:val="auto"/>
        </w:rPr>
        <w:t>Amounts represent the aggregate incremental cost of complimentary positive air space travel donated to qualifed charitable organizations selected by the NEO, as discussed in the CD&amp;A under the caption “Perquisites and Other Executive Benefts” above.</w:t>
      </w:r>
    </w:p>
    <w:p>
      <w:pPr>
        <w:spacing w:after="0" w:line="93" w:lineRule="exact"/>
        <w:rPr>
          <w:rFonts w:ascii="Arial" w:cs="Arial" w:eastAsia="Arial" w:hAnsi="Arial"/>
          <w:sz w:val="22"/>
          <w:szCs w:val="22"/>
          <w:color w:val="auto"/>
          <w:vertAlign w:val="superscript"/>
        </w:rPr>
      </w:pPr>
    </w:p>
    <w:p>
      <w:pPr>
        <w:ind w:left="660" w:hanging="332"/>
        <w:spacing w:after="0"/>
        <w:tabs>
          <w:tab w:leader="none" w:pos="660" w:val="left"/>
        </w:tabs>
        <w:numPr>
          <w:ilvl w:val="0"/>
          <w:numId w:val="130"/>
        </w:numPr>
        <w:rPr>
          <w:rFonts w:ascii="Arial" w:cs="Arial" w:eastAsia="Arial" w:hAnsi="Arial"/>
          <w:sz w:val="22"/>
          <w:szCs w:val="22"/>
          <w:color w:val="auto"/>
          <w:vertAlign w:val="superscript"/>
        </w:rPr>
      </w:pPr>
      <w:r>
        <w:rPr>
          <w:rFonts w:ascii="Arial" w:cs="Arial" w:eastAsia="Arial" w:hAnsi="Arial"/>
          <w:sz w:val="14"/>
          <w:szCs w:val="14"/>
          <w:color w:val="auto"/>
        </w:rPr>
        <w:t>This  column  includes:  (i)  for  each  NEO,  the  Company’s  incremental  cost  of  providing  the  NEO  air  travel  on  fights  operated  by  the</w:t>
      </w:r>
    </w:p>
    <w:p>
      <w:pPr>
        <w:ind w:left="660"/>
        <w:spacing w:after="0"/>
        <w:rPr>
          <w:sz w:val="20"/>
          <w:szCs w:val="20"/>
          <w:color w:val="auto"/>
        </w:rPr>
      </w:pPr>
      <w:r>
        <w:rPr>
          <w:rFonts w:ascii="Arial" w:cs="Arial" w:eastAsia="Arial" w:hAnsi="Arial"/>
          <w:sz w:val="14"/>
          <w:szCs w:val="14"/>
          <w:color w:val="auto"/>
        </w:rPr>
        <w:t>Company  or  any  UAL  subsidiary  or  operated  as  “United  Express,”  tax  and  fnancial  planning  services  and  an  annual  executive  physical;</w:t>
      </w:r>
    </w:p>
    <w:p>
      <w:pPr>
        <w:spacing w:after="0" w:line="1" w:lineRule="exact"/>
        <w:rPr>
          <w:sz w:val="20"/>
          <w:szCs w:val="20"/>
          <w:color w:val="auto"/>
        </w:rPr>
      </w:pPr>
    </w:p>
    <w:p>
      <w:pPr>
        <w:ind w:left="660" w:right="60"/>
        <w:spacing w:after="0" w:line="262" w:lineRule="auto"/>
        <w:rPr>
          <w:sz w:val="20"/>
          <w:szCs w:val="20"/>
          <w:color w:val="auto"/>
        </w:rPr>
      </w:pPr>
      <w:r>
        <w:rPr>
          <w:rFonts w:ascii="Arial" w:cs="Arial" w:eastAsia="Arial" w:hAnsi="Arial"/>
          <w:sz w:val="14"/>
          <w:szCs w:val="14"/>
          <w:color w:val="auto"/>
        </w:rPr>
        <w:t>(ii) for each of Messrs. Kirby, Leskinen, Hart and Enqvist, cybersecurity / identity protection services; and (iii) for Messrs. Leskinen, Hart and Nocella, the Company’s incremental costs related to reserved parking at the Company’s ofces. The NEOs also have access to certain other travel-related benefts with no incremental cost to the Company, such as access to our United Club facilities and status in our MileagePlus programs for the executives and their immediate family members, complimentary car rentals provided by certain travel partners and fight privileges on certain other air carriers. In connection with the Company’s sponsorship of certain events and partnerships with various organizations and venues, certain perquisites that have no additional aggregate incremental cost to the Company, including tickets, memberships and parking access, are made available to the CEO and, in certain circumstances, other ofcers of the Company. Ofcers also have access to certain package delivery services, which are provided at no incremental cost to the Company. Ofcers of the Company also are eligible to purchase on a voluntary basis group excess liability or “umbrella” insurance. The Company has no interest in these policies and does not subsidize the cost or make any other payment with respect to such coverage.</w:t>
      </w:r>
    </w:p>
    <w:p>
      <w:pPr>
        <w:spacing w:after="0" w:line="348" w:lineRule="exact"/>
        <w:rPr>
          <w:sz w:val="20"/>
          <w:szCs w:val="20"/>
          <w:color w:val="auto"/>
        </w:rPr>
      </w:pPr>
    </w:p>
    <w:p>
      <w:pPr>
        <w:ind w:left="660" w:right="120" w:hanging="332"/>
        <w:spacing w:after="0" w:line="222" w:lineRule="auto"/>
        <w:tabs>
          <w:tab w:leader="none" w:pos="660" w:val="left"/>
        </w:tabs>
        <w:numPr>
          <w:ilvl w:val="0"/>
          <w:numId w:val="131"/>
        </w:numPr>
        <w:rPr>
          <w:rFonts w:ascii="Arial" w:cs="Arial" w:eastAsia="Arial" w:hAnsi="Arial"/>
          <w:sz w:val="22"/>
          <w:szCs w:val="22"/>
          <w:color w:val="auto"/>
          <w:vertAlign w:val="superscript"/>
        </w:rPr>
      </w:pPr>
      <w:r>
        <w:rPr>
          <w:rFonts w:ascii="Arial" w:cs="Arial" w:eastAsia="Arial" w:hAnsi="Arial"/>
          <w:sz w:val="14"/>
          <w:szCs w:val="14"/>
          <w:color w:val="auto"/>
        </w:rPr>
        <w:t>In each case, this amount represents taxes paid on behalf of the NEO with respect to air travel on fights operated by the Company or any UAL subsidiary or operated as “United Express.”</w:t>
      </w:r>
    </w:p>
    <w:p>
      <w:pPr>
        <w:spacing w:after="0" w:line="170" w:lineRule="exact"/>
        <w:rPr>
          <w:rFonts w:ascii="Arial" w:cs="Arial" w:eastAsia="Arial" w:hAnsi="Arial"/>
          <w:sz w:val="22"/>
          <w:szCs w:val="22"/>
          <w:color w:val="auto"/>
          <w:vertAlign w:val="superscript"/>
        </w:rPr>
      </w:pPr>
    </w:p>
    <w:p>
      <w:pPr>
        <w:ind w:left="660" w:right="160" w:hanging="332"/>
        <w:spacing w:after="0" w:line="227" w:lineRule="auto"/>
        <w:tabs>
          <w:tab w:leader="none" w:pos="660" w:val="left"/>
        </w:tabs>
        <w:numPr>
          <w:ilvl w:val="0"/>
          <w:numId w:val="131"/>
        </w:numPr>
        <w:rPr>
          <w:rFonts w:ascii="Arial" w:cs="Arial" w:eastAsia="Arial" w:hAnsi="Arial"/>
          <w:sz w:val="22"/>
          <w:szCs w:val="22"/>
          <w:color w:val="auto"/>
          <w:vertAlign w:val="superscript"/>
        </w:rPr>
      </w:pPr>
      <w:r>
        <w:rPr>
          <w:rFonts w:ascii="Arial" w:cs="Arial" w:eastAsia="Arial" w:hAnsi="Arial"/>
          <w:sz w:val="14"/>
          <w:szCs w:val="14"/>
          <w:color w:val="auto"/>
        </w:rPr>
        <w:t>Amount reported in this column for Mr. Kirby represents the aggregate incremental costs to the Company of Company-mandated executive security services, including related tax reimbursements ($25,362). The aggregate incremental cost for the security services were based on the amount accrued for payment or paid directly to the third-party vendor providing such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2026  Proxy  Statement</w:t>
      </w:r>
    </w:p>
    <w:p>
      <w:pPr>
        <w:spacing w:after="0" w:line="167" w:lineRule="exact"/>
        <w:rPr>
          <w:sz w:val="20"/>
          <w:szCs w:val="20"/>
          <w:color w:val="auto"/>
        </w:rPr>
      </w:pPr>
    </w:p>
    <w:p>
      <w:pPr>
        <w:jc w:val="right"/>
        <w:ind w:right="40"/>
        <w:spacing w:after="0"/>
        <w:rPr>
          <w:sz w:val="20"/>
          <w:szCs w:val="20"/>
          <w:color w:val="auto"/>
        </w:rPr>
      </w:pPr>
      <w:r>
        <w:rPr>
          <w:rFonts w:ascii="Arial" w:cs="Arial" w:eastAsia="Arial" w:hAnsi="Arial"/>
          <w:sz w:val="16"/>
          <w:szCs w:val="16"/>
          <w:b w:val="1"/>
          <w:bCs w:val="1"/>
          <w:color w:val="1414D2"/>
        </w:rPr>
        <w:t>113</w:t>
      </w:r>
    </w:p>
    <w:p>
      <w:pPr>
        <w:sectPr>
          <w:pgSz w:w="11900" w:h="16838" w:orient="portrait"/>
          <w:cols w:equalWidth="0" w:num="1">
            <w:col w:w="9760"/>
          </w:cols>
          <w:pgMar w:left="1080" w:top="695" w:right="1059" w:bottom="1440" w:gutter="0" w:footer="0" w:header="0"/>
        </w:sectPr>
      </w:pPr>
    </w:p>
    <w:bookmarkStart w:id="124" w:name="page125"/>
    <w:bookmarkEnd w:id="124"/>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6D6F71"/>
        </w:rPr>
        <w:t>Executive  Compensation</w:t>
      </w:r>
    </w:p>
    <w:p>
      <w:pPr>
        <w:spacing w:after="0" w:line="223" w:lineRule="exact"/>
        <w:rPr>
          <w:sz w:val="20"/>
          <w:szCs w:val="20"/>
          <w:color w:val="auto"/>
        </w:rPr>
      </w:pPr>
    </w:p>
    <w:p>
      <w:pPr>
        <w:spacing w:after="0"/>
        <w:rPr>
          <w:sz w:val="20"/>
          <w:szCs w:val="20"/>
          <w:color w:val="auto"/>
        </w:rPr>
      </w:pPr>
      <w:r>
        <w:rPr>
          <w:rFonts w:ascii="Arial" w:cs="Arial" w:eastAsia="Arial" w:hAnsi="Arial"/>
          <w:sz w:val="25"/>
          <w:szCs w:val="25"/>
          <w:b w:val="1"/>
          <w:bCs w:val="1"/>
          <w:color w:val="1414D2"/>
        </w:rPr>
        <w:t>Grants of Plan-Based Awards for 2025</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information  regarding  plan-based  awards  granted  during  2025  to  our  NEOs.  These  awards</w:t>
      </w:r>
    </w:p>
    <w:p>
      <w:pPr>
        <w:spacing w:after="0" w:line="19" w:lineRule="exact"/>
        <w:rPr>
          <w:sz w:val="20"/>
          <w:szCs w:val="20"/>
          <w:color w:val="auto"/>
        </w:rPr>
      </w:pPr>
    </w:p>
    <w:p>
      <w:pPr>
        <w:ind w:right="140"/>
        <w:spacing w:after="0" w:line="250" w:lineRule="auto"/>
        <w:rPr>
          <w:sz w:val="20"/>
          <w:szCs w:val="20"/>
          <w:color w:val="auto"/>
        </w:rPr>
      </w:pPr>
      <w:r>
        <w:rPr>
          <w:rFonts w:ascii="Arial" w:cs="Arial" w:eastAsia="Arial" w:hAnsi="Arial"/>
          <w:sz w:val="16"/>
          <w:szCs w:val="16"/>
          <w:color w:val="auto"/>
        </w:rPr>
        <w:t>include the 2025 STI cash awards, Performance-Based RSUs for the 2023-2025 performance period (representing one-third of the award with respect to which performance measures were established in 2025), Performance-Based RSUs for the 2024-2026 performance period (representing one-third of the award with respect to which performance measures were established in 2025), Performance-Based RSUs for the 2025-2027 performance period (representing one-third of the award with respect to</w:t>
      </w:r>
    </w:p>
    <w:p>
      <w:pPr>
        <w:spacing w:after="0" w:line="3" w:lineRule="exact"/>
        <w:rPr>
          <w:sz w:val="20"/>
          <w:szCs w:val="20"/>
          <w:color w:val="auto"/>
        </w:rPr>
      </w:pPr>
    </w:p>
    <w:p>
      <w:pPr>
        <w:ind w:right="160"/>
        <w:spacing w:after="0" w:line="279" w:lineRule="auto"/>
        <w:rPr>
          <w:sz w:val="20"/>
          <w:szCs w:val="20"/>
          <w:color w:val="auto"/>
        </w:rPr>
      </w:pPr>
      <w:r>
        <w:rPr>
          <w:rFonts w:ascii="Arial" w:cs="Arial" w:eastAsia="Arial" w:hAnsi="Arial"/>
          <w:sz w:val="16"/>
          <w:szCs w:val="16"/>
          <w:color w:val="auto"/>
        </w:rPr>
        <w:t>which performance measures were established in 2025), Mr. Leskinen’s 2023 promotional PBRSU award (representing the second half of the award with respect to which performance measures were established in 2025) and time-vested RSU awards. Each of these awards were granted pursuant to the 2021 Plan.</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1160" w:type="dxa"/>
            <w:vAlign w:val="bottom"/>
            <w:tcBorders>
              <w:top w:val="single" w:sz="8" w:color="1414D2"/>
            </w:tcBorders>
            <w:shd w:val="clear" w:color="auto" w:fill="F2F2F2"/>
          </w:tcPr>
          <w:p>
            <w:pPr>
              <w:spacing w:after="0"/>
              <w:rPr>
                <w:sz w:val="12"/>
                <w:szCs w:val="12"/>
                <w:color w:val="auto"/>
              </w:rPr>
            </w:pPr>
          </w:p>
        </w:tc>
        <w:tc>
          <w:tcPr>
            <w:tcW w:w="160" w:type="dxa"/>
            <w:vAlign w:val="bottom"/>
            <w:tcBorders>
              <w:top w:val="single" w:sz="8" w:color="1414D2"/>
            </w:tcBorders>
            <w:shd w:val="clear" w:color="auto" w:fill="F2F2F2"/>
          </w:tcPr>
          <w:p>
            <w:pPr>
              <w:spacing w:after="0"/>
              <w:rPr>
                <w:sz w:val="12"/>
                <w:szCs w:val="12"/>
                <w:color w:val="auto"/>
              </w:rPr>
            </w:pPr>
          </w:p>
        </w:tc>
        <w:tc>
          <w:tcPr>
            <w:tcW w:w="720" w:type="dxa"/>
            <w:vAlign w:val="bottom"/>
            <w:tcBorders>
              <w:top w:val="single" w:sz="8" w:color="1414D2"/>
            </w:tcBorders>
            <w:shd w:val="clear" w:color="auto" w:fill="F2F2F2"/>
          </w:tcPr>
          <w:p>
            <w:pPr>
              <w:spacing w:after="0"/>
              <w:rPr>
                <w:sz w:val="12"/>
                <w:szCs w:val="12"/>
                <w:color w:val="auto"/>
              </w:rPr>
            </w:pPr>
          </w:p>
        </w:tc>
        <w:tc>
          <w:tcPr>
            <w:tcW w:w="160" w:type="dxa"/>
            <w:vAlign w:val="bottom"/>
            <w:tcBorders>
              <w:top w:val="single" w:sz="8" w:color="1414D2"/>
            </w:tcBorders>
            <w:shd w:val="clear" w:color="auto" w:fill="F2F2F2"/>
          </w:tcPr>
          <w:p>
            <w:pPr>
              <w:spacing w:after="0"/>
              <w:rPr>
                <w:sz w:val="12"/>
                <w:szCs w:val="12"/>
                <w:color w:val="auto"/>
              </w:rPr>
            </w:pPr>
          </w:p>
        </w:tc>
        <w:tc>
          <w:tcPr>
            <w:tcW w:w="540" w:type="dxa"/>
            <w:vAlign w:val="bottom"/>
            <w:tcBorders>
              <w:top w:val="single" w:sz="8" w:color="1414D2"/>
            </w:tcBorders>
            <w:shd w:val="clear" w:color="auto" w:fill="F2F2F2"/>
          </w:tcPr>
          <w:p>
            <w:pPr>
              <w:spacing w:after="0"/>
              <w:rPr>
                <w:sz w:val="12"/>
                <w:szCs w:val="12"/>
                <w:color w:val="auto"/>
              </w:rPr>
            </w:pPr>
          </w:p>
        </w:tc>
        <w:tc>
          <w:tcPr>
            <w:tcW w:w="160" w:type="dxa"/>
            <w:vAlign w:val="bottom"/>
            <w:tcBorders>
              <w:top w:val="single" w:sz="8" w:color="1414D2"/>
            </w:tcBorders>
            <w:shd w:val="clear" w:color="auto" w:fill="F2F2F2"/>
          </w:tcPr>
          <w:p>
            <w:pPr>
              <w:spacing w:after="0"/>
              <w:rPr>
                <w:sz w:val="12"/>
                <w:szCs w:val="12"/>
                <w:color w:val="auto"/>
              </w:rPr>
            </w:pPr>
          </w:p>
        </w:tc>
        <w:tc>
          <w:tcPr>
            <w:tcW w:w="720" w:type="dxa"/>
            <w:vAlign w:val="bottom"/>
            <w:tcBorders>
              <w:top w:val="single" w:sz="8" w:color="1414D2"/>
            </w:tcBorders>
            <w:shd w:val="clear" w:color="auto" w:fill="F2F2F2"/>
          </w:tcPr>
          <w:p>
            <w:pPr>
              <w:spacing w:after="0"/>
              <w:rPr>
                <w:sz w:val="12"/>
                <w:szCs w:val="12"/>
                <w:color w:val="auto"/>
              </w:rPr>
            </w:pPr>
          </w:p>
        </w:tc>
        <w:tc>
          <w:tcPr>
            <w:tcW w:w="240" w:type="dxa"/>
            <w:vAlign w:val="bottom"/>
            <w:tcBorders>
              <w:top w:val="single" w:sz="8" w:color="1414D2"/>
            </w:tcBorders>
            <w:shd w:val="clear" w:color="auto" w:fill="F2F2F2"/>
          </w:tcPr>
          <w:p>
            <w:pPr>
              <w:spacing w:after="0"/>
              <w:rPr>
                <w:sz w:val="12"/>
                <w:szCs w:val="12"/>
                <w:color w:val="auto"/>
              </w:rPr>
            </w:pPr>
          </w:p>
        </w:tc>
        <w:tc>
          <w:tcPr>
            <w:tcW w:w="640" w:type="dxa"/>
            <w:vAlign w:val="bottom"/>
            <w:tcBorders>
              <w:top w:val="single" w:sz="8" w:color="1414D2"/>
            </w:tcBorders>
            <w:shd w:val="clear" w:color="auto" w:fill="F2F2F2"/>
          </w:tcPr>
          <w:p>
            <w:pPr>
              <w:spacing w:after="0"/>
              <w:rPr>
                <w:sz w:val="12"/>
                <w:szCs w:val="12"/>
                <w:color w:val="auto"/>
              </w:rPr>
            </w:pPr>
          </w:p>
        </w:tc>
        <w:tc>
          <w:tcPr>
            <w:tcW w:w="840" w:type="dxa"/>
            <w:vAlign w:val="bottom"/>
            <w:tcBorders>
              <w:top w:val="single" w:sz="8" w:color="1414D2"/>
            </w:tcBorders>
            <w:shd w:val="clear" w:color="auto" w:fill="F2F2F2"/>
          </w:tcPr>
          <w:p>
            <w:pPr>
              <w:spacing w:after="0"/>
              <w:rPr>
                <w:sz w:val="12"/>
                <w:szCs w:val="12"/>
                <w:color w:val="auto"/>
              </w:rPr>
            </w:pPr>
          </w:p>
        </w:tc>
        <w:tc>
          <w:tcPr>
            <w:tcW w:w="160" w:type="dxa"/>
            <w:vAlign w:val="bottom"/>
            <w:tcBorders>
              <w:top w:val="single" w:sz="8" w:color="1414D2"/>
            </w:tcBorders>
            <w:shd w:val="clear" w:color="auto" w:fill="F2F2F2"/>
          </w:tcPr>
          <w:p>
            <w:pPr>
              <w:spacing w:after="0"/>
              <w:rPr>
                <w:sz w:val="12"/>
                <w:szCs w:val="12"/>
                <w:color w:val="auto"/>
              </w:rPr>
            </w:pPr>
          </w:p>
        </w:tc>
        <w:tc>
          <w:tcPr>
            <w:tcW w:w="960" w:type="dxa"/>
            <w:vAlign w:val="bottom"/>
            <w:tcBorders>
              <w:top w:val="single" w:sz="8" w:color="1414D2"/>
            </w:tcBorders>
            <w:shd w:val="clear" w:color="auto" w:fill="F2F2F2"/>
          </w:tcPr>
          <w:p>
            <w:pPr>
              <w:spacing w:after="0"/>
              <w:rPr>
                <w:sz w:val="12"/>
                <w:szCs w:val="12"/>
                <w:color w:val="auto"/>
              </w:rPr>
            </w:pPr>
          </w:p>
        </w:tc>
        <w:tc>
          <w:tcPr>
            <w:tcW w:w="640" w:type="dxa"/>
            <w:vAlign w:val="bottom"/>
            <w:tcBorders>
              <w:top w:val="single" w:sz="8" w:color="1414D2"/>
            </w:tcBorders>
            <w:shd w:val="clear" w:color="auto" w:fill="F2F2F2"/>
          </w:tcPr>
          <w:p>
            <w:pPr>
              <w:spacing w:after="0"/>
              <w:rPr>
                <w:sz w:val="12"/>
                <w:szCs w:val="12"/>
                <w:color w:val="auto"/>
              </w:rPr>
            </w:pPr>
          </w:p>
        </w:tc>
        <w:tc>
          <w:tcPr>
            <w:tcW w:w="840" w:type="dxa"/>
            <w:vAlign w:val="bottom"/>
            <w:tcBorders>
              <w:top w:val="single" w:sz="8" w:color="1414D2"/>
            </w:tcBorders>
            <w:shd w:val="clear" w:color="auto" w:fill="F2F2F2"/>
          </w:tcPr>
          <w:p>
            <w:pPr>
              <w:spacing w:after="0"/>
              <w:rPr>
                <w:sz w:val="12"/>
                <w:szCs w:val="12"/>
                <w:color w:val="auto"/>
              </w:rPr>
            </w:pPr>
          </w:p>
        </w:tc>
        <w:tc>
          <w:tcPr>
            <w:tcW w:w="880" w:type="dxa"/>
            <w:vAlign w:val="bottom"/>
            <w:tcBorders>
              <w:top w:val="single" w:sz="8" w:color="1414D2"/>
            </w:tcBorders>
            <w:shd w:val="clear" w:color="auto" w:fill="F2F2F2"/>
          </w:tcPr>
          <w:p>
            <w:pPr>
              <w:jc w:val="center"/>
              <w:ind w:left="82"/>
              <w:spacing w:after="0"/>
              <w:rPr>
                <w:sz w:val="20"/>
                <w:szCs w:val="20"/>
                <w:color w:val="auto"/>
              </w:rPr>
            </w:pPr>
            <w:r>
              <w:rPr>
                <w:rFonts w:ascii="Arial" w:cs="Arial" w:eastAsia="Arial" w:hAnsi="Arial"/>
                <w:sz w:val="12"/>
                <w:szCs w:val="12"/>
                <w:b w:val="1"/>
                <w:bCs w:val="1"/>
                <w:color w:val="auto"/>
              </w:rPr>
              <w:t>All Other</w:t>
            </w:r>
          </w:p>
        </w:tc>
        <w:tc>
          <w:tcPr>
            <w:tcW w:w="900" w:type="dxa"/>
            <w:vAlign w:val="bottom"/>
            <w:tcBorders>
              <w:top w:val="single" w:sz="8" w:color="1414D2"/>
              <w:right w:val="single" w:sz="8" w:color="F2F2F2"/>
            </w:tcBorders>
            <w:shd w:val="clear" w:color="auto" w:fill="F2F2F2"/>
          </w:tcPr>
          <w:p>
            <w:pPr>
              <w:jc w:val="center"/>
              <w:ind w:left="22"/>
              <w:spacing w:after="0"/>
              <w:rPr>
                <w:sz w:val="20"/>
                <w:szCs w:val="20"/>
                <w:color w:val="auto"/>
              </w:rPr>
            </w:pPr>
            <w:r>
              <w:rPr>
                <w:rFonts w:ascii="Arial" w:cs="Arial" w:eastAsia="Arial" w:hAnsi="Arial"/>
                <w:sz w:val="12"/>
                <w:szCs w:val="12"/>
                <w:b w:val="1"/>
                <w:bCs w:val="1"/>
                <w:color w:val="auto"/>
              </w:rPr>
              <w:t>Grant</w:t>
            </w:r>
          </w:p>
        </w:tc>
        <w:tc>
          <w:tcPr>
            <w:tcW w:w="40" w:type="dxa"/>
            <w:vAlign w:val="bottom"/>
          </w:tcPr>
          <w:p>
            <w:pPr>
              <w:spacing w:after="0"/>
              <w:rPr>
                <w:sz w:val="12"/>
                <w:szCs w:val="12"/>
                <w:color w:val="auto"/>
              </w:rPr>
            </w:pPr>
          </w:p>
        </w:tc>
      </w:tr>
      <w:tr>
        <w:trPr>
          <w:trHeight w:val="135"/>
        </w:trPr>
        <w:tc>
          <w:tcPr>
            <w:tcW w:w="1160" w:type="dxa"/>
            <w:vAlign w:val="bottom"/>
            <w:shd w:val="clear" w:color="auto" w:fill="F2F2F2"/>
          </w:tcPr>
          <w:p>
            <w:pPr>
              <w:spacing w:after="0"/>
              <w:rPr>
                <w:sz w:val="11"/>
                <w:szCs w:val="11"/>
                <w:color w:val="auto"/>
              </w:rPr>
            </w:pPr>
          </w:p>
        </w:tc>
        <w:tc>
          <w:tcPr>
            <w:tcW w:w="160" w:type="dxa"/>
            <w:vAlign w:val="bottom"/>
            <w:shd w:val="clear" w:color="auto" w:fill="F2F2F2"/>
          </w:tcPr>
          <w:p>
            <w:pPr>
              <w:spacing w:after="0"/>
              <w:rPr>
                <w:sz w:val="11"/>
                <w:szCs w:val="11"/>
                <w:color w:val="auto"/>
              </w:rPr>
            </w:pPr>
          </w:p>
        </w:tc>
        <w:tc>
          <w:tcPr>
            <w:tcW w:w="720" w:type="dxa"/>
            <w:vAlign w:val="bottom"/>
            <w:shd w:val="clear" w:color="auto" w:fill="F2F2F2"/>
          </w:tcPr>
          <w:p>
            <w:pPr>
              <w:spacing w:after="0"/>
              <w:rPr>
                <w:sz w:val="11"/>
                <w:szCs w:val="11"/>
                <w:color w:val="auto"/>
              </w:rPr>
            </w:pPr>
          </w:p>
        </w:tc>
        <w:tc>
          <w:tcPr>
            <w:tcW w:w="160" w:type="dxa"/>
            <w:vAlign w:val="bottom"/>
            <w:shd w:val="clear" w:color="auto" w:fill="F2F2F2"/>
          </w:tcPr>
          <w:p>
            <w:pPr>
              <w:spacing w:after="0"/>
              <w:rPr>
                <w:sz w:val="11"/>
                <w:szCs w:val="11"/>
                <w:color w:val="auto"/>
              </w:rPr>
            </w:pPr>
          </w:p>
        </w:tc>
        <w:tc>
          <w:tcPr>
            <w:tcW w:w="540" w:type="dxa"/>
            <w:vAlign w:val="bottom"/>
            <w:shd w:val="clear" w:color="auto" w:fill="F2F2F2"/>
          </w:tcPr>
          <w:p>
            <w:pPr>
              <w:spacing w:after="0"/>
              <w:rPr>
                <w:sz w:val="11"/>
                <w:szCs w:val="11"/>
                <w:color w:val="auto"/>
              </w:rPr>
            </w:pPr>
          </w:p>
        </w:tc>
        <w:tc>
          <w:tcPr>
            <w:tcW w:w="160" w:type="dxa"/>
            <w:vAlign w:val="bottom"/>
            <w:shd w:val="clear" w:color="auto" w:fill="F2F2F2"/>
          </w:tcPr>
          <w:p>
            <w:pPr>
              <w:spacing w:after="0"/>
              <w:rPr>
                <w:sz w:val="11"/>
                <w:szCs w:val="11"/>
                <w:color w:val="auto"/>
              </w:rPr>
            </w:pPr>
          </w:p>
        </w:tc>
        <w:tc>
          <w:tcPr>
            <w:tcW w:w="720" w:type="dxa"/>
            <w:vAlign w:val="bottom"/>
            <w:shd w:val="clear" w:color="auto" w:fill="F2F2F2"/>
          </w:tcPr>
          <w:p>
            <w:pPr>
              <w:spacing w:after="0"/>
              <w:rPr>
                <w:sz w:val="11"/>
                <w:szCs w:val="11"/>
                <w:color w:val="auto"/>
              </w:rPr>
            </w:pPr>
          </w:p>
        </w:tc>
        <w:tc>
          <w:tcPr>
            <w:tcW w:w="240" w:type="dxa"/>
            <w:vAlign w:val="bottom"/>
            <w:shd w:val="clear" w:color="auto" w:fill="F2F2F2"/>
          </w:tcPr>
          <w:p>
            <w:pPr>
              <w:spacing w:after="0"/>
              <w:rPr>
                <w:sz w:val="11"/>
                <w:szCs w:val="11"/>
                <w:color w:val="auto"/>
              </w:rPr>
            </w:pPr>
          </w:p>
        </w:tc>
        <w:tc>
          <w:tcPr>
            <w:tcW w:w="640" w:type="dxa"/>
            <w:vAlign w:val="bottom"/>
            <w:shd w:val="clear" w:color="auto" w:fill="F2F2F2"/>
          </w:tcPr>
          <w:p>
            <w:pPr>
              <w:spacing w:after="0"/>
              <w:rPr>
                <w:sz w:val="11"/>
                <w:szCs w:val="11"/>
                <w:color w:val="auto"/>
              </w:rPr>
            </w:pPr>
          </w:p>
        </w:tc>
        <w:tc>
          <w:tcPr>
            <w:tcW w:w="840" w:type="dxa"/>
            <w:vAlign w:val="bottom"/>
            <w:shd w:val="clear" w:color="auto" w:fill="F2F2F2"/>
          </w:tcPr>
          <w:p>
            <w:pPr>
              <w:spacing w:after="0"/>
              <w:rPr>
                <w:sz w:val="11"/>
                <w:szCs w:val="11"/>
                <w:color w:val="auto"/>
              </w:rPr>
            </w:pPr>
          </w:p>
        </w:tc>
        <w:tc>
          <w:tcPr>
            <w:tcW w:w="160" w:type="dxa"/>
            <w:vAlign w:val="bottom"/>
            <w:shd w:val="clear" w:color="auto" w:fill="F2F2F2"/>
          </w:tcPr>
          <w:p>
            <w:pPr>
              <w:spacing w:after="0"/>
              <w:rPr>
                <w:sz w:val="11"/>
                <w:szCs w:val="11"/>
                <w:color w:val="auto"/>
              </w:rPr>
            </w:pPr>
          </w:p>
        </w:tc>
        <w:tc>
          <w:tcPr>
            <w:tcW w:w="960" w:type="dxa"/>
            <w:vAlign w:val="bottom"/>
            <w:shd w:val="clear" w:color="auto" w:fill="F2F2F2"/>
          </w:tcPr>
          <w:p>
            <w:pPr>
              <w:spacing w:after="0"/>
              <w:rPr>
                <w:sz w:val="11"/>
                <w:szCs w:val="11"/>
                <w:color w:val="auto"/>
              </w:rPr>
            </w:pPr>
          </w:p>
        </w:tc>
        <w:tc>
          <w:tcPr>
            <w:tcW w:w="640" w:type="dxa"/>
            <w:vAlign w:val="bottom"/>
            <w:shd w:val="clear" w:color="auto" w:fill="F2F2F2"/>
          </w:tcPr>
          <w:p>
            <w:pPr>
              <w:spacing w:after="0"/>
              <w:rPr>
                <w:sz w:val="11"/>
                <w:szCs w:val="11"/>
                <w:color w:val="auto"/>
              </w:rPr>
            </w:pPr>
          </w:p>
        </w:tc>
        <w:tc>
          <w:tcPr>
            <w:tcW w:w="840" w:type="dxa"/>
            <w:vAlign w:val="bottom"/>
            <w:shd w:val="clear" w:color="auto" w:fill="F2F2F2"/>
          </w:tcPr>
          <w:p>
            <w:pPr>
              <w:spacing w:after="0"/>
              <w:rPr>
                <w:sz w:val="11"/>
                <w:szCs w:val="11"/>
                <w:color w:val="auto"/>
              </w:rPr>
            </w:pPr>
          </w:p>
        </w:tc>
        <w:tc>
          <w:tcPr>
            <w:tcW w:w="880" w:type="dxa"/>
            <w:vAlign w:val="bottom"/>
            <w:shd w:val="clear" w:color="auto" w:fill="F2F2F2"/>
          </w:tcPr>
          <w:p>
            <w:pPr>
              <w:jc w:val="center"/>
              <w:ind w:left="62"/>
              <w:spacing w:after="0" w:line="135" w:lineRule="exact"/>
              <w:rPr>
                <w:sz w:val="20"/>
                <w:szCs w:val="20"/>
                <w:color w:val="auto"/>
              </w:rPr>
            </w:pPr>
            <w:r>
              <w:rPr>
                <w:rFonts w:ascii="Arial" w:cs="Arial" w:eastAsia="Arial" w:hAnsi="Arial"/>
                <w:sz w:val="12"/>
                <w:szCs w:val="12"/>
                <w:b w:val="1"/>
                <w:bCs w:val="1"/>
                <w:color w:val="auto"/>
                <w:w w:val="97"/>
              </w:rPr>
              <w:t>Stock</w:t>
            </w:r>
          </w:p>
        </w:tc>
        <w:tc>
          <w:tcPr>
            <w:tcW w:w="900" w:type="dxa"/>
            <w:vAlign w:val="bottom"/>
            <w:tcBorders>
              <w:right w:val="single" w:sz="8" w:color="F2F2F2"/>
            </w:tcBorders>
            <w:shd w:val="clear" w:color="auto" w:fill="F2F2F2"/>
          </w:tcPr>
          <w:p>
            <w:pPr>
              <w:jc w:val="center"/>
              <w:ind w:left="42"/>
              <w:spacing w:after="0" w:line="135" w:lineRule="exact"/>
              <w:rPr>
                <w:sz w:val="20"/>
                <w:szCs w:val="20"/>
                <w:color w:val="auto"/>
              </w:rPr>
            </w:pPr>
            <w:r>
              <w:rPr>
                <w:rFonts w:ascii="Arial" w:cs="Arial" w:eastAsia="Arial" w:hAnsi="Arial"/>
                <w:sz w:val="12"/>
                <w:szCs w:val="12"/>
                <w:b w:val="1"/>
                <w:bCs w:val="1"/>
                <w:color w:val="auto"/>
              </w:rPr>
              <w:t>Date</w:t>
            </w:r>
          </w:p>
        </w:tc>
        <w:tc>
          <w:tcPr>
            <w:tcW w:w="40" w:type="dxa"/>
            <w:vAlign w:val="bottom"/>
          </w:tcPr>
          <w:p>
            <w:pPr>
              <w:spacing w:after="0"/>
              <w:rPr>
                <w:sz w:val="11"/>
                <w:szCs w:val="11"/>
                <w:color w:val="auto"/>
              </w:rPr>
            </w:pPr>
          </w:p>
        </w:tc>
      </w:tr>
      <w:tr>
        <w:trPr>
          <w:trHeight w:val="135"/>
        </w:trPr>
        <w:tc>
          <w:tcPr>
            <w:tcW w:w="1160" w:type="dxa"/>
            <w:vAlign w:val="bottom"/>
            <w:shd w:val="clear" w:color="auto" w:fill="F2F2F2"/>
          </w:tcPr>
          <w:p>
            <w:pPr>
              <w:spacing w:after="0"/>
              <w:rPr>
                <w:sz w:val="11"/>
                <w:szCs w:val="11"/>
                <w:color w:val="auto"/>
              </w:rPr>
            </w:pPr>
          </w:p>
        </w:tc>
        <w:tc>
          <w:tcPr>
            <w:tcW w:w="160" w:type="dxa"/>
            <w:vAlign w:val="bottom"/>
            <w:shd w:val="clear" w:color="auto" w:fill="F2F2F2"/>
          </w:tcPr>
          <w:p>
            <w:pPr>
              <w:spacing w:after="0"/>
              <w:rPr>
                <w:sz w:val="11"/>
                <w:szCs w:val="11"/>
                <w:color w:val="auto"/>
              </w:rPr>
            </w:pPr>
          </w:p>
        </w:tc>
        <w:tc>
          <w:tcPr>
            <w:tcW w:w="720" w:type="dxa"/>
            <w:vAlign w:val="bottom"/>
            <w:shd w:val="clear" w:color="auto" w:fill="F2F2F2"/>
          </w:tcPr>
          <w:p>
            <w:pPr>
              <w:spacing w:after="0"/>
              <w:rPr>
                <w:sz w:val="11"/>
                <w:szCs w:val="11"/>
                <w:color w:val="auto"/>
              </w:rPr>
            </w:pPr>
          </w:p>
        </w:tc>
        <w:tc>
          <w:tcPr>
            <w:tcW w:w="160" w:type="dxa"/>
            <w:vAlign w:val="bottom"/>
            <w:shd w:val="clear" w:color="auto" w:fill="F2F2F2"/>
          </w:tcPr>
          <w:p>
            <w:pPr>
              <w:spacing w:after="0"/>
              <w:rPr>
                <w:sz w:val="11"/>
                <w:szCs w:val="11"/>
                <w:color w:val="auto"/>
              </w:rPr>
            </w:pPr>
          </w:p>
        </w:tc>
        <w:tc>
          <w:tcPr>
            <w:tcW w:w="540" w:type="dxa"/>
            <w:vAlign w:val="bottom"/>
            <w:shd w:val="clear" w:color="auto" w:fill="F2F2F2"/>
          </w:tcPr>
          <w:p>
            <w:pPr>
              <w:spacing w:after="0"/>
              <w:rPr>
                <w:sz w:val="11"/>
                <w:szCs w:val="11"/>
                <w:color w:val="auto"/>
              </w:rPr>
            </w:pPr>
          </w:p>
        </w:tc>
        <w:tc>
          <w:tcPr>
            <w:tcW w:w="160" w:type="dxa"/>
            <w:vAlign w:val="bottom"/>
            <w:shd w:val="clear" w:color="auto" w:fill="F2F2F2"/>
          </w:tcPr>
          <w:p>
            <w:pPr>
              <w:spacing w:after="0"/>
              <w:rPr>
                <w:sz w:val="11"/>
                <w:szCs w:val="11"/>
                <w:color w:val="auto"/>
              </w:rPr>
            </w:pPr>
          </w:p>
        </w:tc>
        <w:tc>
          <w:tcPr>
            <w:tcW w:w="720" w:type="dxa"/>
            <w:vAlign w:val="bottom"/>
            <w:shd w:val="clear" w:color="auto" w:fill="F2F2F2"/>
          </w:tcPr>
          <w:p>
            <w:pPr>
              <w:spacing w:after="0"/>
              <w:rPr>
                <w:sz w:val="11"/>
                <w:szCs w:val="11"/>
                <w:color w:val="auto"/>
              </w:rPr>
            </w:pPr>
          </w:p>
        </w:tc>
        <w:tc>
          <w:tcPr>
            <w:tcW w:w="240" w:type="dxa"/>
            <w:vAlign w:val="bottom"/>
            <w:shd w:val="clear" w:color="auto" w:fill="F2F2F2"/>
          </w:tcPr>
          <w:p>
            <w:pPr>
              <w:spacing w:after="0"/>
              <w:rPr>
                <w:sz w:val="11"/>
                <w:szCs w:val="11"/>
                <w:color w:val="auto"/>
              </w:rPr>
            </w:pPr>
          </w:p>
        </w:tc>
        <w:tc>
          <w:tcPr>
            <w:tcW w:w="640" w:type="dxa"/>
            <w:vAlign w:val="bottom"/>
            <w:shd w:val="clear" w:color="auto" w:fill="F2F2F2"/>
          </w:tcPr>
          <w:p>
            <w:pPr>
              <w:spacing w:after="0"/>
              <w:rPr>
                <w:sz w:val="11"/>
                <w:szCs w:val="11"/>
                <w:color w:val="auto"/>
              </w:rPr>
            </w:pPr>
          </w:p>
        </w:tc>
        <w:tc>
          <w:tcPr>
            <w:tcW w:w="840" w:type="dxa"/>
            <w:vAlign w:val="bottom"/>
            <w:shd w:val="clear" w:color="auto" w:fill="F2F2F2"/>
          </w:tcPr>
          <w:p>
            <w:pPr>
              <w:spacing w:after="0"/>
              <w:rPr>
                <w:sz w:val="11"/>
                <w:szCs w:val="11"/>
                <w:color w:val="auto"/>
              </w:rPr>
            </w:pPr>
          </w:p>
        </w:tc>
        <w:tc>
          <w:tcPr>
            <w:tcW w:w="160" w:type="dxa"/>
            <w:vAlign w:val="bottom"/>
            <w:shd w:val="clear" w:color="auto" w:fill="F2F2F2"/>
          </w:tcPr>
          <w:p>
            <w:pPr>
              <w:spacing w:after="0"/>
              <w:rPr>
                <w:sz w:val="11"/>
                <w:szCs w:val="11"/>
                <w:color w:val="auto"/>
              </w:rPr>
            </w:pPr>
          </w:p>
        </w:tc>
        <w:tc>
          <w:tcPr>
            <w:tcW w:w="960" w:type="dxa"/>
            <w:vAlign w:val="bottom"/>
            <w:shd w:val="clear" w:color="auto" w:fill="F2F2F2"/>
          </w:tcPr>
          <w:p>
            <w:pPr>
              <w:spacing w:after="0"/>
              <w:rPr>
                <w:sz w:val="11"/>
                <w:szCs w:val="11"/>
                <w:color w:val="auto"/>
              </w:rPr>
            </w:pPr>
          </w:p>
        </w:tc>
        <w:tc>
          <w:tcPr>
            <w:tcW w:w="640" w:type="dxa"/>
            <w:vAlign w:val="bottom"/>
            <w:shd w:val="clear" w:color="auto" w:fill="F2F2F2"/>
          </w:tcPr>
          <w:p>
            <w:pPr>
              <w:spacing w:after="0"/>
              <w:rPr>
                <w:sz w:val="11"/>
                <w:szCs w:val="11"/>
                <w:color w:val="auto"/>
              </w:rPr>
            </w:pPr>
          </w:p>
        </w:tc>
        <w:tc>
          <w:tcPr>
            <w:tcW w:w="840" w:type="dxa"/>
            <w:vAlign w:val="bottom"/>
            <w:shd w:val="clear" w:color="auto" w:fill="F2F2F2"/>
          </w:tcPr>
          <w:p>
            <w:pPr>
              <w:spacing w:after="0"/>
              <w:rPr>
                <w:sz w:val="11"/>
                <w:szCs w:val="11"/>
                <w:color w:val="auto"/>
              </w:rPr>
            </w:pPr>
          </w:p>
        </w:tc>
        <w:tc>
          <w:tcPr>
            <w:tcW w:w="880" w:type="dxa"/>
            <w:vAlign w:val="bottom"/>
            <w:shd w:val="clear" w:color="auto" w:fill="F2F2F2"/>
          </w:tcPr>
          <w:p>
            <w:pPr>
              <w:jc w:val="center"/>
              <w:ind w:left="82"/>
              <w:spacing w:after="0" w:line="135" w:lineRule="exact"/>
              <w:rPr>
                <w:sz w:val="20"/>
                <w:szCs w:val="20"/>
                <w:color w:val="auto"/>
              </w:rPr>
            </w:pPr>
            <w:r>
              <w:rPr>
                <w:rFonts w:ascii="Arial" w:cs="Arial" w:eastAsia="Arial" w:hAnsi="Arial"/>
                <w:sz w:val="12"/>
                <w:szCs w:val="12"/>
                <w:b w:val="1"/>
                <w:bCs w:val="1"/>
                <w:color w:val="auto"/>
                <w:w w:val="97"/>
              </w:rPr>
              <w:t>Awards:</w:t>
            </w:r>
          </w:p>
        </w:tc>
        <w:tc>
          <w:tcPr>
            <w:tcW w:w="900" w:type="dxa"/>
            <w:vAlign w:val="bottom"/>
            <w:tcBorders>
              <w:right w:val="single" w:sz="8" w:color="F2F2F2"/>
            </w:tcBorders>
            <w:shd w:val="clear" w:color="auto" w:fill="F2F2F2"/>
          </w:tcPr>
          <w:p>
            <w:pPr>
              <w:jc w:val="center"/>
              <w:ind w:left="22"/>
              <w:spacing w:after="0" w:line="135" w:lineRule="exact"/>
              <w:rPr>
                <w:sz w:val="20"/>
                <w:szCs w:val="20"/>
                <w:color w:val="auto"/>
              </w:rPr>
            </w:pPr>
            <w:r>
              <w:rPr>
                <w:rFonts w:ascii="Arial" w:cs="Arial" w:eastAsia="Arial" w:hAnsi="Arial"/>
                <w:sz w:val="12"/>
                <w:szCs w:val="12"/>
                <w:b w:val="1"/>
                <w:bCs w:val="1"/>
                <w:color w:val="auto"/>
              </w:rPr>
              <w:t>Fair Value</w:t>
            </w:r>
          </w:p>
        </w:tc>
        <w:tc>
          <w:tcPr>
            <w:tcW w:w="40" w:type="dxa"/>
            <w:vAlign w:val="bottom"/>
          </w:tcPr>
          <w:p>
            <w:pPr>
              <w:spacing w:after="0"/>
              <w:rPr>
                <w:sz w:val="11"/>
                <w:szCs w:val="11"/>
                <w:color w:val="auto"/>
              </w:rPr>
            </w:pPr>
          </w:p>
        </w:tc>
      </w:tr>
      <w:tr>
        <w:trPr>
          <w:trHeight w:val="135"/>
        </w:trPr>
        <w:tc>
          <w:tcPr>
            <w:tcW w:w="1160" w:type="dxa"/>
            <w:vAlign w:val="bottom"/>
            <w:shd w:val="clear" w:color="auto" w:fill="F2F2F2"/>
          </w:tcPr>
          <w:p>
            <w:pPr>
              <w:spacing w:after="0"/>
              <w:rPr>
                <w:sz w:val="11"/>
                <w:szCs w:val="11"/>
                <w:color w:val="auto"/>
              </w:rPr>
            </w:pPr>
          </w:p>
        </w:tc>
        <w:tc>
          <w:tcPr>
            <w:tcW w:w="160" w:type="dxa"/>
            <w:vAlign w:val="bottom"/>
            <w:shd w:val="clear" w:color="auto" w:fill="F2F2F2"/>
          </w:tcPr>
          <w:p>
            <w:pPr>
              <w:spacing w:after="0"/>
              <w:rPr>
                <w:sz w:val="11"/>
                <w:szCs w:val="11"/>
                <w:color w:val="auto"/>
              </w:rPr>
            </w:pPr>
          </w:p>
        </w:tc>
        <w:tc>
          <w:tcPr>
            <w:tcW w:w="720" w:type="dxa"/>
            <w:vAlign w:val="bottom"/>
            <w:shd w:val="clear" w:color="auto" w:fill="F2F2F2"/>
          </w:tcPr>
          <w:p>
            <w:pPr>
              <w:spacing w:after="0"/>
              <w:rPr>
                <w:sz w:val="11"/>
                <w:szCs w:val="11"/>
                <w:color w:val="auto"/>
              </w:rPr>
            </w:pPr>
          </w:p>
        </w:tc>
        <w:tc>
          <w:tcPr>
            <w:tcW w:w="160" w:type="dxa"/>
            <w:vAlign w:val="bottom"/>
            <w:shd w:val="clear" w:color="auto" w:fill="F2F2F2"/>
          </w:tcPr>
          <w:p>
            <w:pPr>
              <w:spacing w:after="0"/>
              <w:rPr>
                <w:sz w:val="11"/>
                <w:szCs w:val="11"/>
                <w:color w:val="auto"/>
              </w:rPr>
            </w:pPr>
          </w:p>
        </w:tc>
        <w:tc>
          <w:tcPr>
            <w:tcW w:w="540" w:type="dxa"/>
            <w:vAlign w:val="bottom"/>
            <w:shd w:val="clear" w:color="auto" w:fill="F2F2F2"/>
          </w:tcPr>
          <w:p>
            <w:pPr>
              <w:spacing w:after="0"/>
              <w:rPr>
                <w:sz w:val="11"/>
                <w:szCs w:val="11"/>
                <w:color w:val="auto"/>
              </w:rPr>
            </w:pPr>
          </w:p>
        </w:tc>
        <w:tc>
          <w:tcPr>
            <w:tcW w:w="160" w:type="dxa"/>
            <w:vAlign w:val="bottom"/>
            <w:shd w:val="clear" w:color="auto" w:fill="F2F2F2"/>
          </w:tcPr>
          <w:p>
            <w:pPr>
              <w:spacing w:after="0"/>
              <w:rPr>
                <w:sz w:val="11"/>
                <w:szCs w:val="11"/>
                <w:color w:val="auto"/>
              </w:rPr>
            </w:pPr>
          </w:p>
        </w:tc>
        <w:tc>
          <w:tcPr>
            <w:tcW w:w="720" w:type="dxa"/>
            <w:vAlign w:val="bottom"/>
            <w:shd w:val="clear" w:color="auto" w:fill="F2F2F2"/>
          </w:tcPr>
          <w:p>
            <w:pPr>
              <w:spacing w:after="0"/>
              <w:rPr>
                <w:sz w:val="11"/>
                <w:szCs w:val="11"/>
                <w:color w:val="auto"/>
              </w:rPr>
            </w:pPr>
          </w:p>
        </w:tc>
        <w:tc>
          <w:tcPr>
            <w:tcW w:w="240" w:type="dxa"/>
            <w:vAlign w:val="bottom"/>
            <w:shd w:val="clear" w:color="auto" w:fill="F2F2F2"/>
          </w:tcPr>
          <w:p>
            <w:pPr>
              <w:spacing w:after="0"/>
              <w:rPr>
                <w:sz w:val="11"/>
                <w:szCs w:val="11"/>
                <w:color w:val="auto"/>
              </w:rPr>
            </w:pPr>
          </w:p>
        </w:tc>
        <w:tc>
          <w:tcPr>
            <w:tcW w:w="640" w:type="dxa"/>
            <w:vAlign w:val="bottom"/>
            <w:shd w:val="clear" w:color="auto" w:fill="F2F2F2"/>
          </w:tcPr>
          <w:p>
            <w:pPr>
              <w:spacing w:after="0"/>
              <w:rPr>
                <w:sz w:val="11"/>
                <w:szCs w:val="11"/>
                <w:color w:val="auto"/>
              </w:rPr>
            </w:pPr>
          </w:p>
        </w:tc>
        <w:tc>
          <w:tcPr>
            <w:tcW w:w="840" w:type="dxa"/>
            <w:vAlign w:val="bottom"/>
            <w:shd w:val="clear" w:color="auto" w:fill="F2F2F2"/>
          </w:tcPr>
          <w:p>
            <w:pPr>
              <w:spacing w:after="0"/>
              <w:rPr>
                <w:sz w:val="11"/>
                <w:szCs w:val="11"/>
                <w:color w:val="auto"/>
              </w:rPr>
            </w:pPr>
          </w:p>
        </w:tc>
        <w:tc>
          <w:tcPr>
            <w:tcW w:w="160" w:type="dxa"/>
            <w:vAlign w:val="bottom"/>
            <w:shd w:val="clear" w:color="auto" w:fill="F2F2F2"/>
          </w:tcPr>
          <w:p>
            <w:pPr>
              <w:spacing w:after="0"/>
              <w:rPr>
                <w:sz w:val="11"/>
                <w:szCs w:val="11"/>
                <w:color w:val="auto"/>
              </w:rPr>
            </w:pPr>
          </w:p>
        </w:tc>
        <w:tc>
          <w:tcPr>
            <w:tcW w:w="960" w:type="dxa"/>
            <w:vAlign w:val="bottom"/>
            <w:shd w:val="clear" w:color="auto" w:fill="F2F2F2"/>
          </w:tcPr>
          <w:p>
            <w:pPr>
              <w:spacing w:after="0"/>
              <w:rPr>
                <w:sz w:val="11"/>
                <w:szCs w:val="11"/>
                <w:color w:val="auto"/>
              </w:rPr>
            </w:pPr>
          </w:p>
        </w:tc>
        <w:tc>
          <w:tcPr>
            <w:tcW w:w="640" w:type="dxa"/>
            <w:vAlign w:val="bottom"/>
            <w:shd w:val="clear" w:color="auto" w:fill="F2F2F2"/>
          </w:tcPr>
          <w:p>
            <w:pPr>
              <w:spacing w:after="0"/>
              <w:rPr>
                <w:sz w:val="11"/>
                <w:szCs w:val="11"/>
                <w:color w:val="auto"/>
              </w:rPr>
            </w:pPr>
          </w:p>
        </w:tc>
        <w:tc>
          <w:tcPr>
            <w:tcW w:w="840" w:type="dxa"/>
            <w:vAlign w:val="bottom"/>
            <w:shd w:val="clear" w:color="auto" w:fill="F2F2F2"/>
          </w:tcPr>
          <w:p>
            <w:pPr>
              <w:spacing w:after="0"/>
              <w:rPr>
                <w:sz w:val="11"/>
                <w:szCs w:val="11"/>
                <w:color w:val="auto"/>
              </w:rPr>
            </w:pPr>
          </w:p>
        </w:tc>
        <w:tc>
          <w:tcPr>
            <w:tcW w:w="880" w:type="dxa"/>
            <w:vAlign w:val="bottom"/>
            <w:shd w:val="clear" w:color="auto" w:fill="F2F2F2"/>
          </w:tcPr>
          <w:p>
            <w:pPr>
              <w:jc w:val="center"/>
              <w:ind w:left="82"/>
              <w:spacing w:after="0" w:line="135" w:lineRule="exact"/>
              <w:rPr>
                <w:sz w:val="20"/>
                <w:szCs w:val="20"/>
                <w:color w:val="auto"/>
              </w:rPr>
            </w:pPr>
            <w:r>
              <w:rPr>
                <w:rFonts w:ascii="Arial" w:cs="Arial" w:eastAsia="Arial" w:hAnsi="Arial"/>
                <w:sz w:val="12"/>
                <w:szCs w:val="12"/>
                <w:b w:val="1"/>
                <w:bCs w:val="1"/>
                <w:color w:val="auto"/>
              </w:rPr>
              <w:t>Number of</w:t>
            </w:r>
          </w:p>
        </w:tc>
        <w:tc>
          <w:tcPr>
            <w:tcW w:w="900" w:type="dxa"/>
            <w:vAlign w:val="bottom"/>
            <w:tcBorders>
              <w:right w:val="single" w:sz="8" w:color="F2F2F2"/>
            </w:tcBorders>
            <w:shd w:val="clear" w:color="auto" w:fill="F2F2F2"/>
          </w:tcPr>
          <w:p>
            <w:pPr>
              <w:jc w:val="center"/>
              <w:ind w:left="22"/>
              <w:spacing w:after="0" w:line="135" w:lineRule="exact"/>
              <w:rPr>
                <w:sz w:val="20"/>
                <w:szCs w:val="20"/>
                <w:color w:val="auto"/>
              </w:rPr>
            </w:pPr>
            <w:r>
              <w:rPr>
                <w:rFonts w:ascii="Arial" w:cs="Arial" w:eastAsia="Arial" w:hAnsi="Arial"/>
                <w:sz w:val="12"/>
                <w:szCs w:val="12"/>
                <w:b w:val="1"/>
                <w:bCs w:val="1"/>
                <w:color w:val="auto"/>
                <w:w w:val="97"/>
              </w:rPr>
              <w:t>of Stock</w:t>
            </w:r>
          </w:p>
        </w:tc>
        <w:tc>
          <w:tcPr>
            <w:tcW w:w="40" w:type="dxa"/>
            <w:vAlign w:val="bottom"/>
          </w:tcPr>
          <w:p>
            <w:pPr>
              <w:spacing w:after="0"/>
              <w:rPr>
                <w:sz w:val="11"/>
                <w:szCs w:val="11"/>
                <w:color w:val="auto"/>
              </w:rPr>
            </w:pPr>
          </w:p>
        </w:tc>
      </w:tr>
      <w:tr>
        <w:trPr>
          <w:trHeight w:val="135"/>
        </w:trPr>
        <w:tc>
          <w:tcPr>
            <w:tcW w:w="1160" w:type="dxa"/>
            <w:vAlign w:val="bottom"/>
            <w:shd w:val="clear" w:color="auto" w:fill="F2F2F2"/>
          </w:tcPr>
          <w:p>
            <w:pPr>
              <w:spacing w:after="0"/>
              <w:rPr>
                <w:sz w:val="11"/>
                <w:szCs w:val="11"/>
                <w:color w:val="auto"/>
              </w:rPr>
            </w:pPr>
          </w:p>
        </w:tc>
        <w:tc>
          <w:tcPr>
            <w:tcW w:w="160" w:type="dxa"/>
            <w:vAlign w:val="bottom"/>
            <w:shd w:val="clear" w:color="auto" w:fill="F2F2F2"/>
          </w:tcPr>
          <w:p>
            <w:pPr>
              <w:spacing w:after="0"/>
              <w:rPr>
                <w:sz w:val="11"/>
                <w:szCs w:val="11"/>
                <w:color w:val="auto"/>
              </w:rPr>
            </w:pPr>
          </w:p>
        </w:tc>
        <w:tc>
          <w:tcPr>
            <w:tcW w:w="720" w:type="dxa"/>
            <w:vAlign w:val="bottom"/>
            <w:shd w:val="clear" w:color="auto" w:fill="F2F2F2"/>
          </w:tcPr>
          <w:p>
            <w:pPr>
              <w:spacing w:after="0"/>
              <w:rPr>
                <w:sz w:val="11"/>
                <w:szCs w:val="11"/>
                <w:color w:val="auto"/>
              </w:rPr>
            </w:pPr>
          </w:p>
        </w:tc>
        <w:tc>
          <w:tcPr>
            <w:tcW w:w="160" w:type="dxa"/>
            <w:vAlign w:val="bottom"/>
            <w:shd w:val="clear" w:color="auto" w:fill="F2F2F2"/>
          </w:tcPr>
          <w:p>
            <w:pPr>
              <w:spacing w:after="0"/>
              <w:rPr>
                <w:sz w:val="11"/>
                <w:szCs w:val="11"/>
                <w:color w:val="auto"/>
              </w:rPr>
            </w:pPr>
          </w:p>
        </w:tc>
        <w:tc>
          <w:tcPr>
            <w:tcW w:w="540" w:type="dxa"/>
            <w:vAlign w:val="bottom"/>
            <w:shd w:val="clear" w:color="auto" w:fill="F2F2F2"/>
          </w:tcPr>
          <w:p>
            <w:pPr>
              <w:spacing w:after="0"/>
              <w:rPr>
                <w:sz w:val="11"/>
                <w:szCs w:val="11"/>
                <w:color w:val="auto"/>
              </w:rPr>
            </w:pPr>
          </w:p>
        </w:tc>
        <w:tc>
          <w:tcPr>
            <w:tcW w:w="160" w:type="dxa"/>
            <w:vAlign w:val="bottom"/>
            <w:shd w:val="clear" w:color="auto" w:fill="F2F2F2"/>
          </w:tcPr>
          <w:p>
            <w:pPr>
              <w:spacing w:after="0"/>
              <w:rPr>
                <w:sz w:val="11"/>
                <w:szCs w:val="11"/>
                <w:color w:val="auto"/>
              </w:rPr>
            </w:pPr>
          </w:p>
        </w:tc>
        <w:tc>
          <w:tcPr>
            <w:tcW w:w="2440" w:type="dxa"/>
            <w:vAlign w:val="bottom"/>
            <w:gridSpan w:val="4"/>
            <w:shd w:val="clear" w:color="auto" w:fill="F2F2F2"/>
          </w:tcPr>
          <w:p>
            <w:pPr>
              <w:jc w:val="center"/>
              <w:spacing w:after="0" w:line="135" w:lineRule="exact"/>
              <w:rPr>
                <w:sz w:val="20"/>
                <w:szCs w:val="20"/>
                <w:color w:val="auto"/>
              </w:rPr>
            </w:pPr>
            <w:r>
              <w:rPr>
                <w:rFonts w:ascii="Arial" w:cs="Arial" w:eastAsia="Arial" w:hAnsi="Arial"/>
                <w:sz w:val="12"/>
                <w:szCs w:val="12"/>
                <w:b w:val="1"/>
                <w:bCs w:val="1"/>
                <w:color w:val="auto"/>
              </w:rPr>
              <w:t>Estimated Future Payouts Under</w:t>
            </w:r>
          </w:p>
        </w:tc>
        <w:tc>
          <w:tcPr>
            <w:tcW w:w="160" w:type="dxa"/>
            <w:vAlign w:val="bottom"/>
            <w:shd w:val="clear" w:color="auto" w:fill="F2F2F2"/>
          </w:tcPr>
          <w:p>
            <w:pPr>
              <w:spacing w:after="0"/>
              <w:rPr>
                <w:sz w:val="11"/>
                <w:szCs w:val="11"/>
                <w:color w:val="auto"/>
              </w:rPr>
            </w:pPr>
          </w:p>
        </w:tc>
        <w:tc>
          <w:tcPr>
            <w:tcW w:w="2440" w:type="dxa"/>
            <w:vAlign w:val="bottom"/>
            <w:gridSpan w:val="3"/>
            <w:shd w:val="clear" w:color="auto" w:fill="F2F2F2"/>
          </w:tcPr>
          <w:p>
            <w:pPr>
              <w:jc w:val="center"/>
              <w:spacing w:after="0" w:line="135" w:lineRule="exact"/>
              <w:rPr>
                <w:sz w:val="20"/>
                <w:szCs w:val="20"/>
                <w:color w:val="auto"/>
              </w:rPr>
            </w:pPr>
            <w:r>
              <w:rPr>
                <w:rFonts w:ascii="Arial" w:cs="Arial" w:eastAsia="Arial" w:hAnsi="Arial"/>
                <w:sz w:val="12"/>
                <w:szCs w:val="12"/>
                <w:b w:val="1"/>
                <w:bCs w:val="1"/>
                <w:color w:val="auto"/>
              </w:rPr>
              <w:t>Estimated Future Payouts Under</w:t>
            </w:r>
          </w:p>
        </w:tc>
        <w:tc>
          <w:tcPr>
            <w:tcW w:w="880" w:type="dxa"/>
            <w:vAlign w:val="bottom"/>
            <w:shd w:val="clear" w:color="auto" w:fill="F2F2F2"/>
          </w:tcPr>
          <w:p>
            <w:pPr>
              <w:jc w:val="center"/>
              <w:ind w:left="82"/>
              <w:spacing w:after="0" w:line="135" w:lineRule="exact"/>
              <w:rPr>
                <w:sz w:val="20"/>
                <w:szCs w:val="20"/>
                <w:color w:val="auto"/>
              </w:rPr>
            </w:pPr>
            <w:r>
              <w:rPr>
                <w:rFonts w:ascii="Arial" w:cs="Arial" w:eastAsia="Arial" w:hAnsi="Arial"/>
                <w:sz w:val="12"/>
                <w:szCs w:val="12"/>
                <w:b w:val="1"/>
                <w:bCs w:val="1"/>
                <w:color w:val="auto"/>
                <w:w w:val="98"/>
              </w:rPr>
              <w:t>Shares of</w:t>
            </w:r>
          </w:p>
        </w:tc>
        <w:tc>
          <w:tcPr>
            <w:tcW w:w="900" w:type="dxa"/>
            <w:vAlign w:val="bottom"/>
            <w:tcBorders>
              <w:right w:val="single" w:sz="8" w:color="F2F2F2"/>
            </w:tcBorders>
            <w:shd w:val="clear" w:color="auto" w:fill="F2F2F2"/>
          </w:tcPr>
          <w:p>
            <w:pPr>
              <w:jc w:val="center"/>
              <w:ind w:left="22"/>
              <w:spacing w:after="0" w:line="135" w:lineRule="exact"/>
              <w:rPr>
                <w:sz w:val="20"/>
                <w:szCs w:val="20"/>
                <w:color w:val="auto"/>
              </w:rPr>
            </w:pPr>
            <w:r>
              <w:rPr>
                <w:rFonts w:ascii="Arial" w:cs="Arial" w:eastAsia="Arial" w:hAnsi="Arial"/>
                <w:sz w:val="12"/>
                <w:szCs w:val="12"/>
                <w:b w:val="1"/>
                <w:bCs w:val="1"/>
                <w:color w:val="auto"/>
              </w:rPr>
              <w:t>and</w:t>
            </w:r>
          </w:p>
        </w:tc>
        <w:tc>
          <w:tcPr>
            <w:tcW w:w="40" w:type="dxa"/>
            <w:vAlign w:val="bottom"/>
          </w:tcPr>
          <w:p>
            <w:pPr>
              <w:spacing w:after="0"/>
              <w:rPr>
                <w:sz w:val="11"/>
                <w:szCs w:val="11"/>
                <w:color w:val="auto"/>
              </w:rPr>
            </w:pPr>
          </w:p>
        </w:tc>
      </w:tr>
      <w:tr>
        <w:trPr>
          <w:trHeight w:val="159"/>
        </w:trPr>
        <w:tc>
          <w:tcPr>
            <w:tcW w:w="1160" w:type="dxa"/>
            <w:vAlign w:val="bottom"/>
            <w:tcBorders>
              <w:bottom w:val="single" w:sz="8" w:color="F2F2F2"/>
            </w:tcBorders>
            <w:shd w:val="clear" w:color="auto" w:fill="F2F2F2"/>
          </w:tcPr>
          <w:p>
            <w:pPr>
              <w:spacing w:after="0"/>
              <w:rPr>
                <w:sz w:val="13"/>
                <w:szCs w:val="13"/>
                <w:color w:val="auto"/>
              </w:rPr>
            </w:pPr>
          </w:p>
        </w:tc>
        <w:tc>
          <w:tcPr>
            <w:tcW w:w="160" w:type="dxa"/>
            <w:vAlign w:val="bottom"/>
            <w:tcBorders>
              <w:bottom w:val="single" w:sz="8" w:color="F2F2F2"/>
            </w:tcBorders>
            <w:shd w:val="clear" w:color="auto" w:fill="F2F2F2"/>
          </w:tcPr>
          <w:p>
            <w:pPr>
              <w:spacing w:after="0"/>
              <w:rPr>
                <w:sz w:val="13"/>
                <w:szCs w:val="13"/>
                <w:color w:val="auto"/>
              </w:rPr>
            </w:pPr>
          </w:p>
        </w:tc>
        <w:tc>
          <w:tcPr>
            <w:tcW w:w="720" w:type="dxa"/>
            <w:vAlign w:val="bottom"/>
            <w:tcBorders>
              <w:bottom w:val="single" w:sz="8" w:color="F2F2F2"/>
            </w:tcBorders>
            <w:shd w:val="clear" w:color="auto" w:fill="F2F2F2"/>
          </w:tcPr>
          <w:p>
            <w:pPr>
              <w:spacing w:after="0"/>
              <w:rPr>
                <w:sz w:val="13"/>
                <w:szCs w:val="13"/>
                <w:color w:val="auto"/>
              </w:rPr>
            </w:pPr>
          </w:p>
        </w:tc>
        <w:tc>
          <w:tcPr>
            <w:tcW w:w="160" w:type="dxa"/>
            <w:vAlign w:val="bottom"/>
            <w:tcBorders>
              <w:bottom w:val="single" w:sz="8" w:color="F2F2F2"/>
            </w:tcBorders>
            <w:shd w:val="clear" w:color="auto" w:fill="F2F2F2"/>
          </w:tcPr>
          <w:p>
            <w:pPr>
              <w:spacing w:after="0"/>
              <w:rPr>
                <w:sz w:val="13"/>
                <w:szCs w:val="13"/>
                <w:color w:val="auto"/>
              </w:rPr>
            </w:pPr>
          </w:p>
        </w:tc>
        <w:tc>
          <w:tcPr>
            <w:tcW w:w="540" w:type="dxa"/>
            <w:vAlign w:val="bottom"/>
            <w:tcBorders>
              <w:bottom w:val="single" w:sz="8" w:color="F2F2F2"/>
            </w:tcBorders>
            <w:shd w:val="clear" w:color="auto" w:fill="F2F2F2"/>
          </w:tcPr>
          <w:p>
            <w:pPr>
              <w:spacing w:after="0"/>
              <w:rPr>
                <w:sz w:val="13"/>
                <w:szCs w:val="13"/>
                <w:color w:val="auto"/>
              </w:rPr>
            </w:pPr>
          </w:p>
        </w:tc>
        <w:tc>
          <w:tcPr>
            <w:tcW w:w="160" w:type="dxa"/>
            <w:vAlign w:val="bottom"/>
            <w:tcBorders>
              <w:bottom w:val="single" w:sz="8" w:color="F2F2F2"/>
            </w:tcBorders>
            <w:shd w:val="clear" w:color="auto" w:fill="F2F2F2"/>
          </w:tcPr>
          <w:p>
            <w:pPr>
              <w:spacing w:after="0"/>
              <w:rPr>
                <w:sz w:val="13"/>
                <w:szCs w:val="13"/>
                <w:color w:val="auto"/>
              </w:rPr>
            </w:pPr>
          </w:p>
        </w:tc>
        <w:tc>
          <w:tcPr>
            <w:tcW w:w="2440" w:type="dxa"/>
            <w:vAlign w:val="bottom"/>
            <w:tcBorders>
              <w:bottom w:val="single" w:sz="8" w:color="1414D2"/>
            </w:tcBorders>
            <w:gridSpan w:val="4"/>
            <w:shd w:val="clear" w:color="auto" w:fill="F2F2F2"/>
          </w:tcPr>
          <w:p>
            <w:pPr>
              <w:jc w:val="center"/>
              <w:spacing w:after="0"/>
              <w:rPr>
                <w:sz w:val="20"/>
                <w:szCs w:val="20"/>
                <w:color w:val="auto"/>
              </w:rPr>
            </w:pPr>
            <w:r>
              <w:rPr>
                <w:rFonts w:ascii="Arial" w:cs="Arial" w:eastAsia="Arial" w:hAnsi="Arial"/>
                <w:sz w:val="12"/>
                <w:szCs w:val="12"/>
                <w:b w:val="1"/>
                <w:bCs w:val="1"/>
                <w:color w:val="auto"/>
              </w:rPr>
              <w:t>Non-Equity Incentive Plan Awards</w:t>
            </w:r>
          </w:p>
        </w:tc>
        <w:tc>
          <w:tcPr>
            <w:tcW w:w="160" w:type="dxa"/>
            <w:vAlign w:val="bottom"/>
            <w:tcBorders>
              <w:bottom w:val="single" w:sz="8" w:color="F2F2F2"/>
            </w:tcBorders>
            <w:shd w:val="clear" w:color="auto" w:fill="F2F2F2"/>
          </w:tcPr>
          <w:p>
            <w:pPr>
              <w:spacing w:after="0"/>
              <w:rPr>
                <w:sz w:val="13"/>
                <w:szCs w:val="13"/>
                <w:color w:val="auto"/>
              </w:rPr>
            </w:pPr>
          </w:p>
        </w:tc>
        <w:tc>
          <w:tcPr>
            <w:tcW w:w="2440" w:type="dxa"/>
            <w:vAlign w:val="bottom"/>
            <w:tcBorders>
              <w:bottom w:val="single" w:sz="8" w:color="1414D2"/>
            </w:tcBorders>
            <w:gridSpan w:val="3"/>
            <w:shd w:val="clear" w:color="auto" w:fill="F2F2F2"/>
          </w:tcPr>
          <w:p>
            <w:pPr>
              <w:jc w:val="center"/>
              <w:spacing w:after="0"/>
              <w:rPr>
                <w:sz w:val="20"/>
                <w:szCs w:val="20"/>
                <w:color w:val="auto"/>
              </w:rPr>
            </w:pPr>
            <w:r>
              <w:rPr>
                <w:rFonts w:ascii="Arial" w:cs="Arial" w:eastAsia="Arial" w:hAnsi="Arial"/>
                <w:sz w:val="12"/>
                <w:szCs w:val="12"/>
                <w:b w:val="1"/>
                <w:bCs w:val="1"/>
                <w:color w:val="auto"/>
              </w:rPr>
              <w:t>Equity Incentive Plan Awards</w:t>
            </w:r>
          </w:p>
        </w:tc>
        <w:tc>
          <w:tcPr>
            <w:tcW w:w="880" w:type="dxa"/>
            <w:vAlign w:val="bottom"/>
            <w:tcBorders>
              <w:bottom w:val="single" w:sz="8" w:color="F2F2F2"/>
            </w:tcBorders>
            <w:shd w:val="clear" w:color="auto" w:fill="F2F2F2"/>
          </w:tcPr>
          <w:p>
            <w:pPr>
              <w:jc w:val="center"/>
              <w:ind w:left="82"/>
              <w:spacing w:after="0"/>
              <w:rPr>
                <w:sz w:val="20"/>
                <w:szCs w:val="20"/>
                <w:color w:val="auto"/>
              </w:rPr>
            </w:pPr>
            <w:r>
              <w:rPr>
                <w:rFonts w:ascii="Arial" w:cs="Arial" w:eastAsia="Arial" w:hAnsi="Arial"/>
                <w:sz w:val="12"/>
                <w:szCs w:val="12"/>
                <w:b w:val="1"/>
                <w:bCs w:val="1"/>
                <w:color w:val="auto"/>
                <w:w w:val="95"/>
              </w:rPr>
              <w:t>Stock or</w:t>
            </w:r>
          </w:p>
        </w:tc>
        <w:tc>
          <w:tcPr>
            <w:tcW w:w="900" w:type="dxa"/>
            <w:vAlign w:val="bottom"/>
            <w:tcBorders>
              <w:bottom w:val="single" w:sz="8" w:color="F2F2F2"/>
              <w:right w:val="single" w:sz="8" w:color="F2F2F2"/>
            </w:tcBorders>
            <w:shd w:val="clear" w:color="auto" w:fill="F2F2F2"/>
          </w:tcPr>
          <w:p>
            <w:pPr>
              <w:jc w:val="center"/>
              <w:ind w:left="42"/>
              <w:spacing w:after="0"/>
              <w:rPr>
                <w:sz w:val="20"/>
                <w:szCs w:val="20"/>
                <w:color w:val="auto"/>
              </w:rPr>
            </w:pPr>
            <w:r>
              <w:rPr>
                <w:rFonts w:ascii="Arial" w:cs="Arial" w:eastAsia="Arial" w:hAnsi="Arial"/>
                <w:sz w:val="12"/>
                <w:szCs w:val="12"/>
                <w:b w:val="1"/>
                <w:bCs w:val="1"/>
                <w:color w:val="auto"/>
              </w:rPr>
              <w:t>Option</w:t>
            </w:r>
          </w:p>
        </w:tc>
        <w:tc>
          <w:tcPr>
            <w:tcW w:w="40" w:type="dxa"/>
            <w:vAlign w:val="bottom"/>
          </w:tcPr>
          <w:p>
            <w:pPr>
              <w:spacing w:after="0"/>
              <w:rPr>
                <w:sz w:val="13"/>
                <w:szCs w:val="13"/>
                <w:color w:val="auto"/>
              </w:rPr>
            </w:pPr>
          </w:p>
        </w:tc>
      </w:tr>
      <w:tr>
        <w:trPr>
          <w:trHeight w:val="109"/>
        </w:trPr>
        <w:tc>
          <w:tcPr>
            <w:tcW w:w="1160" w:type="dxa"/>
            <w:vAlign w:val="bottom"/>
            <w:shd w:val="clear" w:color="auto" w:fill="F2F2F2"/>
          </w:tcPr>
          <w:p>
            <w:pPr>
              <w:spacing w:after="0"/>
              <w:rPr>
                <w:sz w:val="9"/>
                <w:szCs w:val="9"/>
                <w:color w:val="auto"/>
              </w:rPr>
            </w:pPr>
          </w:p>
        </w:tc>
        <w:tc>
          <w:tcPr>
            <w:tcW w:w="160" w:type="dxa"/>
            <w:vAlign w:val="bottom"/>
            <w:shd w:val="clear" w:color="auto" w:fill="F2F2F2"/>
          </w:tcPr>
          <w:p>
            <w:pPr>
              <w:ind w:left="80"/>
              <w:spacing w:after="0" w:line="109" w:lineRule="exact"/>
              <w:rPr>
                <w:sz w:val="20"/>
                <w:szCs w:val="20"/>
                <w:color w:val="auto"/>
              </w:rPr>
            </w:pPr>
            <w:r>
              <w:rPr>
                <w:rFonts w:ascii="Arial" w:cs="Arial" w:eastAsia="Arial" w:hAnsi="Arial"/>
                <w:sz w:val="12"/>
                <w:szCs w:val="12"/>
                <w:b w:val="1"/>
                <w:bCs w:val="1"/>
                <w:color w:val="auto"/>
              </w:rPr>
              <w:t>​​</w:t>
            </w:r>
          </w:p>
        </w:tc>
        <w:tc>
          <w:tcPr>
            <w:tcW w:w="720" w:type="dxa"/>
            <w:vAlign w:val="bottom"/>
            <w:shd w:val="clear" w:color="auto" w:fill="F2F2F2"/>
          </w:tcPr>
          <w:p>
            <w:pPr>
              <w:jc w:val="center"/>
              <w:spacing w:after="0" w:line="109" w:lineRule="exact"/>
              <w:rPr>
                <w:sz w:val="20"/>
                <w:szCs w:val="20"/>
                <w:color w:val="auto"/>
              </w:rPr>
            </w:pPr>
            <w:r>
              <w:rPr>
                <w:rFonts w:ascii="Arial" w:cs="Arial" w:eastAsia="Arial" w:hAnsi="Arial"/>
                <w:sz w:val="12"/>
                <w:szCs w:val="12"/>
                <w:b w:val="1"/>
                <w:bCs w:val="1"/>
                <w:color w:val="auto"/>
                <w:w w:val="99"/>
              </w:rPr>
              <w:t>Grant</w:t>
            </w:r>
          </w:p>
        </w:tc>
        <w:tc>
          <w:tcPr>
            <w:tcW w:w="160" w:type="dxa"/>
            <w:vAlign w:val="bottom"/>
            <w:shd w:val="clear" w:color="auto" w:fill="F2F2F2"/>
          </w:tcPr>
          <w:p>
            <w:pPr>
              <w:ind w:left="80"/>
              <w:spacing w:after="0" w:line="109" w:lineRule="exact"/>
              <w:rPr>
                <w:sz w:val="20"/>
                <w:szCs w:val="20"/>
                <w:color w:val="auto"/>
              </w:rPr>
            </w:pPr>
            <w:r>
              <w:rPr>
                <w:rFonts w:ascii="Arial" w:cs="Arial" w:eastAsia="Arial" w:hAnsi="Arial"/>
                <w:sz w:val="12"/>
                <w:szCs w:val="12"/>
                <w:b w:val="1"/>
                <w:bCs w:val="1"/>
                <w:color w:val="auto"/>
              </w:rPr>
              <w:t>​</w:t>
            </w:r>
          </w:p>
        </w:tc>
        <w:tc>
          <w:tcPr>
            <w:tcW w:w="540" w:type="dxa"/>
            <w:vAlign w:val="bottom"/>
            <w:shd w:val="clear" w:color="auto" w:fill="F2F2F2"/>
          </w:tcPr>
          <w:p>
            <w:pPr>
              <w:jc w:val="center"/>
              <w:spacing w:after="0" w:line="109" w:lineRule="exact"/>
              <w:rPr>
                <w:sz w:val="20"/>
                <w:szCs w:val="20"/>
                <w:color w:val="auto"/>
              </w:rPr>
            </w:pPr>
            <w:r>
              <w:rPr>
                <w:rFonts w:ascii="Arial" w:cs="Arial" w:eastAsia="Arial" w:hAnsi="Arial"/>
                <w:sz w:val="12"/>
                <w:szCs w:val="12"/>
                <w:b w:val="1"/>
                <w:bCs w:val="1"/>
                <w:color w:val="auto"/>
              </w:rPr>
              <w:t>​​Approval</w:t>
            </w:r>
          </w:p>
        </w:tc>
        <w:tc>
          <w:tcPr>
            <w:tcW w:w="160" w:type="dxa"/>
            <w:vAlign w:val="bottom"/>
            <w:shd w:val="clear" w:color="auto" w:fill="F2F2F2"/>
          </w:tcPr>
          <w:p>
            <w:pPr>
              <w:ind w:left="80"/>
              <w:spacing w:after="0" w:line="109" w:lineRule="exact"/>
              <w:rPr>
                <w:sz w:val="20"/>
                <w:szCs w:val="20"/>
                <w:color w:val="auto"/>
              </w:rPr>
            </w:pPr>
            <w:r>
              <w:rPr>
                <w:rFonts w:ascii="Arial" w:cs="Arial" w:eastAsia="Arial" w:hAnsi="Arial"/>
                <w:sz w:val="12"/>
                <w:szCs w:val="12"/>
                <w:b w:val="1"/>
                <w:bCs w:val="1"/>
                <w:color w:val="auto"/>
              </w:rPr>
              <w:t>​​​</w:t>
            </w:r>
          </w:p>
        </w:tc>
        <w:tc>
          <w:tcPr>
            <w:tcW w:w="720" w:type="dxa"/>
            <w:vAlign w:val="bottom"/>
            <w:shd w:val="clear" w:color="auto" w:fill="F2F2F2"/>
          </w:tcPr>
          <w:p>
            <w:pPr>
              <w:jc w:val="right"/>
              <w:ind w:right="2"/>
              <w:spacing w:after="0" w:line="109" w:lineRule="exact"/>
              <w:rPr>
                <w:sz w:val="20"/>
                <w:szCs w:val="20"/>
                <w:color w:val="auto"/>
              </w:rPr>
            </w:pPr>
            <w:r>
              <w:rPr>
                <w:rFonts w:ascii="Arial" w:cs="Arial" w:eastAsia="Arial" w:hAnsi="Arial"/>
                <w:sz w:val="12"/>
                <w:szCs w:val="12"/>
                <w:b w:val="1"/>
                <w:bCs w:val="1"/>
                <w:color w:val="auto"/>
              </w:rPr>
              <w:t>Threshold</w:t>
            </w:r>
          </w:p>
        </w:tc>
        <w:tc>
          <w:tcPr>
            <w:tcW w:w="240" w:type="dxa"/>
            <w:vAlign w:val="bottom"/>
            <w:shd w:val="clear" w:color="auto" w:fill="F2F2F2"/>
          </w:tcPr>
          <w:p>
            <w:pPr>
              <w:ind w:left="80"/>
              <w:spacing w:after="0" w:line="109" w:lineRule="exact"/>
              <w:rPr>
                <w:sz w:val="20"/>
                <w:szCs w:val="20"/>
                <w:color w:val="auto"/>
              </w:rPr>
            </w:pPr>
            <w:r>
              <w:rPr>
                <w:rFonts w:ascii="Arial" w:cs="Arial" w:eastAsia="Arial" w:hAnsi="Arial"/>
                <w:sz w:val="12"/>
                <w:szCs w:val="12"/>
                <w:b w:val="1"/>
                <w:bCs w:val="1"/>
                <w:color w:val="auto"/>
              </w:rPr>
              <w:t>​​​</w:t>
            </w:r>
          </w:p>
        </w:tc>
        <w:tc>
          <w:tcPr>
            <w:tcW w:w="640" w:type="dxa"/>
            <w:vAlign w:val="bottom"/>
            <w:shd w:val="clear" w:color="auto" w:fill="F2F2F2"/>
          </w:tcPr>
          <w:p>
            <w:pPr>
              <w:jc w:val="center"/>
              <w:ind w:right="42"/>
              <w:spacing w:after="0" w:line="109" w:lineRule="exact"/>
              <w:rPr>
                <w:sz w:val="20"/>
                <w:szCs w:val="20"/>
                <w:color w:val="auto"/>
              </w:rPr>
            </w:pPr>
            <w:r>
              <w:rPr>
                <w:rFonts w:ascii="Arial" w:cs="Arial" w:eastAsia="Arial" w:hAnsi="Arial"/>
                <w:sz w:val="12"/>
                <w:szCs w:val="12"/>
                <w:b w:val="1"/>
                <w:bCs w:val="1"/>
                <w:color w:val="auto"/>
              </w:rPr>
              <w:t>Target</w:t>
            </w:r>
          </w:p>
        </w:tc>
        <w:tc>
          <w:tcPr>
            <w:tcW w:w="840" w:type="dxa"/>
            <w:vAlign w:val="bottom"/>
            <w:shd w:val="clear" w:color="auto" w:fill="F2F2F2"/>
          </w:tcPr>
          <w:p>
            <w:pPr>
              <w:jc w:val="right"/>
              <w:ind w:right="2"/>
              <w:spacing w:after="0" w:line="109" w:lineRule="exact"/>
              <w:rPr>
                <w:sz w:val="20"/>
                <w:szCs w:val="20"/>
                <w:color w:val="auto"/>
              </w:rPr>
            </w:pPr>
            <w:r>
              <w:rPr>
                <w:rFonts w:ascii="Arial" w:cs="Arial" w:eastAsia="Arial" w:hAnsi="Arial"/>
                <w:sz w:val="12"/>
                <w:szCs w:val="12"/>
                <w:b w:val="1"/>
                <w:bCs w:val="1"/>
                <w:color w:val="auto"/>
              </w:rPr>
              <w:t>​​​ Maximum</w:t>
            </w:r>
          </w:p>
        </w:tc>
        <w:tc>
          <w:tcPr>
            <w:tcW w:w="1120" w:type="dxa"/>
            <w:vAlign w:val="bottom"/>
            <w:gridSpan w:val="2"/>
            <w:shd w:val="clear" w:color="auto" w:fill="F2F2F2"/>
          </w:tcPr>
          <w:p>
            <w:pPr>
              <w:jc w:val="right"/>
              <w:ind w:right="22"/>
              <w:spacing w:after="0" w:line="109" w:lineRule="exact"/>
              <w:rPr>
                <w:sz w:val="20"/>
                <w:szCs w:val="20"/>
                <w:color w:val="auto"/>
              </w:rPr>
            </w:pPr>
            <w:r>
              <w:rPr>
                <w:rFonts w:ascii="Arial" w:cs="Arial" w:eastAsia="Arial" w:hAnsi="Arial"/>
                <w:sz w:val="12"/>
                <w:szCs w:val="12"/>
                <w:b w:val="1"/>
                <w:bCs w:val="1"/>
                <w:color w:val="auto"/>
              </w:rPr>
              <w:t>​​​ Threshold  ​​​</w:t>
            </w:r>
          </w:p>
        </w:tc>
        <w:tc>
          <w:tcPr>
            <w:tcW w:w="640" w:type="dxa"/>
            <w:vAlign w:val="bottom"/>
            <w:shd w:val="clear" w:color="auto" w:fill="F2F2F2"/>
          </w:tcPr>
          <w:p>
            <w:pPr>
              <w:jc w:val="center"/>
              <w:ind w:right="62"/>
              <w:spacing w:after="0" w:line="109" w:lineRule="exact"/>
              <w:rPr>
                <w:sz w:val="20"/>
                <w:szCs w:val="20"/>
                <w:color w:val="auto"/>
              </w:rPr>
            </w:pPr>
            <w:r>
              <w:rPr>
                <w:rFonts w:ascii="Arial" w:cs="Arial" w:eastAsia="Arial" w:hAnsi="Arial"/>
                <w:sz w:val="12"/>
                <w:szCs w:val="12"/>
                <w:b w:val="1"/>
                <w:bCs w:val="1"/>
                <w:color w:val="auto"/>
                <w:w w:val="98"/>
              </w:rPr>
              <w:t>Target</w:t>
            </w:r>
          </w:p>
        </w:tc>
        <w:tc>
          <w:tcPr>
            <w:tcW w:w="840" w:type="dxa"/>
            <w:vAlign w:val="bottom"/>
            <w:shd w:val="clear" w:color="auto" w:fill="F2F2F2"/>
          </w:tcPr>
          <w:p>
            <w:pPr>
              <w:jc w:val="right"/>
              <w:ind w:right="2"/>
              <w:spacing w:after="0" w:line="109" w:lineRule="exact"/>
              <w:rPr>
                <w:sz w:val="20"/>
                <w:szCs w:val="20"/>
                <w:color w:val="auto"/>
              </w:rPr>
            </w:pPr>
            <w:r>
              <w:rPr>
                <w:rFonts w:ascii="Arial" w:cs="Arial" w:eastAsia="Arial" w:hAnsi="Arial"/>
                <w:sz w:val="12"/>
                <w:szCs w:val="12"/>
                <w:b w:val="1"/>
                <w:bCs w:val="1"/>
                <w:color w:val="auto"/>
              </w:rPr>
              <w:t>​​​ Maximum</w:t>
            </w:r>
          </w:p>
        </w:tc>
        <w:tc>
          <w:tcPr>
            <w:tcW w:w="880" w:type="dxa"/>
            <w:vAlign w:val="bottom"/>
            <w:shd w:val="clear" w:color="auto" w:fill="F2F2F2"/>
          </w:tcPr>
          <w:p>
            <w:pPr>
              <w:jc w:val="right"/>
              <w:ind w:right="162"/>
              <w:spacing w:after="0" w:line="109" w:lineRule="exact"/>
              <w:rPr>
                <w:sz w:val="20"/>
                <w:szCs w:val="20"/>
                <w:color w:val="auto"/>
              </w:rPr>
            </w:pPr>
            <w:r>
              <w:rPr>
                <w:rFonts w:ascii="Arial" w:cs="Arial" w:eastAsia="Arial" w:hAnsi="Arial"/>
                <w:sz w:val="12"/>
                <w:szCs w:val="12"/>
                <w:b w:val="1"/>
                <w:bCs w:val="1"/>
                <w:color w:val="auto"/>
              </w:rPr>
              <w:t>​​​   Units</w:t>
            </w:r>
          </w:p>
        </w:tc>
        <w:tc>
          <w:tcPr>
            <w:tcW w:w="900" w:type="dxa"/>
            <w:vAlign w:val="bottom"/>
            <w:tcBorders>
              <w:right w:val="single" w:sz="8" w:color="F2F2F2"/>
            </w:tcBorders>
            <w:shd w:val="clear" w:color="auto" w:fill="F2F2F2"/>
          </w:tcPr>
          <w:p>
            <w:pPr>
              <w:jc w:val="right"/>
              <w:ind w:right="142"/>
              <w:spacing w:after="0" w:line="109" w:lineRule="exact"/>
              <w:rPr>
                <w:sz w:val="20"/>
                <w:szCs w:val="20"/>
                <w:color w:val="auto"/>
              </w:rPr>
            </w:pPr>
            <w:r>
              <w:rPr>
                <w:rFonts w:ascii="Arial" w:cs="Arial" w:eastAsia="Arial" w:hAnsi="Arial"/>
                <w:sz w:val="12"/>
                <w:szCs w:val="12"/>
                <w:b w:val="1"/>
                <w:bCs w:val="1"/>
                <w:color w:val="auto"/>
              </w:rPr>
              <w:t>​​​  Awards</w:t>
            </w:r>
          </w:p>
        </w:tc>
        <w:tc>
          <w:tcPr>
            <w:tcW w:w="40" w:type="dxa"/>
            <w:vAlign w:val="bottom"/>
          </w:tcPr>
          <w:p>
            <w:pPr>
              <w:spacing w:after="0"/>
              <w:rPr>
                <w:sz w:val="9"/>
                <w:szCs w:val="9"/>
                <w:color w:val="auto"/>
              </w:rPr>
            </w:pPr>
          </w:p>
        </w:tc>
      </w:tr>
      <w:tr>
        <w:trPr>
          <w:trHeight w:val="188"/>
        </w:trPr>
        <w:tc>
          <w:tcPr>
            <w:tcW w:w="1160" w:type="dxa"/>
            <w:vAlign w:val="bottom"/>
            <w:shd w:val="clear" w:color="auto" w:fill="F2F2F2"/>
          </w:tcPr>
          <w:p>
            <w:pPr>
              <w:ind w:left="120"/>
              <w:spacing w:after="0"/>
              <w:rPr>
                <w:sz w:val="20"/>
                <w:szCs w:val="20"/>
                <w:color w:val="auto"/>
              </w:rPr>
            </w:pPr>
            <w:r>
              <w:rPr>
                <w:rFonts w:ascii="Arial" w:cs="Arial" w:eastAsia="Arial" w:hAnsi="Arial"/>
                <w:sz w:val="12"/>
                <w:szCs w:val="12"/>
                <w:b w:val="1"/>
                <w:bCs w:val="1"/>
                <w:color w:val="auto"/>
              </w:rPr>
              <w:t>Name</w:t>
            </w:r>
          </w:p>
        </w:tc>
        <w:tc>
          <w:tcPr>
            <w:tcW w:w="160" w:type="dxa"/>
            <w:vAlign w:val="bottom"/>
            <w:shd w:val="clear" w:color="auto" w:fill="F2F2F2"/>
          </w:tcPr>
          <w:p>
            <w:pPr>
              <w:spacing w:after="0"/>
              <w:rPr>
                <w:sz w:val="16"/>
                <w:szCs w:val="16"/>
                <w:color w:val="auto"/>
              </w:rPr>
            </w:pPr>
          </w:p>
        </w:tc>
        <w:tc>
          <w:tcPr>
            <w:tcW w:w="720" w:type="dxa"/>
            <w:vAlign w:val="bottom"/>
            <w:shd w:val="clear" w:color="auto" w:fill="F2F2F2"/>
          </w:tcPr>
          <w:p>
            <w:pPr>
              <w:jc w:val="center"/>
              <w:spacing w:after="0"/>
              <w:rPr>
                <w:sz w:val="20"/>
                <w:szCs w:val="20"/>
                <w:color w:val="auto"/>
              </w:rPr>
            </w:pPr>
            <w:r>
              <w:rPr>
                <w:rFonts w:ascii="Arial" w:cs="Arial" w:eastAsia="Arial" w:hAnsi="Arial"/>
                <w:sz w:val="12"/>
                <w:szCs w:val="12"/>
                <w:b w:val="1"/>
                <w:bCs w:val="1"/>
                <w:color w:val="auto"/>
              </w:rPr>
              <w:t>Date</w:t>
            </w:r>
          </w:p>
        </w:tc>
        <w:tc>
          <w:tcPr>
            <w:tcW w:w="160" w:type="dxa"/>
            <w:vAlign w:val="bottom"/>
            <w:shd w:val="clear" w:color="auto" w:fill="F2F2F2"/>
          </w:tcPr>
          <w:p>
            <w:pPr>
              <w:spacing w:after="0"/>
              <w:rPr>
                <w:sz w:val="16"/>
                <w:szCs w:val="16"/>
                <w:color w:val="auto"/>
              </w:rPr>
            </w:pPr>
          </w:p>
        </w:tc>
        <w:tc>
          <w:tcPr>
            <w:tcW w:w="540" w:type="dxa"/>
            <w:vAlign w:val="bottom"/>
            <w:shd w:val="clear" w:color="auto" w:fill="F2F2F2"/>
          </w:tcPr>
          <w:p>
            <w:pPr>
              <w:jc w:val="center"/>
              <w:spacing w:after="0"/>
              <w:rPr>
                <w:sz w:val="20"/>
                <w:szCs w:val="20"/>
                <w:color w:val="auto"/>
              </w:rPr>
            </w:pPr>
            <w:r>
              <w:rPr>
                <w:rFonts w:ascii="Arial" w:cs="Arial" w:eastAsia="Arial" w:hAnsi="Arial"/>
                <w:sz w:val="12"/>
                <w:szCs w:val="12"/>
                <w:b w:val="1"/>
                <w:bCs w:val="1"/>
                <w:color w:val="auto"/>
              </w:rPr>
              <w:t>Date</w:t>
            </w:r>
          </w:p>
        </w:tc>
        <w:tc>
          <w:tcPr>
            <w:tcW w:w="160" w:type="dxa"/>
            <w:vAlign w:val="bottom"/>
            <w:shd w:val="clear" w:color="auto" w:fill="F2F2F2"/>
          </w:tcPr>
          <w:p>
            <w:pPr>
              <w:spacing w:after="0"/>
              <w:rPr>
                <w:sz w:val="16"/>
                <w:szCs w:val="16"/>
                <w:color w:val="auto"/>
              </w:rPr>
            </w:pPr>
          </w:p>
        </w:tc>
        <w:tc>
          <w:tcPr>
            <w:tcW w:w="720" w:type="dxa"/>
            <w:vAlign w:val="bottom"/>
            <w:shd w:val="clear" w:color="auto" w:fill="F2F2F2"/>
          </w:tcPr>
          <w:p>
            <w:pPr>
              <w:jc w:val="right"/>
              <w:ind w:right="222"/>
              <w:spacing w:after="0"/>
              <w:rPr>
                <w:sz w:val="20"/>
                <w:szCs w:val="20"/>
                <w:color w:val="auto"/>
              </w:rPr>
            </w:pPr>
            <w:r>
              <w:rPr>
                <w:rFonts w:ascii="Arial" w:cs="Arial" w:eastAsia="Arial" w:hAnsi="Arial"/>
                <w:sz w:val="12"/>
                <w:szCs w:val="12"/>
                <w:b w:val="1"/>
                <w:bCs w:val="1"/>
                <w:color w:val="auto"/>
              </w:rPr>
              <w:t>($)</w:t>
            </w:r>
          </w:p>
        </w:tc>
        <w:tc>
          <w:tcPr>
            <w:tcW w:w="240" w:type="dxa"/>
            <w:vAlign w:val="bottom"/>
            <w:shd w:val="clear" w:color="auto" w:fill="F2F2F2"/>
          </w:tcPr>
          <w:p>
            <w:pPr>
              <w:spacing w:after="0"/>
              <w:rPr>
                <w:sz w:val="16"/>
                <w:szCs w:val="16"/>
                <w:color w:val="auto"/>
              </w:rPr>
            </w:pPr>
          </w:p>
        </w:tc>
        <w:tc>
          <w:tcPr>
            <w:tcW w:w="640" w:type="dxa"/>
            <w:vAlign w:val="bottom"/>
            <w:shd w:val="clear" w:color="auto" w:fill="F2F2F2"/>
          </w:tcPr>
          <w:p>
            <w:pPr>
              <w:jc w:val="center"/>
              <w:ind w:right="42"/>
              <w:spacing w:after="0" w:line="189" w:lineRule="exact"/>
              <w:rPr>
                <w:sz w:val="20"/>
                <w:szCs w:val="20"/>
                <w:color w:val="auto"/>
              </w:rPr>
            </w:pPr>
            <w:r>
              <w:rPr>
                <w:rFonts w:ascii="Arial" w:cs="Arial" w:eastAsia="Arial" w:hAnsi="Arial"/>
                <w:sz w:val="21"/>
                <w:szCs w:val="21"/>
                <w:b w:val="1"/>
                <w:bCs w:val="1"/>
                <w:color w:val="auto"/>
                <w:w w:val="96"/>
                <w:vertAlign w:val="subscript"/>
              </w:rPr>
              <w:t>($)</w:t>
            </w:r>
            <w:r>
              <w:rPr>
                <w:rFonts w:ascii="Arial" w:cs="Arial" w:eastAsia="Arial" w:hAnsi="Arial"/>
                <w:sz w:val="8"/>
                <w:szCs w:val="8"/>
                <w:b w:val="1"/>
                <w:bCs w:val="1"/>
                <w:color w:val="auto"/>
                <w:w w:val="96"/>
              </w:rPr>
              <w:t>(7)</w:t>
            </w:r>
          </w:p>
        </w:tc>
        <w:tc>
          <w:tcPr>
            <w:tcW w:w="840" w:type="dxa"/>
            <w:vAlign w:val="bottom"/>
            <w:shd w:val="clear" w:color="auto" w:fill="F2F2F2"/>
          </w:tcPr>
          <w:p>
            <w:pPr>
              <w:jc w:val="right"/>
              <w:ind w:right="222"/>
              <w:spacing w:after="0"/>
              <w:rPr>
                <w:sz w:val="20"/>
                <w:szCs w:val="20"/>
                <w:color w:val="auto"/>
              </w:rPr>
            </w:pPr>
            <w:r>
              <w:rPr>
                <w:rFonts w:ascii="Arial" w:cs="Arial" w:eastAsia="Arial" w:hAnsi="Arial"/>
                <w:sz w:val="12"/>
                <w:szCs w:val="12"/>
                <w:b w:val="1"/>
                <w:bCs w:val="1"/>
                <w:color w:val="auto"/>
              </w:rPr>
              <w:t>($)</w:t>
            </w:r>
          </w:p>
        </w:tc>
        <w:tc>
          <w:tcPr>
            <w:tcW w:w="1120" w:type="dxa"/>
            <w:vAlign w:val="bottom"/>
            <w:gridSpan w:val="2"/>
            <w:shd w:val="clear" w:color="auto" w:fill="F2F2F2"/>
          </w:tcPr>
          <w:p>
            <w:pPr>
              <w:jc w:val="right"/>
              <w:ind w:right="462"/>
              <w:spacing w:after="0"/>
              <w:rPr>
                <w:sz w:val="20"/>
                <w:szCs w:val="20"/>
                <w:color w:val="auto"/>
              </w:rPr>
            </w:pPr>
            <w:r>
              <w:rPr>
                <w:rFonts w:ascii="Arial" w:cs="Arial" w:eastAsia="Arial" w:hAnsi="Arial"/>
                <w:sz w:val="12"/>
                <w:szCs w:val="12"/>
                <w:b w:val="1"/>
                <w:bCs w:val="1"/>
                <w:color w:val="auto"/>
              </w:rPr>
              <w:t>(#)</w:t>
            </w:r>
          </w:p>
        </w:tc>
        <w:tc>
          <w:tcPr>
            <w:tcW w:w="640" w:type="dxa"/>
            <w:vAlign w:val="bottom"/>
            <w:shd w:val="clear" w:color="auto" w:fill="F2F2F2"/>
          </w:tcPr>
          <w:p>
            <w:pPr>
              <w:jc w:val="center"/>
              <w:ind w:right="62"/>
              <w:spacing w:after="0"/>
              <w:rPr>
                <w:sz w:val="20"/>
                <w:szCs w:val="20"/>
                <w:color w:val="auto"/>
              </w:rPr>
            </w:pPr>
            <w:r>
              <w:rPr>
                <w:rFonts w:ascii="Arial" w:cs="Arial" w:eastAsia="Arial" w:hAnsi="Arial"/>
                <w:sz w:val="12"/>
                <w:szCs w:val="12"/>
                <w:b w:val="1"/>
                <w:bCs w:val="1"/>
                <w:color w:val="auto"/>
              </w:rPr>
              <w:t>(#)</w:t>
            </w:r>
          </w:p>
        </w:tc>
        <w:tc>
          <w:tcPr>
            <w:tcW w:w="840" w:type="dxa"/>
            <w:vAlign w:val="bottom"/>
            <w:shd w:val="clear" w:color="auto" w:fill="F2F2F2"/>
          </w:tcPr>
          <w:p>
            <w:pPr>
              <w:jc w:val="right"/>
              <w:ind w:right="222"/>
              <w:spacing w:after="0"/>
              <w:rPr>
                <w:sz w:val="20"/>
                <w:szCs w:val="20"/>
                <w:color w:val="auto"/>
              </w:rPr>
            </w:pPr>
            <w:r>
              <w:rPr>
                <w:rFonts w:ascii="Arial" w:cs="Arial" w:eastAsia="Arial" w:hAnsi="Arial"/>
                <w:sz w:val="12"/>
                <w:szCs w:val="12"/>
                <w:b w:val="1"/>
                <w:bCs w:val="1"/>
                <w:color w:val="auto"/>
              </w:rPr>
              <w:t>(#)</w:t>
            </w:r>
          </w:p>
        </w:tc>
        <w:tc>
          <w:tcPr>
            <w:tcW w:w="880" w:type="dxa"/>
            <w:vAlign w:val="bottom"/>
            <w:shd w:val="clear" w:color="auto" w:fill="F2F2F2"/>
          </w:tcPr>
          <w:p>
            <w:pPr>
              <w:jc w:val="center"/>
              <w:ind w:left="82"/>
              <w:spacing w:after="0"/>
              <w:rPr>
                <w:sz w:val="20"/>
                <w:szCs w:val="20"/>
                <w:color w:val="auto"/>
              </w:rPr>
            </w:pPr>
            <w:r>
              <w:rPr>
                <w:rFonts w:ascii="Arial" w:cs="Arial" w:eastAsia="Arial" w:hAnsi="Arial"/>
                <w:sz w:val="12"/>
                <w:szCs w:val="12"/>
                <w:b w:val="1"/>
                <w:bCs w:val="1"/>
                <w:color w:val="auto"/>
                <w:w w:val="95"/>
              </w:rPr>
              <w:t>(#)</w:t>
            </w:r>
          </w:p>
        </w:tc>
        <w:tc>
          <w:tcPr>
            <w:tcW w:w="900" w:type="dxa"/>
            <w:vAlign w:val="bottom"/>
            <w:tcBorders>
              <w:right w:val="single" w:sz="8" w:color="F2F2F2"/>
            </w:tcBorders>
            <w:shd w:val="clear" w:color="auto" w:fill="F2F2F2"/>
          </w:tcPr>
          <w:p>
            <w:pPr>
              <w:jc w:val="center"/>
              <w:ind w:left="22"/>
              <w:spacing w:after="0" w:line="189" w:lineRule="exact"/>
              <w:rPr>
                <w:sz w:val="20"/>
                <w:szCs w:val="20"/>
                <w:color w:val="auto"/>
              </w:rPr>
            </w:pPr>
            <w:r>
              <w:rPr>
                <w:rFonts w:ascii="Arial" w:cs="Arial" w:eastAsia="Arial" w:hAnsi="Arial"/>
                <w:sz w:val="21"/>
                <w:szCs w:val="21"/>
                <w:b w:val="1"/>
                <w:bCs w:val="1"/>
                <w:color w:val="auto"/>
                <w:w w:val="96"/>
                <w:vertAlign w:val="subscript"/>
              </w:rPr>
              <w:t>($)</w:t>
            </w:r>
            <w:r>
              <w:rPr>
                <w:rFonts w:ascii="Arial" w:cs="Arial" w:eastAsia="Arial" w:hAnsi="Arial"/>
                <w:sz w:val="8"/>
                <w:szCs w:val="8"/>
                <w:b w:val="1"/>
                <w:bCs w:val="1"/>
                <w:color w:val="auto"/>
                <w:w w:val="96"/>
              </w:rPr>
              <w:t>(8)</w:t>
            </w:r>
          </w:p>
        </w:tc>
        <w:tc>
          <w:tcPr>
            <w:tcW w:w="40" w:type="dxa"/>
            <w:vAlign w:val="bottom"/>
          </w:tcPr>
          <w:p>
            <w:pPr>
              <w:ind w:left="20"/>
              <w:spacing w:after="0"/>
              <w:rPr>
                <w:sz w:val="20"/>
                <w:szCs w:val="20"/>
                <w:color w:val="auto"/>
              </w:rPr>
            </w:pPr>
            <w:r>
              <w:rPr>
                <w:rFonts w:ascii="Arial" w:cs="Arial" w:eastAsia="Arial" w:hAnsi="Arial"/>
                <w:sz w:val="1"/>
                <w:szCs w:val="1"/>
                <w:b w:val="1"/>
                <w:bCs w:val="1"/>
                <w:color w:val="auto"/>
                <w:w w:val="4294942296"/>
              </w:rPr>
              <w:t>​</w:t>
            </w:r>
          </w:p>
        </w:tc>
      </w:tr>
      <w:tr>
        <w:trPr>
          <w:trHeight w:val="206"/>
        </w:trPr>
        <w:tc>
          <w:tcPr>
            <w:tcW w:w="1320" w:type="dxa"/>
            <w:vAlign w:val="bottom"/>
            <w:gridSpan w:val="2"/>
          </w:tcPr>
          <w:p>
            <w:pPr>
              <w:ind w:left="120"/>
              <w:spacing w:after="0"/>
              <w:rPr>
                <w:sz w:val="20"/>
                <w:szCs w:val="20"/>
                <w:color w:val="auto"/>
              </w:rPr>
            </w:pPr>
            <w:r>
              <w:rPr>
                <w:rFonts w:ascii="Arial" w:cs="Arial" w:eastAsia="Arial" w:hAnsi="Arial"/>
                <w:sz w:val="12"/>
                <w:szCs w:val="12"/>
                <w:b w:val="1"/>
                <w:bCs w:val="1"/>
                <w:color w:val="auto"/>
              </w:rPr>
              <w:t>Scott Kirby</w:t>
            </w:r>
          </w:p>
        </w:tc>
        <w:tc>
          <w:tcPr>
            <w:tcW w:w="720" w:type="dxa"/>
            <w:vAlign w:val="bottom"/>
          </w:tcPr>
          <w:p>
            <w:pPr>
              <w:jc w:val="center"/>
              <w:spacing w:after="0"/>
              <w:rPr>
                <w:sz w:val="20"/>
                <w:szCs w:val="20"/>
                <w:color w:val="auto"/>
              </w:rPr>
            </w:pPr>
            <w:r>
              <w:rPr>
                <w:rFonts w:ascii="Arial" w:cs="Arial" w:eastAsia="Arial" w:hAnsi="Arial"/>
                <w:sz w:val="12"/>
                <w:szCs w:val="12"/>
                <w:color w:val="auto"/>
                <w:w w:val="97"/>
              </w:rPr>
              <w:t>2/28/25  (1)</w:t>
            </w:r>
          </w:p>
        </w:tc>
        <w:tc>
          <w:tcPr>
            <w:tcW w:w="700" w:type="dxa"/>
            <w:vAlign w:val="bottom"/>
            <w:gridSpan w:val="2"/>
          </w:tcPr>
          <w:p>
            <w:pPr>
              <w:jc w:val="center"/>
              <w:ind w:left="102"/>
              <w:spacing w:after="0"/>
              <w:rPr>
                <w:sz w:val="20"/>
                <w:szCs w:val="20"/>
                <w:color w:val="auto"/>
              </w:rPr>
            </w:pPr>
            <w:r>
              <w:rPr>
                <w:rFonts w:ascii="Arial" w:cs="Arial" w:eastAsia="Arial" w:hAnsi="Arial"/>
                <w:sz w:val="12"/>
                <w:szCs w:val="12"/>
                <w:color w:val="auto"/>
              </w:rPr>
              <w:t>2/27/25</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1,500,000</w:t>
            </w:r>
          </w:p>
        </w:tc>
        <w:tc>
          <w:tcPr>
            <w:tcW w:w="240" w:type="dxa"/>
            <w:vAlign w:val="bottom"/>
          </w:tcPr>
          <w:p>
            <w:pPr>
              <w:spacing w:after="0"/>
              <w:rPr>
                <w:sz w:val="17"/>
                <w:szCs w:val="17"/>
                <w:color w:val="auto"/>
              </w:rPr>
            </w:pP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3,000,000</w:t>
            </w:r>
          </w:p>
        </w:tc>
        <w:tc>
          <w:tcPr>
            <w:tcW w:w="840" w:type="dxa"/>
            <w:vAlign w:val="bottom"/>
          </w:tcPr>
          <w:p>
            <w:pPr>
              <w:jc w:val="right"/>
              <w:spacing w:after="0"/>
              <w:rPr>
                <w:sz w:val="20"/>
                <w:szCs w:val="20"/>
                <w:color w:val="auto"/>
              </w:rPr>
            </w:pPr>
            <w:r>
              <w:rPr>
                <w:rFonts w:ascii="Arial" w:cs="Arial" w:eastAsia="Arial" w:hAnsi="Arial"/>
                <w:sz w:val="12"/>
                <w:szCs w:val="12"/>
                <w:color w:val="auto"/>
              </w:rPr>
              <w:t>6,000,000</w:t>
            </w:r>
          </w:p>
        </w:tc>
        <w:tc>
          <w:tcPr>
            <w:tcW w:w="1120" w:type="dxa"/>
            <w:vAlign w:val="bottom"/>
            <w:gridSpan w:val="2"/>
          </w:tcPr>
          <w:p>
            <w:pPr>
              <w:jc w:val="right"/>
              <w:ind w:right="222"/>
              <w:spacing w:after="0"/>
              <w:rPr>
                <w:sz w:val="20"/>
                <w:szCs w:val="20"/>
                <w:color w:val="auto"/>
              </w:rPr>
            </w:pPr>
            <w:r>
              <w:rPr>
                <w:rFonts w:ascii="Arial" w:cs="Arial" w:eastAsia="Arial" w:hAnsi="Arial"/>
                <w:sz w:val="12"/>
                <w:szCs w:val="12"/>
                <w:color w:val="auto"/>
              </w:rPr>
              <w:t>-</w:t>
            </w: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7"/>
                <w:szCs w:val="17"/>
                <w:color w:val="auto"/>
              </w:rPr>
            </w:pPr>
          </w:p>
        </w:tc>
      </w:tr>
      <w:tr>
        <w:trPr>
          <w:trHeight w:val="189"/>
        </w:trPr>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Arial" w:cs="Arial" w:eastAsia="Arial" w:hAnsi="Arial"/>
                <w:sz w:val="12"/>
                <w:szCs w:val="12"/>
                <w:color w:val="auto"/>
                <w:w w:val="97"/>
              </w:rPr>
              <w:t>2/28/25  (2)</w:t>
            </w:r>
          </w:p>
        </w:tc>
        <w:tc>
          <w:tcPr>
            <w:tcW w:w="700" w:type="dxa"/>
            <w:vAlign w:val="bottom"/>
            <w:gridSpan w:val="2"/>
          </w:tcPr>
          <w:p>
            <w:pPr>
              <w:jc w:val="center"/>
              <w:ind w:left="102"/>
              <w:spacing w:after="0"/>
              <w:rPr>
                <w:sz w:val="20"/>
                <w:szCs w:val="20"/>
                <w:color w:val="auto"/>
              </w:rPr>
            </w:pPr>
            <w:r>
              <w:rPr>
                <w:rFonts w:ascii="Arial" w:cs="Arial" w:eastAsia="Arial" w:hAnsi="Arial"/>
                <w:sz w:val="12"/>
                <w:szCs w:val="12"/>
                <w:color w:val="auto"/>
              </w:rPr>
              <w:t>2/27/25</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6"/>
                <w:szCs w:val="16"/>
                <w:color w:val="auto"/>
              </w:rPr>
            </w:pP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22"/>
              <w:spacing w:after="0"/>
              <w:rPr>
                <w:sz w:val="20"/>
                <w:szCs w:val="20"/>
                <w:color w:val="auto"/>
              </w:rPr>
            </w:pPr>
            <w:r>
              <w:rPr>
                <w:rFonts w:ascii="Arial" w:cs="Arial" w:eastAsia="Arial" w:hAnsi="Arial"/>
                <w:sz w:val="12"/>
                <w:szCs w:val="12"/>
                <w:color w:val="auto"/>
              </w:rPr>
              <w:t>24,781</w:t>
            </w: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49,561</w:t>
            </w:r>
          </w:p>
        </w:tc>
        <w:tc>
          <w:tcPr>
            <w:tcW w:w="840" w:type="dxa"/>
            <w:vAlign w:val="bottom"/>
          </w:tcPr>
          <w:p>
            <w:pPr>
              <w:jc w:val="right"/>
              <w:spacing w:after="0"/>
              <w:rPr>
                <w:sz w:val="20"/>
                <w:szCs w:val="20"/>
                <w:color w:val="auto"/>
              </w:rPr>
            </w:pPr>
            <w:r>
              <w:rPr>
                <w:rFonts w:ascii="Arial" w:cs="Arial" w:eastAsia="Arial" w:hAnsi="Arial"/>
                <w:sz w:val="12"/>
                <w:szCs w:val="12"/>
                <w:color w:val="auto"/>
              </w:rPr>
              <w:t>99,122</w:t>
            </w:r>
          </w:p>
        </w:tc>
        <w:tc>
          <w:tcPr>
            <w:tcW w:w="88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42"/>
              <w:spacing w:after="0"/>
              <w:rPr>
                <w:sz w:val="20"/>
                <w:szCs w:val="20"/>
                <w:color w:val="auto"/>
              </w:rPr>
            </w:pPr>
            <w:r>
              <w:rPr>
                <w:rFonts w:ascii="Arial" w:cs="Arial" w:eastAsia="Arial" w:hAnsi="Arial"/>
                <w:sz w:val="12"/>
                <w:szCs w:val="12"/>
                <w:color w:val="auto"/>
              </w:rPr>
              <w:t>4,649,317</w:t>
            </w:r>
          </w:p>
        </w:tc>
        <w:tc>
          <w:tcPr>
            <w:tcW w:w="40" w:type="dxa"/>
            <w:vAlign w:val="bottom"/>
          </w:tcPr>
          <w:p>
            <w:pPr>
              <w:spacing w:after="0"/>
              <w:rPr>
                <w:sz w:val="16"/>
                <w:szCs w:val="16"/>
                <w:color w:val="auto"/>
              </w:rPr>
            </w:pPr>
          </w:p>
        </w:tc>
      </w:tr>
      <w:tr>
        <w:trPr>
          <w:trHeight w:val="189"/>
        </w:trPr>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Arial" w:cs="Arial" w:eastAsia="Arial" w:hAnsi="Arial"/>
                <w:sz w:val="12"/>
                <w:szCs w:val="12"/>
                <w:color w:val="auto"/>
                <w:w w:val="97"/>
              </w:rPr>
              <w:t>2/28/25  (3)</w:t>
            </w:r>
          </w:p>
        </w:tc>
        <w:tc>
          <w:tcPr>
            <w:tcW w:w="700" w:type="dxa"/>
            <w:vAlign w:val="bottom"/>
            <w:gridSpan w:val="2"/>
          </w:tcPr>
          <w:p>
            <w:pPr>
              <w:jc w:val="center"/>
              <w:ind w:left="102"/>
              <w:spacing w:after="0"/>
              <w:rPr>
                <w:sz w:val="20"/>
                <w:szCs w:val="20"/>
                <w:color w:val="auto"/>
              </w:rPr>
            </w:pPr>
            <w:r>
              <w:rPr>
                <w:rFonts w:ascii="Arial" w:cs="Arial" w:eastAsia="Arial" w:hAnsi="Arial"/>
                <w:sz w:val="12"/>
                <w:szCs w:val="12"/>
                <w:color w:val="auto"/>
              </w:rPr>
              <w:t>2/27/25</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6"/>
                <w:szCs w:val="16"/>
                <w:color w:val="auto"/>
              </w:rPr>
            </w:pP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22"/>
              <w:spacing w:after="0"/>
              <w:rPr>
                <w:sz w:val="20"/>
                <w:szCs w:val="20"/>
                <w:color w:val="auto"/>
              </w:rPr>
            </w:pPr>
            <w:r>
              <w:rPr>
                <w:rFonts w:ascii="Arial" w:cs="Arial" w:eastAsia="Arial" w:hAnsi="Arial"/>
                <w:sz w:val="12"/>
                <w:szCs w:val="12"/>
                <w:color w:val="auto"/>
              </w:rPr>
              <w:t>25,280</w:t>
            </w: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50,560</w:t>
            </w:r>
          </w:p>
        </w:tc>
        <w:tc>
          <w:tcPr>
            <w:tcW w:w="840" w:type="dxa"/>
            <w:vAlign w:val="bottom"/>
          </w:tcPr>
          <w:p>
            <w:pPr>
              <w:jc w:val="right"/>
              <w:spacing w:after="0"/>
              <w:rPr>
                <w:sz w:val="20"/>
                <w:szCs w:val="20"/>
                <w:color w:val="auto"/>
              </w:rPr>
            </w:pPr>
            <w:r>
              <w:rPr>
                <w:rFonts w:ascii="Arial" w:cs="Arial" w:eastAsia="Arial" w:hAnsi="Arial"/>
                <w:sz w:val="12"/>
                <w:szCs w:val="12"/>
                <w:color w:val="auto"/>
              </w:rPr>
              <w:t>151,680</w:t>
            </w:r>
          </w:p>
        </w:tc>
        <w:tc>
          <w:tcPr>
            <w:tcW w:w="88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42"/>
              <w:spacing w:after="0"/>
              <w:rPr>
                <w:sz w:val="20"/>
                <w:szCs w:val="20"/>
                <w:color w:val="auto"/>
              </w:rPr>
            </w:pPr>
            <w:r>
              <w:rPr>
                <w:rFonts w:ascii="Arial" w:cs="Arial" w:eastAsia="Arial" w:hAnsi="Arial"/>
                <w:sz w:val="12"/>
                <w:szCs w:val="12"/>
                <w:color w:val="auto"/>
              </w:rPr>
              <w:t>6,916,608</w:t>
            </w:r>
          </w:p>
        </w:tc>
        <w:tc>
          <w:tcPr>
            <w:tcW w:w="40" w:type="dxa"/>
            <w:vAlign w:val="bottom"/>
          </w:tcPr>
          <w:p>
            <w:pPr>
              <w:spacing w:after="0"/>
              <w:rPr>
                <w:sz w:val="16"/>
                <w:szCs w:val="16"/>
                <w:color w:val="auto"/>
              </w:rPr>
            </w:pPr>
          </w:p>
        </w:tc>
      </w:tr>
      <w:tr>
        <w:trPr>
          <w:trHeight w:val="189"/>
        </w:trPr>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Arial" w:cs="Arial" w:eastAsia="Arial" w:hAnsi="Arial"/>
                <w:sz w:val="12"/>
                <w:szCs w:val="12"/>
                <w:color w:val="auto"/>
                <w:w w:val="97"/>
              </w:rPr>
              <w:t>2/28/25  (4)</w:t>
            </w:r>
          </w:p>
        </w:tc>
        <w:tc>
          <w:tcPr>
            <w:tcW w:w="700" w:type="dxa"/>
            <w:vAlign w:val="bottom"/>
            <w:gridSpan w:val="2"/>
          </w:tcPr>
          <w:p>
            <w:pPr>
              <w:jc w:val="center"/>
              <w:ind w:left="102"/>
              <w:spacing w:after="0"/>
              <w:rPr>
                <w:sz w:val="20"/>
                <w:szCs w:val="20"/>
                <w:color w:val="auto"/>
              </w:rPr>
            </w:pPr>
            <w:r>
              <w:rPr>
                <w:rFonts w:ascii="Arial" w:cs="Arial" w:eastAsia="Arial" w:hAnsi="Arial"/>
                <w:sz w:val="12"/>
                <w:szCs w:val="12"/>
                <w:color w:val="auto"/>
              </w:rPr>
              <w:t>2/27/25</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6"/>
                <w:szCs w:val="16"/>
                <w:color w:val="auto"/>
              </w:rPr>
            </w:pP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22"/>
              <w:spacing w:after="0"/>
              <w:rPr>
                <w:sz w:val="20"/>
                <w:szCs w:val="20"/>
                <w:color w:val="auto"/>
              </w:rPr>
            </w:pPr>
            <w:r>
              <w:rPr>
                <w:rFonts w:ascii="Arial" w:cs="Arial" w:eastAsia="Arial" w:hAnsi="Arial"/>
                <w:sz w:val="12"/>
                <w:szCs w:val="12"/>
                <w:color w:val="auto"/>
              </w:rPr>
              <w:t>14,657</w:t>
            </w: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29,314</w:t>
            </w:r>
          </w:p>
        </w:tc>
        <w:tc>
          <w:tcPr>
            <w:tcW w:w="840" w:type="dxa"/>
            <w:vAlign w:val="bottom"/>
          </w:tcPr>
          <w:p>
            <w:pPr>
              <w:jc w:val="right"/>
              <w:spacing w:after="0"/>
              <w:rPr>
                <w:sz w:val="20"/>
                <w:szCs w:val="20"/>
                <w:color w:val="auto"/>
              </w:rPr>
            </w:pPr>
            <w:r>
              <w:rPr>
                <w:rFonts w:ascii="Arial" w:cs="Arial" w:eastAsia="Arial" w:hAnsi="Arial"/>
                <w:sz w:val="12"/>
                <w:szCs w:val="12"/>
                <w:color w:val="auto"/>
              </w:rPr>
              <w:t>58,628</w:t>
            </w:r>
          </w:p>
        </w:tc>
        <w:tc>
          <w:tcPr>
            <w:tcW w:w="88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42"/>
              <w:spacing w:after="0"/>
              <w:rPr>
                <w:sz w:val="20"/>
                <w:szCs w:val="20"/>
                <w:color w:val="auto"/>
              </w:rPr>
            </w:pPr>
            <w:r>
              <w:rPr>
                <w:rFonts w:ascii="Arial" w:cs="Arial" w:eastAsia="Arial" w:hAnsi="Arial"/>
                <w:sz w:val="12"/>
                <w:szCs w:val="12"/>
                <w:color w:val="auto"/>
              </w:rPr>
              <w:t>2,749,946</w:t>
            </w:r>
          </w:p>
        </w:tc>
        <w:tc>
          <w:tcPr>
            <w:tcW w:w="40" w:type="dxa"/>
            <w:vAlign w:val="bottom"/>
          </w:tcPr>
          <w:p>
            <w:pPr>
              <w:spacing w:after="0"/>
              <w:rPr>
                <w:sz w:val="16"/>
                <w:szCs w:val="16"/>
                <w:color w:val="auto"/>
              </w:rPr>
            </w:pPr>
          </w:p>
        </w:tc>
      </w:tr>
      <w:tr>
        <w:trPr>
          <w:trHeight w:val="172"/>
        </w:trPr>
        <w:tc>
          <w:tcPr>
            <w:tcW w:w="116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720" w:type="dxa"/>
            <w:vAlign w:val="bottom"/>
            <w:tcBorders>
              <w:bottom w:val="single" w:sz="8" w:color="808080"/>
            </w:tcBorders>
          </w:tcPr>
          <w:p>
            <w:pPr>
              <w:jc w:val="center"/>
              <w:spacing w:after="0"/>
              <w:rPr>
                <w:sz w:val="20"/>
                <w:szCs w:val="20"/>
                <w:color w:val="auto"/>
              </w:rPr>
            </w:pPr>
            <w:r>
              <w:rPr>
                <w:rFonts w:ascii="Arial" w:cs="Arial" w:eastAsia="Arial" w:hAnsi="Arial"/>
                <w:sz w:val="12"/>
                <w:szCs w:val="12"/>
                <w:color w:val="auto"/>
                <w:w w:val="97"/>
              </w:rPr>
              <w:t>2/28/25  (5)</w:t>
            </w:r>
          </w:p>
        </w:tc>
        <w:tc>
          <w:tcPr>
            <w:tcW w:w="700" w:type="dxa"/>
            <w:vAlign w:val="bottom"/>
            <w:tcBorders>
              <w:bottom w:val="single" w:sz="8" w:color="808080"/>
            </w:tcBorders>
            <w:gridSpan w:val="2"/>
          </w:tcPr>
          <w:p>
            <w:pPr>
              <w:jc w:val="center"/>
              <w:ind w:left="102"/>
              <w:spacing w:after="0"/>
              <w:rPr>
                <w:sz w:val="20"/>
                <w:szCs w:val="20"/>
                <w:color w:val="auto"/>
              </w:rPr>
            </w:pPr>
            <w:r>
              <w:rPr>
                <w:rFonts w:ascii="Arial" w:cs="Arial" w:eastAsia="Arial" w:hAnsi="Arial"/>
                <w:sz w:val="12"/>
                <w:szCs w:val="12"/>
                <w:color w:val="auto"/>
              </w:rPr>
              <w:t>2/27/25</w:t>
            </w:r>
          </w:p>
        </w:tc>
        <w:tc>
          <w:tcPr>
            <w:tcW w:w="880" w:type="dxa"/>
            <w:vAlign w:val="bottom"/>
            <w:tcBorders>
              <w:bottom w:val="single" w:sz="8" w:color="808080"/>
            </w:tcBorders>
            <w:gridSpan w:val="2"/>
          </w:tcPr>
          <w:p>
            <w:pPr>
              <w:jc w:val="right"/>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808080"/>
            </w:tcBorders>
          </w:tcPr>
          <w:p>
            <w:pPr>
              <w:spacing w:after="0"/>
              <w:rPr>
                <w:sz w:val="14"/>
                <w:szCs w:val="14"/>
                <w:color w:val="auto"/>
              </w:rPr>
            </w:pPr>
          </w:p>
        </w:tc>
        <w:tc>
          <w:tcPr>
            <w:tcW w:w="640" w:type="dxa"/>
            <w:vAlign w:val="bottom"/>
            <w:tcBorders>
              <w:bottom w:val="single" w:sz="8" w:color="808080"/>
            </w:tcBorders>
          </w:tcPr>
          <w:p>
            <w:pPr>
              <w:jc w:val="right"/>
              <w:ind w:right="2"/>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808080"/>
            </w:tcBorders>
          </w:tcPr>
          <w:p>
            <w:pPr>
              <w:jc w:val="right"/>
              <w:spacing w:after="0"/>
              <w:rPr>
                <w:sz w:val="20"/>
                <w:szCs w:val="20"/>
                <w:color w:val="auto"/>
              </w:rPr>
            </w:pPr>
            <w:r>
              <w:rPr>
                <w:rFonts w:ascii="Arial" w:cs="Arial" w:eastAsia="Arial" w:hAnsi="Arial"/>
                <w:sz w:val="12"/>
                <w:szCs w:val="12"/>
                <w:color w:val="auto"/>
              </w:rPr>
              <w:t>-</w:t>
            </w:r>
          </w:p>
        </w:tc>
        <w:tc>
          <w:tcPr>
            <w:tcW w:w="1120" w:type="dxa"/>
            <w:vAlign w:val="bottom"/>
            <w:tcBorders>
              <w:bottom w:val="single" w:sz="8" w:color="808080"/>
            </w:tcBorders>
            <w:gridSpan w:val="2"/>
          </w:tcPr>
          <w:p>
            <w:pPr>
              <w:jc w:val="right"/>
              <w:ind w:right="222"/>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808080"/>
            </w:tcBorders>
          </w:tcPr>
          <w:p>
            <w:pPr>
              <w:jc w:val="right"/>
              <w:ind w:right="2"/>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808080"/>
            </w:tcBorders>
          </w:tcPr>
          <w:p>
            <w:pPr>
              <w:jc w:val="right"/>
              <w:spacing w:after="0"/>
              <w:rPr>
                <w:sz w:val="20"/>
                <w:szCs w:val="20"/>
                <w:color w:val="auto"/>
              </w:rPr>
            </w:pPr>
            <w:r>
              <w:rPr>
                <w:rFonts w:ascii="Arial" w:cs="Arial" w:eastAsia="Arial" w:hAnsi="Arial"/>
                <w:sz w:val="12"/>
                <w:szCs w:val="12"/>
                <w:color w:val="auto"/>
              </w:rPr>
              <w:t>-</w:t>
            </w:r>
          </w:p>
        </w:tc>
        <w:tc>
          <w:tcPr>
            <w:tcW w:w="880" w:type="dxa"/>
            <w:vAlign w:val="bottom"/>
            <w:tcBorders>
              <w:bottom w:val="single" w:sz="8" w:color="808080"/>
            </w:tcBorders>
          </w:tcPr>
          <w:p>
            <w:pPr>
              <w:jc w:val="right"/>
              <w:ind w:right="2"/>
              <w:spacing w:after="0"/>
              <w:rPr>
                <w:sz w:val="20"/>
                <w:szCs w:val="20"/>
                <w:color w:val="auto"/>
              </w:rPr>
            </w:pPr>
            <w:r>
              <w:rPr>
                <w:rFonts w:ascii="Arial" w:cs="Arial" w:eastAsia="Arial" w:hAnsi="Arial"/>
                <w:sz w:val="12"/>
                <w:szCs w:val="12"/>
                <w:color w:val="auto"/>
              </w:rPr>
              <w:t>87,943</w:t>
            </w:r>
          </w:p>
        </w:tc>
        <w:tc>
          <w:tcPr>
            <w:tcW w:w="900" w:type="dxa"/>
            <w:vAlign w:val="bottom"/>
            <w:tcBorders>
              <w:bottom w:val="single" w:sz="8" w:color="808080"/>
            </w:tcBorders>
          </w:tcPr>
          <w:p>
            <w:pPr>
              <w:jc w:val="right"/>
              <w:ind w:right="42"/>
              <w:spacing w:after="0"/>
              <w:rPr>
                <w:sz w:val="20"/>
                <w:szCs w:val="20"/>
                <w:color w:val="auto"/>
              </w:rPr>
            </w:pPr>
            <w:r>
              <w:rPr>
                <w:rFonts w:ascii="Arial" w:cs="Arial" w:eastAsia="Arial" w:hAnsi="Arial"/>
                <w:sz w:val="12"/>
                <w:szCs w:val="12"/>
                <w:color w:val="auto"/>
              </w:rPr>
              <w:t>8,249,933</w:t>
            </w:r>
          </w:p>
        </w:tc>
        <w:tc>
          <w:tcPr>
            <w:tcW w:w="40" w:type="dxa"/>
            <w:vAlign w:val="bottom"/>
          </w:tcPr>
          <w:p>
            <w:pPr>
              <w:spacing w:after="0"/>
              <w:rPr>
                <w:sz w:val="14"/>
                <w:szCs w:val="14"/>
                <w:color w:val="auto"/>
              </w:rPr>
            </w:pPr>
          </w:p>
        </w:tc>
      </w:tr>
      <w:tr>
        <w:trPr>
          <w:trHeight w:val="200"/>
        </w:trPr>
        <w:tc>
          <w:tcPr>
            <w:tcW w:w="1320" w:type="dxa"/>
            <w:vAlign w:val="bottom"/>
            <w:gridSpan w:val="2"/>
          </w:tcPr>
          <w:p>
            <w:pPr>
              <w:ind w:left="120"/>
              <w:spacing w:after="0"/>
              <w:rPr>
                <w:sz w:val="20"/>
                <w:szCs w:val="20"/>
                <w:color w:val="auto"/>
              </w:rPr>
            </w:pPr>
            <w:r>
              <w:rPr>
                <w:rFonts w:ascii="Arial" w:cs="Arial" w:eastAsia="Arial" w:hAnsi="Arial"/>
                <w:sz w:val="12"/>
                <w:szCs w:val="12"/>
                <w:b w:val="1"/>
                <w:bCs w:val="1"/>
                <w:color w:val="auto"/>
              </w:rPr>
              <w:t>Michael Leskinen</w:t>
            </w:r>
          </w:p>
        </w:tc>
        <w:tc>
          <w:tcPr>
            <w:tcW w:w="720" w:type="dxa"/>
            <w:vAlign w:val="bottom"/>
          </w:tcPr>
          <w:p>
            <w:pPr>
              <w:jc w:val="center"/>
              <w:spacing w:after="0"/>
              <w:rPr>
                <w:sz w:val="20"/>
                <w:szCs w:val="20"/>
                <w:color w:val="auto"/>
              </w:rPr>
            </w:pPr>
            <w:r>
              <w:rPr>
                <w:rFonts w:ascii="Arial" w:cs="Arial" w:eastAsia="Arial" w:hAnsi="Arial"/>
                <w:sz w:val="12"/>
                <w:szCs w:val="12"/>
                <w:color w:val="auto"/>
                <w:w w:val="97"/>
              </w:rPr>
              <w:t>2/28/25  (1)</w:t>
            </w:r>
          </w:p>
        </w:tc>
        <w:tc>
          <w:tcPr>
            <w:tcW w:w="700" w:type="dxa"/>
            <w:vAlign w:val="bottom"/>
            <w:gridSpan w:val="2"/>
          </w:tcPr>
          <w:p>
            <w:pPr>
              <w:jc w:val="center"/>
              <w:ind w:left="102"/>
              <w:spacing w:after="0"/>
              <w:rPr>
                <w:sz w:val="20"/>
                <w:szCs w:val="20"/>
                <w:color w:val="auto"/>
              </w:rPr>
            </w:pPr>
            <w:r>
              <w:rPr>
                <w:rFonts w:ascii="Arial" w:cs="Arial" w:eastAsia="Arial" w:hAnsi="Arial"/>
                <w:sz w:val="12"/>
                <w:szCs w:val="12"/>
                <w:color w:val="auto"/>
              </w:rPr>
              <w:t>2/27/25</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490,630</w:t>
            </w:r>
          </w:p>
        </w:tc>
        <w:tc>
          <w:tcPr>
            <w:tcW w:w="240" w:type="dxa"/>
            <w:vAlign w:val="bottom"/>
          </w:tcPr>
          <w:p>
            <w:pPr>
              <w:spacing w:after="0"/>
              <w:rPr>
                <w:sz w:val="17"/>
                <w:szCs w:val="17"/>
                <w:color w:val="auto"/>
              </w:rPr>
            </w:pP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981,260</w:t>
            </w:r>
          </w:p>
        </w:tc>
        <w:tc>
          <w:tcPr>
            <w:tcW w:w="840" w:type="dxa"/>
            <w:vAlign w:val="bottom"/>
          </w:tcPr>
          <w:p>
            <w:pPr>
              <w:jc w:val="right"/>
              <w:spacing w:after="0"/>
              <w:rPr>
                <w:sz w:val="20"/>
                <w:szCs w:val="20"/>
                <w:color w:val="auto"/>
              </w:rPr>
            </w:pPr>
            <w:r>
              <w:rPr>
                <w:rFonts w:ascii="Arial" w:cs="Arial" w:eastAsia="Arial" w:hAnsi="Arial"/>
                <w:sz w:val="12"/>
                <w:szCs w:val="12"/>
                <w:color w:val="auto"/>
              </w:rPr>
              <w:t>1,962,521</w:t>
            </w:r>
          </w:p>
        </w:tc>
        <w:tc>
          <w:tcPr>
            <w:tcW w:w="1120" w:type="dxa"/>
            <w:vAlign w:val="bottom"/>
            <w:gridSpan w:val="2"/>
          </w:tcPr>
          <w:p>
            <w:pPr>
              <w:jc w:val="right"/>
              <w:ind w:right="222"/>
              <w:spacing w:after="0"/>
              <w:rPr>
                <w:sz w:val="20"/>
                <w:szCs w:val="20"/>
                <w:color w:val="auto"/>
              </w:rPr>
            </w:pPr>
            <w:r>
              <w:rPr>
                <w:rFonts w:ascii="Arial" w:cs="Arial" w:eastAsia="Arial" w:hAnsi="Arial"/>
                <w:sz w:val="12"/>
                <w:szCs w:val="12"/>
                <w:color w:val="auto"/>
              </w:rPr>
              <w:t>-</w:t>
            </w: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7"/>
                <w:szCs w:val="17"/>
                <w:color w:val="auto"/>
              </w:rPr>
            </w:pPr>
          </w:p>
        </w:tc>
      </w:tr>
      <w:tr>
        <w:trPr>
          <w:trHeight w:val="189"/>
        </w:trPr>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Arial" w:cs="Arial" w:eastAsia="Arial" w:hAnsi="Arial"/>
                <w:sz w:val="12"/>
                <w:szCs w:val="12"/>
                <w:color w:val="auto"/>
                <w:w w:val="97"/>
              </w:rPr>
              <w:t>2/28/25  (2)</w:t>
            </w:r>
          </w:p>
        </w:tc>
        <w:tc>
          <w:tcPr>
            <w:tcW w:w="700" w:type="dxa"/>
            <w:vAlign w:val="bottom"/>
            <w:gridSpan w:val="2"/>
          </w:tcPr>
          <w:p>
            <w:pPr>
              <w:jc w:val="center"/>
              <w:ind w:left="102"/>
              <w:spacing w:after="0"/>
              <w:rPr>
                <w:sz w:val="20"/>
                <w:szCs w:val="20"/>
                <w:color w:val="auto"/>
              </w:rPr>
            </w:pPr>
            <w:r>
              <w:rPr>
                <w:rFonts w:ascii="Arial" w:cs="Arial" w:eastAsia="Arial" w:hAnsi="Arial"/>
                <w:sz w:val="12"/>
                <w:szCs w:val="12"/>
                <w:color w:val="auto"/>
              </w:rPr>
              <w:t>2/27/25</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6"/>
                <w:szCs w:val="16"/>
                <w:color w:val="auto"/>
              </w:rPr>
            </w:pP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22"/>
              <w:spacing w:after="0"/>
              <w:rPr>
                <w:sz w:val="20"/>
                <w:szCs w:val="20"/>
                <w:color w:val="auto"/>
              </w:rPr>
            </w:pPr>
            <w:r>
              <w:rPr>
                <w:rFonts w:ascii="Arial" w:cs="Arial" w:eastAsia="Arial" w:hAnsi="Arial"/>
                <w:sz w:val="12"/>
                <w:szCs w:val="12"/>
                <w:color w:val="auto"/>
              </w:rPr>
              <w:t>419</w:t>
            </w: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838</w:t>
            </w:r>
          </w:p>
        </w:tc>
        <w:tc>
          <w:tcPr>
            <w:tcW w:w="840" w:type="dxa"/>
            <w:vAlign w:val="bottom"/>
          </w:tcPr>
          <w:p>
            <w:pPr>
              <w:jc w:val="right"/>
              <w:spacing w:after="0"/>
              <w:rPr>
                <w:sz w:val="20"/>
                <w:szCs w:val="20"/>
                <w:color w:val="auto"/>
              </w:rPr>
            </w:pPr>
            <w:r>
              <w:rPr>
                <w:rFonts w:ascii="Arial" w:cs="Arial" w:eastAsia="Arial" w:hAnsi="Arial"/>
                <w:sz w:val="12"/>
                <w:szCs w:val="12"/>
                <w:color w:val="auto"/>
              </w:rPr>
              <w:t>1,676</w:t>
            </w:r>
          </w:p>
        </w:tc>
        <w:tc>
          <w:tcPr>
            <w:tcW w:w="88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42"/>
              <w:spacing w:after="0"/>
              <w:rPr>
                <w:sz w:val="20"/>
                <w:szCs w:val="20"/>
                <w:color w:val="auto"/>
              </w:rPr>
            </w:pPr>
            <w:r>
              <w:rPr>
                <w:rFonts w:ascii="Arial" w:cs="Arial" w:eastAsia="Arial" w:hAnsi="Arial"/>
                <w:sz w:val="12"/>
                <w:szCs w:val="12"/>
                <w:color w:val="auto"/>
              </w:rPr>
              <w:t>78,613</w:t>
            </w:r>
          </w:p>
        </w:tc>
        <w:tc>
          <w:tcPr>
            <w:tcW w:w="40" w:type="dxa"/>
            <w:vAlign w:val="bottom"/>
          </w:tcPr>
          <w:p>
            <w:pPr>
              <w:spacing w:after="0"/>
              <w:rPr>
                <w:sz w:val="16"/>
                <w:szCs w:val="16"/>
                <w:color w:val="auto"/>
              </w:rPr>
            </w:pPr>
          </w:p>
        </w:tc>
      </w:tr>
      <w:tr>
        <w:trPr>
          <w:trHeight w:val="189"/>
        </w:trPr>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Arial" w:cs="Arial" w:eastAsia="Arial" w:hAnsi="Arial"/>
                <w:sz w:val="12"/>
                <w:szCs w:val="12"/>
                <w:color w:val="auto"/>
                <w:w w:val="97"/>
              </w:rPr>
              <w:t>2/28/25  (3)</w:t>
            </w:r>
          </w:p>
        </w:tc>
        <w:tc>
          <w:tcPr>
            <w:tcW w:w="700" w:type="dxa"/>
            <w:vAlign w:val="bottom"/>
            <w:gridSpan w:val="2"/>
          </w:tcPr>
          <w:p>
            <w:pPr>
              <w:jc w:val="center"/>
              <w:ind w:left="102"/>
              <w:spacing w:after="0"/>
              <w:rPr>
                <w:sz w:val="20"/>
                <w:szCs w:val="20"/>
                <w:color w:val="auto"/>
              </w:rPr>
            </w:pPr>
            <w:r>
              <w:rPr>
                <w:rFonts w:ascii="Arial" w:cs="Arial" w:eastAsia="Arial" w:hAnsi="Arial"/>
                <w:sz w:val="12"/>
                <w:szCs w:val="12"/>
                <w:color w:val="auto"/>
              </w:rPr>
              <w:t>2/27/25</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6"/>
                <w:szCs w:val="16"/>
                <w:color w:val="auto"/>
              </w:rPr>
            </w:pP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22"/>
              <w:spacing w:after="0"/>
              <w:rPr>
                <w:sz w:val="20"/>
                <w:szCs w:val="20"/>
                <w:color w:val="auto"/>
              </w:rPr>
            </w:pPr>
            <w:r>
              <w:rPr>
                <w:rFonts w:ascii="Arial" w:cs="Arial" w:eastAsia="Arial" w:hAnsi="Arial"/>
                <w:sz w:val="12"/>
                <w:szCs w:val="12"/>
                <w:color w:val="auto"/>
              </w:rPr>
              <w:t>5,290</w:t>
            </w: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10,579</w:t>
            </w:r>
          </w:p>
        </w:tc>
        <w:tc>
          <w:tcPr>
            <w:tcW w:w="840" w:type="dxa"/>
            <w:vAlign w:val="bottom"/>
          </w:tcPr>
          <w:p>
            <w:pPr>
              <w:jc w:val="right"/>
              <w:spacing w:after="0"/>
              <w:rPr>
                <w:sz w:val="20"/>
                <w:szCs w:val="20"/>
                <w:color w:val="auto"/>
              </w:rPr>
            </w:pPr>
            <w:r>
              <w:rPr>
                <w:rFonts w:ascii="Arial" w:cs="Arial" w:eastAsia="Arial" w:hAnsi="Arial"/>
                <w:sz w:val="12"/>
                <w:szCs w:val="12"/>
                <w:color w:val="auto"/>
              </w:rPr>
              <w:t>31,737</w:t>
            </w:r>
          </w:p>
        </w:tc>
        <w:tc>
          <w:tcPr>
            <w:tcW w:w="88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42"/>
              <w:spacing w:after="0"/>
              <w:rPr>
                <w:sz w:val="20"/>
                <w:szCs w:val="20"/>
                <w:color w:val="auto"/>
              </w:rPr>
            </w:pPr>
            <w:r>
              <w:rPr>
                <w:rFonts w:ascii="Arial" w:cs="Arial" w:eastAsia="Arial" w:hAnsi="Arial"/>
                <w:sz w:val="12"/>
                <w:szCs w:val="12"/>
                <w:color w:val="auto"/>
              </w:rPr>
              <w:t>1,447,207</w:t>
            </w:r>
          </w:p>
        </w:tc>
        <w:tc>
          <w:tcPr>
            <w:tcW w:w="40" w:type="dxa"/>
            <w:vAlign w:val="bottom"/>
          </w:tcPr>
          <w:p>
            <w:pPr>
              <w:spacing w:after="0"/>
              <w:rPr>
                <w:sz w:val="16"/>
                <w:szCs w:val="16"/>
                <w:color w:val="auto"/>
              </w:rPr>
            </w:pPr>
          </w:p>
        </w:tc>
      </w:tr>
      <w:tr>
        <w:trPr>
          <w:trHeight w:val="189"/>
        </w:trPr>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Arial" w:cs="Arial" w:eastAsia="Arial" w:hAnsi="Arial"/>
                <w:sz w:val="12"/>
                <w:szCs w:val="12"/>
                <w:color w:val="auto"/>
                <w:w w:val="97"/>
              </w:rPr>
              <w:t>2/28/25  (4)</w:t>
            </w:r>
          </w:p>
        </w:tc>
        <w:tc>
          <w:tcPr>
            <w:tcW w:w="700" w:type="dxa"/>
            <w:vAlign w:val="bottom"/>
            <w:gridSpan w:val="2"/>
          </w:tcPr>
          <w:p>
            <w:pPr>
              <w:jc w:val="center"/>
              <w:ind w:left="102"/>
              <w:spacing w:after="0"/>
              <w:rPr>
                <w:sz w:val="20"/>
                <w:szCs w:val="20"/>
                <w:color w:val="auto"/>
              </w:rPr>
            </w:pPr>
            <w:r>
              <w:rPr>
                <w:rFonts w:ascii="Arial" w:cs="Arial" w:eastAsia="Arial" w:hAnsi="Arial"/>
                <w:sz w:val="12"/>
                <w:szCs w:val="12"/>
                <w:color w:val="auto"/>
              </w:rPr>
              <w:t>2/27/25</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6"/>
                <w:szCs w:val="16"/>
                <w:color w:val="auto"/>
              </w:rPr>
            </w:pP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22"/>
              <w:spacing w:after="0"/>
              <w:rPr>
                <w:sz w:val="20"/>
                <w:szCs w:val="20"/>
                <w:color w:val="auto"/>
              </w:rPr>
            </w:pPr>
            <w:r>
              <w:rPr>
                <w:rFonts w:ascii="Arial" w:cs="Arial" w:eastAsia="Arial" w:hAnsi="Arial"/>
                <w:sz w:val="12"/>
                <w:szCs w:val="12"/>
                <w:color w:val="auto"/>
              </w:rPr>
              <w:t>3,198</w:t>
            </w: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6,395</w:t>
            </w:r>
          </w:p>
        </w:tc>
        <w:tc>
          <w:tcPr>
            <w:tcW w:w="840" w:type="dxa"/>
            <w:vAlign w:val="bottom"/>
          </w:tcPr>
          <w:p>
            <w:pPr>
              <w:jc w:val="right"/>
              <w:spacing w:after="0"/>
              <w:rPr>
                <w:sz w:val="20"/>
                <w:szCs w:val="20"/>
                <w:color w:val="auto"/>
              </w:rPr>
            </w:pPr>
            <w:r>
              <w:rPr>
                <w:rFonts w:ascii="Arial" w:cs="Arial" w:eastAsia="Arial" w:hAnsi="Arial"/>
                <w:sz w:val="12"/>
                <w:szCs w:val="12"/>
                <w:color w:val="auto"/>
              </w:rPr>
              <w:t>12,790</w:t>
            </w:r>
          </w:p>
        </w:tc>
        <w:tc>
          <w:tcPr>
            <w:tcW w:w="88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42"/>
              <w:spacing w:after="0"/>
              <w:rPr>
                <w:sz w:val="20"/>
                <w:szCs w:val="20"/>
                <w:color w:val="auto"/>
              </w:rPr>
            </w:pPr>
            <w:r>
              <w:rPr>
                <w:rFonts w:ascii="Arial" w:cs="Arial" w:eastAsia="Arial" w:hAnsi="Arial"/>
                <w:sz w:val="12"/>
                <w:szCs w:val="12"/>
                <w:color w:val="auto"/>
              </w:rPr>
              <w:t>599,915</w:t>
            </w:r>
          </w:p>
        </w:tc>
        <w:tc>
          <w:tcPr>
            <w:tcW w:w="40" w:type="dxa"/>
            <w:vAlign w:val="bottom"/>
          </w:tcPr>
          <w:p>
            <w:pPr>
              <w:spacing w:after="0"/>
              <w:rPr>
                <w:sz w:val="16"/>
                <w:szCs w:val="16"/>
                <w:color w:val="auto"/>
              </w:rPr>
            </w:pPr>
          </w:p>
        </w:tc>
      </w:tr>
      <w:tr>
        <w:trPr>
          <w:trHeight w:val="189"/>
        </w:trPr>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Arial" w:cs="Arial" w:eastAsia="Arial" w:hAnsi="Arial"/>
                <w:sz w:val="12"/>
                <w:szCs w:val="12"/>
                <w:color w:val="auto"/>
                <w:w w:val="97"/>
              </w:rPr>
              <w:t>2/28/25  (6)</w:t>
            </w:r>
          </w:p>
        </w:tc>
        <w:tc>
          <w:tcPr>
            <w:tcW w:w="700" w:type="dxa"/>
            <w:vAlign w:val="bottom"/>
            <w:gridSpan w:val="2"/>
          </w:tcPr>
          <w:p>
            <w:pPr>
              <w:jc w:val="center"/>
              <w:ind w:left="102"/>
              <w:spacing w:after="0"/>
              <w:rPr>
                <w:sz w:val="20"/>
                <w:szCs w:val="20"/>
                <w:color w:val="auto"/>
              </w:rPr>
            </w:pPr>
            <w:r>
              <w:rPr>
                <w:rFonts w:ascii="Arial" w:cs="Arial" w:eastAsia="Arial" w:hAnsi="Arial"/>
                <w:sz w:val="12"/>
                <w:szCs w:val="12"/>
                <w:color w:val="auto"/>
              </w:rPr>
              <w:t>2/27/25</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6"/>
                <w:szCs w:val="16"/>
                <w:color w:val="auto"/>
              </w:rPr>
            </w:pP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22"/>
              <w:spacing w:after="0"/>
              <w:rPr>
                <w:sz w:val="20"/>
                <w:szCs w:val="20"/>
                <w:color w:val="auto"/>
              </w:rPr>
            </w:pPr>
            <w:r>
              <w:rPr>
                <w:rFonts w:ascii="Arial" w:cs="Arial" w:eastAsia="Arial" w:hAnsi="Arial"/>
                <w:sz w:val="12"/>
                <w:szCs w:val="12"/>
                <w:color w:val="auto"/>
              </w:rPr>
              <w:t>4,659</w:t>
            </w: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9,317</w:t>
            </w:r>
          </w:p>
        </w:tc>
        <w:tc>
          <w:tcPr>
            <w:tcW w:w="840" w:type="dxa"/>
            <w:vAlign w:val="bottom"/>
          </w:tcPr>
          <w:p>
            <w:pPr>
              <w:jc w:val="right"/>
              <w:spacing w:after="0"/>
              <w:rPr>
                <w:sz w:val="20"/>
                <w:szCs w:val="20"/>
                <w:color w:val="auto"/>
              </w:rPr>
            </w:pPr>
            <w:r>
              <w:rPr>
                <w:rFonts w:ascii="Arial" w:cs="Arial" w:eastAsia="Arial" w:hAnsi="Arial"/>
                <w:sz w:val="12"/>
                <w:szCs w:val="12"/>
                <w:color w:val="auto"/>
              </w:rPr>
              <w:t>18,634</w:t>
            </w:r>
          </w:p>
        </w:tc>
        <w:tc>
          <w:tcPr>
            <w:tcW w:w="88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42"/>
              <w:spacing w:after="0"/>
              <w:rPr>
                <w:sz w:val="20"/>
                <w:szCs w:val="20"/>
                <w:color w:val="auto"/>
              </w:rPr>
            </w:pPr>
            <w:r>
              <w:rPr>
                <w:rFonts w:ascii="Arial" w:cs="Arial" w:eastAsia="Arial" w:hAnsi="Arial"/>
                <w:sz w:val="12"/>
                <w:szCs w:val="12"/>
                <w:color w:val="auto"/>
              </w:rPr>
              <w:t>874,028</w:t>
            </w:r>
          </w:p>
        </w:tc>
        <w:tc>
          <w:tcPr>
            <w:tcW w:w="40" w:type="dxa"/>
            <w:vAlign w:val="bottom"/>
          </w:tcPr>
          <w:p>
            <w:pPr>
              <w:spacing w:after="0"/>
              <w:rPr>
                <w:sz w:val="16"/>
                <w:szCs w:val="16"/>
                <w:color w:val="auto"/>
              </w:rPr>
            </w:pPr>
          </w:p>
        </w:tc>
      </w:tr>
      <w:tr>
        <w:trPr>
          <w:trHeight w:val="172"/>
        </w:trPr>
        <w:tc>
          <w:tcPr>
            <w:tcW w:w="116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720" w:type="dxa"/>
            <w:vAlign w:val="bottom"/>
            <w:tcBorders>
              <w:bottom w:val="single" w:sz="8" w:color="808080"/>
            </w:tcBorders>
          </w:tcPr>
          <w:p>
            <w:pPr>
              <w:jc w:val="center"/>
              <w:spacing w:after="0"/>
              <w:rPr>
                <w:sz w:val="20"/>
                <w:szCs w:val="20"/>
                <w:color w:val="auto"/>
              </w:rPr>
            </w:pPr>
            <w:r>
              <w:rPr>
                <w:rFonts w:ascii="Arial" w:cs="Arial" w:eastAsia="Arial" w:hAnsi="Arial"/>
                <w:sz w:val="12"/>
                <w:szCs w:val="12"/>
                <w:color w:val="auto"/>
                <w:w w:val="97"/>
              </w:rPr>
              <w:t>2/28/25  (5)</w:t>
            </w:r>
          </w:p>
        </w:tc>
        <w:tc>
          <w:tcPr>
            <w:tcW w:w="700" w:type="dxa"/>
            <w:vAlign w:val="bottom"/>
            <w:tcBorders>
              <w:bottom w:val="single" w:sz="8" w:color="808080"/>
            </w:tcBorders>
            <w:gridSpan w:val="2"/>
          </w:tcPr>
          <w:p>
            <w:pPr>
              <w:jc w:val="center"/>
              <w:ind w:left="102"/>
              <w:spacing w:after="0"/>
              <w:rPr>
                <w:sz w:val="20"/>
                <w:szCs w:val="20"/>
                <w:color w:val="auto"/>
              </w:rPr>
            </w:pPr>
            <w:r>
              <w:rPr>
                <w:rFonts w:ascii="Arial" w:cs="Arial" w:eastAsia="Arial" w:hAnsi="Arial"/>
                <w:sz w:val="12"/>
                <w:szCs w:val="12"/>
                <w:color w:val="auto"/>
              </w:rPr>
              <w:t>2/27/25</w:t>
            </w:r>
          </w:p>
        </w:tc>
        <w:tc>
          <w:tcPr>
            <w:tcW w:w="880" w:type="dxa"/>
            <w:vAlign w:val="bottom"/>
            <w:tcBorders>
              <w:bottom w:val="single" w:sz="8" w:color="808080"/>
            </w:tcBorders>
            <w:gridSpan w:val="2"/>
          </w:tcPr>
          <w:p>
            <w:pPr>
              <w:jc w:val="right"/>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808080"/>
            </w:tcBorders>
          </w:tcPr>
          <w:p>
            <w:pPr>
              <w:spacing w:after="0"/>
              <w:rPr>
                <w:sz w:val="14"/>
                <w:szCs w:val="14"/>
                <w:color w:val="auto"/>
              </w:rPr>
            </w:pPr>
          </w:p>
        </w:tc>
        <w:tc>
          <w:tcPr>
            <w:tcW w:w="640" w:type="dxa"/>
            <w:vAlign w:val="bottom"/>
            <w:tcBorders>
              <w:bottom w:val="single" w:sz="8" w:color="808080"/>
            </w:tcBorders>
          </w:tcPr>
          <w:p>
            <w:pPr>
              <w:jc w:val="right"/>
              <w:ind w:right="2"/>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808080"/>
            </w:tcBorders>
          </w:tcPr>
          <w:p>
            <w:pPr>
              <w:jc w:val="right"/>
              <w:spacing w:after="0"/>
              <w:rPr>
                <w:sz w:val="20"/>
                <w:szCs w:val="20"/>
                <w:color w:val="auto"/>
              </w:rPr>
            </w:pPr>
            <w:r>
              <w:rPr>
                <w:rFonts w:ascii="Arial" w:cs="Arial" w:eastAsia="Arial" w:hAnsi="Arial"/>
                <w:sz w:val="12"/>
                <w:szCs w:val="12"/>
                <w:color w:val="auto"/>
              </w:rPr>
              <w:t>-</w:t>
            </w:r>
          </w:p>
        </w:tc>
        <w:tc>
          <w:tcPr>
            <w:tcW w:w="1120" w:type="dxa"/>
            <w:vAlign w:val="bottom"/>
            <w:tcBorders>
              <w:bottom w:val="single" w:sz="8" w:color="808080"/>
            </w:tcBorders>
            <w:gridSpan w:val="2"/>
          </w:tcPr>
          <w:p>
            <w:pPr>
              <w:jc w:val="right"/>
              <w:ind w:right="222"/>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808080"/>
            </w:tcBorders>
          </w:tcPr>
          <w:p>
            <w:pPr>
              <w:jc w:val="right"/>
              <w:ind w:right="2"/>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808080"/>
            </w:tcBorders>
          </w:tcPr>
          <w:p>
            <w:pPr>
              <w:jc w:val="right"/>
              <w:spacing w:after="0"/>
              <w:rPr>
                <w:sz w:val="20"/>
                <w:szCs w:val="20"/>
                <w:color w:val="auto"/>
              </w:rPr>
            </w:pPr>
            <w:r>
              <w:rPr>
                <w:rFonts w:ascii="Arial" w:cs="Arial" w:eastAsia="Arial" w:hAnsi="Arial"/>
                <w:sz w:val="12"/>
                <w:szCs w:val="12"/>
                <w:color w:val="auto"/>
              </w:rPr>
              <w:t>-</w:t>
            </w:r>
          </w:p>
        </w:tc>
        <w:tc>
          <w:tcPr>
            <w:tcW w:w="880" w:type="dxa"/>
            <w:vAlign w:val="bottom"/>
            <w:tcBorders>
              <w:bottom w:val="single" w:sz="8" w:color="808080"/>
            </w:tcBorders>
          </w:tcPr>
          <w:p>
            <w:pPr>
              <w:jc w:val="right"/>
              <w:ind w:right="2"/>
              <w:spacing w:after="0"/>
              <w:rPr>
                <w:sz w:val="20"/>
                <w:szCs w:val="20"/>
                <w:color w:val="auto"/>
              </w:rPr>
            </w:pPr>
            <w:r>
              <w:rPr>
                <w:rFonts w:ascii="Arial" w:cs="Arial" w:eastAsia="Arial" w:hAnsi="Arial"/>
                <w:sz w:val="12"/>
                <w:szCs w:val="12"/>
                <w:color w:val="auto"/>
              </w:rPr>
              <w:t>19,187</w:t>
            </w:r>
          </w:p>
        </w:tc>
        <w:tc>
          <w:tcPr>
            <w:tcW w:w="900" w:type="dxa"/>
            <w:vAlign w:val="bottom"/>
            <w:tcBorders>
              <w:bottom w:val="single" w:sz="8" w:color="808080"/>
            </w:tcBorders>
          </w:tcPr>
          <w:p>
            <w:pPr>
              <w:jc w:val="right"/>
              <w:ind w:right="42"/>
              <w:spacing w:after="0"/>
              <w:rPr>
                <w:sz w:val="20"/>
                <w:szCs w:val="20"/>
                <w:color w:val="auto"/>
              </w:rPr>
            </w:pPr>
            <w:r>
              <w:rPr>
                <w:rFonts w:ascii="Arial" w:cs="Arial" w:eastAsia="Arial" w:hAnsi="Arial"/>
                <w:sz w:val="12"/>
                <w:szCs w:val="12"/>
                <w:color w:val="auto"/>
              </w:rPr>
              <w:t>1,799,932</w:t>
            </w:r>
          </w:p>
        </w:tc>
        <w:tc>
          <w:tcPr>
            <w:tcW w:w="40" w:type="dxa"/>
            <w:vAlign w:val="bottom"/>
          </w:tcPr>
          <w:p>
            <w:pPr>
              <w:spacing w:after="0"/>
              <w:rPr>
                <w:sz w:val="14"/>
                <w:szCs w:val="14"/>
                <w:color w:val="auto"/>
              </w:rPr>
            </w:pPr>
          </w:p>
        </w:tc>
      </w:tr>
      <w:tr>
        <w:trPr>
          <w:trHeight w:val="200"/>
        </w:trPr>
        <w:tc>
          <w:tcPr>
            <w:tcW w:w="1320" w:type="dxa"/>
            <w:vAlign w:val="bottom"/>
            <w:gridSpan w:val="2"/>
          </w:tcPr>
          <w:p>
            <w:pPr>
              <w:ind w:left="120"/>
              <w:spacing w:after="0"/>
              <w:rPr>
                <w:sz w:val="20"/>
                <w:szCs w:val="20"/>
                <w:color w:val="auto"/>
              </w:rPr>
            </w:pPr>
            <w:r>
              <w:rPr>
                <w:rFonts w:ascii="Arial" w:cs="Arial" w:eastAsia="Arial" w:hAnsi="Arial"/>
                <w:sz w:val="12"/>
                <w:szCs w:val="12"/>
                <w:b w:val="1"/>
                <w:bCs w:val="1"/>
                <w:color w:val="auto"/>
              </w:rPr>
              <w:t>Brett Hart</w:t>
            </w:r>
          </w:p>
        </w:tc>
        <w:tc>
          <w:tcPr>
            <w:tcW w:w="720" w:type="dxa"/>
            <w:vAlign w:val="bottom"/>
          </w:tcPr>
          <w:p>
            <w:pPr>
              <w:jc w:val="center"/>
              <w:spacing w:after="0"/>
              <w:rPr>
                <w:sz w:val="20"/>
                <w:szCs w:val="20"/>
                <w:color w:val="auto"/>
              </w:rPr>
            </w:pPr>
            <w:r>
              <w:rPr>
                <w:rFonts w:ascii="Arial" w:cs="Arial" w:eastAsia="Arial" w:hAnsi="Arial"/>
                <w:sz w:val="12"/>
                <w:szCs w:val="12"/>
                <w:color w:val="auto"/>
                <w:w w:val="97"/>
              </w:rPr>
              <w:t>2/28/25  (1)</w:t>
            </w:r>
          </w:p>
        </w:tc>
        <w:tc>
          <w:tcPr>
            <w:tcW w:w="700" w:type="dxa"/>
            <w:vAlign w:val="bottom"/>
            <w:gridSpan w:val="2"/>
          </w:tcPr>
          <w:p>
            <w:pPr>
              <w:jc w:val="center"/>
              <w:ind w:left="102"/>
              <w:spacing w:after="0"/>
              <w:rPr>
                <w:sz w:val="20"/>
                <w:szCs w:val="20"/>
                <w:color w:val="auto"/>
              </w:rPr>
            </w:pPr>
            <w:r>
              <w:rPr>
                <w:rFonts w:ascii="Arial" w:cs="Arial" w:eastAsia="Arial" w:hAnsi="Arial"/>
                <w:sz w:val="12"/>
                <w:szCs w:val="12"/>
                <w:color w:val="auto"/>
              </w:rPr>
              <w:t>2/27/25</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875,000</w:t>
            </w:r>
          </w:p>
        </w:tc>
        <w:tc>
          <w:tcPr>
            <w:tcW w:w="240" w:type="dxa"/>
            <w:vAlign w:val="bottom"/>
          </w:tcPr>
          <w:p>
            <w:pPr>
              <w:spacing w:after="0"/>
              <w:rPr>
                <w:sz w:val="17"/>
                <w:szCs w:val="17"/>
                <w:color w:val="auto"/>
              </w:rPr>
            </w:pP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1,750,000</w:t>
            </w:r>
          </w:p>
        </w:tc>
        <w:tc>
          <w:tcPr>
            <w:tcW w:w="840" w:type="dxa"/>
            <w:vAlign w:val="bottom"/>
          </w:tcPr>
          <w:p>
            <w:pPr>
              <w:jc w:val="right"/>
              <w:spacing w:after="0"/>
              <w:rPr>
                <w:sz w:val="20"/>
                <w:szCs w:val="20"/>
                <w:color w:val="auto"/>
              </w:rPr>
            </w:pPr>
            <w:r>
              <w:rPr>
                <w:rFonts w:ascii="Arial" w:cs="Arial" w:eastAsia="Arial" w:hAnsi="Arial"/>
                <w:sz w:val="12"/>
                <w:szCs w:val="12"/>
                <w:color w:val="auto"/>
              </w:rPr>
              <w:t>3,500,000</w:t>
            </w:r>
          </w:p>
        </w:tc>
        <w:tc>
          <w:tcPr>
            <w:tcW w:w="1120" w:type="dxa"/>
            <w:vAlign w:val="bottom"/>
            <w:gridSpan w:val="2"/>
          </w:tcPr>
          <w:p>
            <w:pPr>
              <w:jc w:val="right"/>
              <w:ind w:right="222"/>
              <w:spacing w:after="0"/>
              <w:rPr>
                <w:sz w:val="20"/>
                <w:szCs w:val="20"/>
                <w:color w:val="auto"/>
              </w:rPr>
            </w:pPr>
            <w:r>
              <w:rPr>
                <w:rFonts w:ascii="Arial" w:cs="Arial" w:eastAsia="Arial" w:hAnsi="Arial"/>
                <w:sz w:val="12"/>
                <w:szCs w:val="12"/>
                <w:color w:val="auto"/>
              </w:rPr>
              <w:t>-</w:t>
            </w: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7"/>
                <w:szCs w:val="17"/>
                <w:color w:val="auto"/>
              </w:rPr>
            </w:pPr>
          </w:p>
        </w:tc>
      </w:tr>
      <w:tr>
        <w:trPr>
          <w:trHeight w:val="189"/>
        </w:trPr>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Arial" w:cs="Arial" w:eastAsia="Arial" w:hAnsi="Arial"/>
                <w:sz w:val="12"/>
                <w:szCs w:val="12"/>
                <w:color w:val="auto"/>
                <w:w w:val="97"/>
              </w:rPr>
              <w:t>2/28/25  (2)</w:t>
            </w:r>
          </w:p>
        </w:tc>
        <w:tc>
          <w:tcPr>
            <w:tcW w:w="700" w:type="dxa"/>
            <w:vAlign w:val="bottom"/>
            <w:gridSpan w:val="2"/>
          </w:tcPr>
          <w:p>
            <w:pPr>
              <w:jc w:val="center"/>
              <w:ind w:left="102"/>
              <w:spacing w:after="0"/>
              <w:rPr>
                <w:sz w:val="20"/>
                <w:szCs w:val="20"/>
                <w:color w:val="auto"/>
              </w:rPr>
            </w:pPr>
            <w:r>
              <w:rPr>
                <w:rFonts w:ascii="Arial" w:cs="Arial" w:eastAsia="Arial" w:hAnsi="Arial"/>
                <w:sz w:val="12"/>
                <w:szCs w:val="12"/>
                <w:color w:val="auto"/>
              </w:rPr>
              <w:t>2/27/25</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6"/>
                <w:szCs w:val="16"/>
                <w:color w:val="auto"/>
              </w:rPr>
            </w:pP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22"/>
              <w:spacing w:after="0"/>
              <w:rPr>
                <w:sz w:val="20"/>
                <w:szCs w:val="20"/>
                <w:color w:val="auto"/>
              </w:rPr>
            </w:pPr>
            <w:r>
              <w:rPr>
                <w:rFonts w:ascii="Arial" w:cs="Arial" w:eastAsia="Arial" w:hAnsi="Arial"/>
                <w:sz w:val="12"/>
                <w:szCs w:val="12"/>
                <w:color w:val="auto"/>
              </w:rPr>
              <w:t>14,986</w:t>
            </w: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29,972</w:t>
            </w:r>
          </w:p>
        </w:tc>
        <w:tc>
          <w:tcPr>
            <w:tcW w:w="840" w:type="dxa"/>
            <w:vAlign w:val="bottom"/>
          </w:tcPr>
          <w:p>
            <w:pPr>
              <w:jc w:val="right"/>
              <w:spacing w:after="0"/>
              <w:rPr>
                <w:sz w:val="20"/>
                <w:szCs w:val="20"/>
                <w:color w:val="auto"/>
              </w:rPr>
            </w:pPr>
            <w:r>
              <w:rPr>
                <w:rFonts w:ascii="Arial" w:cs="Arial" w:eastAsia="Arial" w:hAnsi="Arial"/>
                <w:sz w:val="12"/>
                <w:szCs w:val="12"/>
                <w:color w:val="auto"/>
              </w:rPr>
              <w:t>59,944</w:t>
            </w:r>
          </w:p>
        </w:tc>
        <w:tc>
          <w:tcPr>
            <w:tcW w:w="88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42"/>
              <w:spacing w:after="0"/>
              <w:rPr>
                <w:sz w:val="20"/>
                <w:szCs w:val="20"/>
                <w:color w:val="auto"/>
              </w:rPr>
            </w:pPr>
            <w:r>
              <w:rPr>
                <w:rFonts w:ascii="Arial" w:cs="Arial" w:eastAsia="Arial" w:hAnsi="Arial"/>
                <w:sz w:val="12"/>
                <w:szCs w:val="12"/>
                <w:color w:val="auto"/>
              </w:rPr>
              <w:t>2,811,673</w:t>
            </w:r>
          </w:p>
        </w:tc>
        <w:tc>
          <w:tcPr>
            <w:tcW w:w="40" w:type="dxa"/>
            <w:vAlign w:val="bottom"/>
          </w:tcPr>
          <w:p>
            <w:pPr>
              <w:spacing w:after="0"/>
              <w:rPr>
                <w:sz w:val="16"/>
                <w:szCs w:val="16"/>
                <w:color w:val="auto"/>
              </w:rPr>
            </w:pPr>
          </w:p>
        </w:tc>
      </w:tr>
      <w:tr>
        <w:trPr>
          <w:trHeight w:val="189"/>
        </w:trPr>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Arial" w:cs="Arial" w:eastAsia="Arial" w:hAnsi="Arial"/>
                <w:sz w:val="12"/>
                <w:szCs w:val="12"/>
                <w:color w:val="auto"/>
                <w:w w:val="97"/>
              </w:rPr>
              <w:t>2/28/25  (3)</w:t>
            </w:r>
          </w:p>
        </w:tc>
        <w:tc>
          <w:tcPr>
            <w:tcW w:w="700" w:type="dxa"/>
            <w:vAlign w:val="bottom"/>
            <w:gridSpan w:val="2"/>
          </w:tcPr>
          <w:p>
            <w:pPr>
              <w:jc w:val="center"/>
              <w:ind w:left="102"/>
              <w:spacing w:after="0"/>
              <w:rPr>
                <w:sz w:val="20"/>
                <w:szCs w:val="20"/>
                <w:color w:val="auto"/>
              </w:rPr>
            </w:pPr>
            <w:r>
              <w:rPr>
                <w:rFonts w:ascii="Arial" w:cs="Arial" w:eastAsia="Arial" w:hAnsi="Arial"/>
                <w:sz w:val="12"/>
                <w:szCs w:val="12"/>
                <w:color w:val="auto"/>
              </w:rPr>
              <w:t>2/27/25</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6"/>
                <w:szCs w:val="16"/>
                <w:color w:val="auto"/>
              </w:rPr>
            </w:pP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22"/>
              <w:spacing w:after="0"/>
              <w:rPr>
                <w:sz w:val="20"/>
                <w:szCs w:val="20"/>
                <w:color w:val="auto"/>
              </w:rPr>
            </w:pPr>
            <w:r>
              <w:rPr>
                <w:rFonts w:ascii="Arial" w:cs="Arial" w:eastAsia="Arial" w:hAnsi="Arial"/>
                <w:sz w:val="12"/>
                <w:szCs w:val="12"/>
                <w:color w:val="auto"/>
              </w:rPr>
              <w:t>15,571</w:t>
            </w: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31,142</w:t>
            </w:r>
          </w:p>
        </w:tc>
        <w:tc>
          <w:tcPr>
            <w:tcW w:w="840" w:type="dxa"/>
            <w:vAlign w:val="bottom"/>
          </w:tcPr>
          <w:p>
            <w:pPr>
              <w:jc w:val="right"/>
              <w:spacing w:after="0"/>
              <w:rPr>
                <w:sz w:val="20"/>
                <w:szCs w:val="20"/>
                <w:color w:val="auto"/>
              </w:rPr>
            </w:pPr>
            <w:r>
              <w:rPr>
                <w:rFonts w:ascii="Arial" w:cs="Arial" w:eastAsia="Arial" w:hAnsi="Arial"/>
                <w:sz w:val="12"/>
                <w:szCs w:val="12"/>
                <w:color w:val="auto"/>
              </w:rPr>
              <w:t>93,426</w:t>
            </w:r>
          </w:p>
        </w:tc>
        <w:tc>
          <w:tcPr>
            <w:tcW w:w="88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42"/>
              <w:spacing w:after="0"/>
              <w:rPr>
                <w:sz w:val="20"/>
                <w:szCs w:val="20"/>
                <w:color w:val="auto"/>
              </w:rPr>
            </w:pPr>
            <w:r>
              <w:rPr>
                <w:rFonts w:ascii="Arial" w:cs="Arial" w:eastAsia="Arial" w:hAnsi="Arial"/>
                <w:sz w:val="12"/>
                <w:szCs w:val="12"/>
                <w:color w:val="auto"/>
              </w:rPr>
              <w:t>4,260,226</w:t>
            </w:r>
          </w:p>
        </w:tc>
        <w:tc>
          <w:tcPr>
            <w:tcW w:w="40" w:type="dxa"/>
            <w:vAlign w:val="bottom"/>
          </w:tcPr>
          <w:p>
            <w:pPr>
              <w:spacing w:after="0"/>
              <w:rPr>
                <w:sz w:val="16"/>
                <w:szCs w:val="16"/>
                <w:color w:val="auto"/>
              </w:rPr>
            </w:pPr>
          </w:p>
        </w:tc>
      </w:tr>
      <w:tr>
        <w:trPr>
          <w:trHeight w:val="189"/>
        </w:trPr>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Arial" w:cs="Arial" w:eastAsia="Arial" w:hAnsi="Arial"/>
                <w:sz w:val="12"/>
                <w:szCs w:val="12"/>
                <w:color w:val="auto"/>
                <w:w w:val="97"/>
              </w:rPr>
              <w:t>2/28/25  (4)</w:t>
            </w:r>
          </w:p>
        </w:tc>
        <w:tc>
          <w:tcPr>
            <w:tcW w:w="700" w:type="dxa"/>
            <w:vAlign w:val="bottom"/>
            <w:gridSpan w:val="2"/>
          </w:tcPr>
          <w:p>
            <w:pPr>
              <w:jc w:val="center"/>
              <w:ind w:left="102"/>
              <w:spacing w:after="0"/>
              <w:rPr>
                <w:sz w:val="20"/>
                <w:szCs w:val="20"/>
                <w:color w:val="auto"/>
              </w:rPr>
            </w:pPr>
            <w:r>
              <w:rPr>
                <w:rFonts w:ascii="Arial" w:cs="Arial" w:eastAsia="Arial" w:hAnsi="Arial"/>
                <w:sz w:val="12"/>
                <w:szCs w:val="12"/>
                <w:color w:val="auto"/>
              </w:rPr>
              <w:t>2/27/25</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6"/>
                <w:szCs w:val="16"/>
                <w:color w:val="auto"/>
              </w:rPr>
            </w:pP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22"/>
              <w:spacing w:after="0"/>
              <w:rPr>
                <w:sz w:val="20"/>
                <w:szCs w:val="20"/>
                <w:color w:val="auto"/>
              </w:rPr>
            </w:pPr>
            <w:r>
              <w:rPr>
                <w:rFonts w:ascii="Arial" w:cs="Arial" w:eastAsia="Arial" w:hAnsi="Arial"/>
                <w:sz w:val="12"/>
                <w:szCs w:val="12"/>
                <w:color w:val="auto"/>
              </w:rPr>
              <w:t>9,105</w:t>
            </w: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18,210</w:t>
            </w:r>
          </w:p>
        </w:tc>
        <w:tc>
          <w:tcPr>
            <w:tcW w:w="840" w:type="dxa"/>
            <w:vAlign w:val="bottom"/>
          </w:tcPr>
          <w:p>
            <w:pPr>
              <w:jc w:val="right"/>
              <w:spacing w:after="0"/>
              <w:rPr>
                <w:sz w:val="20"/>
                <w:szCs w:val="20"/>
                <w:color w:val="auto"/>
              </w:rPr>
            </w:pPr>
            <w:r>
              <w:rPr>
                <w:rFonts w:ascii="Arial" w:cs="Arial" w:eastAsia="Arial" w:hAnsi="Arial"/>
                <w:sz w:val="12"/>
                <w:szCs w:val="12"/>
                <w:color w:val="auto"/>
              </w:rPr>
              <w:t>36,420</w:t>
            </w:r>
          </w:p>
        </w:tc>
        <w:tc>
          <w:tcPr>
            <w:tcW w:w="88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42"/>
              <w:spacing w:after="0"/>
              <w:rPr>
                <w:sz w:val="20"/>
                <w:szCs w:val="20"/>
                <w:color w:val="auto"/>
              </w:rPr>
            </w:pPr>
            <w:r>
              <w:rPr>
                <w:rFonts w:ascii="Arial" w:cs="Arial" w:eastAsia="Arial" w:hAnsi="Arial"/>
                <w:sz w:val="12"/>
                <w:szCs w:val="12"/>
                <w:color w:val="auto"/>
              </w:rPr>
              <w:t>1,708,280</w:t>
            </w:r>
          </w:p>
        </w:tc>
        <w:tc>
          <w:tcPr>
            <w:tcW w:w="40" w:type="dxa"/>
            <w:vAlign w:val="bottom"/>
          </w:tcPr>
          <w:p>
            <w:pPr>
              <w:spacing w:after="0"/>
              <w:rPr>
                <w:sz w:val="16"/>
                <w:szCs w:val="16"/>
                <w:color w:val="auto"/>
              </w:rPr>
            </w:pPr>
          </w:p>
        </w:tc>
      </w:tr>
      <w:tr>
        <w:trPr>
          <w:trHeight w:val="172"/>
        </w:trPr>
        <w:tc>
          <w:tcPr>
            <w:tcW w:w="116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720" w:type="dxa"/>
            <w:vAlign w:val="bottom"/>
            <w:tcBorders>
              <w:bottom w:val="single" w:sz="8" w:color="808080"/>
            </w:tcBorders>
          </w:tcPr>
          <w:p>
            <w:pPr>
              <w:jc w:val="center"/>
              <w:spacing w:after="0"/>
              <w:rPr>
                <w:sz w:val="20"/>
                <w:szCs w:val="20"/>
                <w:color w:val="auto"/>
              </w:rPr>
            </w:pPr>
            <w:r>
              <w:rPr>
                <w:rFonts w:ascii="Arial" w:cs="Arial" w:eastAsia="Arial" w:hAnsi="Arial"/>
                <w:sz w:val="12"/>
                <w:szCs w:val="12"/>
                <w:color w:val="auto"/>
                <w:w w:val="97"/>
              </w:rPr>
              <w:t>2/28/25  (5)</w:t>
            </w:r>
          </w:p>
        </w:tc>
        <w:tc>
          <w:tcPr>
            <w:tcW w:w="700" w:type="dxa"/>
            <w:vAlign w:val="bottom"/>
            <w:tcBorders>
              <w:bottom w:val="single" w:sz="8" w:color="808080"/>
            </w:tcBorders>
            <w:gridSpan w:val="2"/>
          </w:tcPr>
          <w:p>
            <w:pPr>
              <w:jc w:val="center"/>
              <w:ind w:left="102"/>
              <w:spacing w:after="0"/>
              <w:rPr>
                <w:sz w:val="20"/>
                <w:szCs w:val="20"/>
                <w:color w:val="auto"/>
              </w:rPr>
            </w:pPr>
            <w:r>
              <w:rPr>
                <w:rFonts w:ascii="Arial" w:cs="Arial" w:eastAsia="Arial" w:hAnsi="Arial"/>
                <w:sz w:val="12"/>
                <w:szCs w:val="12"/>
                <w:color w:val="auto"/>
              </w:rPr>
              <w:t>2/27/25</w:t>
            </w:r>
          </w:p>
        </w:tc>
        <w:tc>
          <w:tcPr>
            <w:tcW w:w="880" w:type="dxa"/>
            <w:vAlign w:val="bottom"/>
            <w:tcBorders>
              <w:bottom w:val="single" w:sz="8" w:color="808080"/>
            </w:tcBorders>
            <w:gridSpan w:val="2"/>
          </w:tcPr>
          <w:p>
            <w:pPr>
              <w:jc w:val="right"/>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808080"/>
            </w:tcBorders>
          </w:tcPr>
          <w:p>
            <w:pPr>
              <w:spacing w:after="0"/>
              <w:rPr>
                <w:sz w:val="14"/>
                <w:szCs w:val="14"/>
                <w:color w:val="auto"/>
              </w:rPr>
            </w:pPr>
          </w:p>
        </w:tc>
        <w:tc>
          <w:tcPr>
            <w:tcW w:w="640" w:type="dxa"/>
            <w:vAlign w:val="bottom"/>
            <w:tcBorders>
              <w:bottom w:val="single" w:sz="8" w:color="808080"/>
            </w:tcBorders>
          </w:tcPr>
          <w:p>
            <w:pPr>
              <w:jc w:val="right"/>
              <w:ind w:right="2"/>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808080"/>
            </w:tcBorders>
          </w:tcPr>
          <w:p>
            <w:pPr>
              <w:jc w:val="right"/>
              <w:spacing w:after="0"/>
              <w:rPr>
                <w:sz w:val="20"/>
                <w:szCs w:val="20"/>
                <w:color w:val="auto"/>
              </w:rPr>
            </w:pPr>
            <w:r>
              <w:rPr>
                <w:rFonts w:ascii="Arial" w:cs="Arial" w:eastAsia="Arial" w:hAnsi="Arial"/>
                <w:sz w:val="12"/>
                <w:szCs w:val="12"/>
                <w:color w:val="auto"/>
              </w:rPr>
              <w:t>-</w:t>
            </w:r>
          </w:p>
        </w:tc>
        <w:tc>
          <w:tcPr>
            <w:tcW w:w="1120" w:type="dxa"/>
            <w:vAlign w:val="bottom"/>
            <w:tcBorders>
              <w:bottom w:val="single" w:sz="8" w:color="808080"/>
            </w:tcBorders>
            <w:gridSpan w:val="2"/>
          </w:tcPr>
          <w:p>
            <w:pPr>
              <w:jc w:val="right"/>
              <w:ind w:right="222"/>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808080"/>
            </w:tcBorders>
          </w:tcPr>
          <w:p>
            <w:pPr>
              <w:jc w:val="right"/>
              <w:ind w:right="2"/>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808080"/>
            </w:tcBorders>
          </w:tcPr>
          <w:p>
            <w:pPr>
              <w:jc w:val="right"/>
              <w:spacing w:after="0"/>
              <w:rPr>
                <w:sz w:val="20"/>
                <w:szCs w:val="20"/>
                <w:color w:val="auto"/>
              </w:rPr>
            </w:pPr>
            <w:r>
              <w:rPr>
                <w:rFonts w:ascii="Arial" w:cs="Arial" w:eastAsia="Arial" w:hAnsi="Arial"/>
                <w:sz w:val="12"/>
                <w:szCs w:val="12"/>
                <w:color w:val="auto"/>
              </w:rPr>
              <w:t>-</w:t>
            </w:r>
          </w:p>
        </w:tc>
        <w:tc>
          <w:tcPr>
            <w:tcW w:w="880" w:type="dxa"/>
            <w:vAlign w:val="bottom"/>
            <w:tcBorders>
              <w:bottom w:val="single" w:sz="8" w:color="808080"/>
            </w:tcBorders>
          </w:tcPr>
          <w:p>
            <w:pPr>
              <w:jc w:val="right"/>
              <w:ind w:right="2"/>
              <w:spacing w:after="0"/>
              <w:rPr>
                <w:sz w:val="20"/>
                <w:szCs w:val="20"/>
                <w:color w:val="auto"/>
              </w:rPr>
            </w:pPr>
            <w:r>
              <w:rPr>
                <w:rFonts w:ascii="Arial" w:cs="Arial" w:eastAsia="Arial" w:hAnsi="Arial"/>
                <w:sz w:val="12"/>
                <w:szCs w:val="12"/>
                <w:color w:val="auto"/>
              </w:rPr>
              <w:t>54,631</w:t>
            </w:r>
          </w:p>
        </w:tc>
        <w:tc>
          <w:tcPr>
            <w:tcW w:w="900" w:type="dxa"/>
            <w:vAlign w:val="bottom"/>
            <w:tcBorders>
              <w:bottom w:val="single" w:sz="8" w:color="808080"/>
            </w:tcBorders>
          </w:tcPr>
          <w:p>
            <w:pPr>
              <w:jc w:val="right"/>
              <w:ind w:right="42"/>
              <w:spacing w:after="0"/>
              <w:rPr>
                <w:sz w:val="20"/>
                <w:szCs w:val="20"/>
                <w:color w:val="auto"/>
              </w:rPr>
            </w:pPr>
            <w:r>
              <w:rPr>
                <w:rFonts w:ascii="Arial" w:cs="Arial" w:eastAsia="Arial" w:hAnsi="Arial"/>
                <w:sz w:val="12"/>
                <w:szCs w:val="12"/>
                <w:color w:val="auto"/>
              </w:rPr>
              <w:t>5,124,934</w:t>
            </w:r>
          </w:p>
        </w:tc>
        <w:tc>
          <w:tcPr>
            <w:tcW w:w="40" w:type="dxa"/>
            <w:vAlign w:val="bottom"/>
          </w:tcPr>
          <w:p>
            <w:pPr>
              <w:spacing w:after="0"/>
              <w:rPr>
                <w:sz w:val="14"/>
                <w:szCs w:val="14"/>
                <w:color w:val="auto"/>
              </w:rPr>
            </w:pPr>
          </w:p>
        </w:tc>
      </w:tr>
      <w:tr>
        <w:trPr>
          <w:trHeight w:val="200"/>
        </w:trPr>
        <w:tc>
          <w:tcPr>
            <w:tcW w:w="1320" w:type="dxa"/>
            <w:vAlign w:val="bottom"/>
            <w:gridSpan w:val="2"/>
          </w:tcPr>
          <w:p>
            <w:pPr>
              <w:ind w:left="120"/>
              <w:spacing w:after="0"/>
              <w:rPr>
                <w:sz w:val="20"/>
                <w:szCs w:val="20"/>
                <w:color w:val="auto"/>
              </w:rPr>
            </w:pPr>
            <w:r>
              <w:rPr>
                <w:rFonts w:ascii="Arial" w:cs="Arial" w:eastAsia="Arial" w:hAnsi="Arial"/>
                <w:sz w:val="12"/>
                <w:szCs w:val="12"/>
                <w:b w:val="1"/>
                <w:bCs w:val="1"/>
                <w:color w:val="auto"/>
              </w:rPr>
              <w:t>Torbjorn Enqvist</w:t>
            </w:r>
          </w:p>
        </w:tc>
        <w:tc>
          <w:tcPr>
            <w:tcW w:w="720" w:type="dxa"/>
            <w:vAlign w:val="bottom"/>
          </w:tcPr>
          <w:p>
            <w:pPr>
              <w:jc w:val="center"/>
              <w:spacing w:after="0"/>
              <w:rPr>
                <w:sz w:val="20"/>
                <w:szCs w:val="20"/>
                <w:color w:val="auto"/>
              </w:rPr>
            </w:pPr>
            <w:r>
              <w:rPr>
                <w:rFonts w:ascii="Arial" w:cs="Arial" w:eastAsia="Arial" w:hAnsi="Arial"/>
                <w:sz w:val="12"/>
                <w:szCs w:val="12"/>
                <w:color w:val="auto"/>
                <w:w w:val="97"/>
              </w:rPr>
              <w:t>2/28/25  (1)</w:t>
            </w:r>
          </w:p>
        </w:tc>
        <w:tc>
          <w:tcPr>
            <w:tcW w:w="700" w:type="dxa"/>
            <w:vAlign w:val="bottom"/>
            <w:gridSpan w:val="2"/>
          </w:tcPr>
          <w:p>
            <w:pPr>
              <w:jc w:val="center"/>
              <w:ind w:left="102"/>
              <w:spacing w:after="0"/>
              <w:rPr>
                <w:sz w:val="20"/>
                <w:szCs w:val="20"/>
                <w:color w:val="auto"/>
              </w:rPr>
            </w:pPr>
            <w:r>
              <w:rPr>
                <w:rFonts w:ascii="Arial" w:cs="Arial" w:eastAsia="Arial" w:hAnsi="Arial"/>
                <w:sz w:val="12"/>
                <w:szCs w:val="12"/>
                <w:color w:val="auto"/>
              </w:rPr>
              <w:t>2/27/25</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599,726</w:t>
            </w:r>
          </w:p>
        </w:tc>
        <w:tc>
          <w:tcPr>
            <w:tcW w:w="240" w:type="dxa"/>
            <w:vAlign w:val="bottom"/>
          </w:tcPr>
          <w:p>
            <w:pPr>
              <w:spacing w:after="0"/>
              <w:rPr>
                <w:sz w:val="17"/>
                <w:szCs w:val="17"/>
                <w:color w:val="auto"/>
              </w:rPr>
            </w:pP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1,199,452</w:t>
            </w:r>
          </w:p>
        </w:tc>
        <w:tc>
          <w:tcPr>
            <w:tcW w:w="840" w:type="dxa"/>
            <w:vAlign w:val="bottom"/>
          </w:tcPr>
          <w:p>
            <w:pPr>
              <w:jc w:val="right"/>
              <w:spacing w:after="0"/>
              <w:rPr>
                <w:sz w:val="20"/>
                <w:szCs w:val="20"/>
                <w:color w:val="auto"/>
              </w:rPr>
            </w:pPr>
            <w:r>
              <w:rPr>
                <w:rFonts w:ascii="Arial" w:cs="Arial" w:eastAsia="Arial" w:hAnsi="Arial"/>
                <w:sz w:val="12"/>
                <w:szCs w:val="12"/>
                <w:color w:val="auto"/>
              </w:rPr>
              <w:t>2,398,904</w:t>
            </w:r>
          </w:p>
        </w:tc>
        <w:tc>
          <w:tcPr>
            <w:tcW w:w="1120" w:type="dxa"/>
            <w:vAlign w:val="bottom"/>
            <w:gridSpan w:val="2"/>
          </w:tcPr>
          <w:p>
            <w:pPr>
              <w:jc w:val="right"/>
              <w:ind w:right="222"/>
              <w:spacing w:after="0"/>
              <w:rPr>
                <w:sz w:val="20"/>
                <w:szCs w:val="20"/>
                <w:color w:val="auto"/>
              </w:rPr>
            </w:pPr>
            <w:r>
              <w:rPr>
                <w:rFonts w:ascii="Arial" w:cs="Arial" w:eastAsia="Arial" w:hAnsi="Arial"/>
                <w:sz w:val="12"/>
                <w:szCs w:val="12"/>
                <w:color w:val="auto"/>
              </w:rPr>
              <w:t>-</w:t>
            </w: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7"/>
                <w:szCs w:val="17"/>
                <w:color w:val="auto"/>
              </w:rPr>
            </w:pPr>
          </w:p>
        </w:tc>
      </w:tr>
      <w:tr>
        <w:trPr>
          <w:trHeight w:val="189"/>
        </w:trPr>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Arial" w:cs="Arial" w:eastAsia="Arial" w:hAnsi="Arial"/>
                <w:sz w:val="12"/>
                <w:szCs w:val="12"/>
                <w:color w:val="auto"/>
                <w:w w:val="97"/>
              </w:rPr>
              <w:t>2/28/25  (2)</w:t>
            </w:r>
          </w:p>
        </w:tc>
        <w:tc>
          <w:tcPr>
            <w:tcW w:w="700" w:type="dxa"/>
            <w:vAlign w:val="bottom"/>
            <w:gridSpan w:val="2"/>
          </w:tcPr>
          <w:p>
            <w:pPr>
              <w:jc w:val="center"/>
              <w:ind w:left="102"/>
              <w:spacing w:after="0"/>
              <w:rPr>
                <w:sz w:val="20"/>
                <w:szCs w:val="20"/>
                <w:color w:val="auto"/>
              </w:rPr>
            </w:pPr>
            <w:r>
              <w:rPr>
                <w:rFonts w:ascii="Arial" w:cs="Arial" w:eastAsia="Arial" w:hAnsi="Arial"/>
                <w:sz w:val="12"/>
                <w:szCs w:val="12"/>
                <w:color w:val="auto"/>
              </w:rPr>
              <w:t>2/27/25</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6"/>
                <w:szCs w:val="16"/>
                <w:color w:val="auto"/>
              </w:rPr>
            </w:pP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22"/>
              <w:spacing w:after="0"/>
              <w:rPr>
                <w:sz w:val="20"/>
                <w:szCs w:val="20"/>
                <w:color w:val="auto"/>
              </w:rPr>
            </w:pPr>
            <w:r>
              <w:rPr>
                <w:rFonts w:ascii="Arial" w:cs="Arial" w:eastAsia="Arial" w:hAnsi="Arial"/>
                <w:sz w:val="12"/>
                <w:szCs w:val="12"/>
                <w:color w:val="auto"/>
              </w:rPr>
              <w:t>7,053</w:t>
            </w: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14,105</w:t>
            </w:r>
          </w:p>
        </w:tc>
        <w:tc>
          <w:tcPr>
            <w:tcW w:w="840" w:type="dxa"/>
            <w:vAlign w:val="bottom"/>
          </w:tcPr>
          <w:p>
            <w:pPr>
              <w:jc w:val="right"/>
              <w:spacing w:after="0"/>
              <w:rPr>
                <w:sz w:val="20"/>
                <w:szCs w:val="20"/>
                <w:color w:val="auto"/>
              </w:rPr>
            </w:pPr>
            <w:r>
              <w:rPr>
                <w:rFonts w:ascii="Arial" w:cs="Arial" w:eastAsia="Arial" w:hAnsi="Arial"/>
                <w:sz w:val="12"/>
                <w:szCs w:val="12"/>
                <w:color w:val="auto"/>
              </w:rPr>
              <w:t>28,210</w:t>
            </w:r>
          </w:p>
        </w:tc>
        <w:tc>
          <w:tcPr>
            <w:tcW w:w="88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42"/>
              <w:spacing w:after="0"/>
              <w:rPr>
                <w:sz w:val="20"/>
                <w:szCs w:val="20"/>
                <w:color w:val="auto"/>
              </w:rPr>
            </w:pPr>
            <w:r>
              <w:rPr>
                <w:rFonts w:ascii="Arial" w:cs="Arial" w:eastAsia="Arial" w:hAnsi="Arial"/>
                <w:sz w:val="12"/>
                <w:szCs w:val="12"/>
                <w:color w:val="auto"/>
              </w:rPr>
              <w:t>1,323,190</w:t>
            </w:r>
          </w:p>
        </w:tc>
        <w:tc>
          <w:tcPr>
            <w:tcW w:w="40" w:type="dxa"/>
            <w:vAlign w:val="bottom"/>
          </w:tcPr>
          <w:p>
            <w:pPr>
              <w:spacing w:after="0"/>
              <w:rPr>
                <w:sz w:val="16"/>
                <w:szCs w:val="16"/>
                <w:color w:val="auto"/>
              </w:rPr>
            </w:pPr>
          </w:p>
        </w:tc>
      </w:tr>
      <w:tr>
        <w:trPr>
          <w:trHeight w:val="189"/>
        </w:trPr>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Arial" w:cs="Arial" w:eastAsia="Arial" w:hAnsi="Arial"/>
                <w:sz w:val="12"/>
                <w:szCs w:val="12"/>
                <w:color w:val="auto"/>
                <w:w w:val="97"/>
              </w:rPr>
              <w:t>2/28/25  (3)</w:t>
            </w:r>
          </w:p>
        </w:tc>
        <w:tc>
          <w:tcPr>
            <w:tcW w:w="700" w:type="dxa"/>
            <w:vAlign w:val="bottom"/>
            <w:gridSpan w:val="2"/>
          </w:tcPr>
          <w:p>
            <w:pPr>
              <w:jc w:val="center"/>
              <w:ind w:left="102"/>
              <w:spacing w:after="0"/>
              <w:rPr>
                <w:sz w:val="20"/>
                <w:szCs w:val="20"/>
                <w:color w:val="auto"/>
              </w:rPr>
            </w:pPr>
            <w:r>
              <w:rPr>
                <w:rFonts w:ascii="Arial" w:cs="Arial" w:eastAsia="Arial" w:hAnsi="Arial"/>
                <w:sz w:val="12"/>
                <w:szCs w:val="12"/>
                <w:color w:val="auto"/>
              </w:rPr>
              <w:t>2/27/25</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6"/>
                <w:szCs w:val="16"/>
                <w:color w:val="auto"/>
              </w:rPr>
            </w:pP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22"/>
              <w:spacing w:after="0"/>
              <w:rPr>
                <w:sz w:val="20"/>
                <w:szCs w:val="20"/>
                <w:color w:val="auto"/>
              </w:rPr>
            </w:pPr>
            <w:r>
              <w:rPr>
                <w:rFonts w:ascii="Arial" w:cs="Arial" w:eastAsia="Arial" w:hAnsi="Arial"/>
                <w:sz w:val="12"/>
                <w:szCs w:val="12"/>
                <w:color w:val="auto"/>
              </w:rPr>
              <w:t>7,255</w:t>
            </w: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14,509</w:t>
            </w:r>
          </w:p>
        </w:tc>
        <w:tc>
          <w:tcPr>
            <w:tcW w:w="840" w:type="dxa"/>
            <w:vAlign w:val="bottom"/>
          </w:tcPr>
          <w:p>
            <w:pPr>
              <w:jc w:val="right"/>
              <w:spacing w:after="0"/>
              <w:rPr>
                <w:sz w:val="20"/>
                <w:szCs w:val="20"/>
                <w:color w:val="auto"/>
              </w:rPr>
            </w:pPr>
            <w:r>
              <w:rPr>
                <w:rFonts w:ascii="Arial" w:cs="Arial" w:eastAsia="Arial" w:hAnsi="Arial"/>
                <w:sz w:val="12"/>
                <w:szCs w:val="12"/>
                <w:color w:val="auto"/>
              </w:rPr>
              <w:t>43,527</w:t>
            </w:r>
          </w:p>
        </w:tc>
        <w:tc>
          <w:tcPr>
            <w:tcW w:w="88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42"/>
              <w:spacing w:after="0"/>
              <w:rPr>
                <w:sz w:val="20"/>
                <w:szCs w:val="20"/>
                <w:color w:val="auto"/>
              </w:rPr>
            </w:pPr>
            <w:r>
              <w:rPr>
                <w:rFonts w:ascii="Arial" w:cs="Arial" w:eastAsia="Arial" w:hAnsi="Arial"/>
                <w:sz w:val="12"/>
                <w:szCs w:val="12"/>
                <w:color w:val="auto"/>
              </w:rPr>
              <w:t>1,984,831</w:t>
            </w:r>
          </w:p>
        </w:tc>
        <w:tc>
          <w:tcPr>
            <w:tcW w:w="40" w:type="dxa"/>
            <w:vAlign w:val="bottom"/>
          </w:tcPr>
          <w:p>
            <w:pPr>
              <w:spacing w:after="0"/>
              <w:rPr>
                <w:sz w:val="16"/>
                <w:szCs w:val="16"/>
                <w:color w:val="auto"/>
              </w:rPr>
            </w:pPr>
          </w:p>
        </w:tc>
      </w:tr>
      <w:tr>
        <w:trPr>
          <w:trHeight w:val="189"/>
        </w:trPr>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Arial" w:cs="Arial" w:eastAsia="Arial" w:hAnsi="Arial"/>
                <w:sz w:val="12"/>
                <w:szCs w:val="12"/>
                <w:color w:val="auto"/>
                <w:w w:val="97"/>
              </w:rPr>
              <w:t>2/28/25  (4)</w:t>
            </w:r>
          </w:p>
        </w:tc>
        <w:tc>
          <w:tcPr>
            <w:tcW w:w="700" w:type="dxa"/>
            <w:vAlign w:val="bottom"/>
            <w:gridSpan w:val="2"/>
          </w:tcPr>
          <w:p>
            <w:pPr>
              <w:jc w:val="center"/>
              <w:ind w:left="102"/>
              <w:spacing w:after="0"/>
              <w:rPr>
                <w:sz w:val="20"/>
                <w:szCs w:val="20"/>
                <w:color w:val="auto"/>
              </w:rPr>
            </w:pPr>
            <w:r>
              <w:rPr>
                <w:rFonts w:ascii="Arial" w:cs="Arial" w:eastAsia="Arial" w:hAnsi="Arial"/>
                <w:sz w:val="12"/>
                <w:szCs w:val="12"/>
                <w:color w:val="auto"/>
              </w:rPr>
              <w:t>2/27/25</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6"/>
                <w:szCs w:val="16"/>
                <w:color w:val="auto"/>
              </w:rPr>
            </w:pP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22"/>
              <w:spacing w:after="0"/>
              <w:rPr>
                <w:sz w:val="20"/>
                <w:szCs w:val="20"/>
                <w:color w:val="auto"/>
              </w:rPr>
            </w:pPr>
            <w:r>
              <w:rPr>
                <w:rFonts w:ascii="Arial" w:cs="Arial" w:eastAsia="Arial" w:hAnsi="Arial"/>
                <w:sz w:val="12"/>
                <w:szCs w:val="12"/>
                <w:color w:val="auto"/>
              </w:rPr>
              <w:t>4,143</w:t>
            </w: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8,286</w:t>
            </w:r>
          </w:p>
        </w:tc>
        <w:tc>
          <w:tcPr>
            <w:tcW w:w="840" w:type="dxa"/>
            <w:vAlign w:val="bottom"/>
          </w:tcPr>
          <w:p>
            <w:pPr>
              <w:jc w:val="right"/>
              <w:spacing w:after="0"/>
              <w:rPr>
                <w:sz w:val="20"/>
                <w:szCs w:val="20"/>
                <w:color w:val="auto"/>
              </w:rPr>
            </w:pPr>
            <w:r>
              <w:rPr>
                <w:rFonts w:ascii="Arial" w:cs="Arial" w:eastAsia="Arial" w:hAnsi="Arial"/>
                <w:sz w:val="12"/>
                <w:szCs w:val="12"/>
                <w:color w:val="auto"/>
              </w:rPr>
              <w:t>16,572</w:t>
            </w:r>
          </w:p>
        </w:tc>
        <w:tc>
          <w:tcPr>
            <w:tcW w:w="88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42"/>
              <w:spacing w:after="0"/>
              <w:rPr>
                <w:sz w:val="20"/>
                <w:szCs w:val="20"/>
                <w:color w:val="auto"/>
              </w:rPr>
            </w:pPr>
            <w:r>
              <w:rPr>
                <w:rFonts w:ascii="Arial" w:cs="Arial" w:eastAsia="Arial" w:hAnsi="Arial"/>
                <w:sz w:val="12"/>
                <w:szCs w:val="12"/>
                <w:color w:val="auto"/>
              </w:rPr>
              <w:t>777,310</w:t>
            </w:r>
          </w:p>
        </w:tc>
        <w:tc>
          <w:tcPr>
            <w:tcW w:w="40" w:type="dxa"/>
            <w:vAlign w:val="bottom"/>
          </w:tcPr>
          <w:p>
            <w:pPr>
              <w:spacing w:after="0"/>
              <w:rPr>
                <w:sz w:val="16"/>
                <w:szCs w:val="16"/>
                <w:color w:val="auto"/>
              </w:rPr>
            </w:pPr>
          </w:p>
        </w:tc>
      </w:tr>
      <w:tr>
        <w:trPr>
          <w:trHeight w:val="172"/>
        </w:trPr>
        <w:tc>
          <w:tcPr>
            <w:tcW w:w="116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720" w:type="dxa"/>
            <w:vAlign w:val="bottom"/>
            <w:tcBorders>
              <w:bottom w:val="single" w:sz="8" w:color="808080"/>
            </w:tcBorders>
          </w:tcPr>
          <w:p>
            <w:pPr>
              <w:jc w:val="center"/>
              <w:spacing w:after="0"/>
              <w:rPr>
                <w:sz w:val="20"/>
                <w:szCs w:val="20"/>
                <w:color w:val="auto"/>
              </w:rPr>
            </w:pPr>
            <w:r>
              <w:rPr>
                <w:rFonts w:ascii="Arial" w:cs="Arial" w:eastAsia="Arial" w:hAnsi="Arial"/>
                <w:sz w:val="12"/>
                <w:szCs w:val="12"/>
                <w:color w:val="auto"/>
                <w:w w:val="97"/>
              </w:rPr>
              <w:t>2/28/25  (5)</w:t>
            </w:r>
          </w:p>
        </w:tc>
        <w:tc>
          <w:tcPr>
            <w:tcW w:w="700" w:type="dxa"/>
            <w:vAlign w:val="bottom"/>
            <w:tcBorders>
              <w:bottom w:val="single" w:sz="8" w:color="808080"/>
            </w:tcBorders>
            <w:gridSpan w:val="2"/>
          </w:tcPr>
          <w:p>
            <w:pPr>
              <w:jc w:val="center"/>
              <w:ind w:left="102"/>
              <w:spacing w:after="0"/>
              <w:rPr>
                <w:sz w:val="20"/>
                <w:szCs w:val="20"/>
                <w:color w:val="auto"/>
              </w:rPr>
            </w:pPr>
            <w:r>
              <w:rPr>
                <w:rFonts w:ascii="Arial" w:cs="Arial" w:eastAsia="Arial" w:hAnsi="Arial"/>
                <w:sz w:val="12"/>
                <w:szCs w:val="12"/>
                <w:color w:val="auto"/>
              </w:rPr>
              <w:t>2/27/25</w:t>
            </w:r>
          </w:p>
        </w:tc>
        <w:tc>
          <w:tcPr>
            <w:tcW w:w="880" w:type="dxa"/>
            <w:vAlign w:val="bottom"/>
            <w:tcBorders>
              <w:bottom w:val="single" w:sz="8" w:color="808080"/>
            </w:tcBorders>
            <w:gridSpan w:val="2"/>
          </w:tcPr>
          <w:p>
            <w:pPr>
              <w:jc w:val="right"/>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808080"/>
            </w:tcBorders>
          </w:tcPr>
          <w:p>
            <w:pPr>
              <w:spacing w:after="0"/>
              <w:rPr>
                <w:sz w:val="14"/>
                <w:szCs w:val="14"/>
                <w:color w:val="auto"/>
              </w:rPr>
            </w:pPr>
          </w:p>
        </w:tc>
        <w:tc>
          <w:tcPr>
            <w:tcW w:w="640" w:type="dxa"/>
            <w:vAlign w:val="bottom"/>
            <w:tcBorders>
              <w:bottom w:val="single" w:sz="8" w:color="808080"/>
            </w:tcBorders>
          </w:tcPr>
          <w:p>
            <w:pPr>
              <w:jc w:val="right"/>
              <w:ind w:right="2"/>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808080"/>
            </w:tcBorders>
          </w:tcPr>
          <w:p>
            <w:pPr>
              <w:jc w:val="right"/>
              <w:spacing w:after="0"/>
              <w:rPr>
                <w:sz w:val="20"/>
                <w:szCs w:val="20"/>
                <w:color w:val="auto"/>
              </w:rPr>
            </w:pPr>
            <w:r>
              <w:rPr>
                <w:rFonts w:ascii="Arial" w:cs="Arial" w:eastAsia="Arial" w:hAnsi="Arial"/>
                <w:sz w:val="12"/>
                <w:szCs w:val="12"/>
                <w:color w:val="auto"/>
              </w:rPr>
              <w:t>-</w:t>
            </w:r>
          </w:p>
        </w:tc>
        <w:tc>
          <w:tcPr>
            <w:tcW w:w="1120" w:type="dxa"/>
            <w:vAlign w:val="bottom"/>
            <w:tcBorders>
              <w:bottom w:val="single" w:sz="8" w:color="808080"/>
            </w:tcBorders>
            <w:gridSpan w:val="2"/>
          </w:tcPr>
          <w:p>
            <w:pPr>
              <w:jc w:val="right"/>
              <w:ind w:right="222"/>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808080"/>
            </w:tcBorders>
          </w:tcPr>
          <w:p>
            <w:pPr>
              <w:jc w:val="right"/>
              <w:ind w:right="2"/>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808080"/>
            </w:tcBorders>
          </w:tcPr>
          <w:p>
            <w:pPr>
              <w:jc w:val="right"/>
              <w:spacing w:after="0"/>
              <w:rPr>
                <w:sz w:val="20"/>
                <w:szCs w:val="20"/>
                <w:color w:val="auto"/>
              </w:rPr>
            </w:pPr>
            <w:r>
              <w:rPr>
                <w:rFonts w:ascii="Arial" w:cs="Arial" w:eastAsia="Arial" w:hAnsi="Arial"/>
                <w:sz w:val="12"/>
                <w:szCs w:val="12"/>
                <w:color w:val="auto"/>
              </w:rPr>
              <w:t>-</w:t>
            </w:r>
          </w:p>
        </w:tc>
        <w:tc>
          <w:tcPr>
            <w:tcW w:w="880" w:type="dxa"/>
            <w:vAlign w:val="bottom"/>
            <w:tcBorders>
              <w:bottom w:val="single" w:sz="8" w:color="808080"/>
            </w:tcBorders>
          </w:tcPr>
          <w:p>
            <w:pPr>
              <w:jc w:val="right"/>
              <w:ind w:right="2"/>
              <w:spacing w:after="0"/>
              <w:rPr>
                <w:sz w:val="20"/>
                <w:szCs w:val="20"/>
                <w:color w:val="auto"/>
              </w:rPr>
            </w:pPr>
            <w:r>
              <w:rPr>
                <w:rFonts w:ascii="Arial" w:cs="Arial" w:eastAsia="Arial" w:hAnsi="Arial"/>
                <w:sz w:val="12"/>
                <w:szCs w:val="12"/>
                <w:color w:val="auto"/>
              </w:rPr>
              <w:t>24,858</w:t>
            </w:r>
          </w:p>
        </w:tc>
        <w:tc>
          <w:tcPr>
            <w:tcW w:w="900" w:type="dxa"/>
            <w:vAlign w:val="bottom"/>
            <w:tcBorders>
              <w:bottom w:val="single" w:sz="8" w:color="808080"/>
            </w:tcBorders>
          </w:tcPr>
          <w:p>
            <w:pPr>
              <w:jc w:val="right"/>
              <w:ind w:right="42"/>
              <w:spacing w:after="0"/>
              <w:rPr>
                <w:sz w:val="20"/>
                <w:szCs w:val="20"/>
                <w:color w:val="auto"/>
              </w:rPr>
            </w:pPr>
            <w:r>
              <w:rPr>
                <w:rFonts w:ascii="Arial" w:cs="Arial" w:eastAsia="Arial" w:hAnsi="Arial"/>
                <w:sz w:val="12"/>
                <w:szCs w:val="12"/>
                <w:color w:val="auto"/>
              </w:rPr>
              <w:t>2,331,929</w:t>
            </w:r>
          </w:p>
        </w:tc>
        <w:tc>
          <w:tcPr>
            <w:tcW w:w="40" w:type="dxa"/>
            <w:vAlign w:val="bottom"/>
          </w:tcPr>
          <w:p>
            <w:pPr>
              <w:spacing w:after="0"/>
              <w:rPr>
                <w:sz w:val="14"/>
                <w:szCs w:val="14"/>
                <w:color w:val="auto"/>
              </w:rPr>
            </w:pPr>
          </w:p>
        </w:tc>
      </w:tr>
      <w:tr>
        <w:trPr>
          <w:trHeight w:val="200"/>
        </w:trPr>
        <w:tc>
          <w:tcPr>
            <w:tcW w:w="1320" w:type="dxa"/>
            <w:vAlign w:val="bottom"/>
            <w:gridSpan w:val="2"/>
          </w:tcPr>
          <w:p>
            <w:pPr>
              <w:ind w:left="120"/>
              <w:spacing w:after="0"/>
              <w:rPr>
                <w:sz w:val="20"/>
                <w:szCs w:val="20"/>
                <w:color w:val="auto"/>
              </w:rPr>
            </w:pPr>
            <w:r>
              <w:rPr>
                <w:rFonts w:ascii="Arial" w:cs="Arial" w:eastAsia="Arial" w:hAnsi="Arial"/>
                <w:sz w:val="12"/>
                <w:szCs w:val="12"/>
                <w:b w:val="1"/>
                <w:bCs w:val="1"/>
                <w:color w:val="auto"/>
              </w:rPr>
              <w:t>Andrew Nocella</w:t>
            </w:r>
          </w:p>
        </w:tc>
        <w:tc>
          <w:tcPr>
            <w:tcW w:w="720" w:type="dxa"/>
            <w:vAlign w:val="bottom"/>
          </w:tcPr>
          <w:p>
            <w:pPr>
              <w:jc w:val="center"/>
              <w:spacing w:after="0"/>
              <w:rPr>
                <w:sz w:val="20"/>
                <w:szCs w:val="20"/>
                <w:color w:val="auto"/>
              </w:rPr>
            </w:pPr>
            <w:r>
              <w:rPr>
                <w:rFonts w:ascii="Arial" w:cs="Arial" w:eastAsia="Arial" w:hAnsi="Arial"/>
                <w:sz w:val="12"/>
                <w:szCs w:val="12"/>
                <w:color w:val="auto"/>
                <w:w w:val="97"/>
              </w:rPr>
              <w:t>2/28/25  (1)</w:t>
            </w:r>
          </w:p>
        </w:tc>
        <w:tc>
          <w:tcPr>
            <w:tcW w:w="700" w:type="dxa"/>
            <w:vAlign w:val="bottom"/>
            <w:gridSpan w:val="2"/>
          </w:tcPr>
          <w:p>
            <w:pPr>
              <w:jc w:val="center"/>
              <w:ind w:left="102"/>
              <w:spacing w:after="0"/>
              <w:rPr>
                <w:sz w:val="20"/>
                <w:szCs w:val="20"/>
                <w:color w:val="auto"/>
              </w:rPr>
            </w:pPr>
            <w:r>
              <w:rPr>
                <w:rFonts w:ascii="Arial" w:cs="Arial" w:eastAsia="Arial" w:hAnsi="Arial"/>
                <w:sz w:val="12"/>
                <w:szCs w:val="12"/>
                <w:color w:val="auto"/>
              </w:rPr>
              <w:t>2/27/25</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500,329</w:t>
            </w:r>
          </w:p>
        </w:tc>
        <w:tc>
          <w:tcPr>
            <w:tcW w:w="240" w:type="dxa"/>
            <w:vAlign w:val="bottom"/>
          </w:tcPr>
          <w:p>
            <w:pPr>
              <w:spacing w:after="0"/>
              <w:rPr>
                <w:sz w:val="17"/>
                <w:szCs w:val="17"/>
                <w:color w:val="auto"/>
              </w:rPr>
            </w:pP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1,000,657</w:t>
            </w:r>
          </w:p>
        </w:tc>
        <w:tc>
          <w:tcPr>
            <w:tcW w:w="840" w:type="dxa"/>
            <w:vAlign w:val="bottom"/>
          </w:tcPr>
          <w:p>
            <w:pPr>
              <w:jc w:val="right"/>
              <w:spacing w:after="0"/>
              <w:rPr>
                <w:sz w:val="20"/>
                <w:szCs w:val="20"/>
                <w:color w:val="auto"/>
              </w:rPr>
            </w:pPr>
            <w:r>
              <w:rPr>
                <w:rFonts w:ascii="Arial" w:cs="Arial" w:eastAsia="Arial" w:hAnsi="Arial"/>
                <w:sz w:val="12"/>
                <w:szCs w:val="12"/>
                <w:color w:val="auto"/>
              </w:rPr>
              <w:t>2,001,314</w:t>
            </w:r>
          </w:p>
        </w:tc>
        <w:tc>
          <w:tcPr>
            <w:tcW w:w="1120" w:type="dxa"/>
            <w:vAlign w:val="bottom"/>
            <w:gridSpan w:val="2"/>
          </w:tcPr>
          <w:p>
            <w:pPr>
              <w:jc w:val="right"/>
              <w:ind w:right="222"/>
              <w:spacing w:after="0"/>
              <w:rPr>
                <w:sz w:val="20"/>
                <w:szCs w:val="20"/>
                <w:color w:val="auto"/>
              </w:rPr>
            </w:pPr>
            <w:r>
              <w:rPr>
                <w:rFonts w:ascii="Arial" w:cs="Arial" w:eastAsia="Arial" w:hAnsi="Arial"/>
                <w:sz w:val="12"/>
                <w:szCs w:val="12"/>
                <w:color w:val="auto"/>
              </w:rPr>
              <w:t>-</w:t>
            </w: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7"/>
                <w:szCs w:val="17"/>
                <w:color w:val="auto"/>
              </w:rPr>
            </w:pPr>
          </w:p>
        </w:tc>
      </w:tr>
      <w:tr>
        <w:trPr>
          <w:trHeight w:val="189"/>
        </w:trPr>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Arial" w:cs="Arial" w:eastAsia="Arial" w:hAnsi="Arial"/>
                <w:sz w:val="12"/>
                <w:szCs w:val="12"/>
                <w:color w:val="auto"/>
                <w:w w:val="97"/>
              </w:rPr>
              <w:t>2/28/25  (2)</w:t>
            </w:r>
          </w:p>
        </w:tc>
        <w:tc>
          <w:tcPr>
            <w:tcW w:w="700" w:type="dxa"/>
            <w:vAlign w:val="bottom"/>
            <w:gridSpan w:val="2"/>
          </w:tcPr>
          <w:p>
            <w:pPr>
              <w:jc w:val="center"/>
              <w:ind w:left="102"/>
              <w:spacing w:after="0"/>
              <w:rPr>
                <w:sz w:val="20"/>
                <w:szCs w:val="20"/>
                <w:color w:val="auto"/>
              </w:rPr>
            </w:pPr>
            <w:r>
              <w:rPr>
                <w:rFonts w:ascii="Arial" w:cs="Arial" w:eastAsia="Arial" w:hAnsi="Arial"/>
                <w:sz w:val="12"/>
                <w:szCs w:val="12"/>
                <w:color w:val="auto"/>
              </w:rPr>
              <w:t>2/27/25</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6"/>
                <w:szCs w:val="16"/>
                <w:color w:val="auto"/>
              </w:rPr>
            </w:pP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22"/>
              <w:spacing w:after="0"/>
              <w:rPr>
                <w:sz w:val="20"/>
                <w:szCs w:val="20"/>
                <w:color w:val="auto"/>
              </w:rPr>
            </w:pPr>
            <w:r>
              <w:rPr>
                <w:rFonts w:ascii="Arial" w:cs="Arial" w:eastAsia="Arial" w:hAnsi="Arial"/>
                <w:sz w:val="12"/>
                <w:szCs w:val="12"/>
                <w:color w:val="auto"/>
              </w:rPr>
              <w:t>6,034</w:t>
            </w: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12,067</w:t>
            </w:r>
          </w:p>
        </w:tc>
        <w:tc>
          <w:tcPr>
            <w:tcW w:w="840" w:type="dxa"/>
            <w:vAlign w:val="bottom"/>
          </w:tcPr>
          <w:p>
            <w:pPr>
              <w:jc w:val="right"/>
              <w:spacing w:after="0"/>
              <w:rPr>
                <w:sz w:val="20"/>
                <w:szCs w:val="20"/>
                <w:color w:val="auto"/>
              </w:rPr>
            </w:pPr>
            <w:r>
              <w:rPr>
                <w:rFonts w:ascii="Arial" w:cs="Arial" w:eastAsia="Arial" w:hAnsi="Arial"/>
                <w:sz w:val="12"/>
                <w:szCs w:val="12"/>
                <w:color w:val="auto"/>
              </w:rPr>
              <w:t>24,134</w:t>
            </w:r>
          </w:p>
        </w:tc>
        <w:tc>
          <w:tcPr>
            <w:tcW w:w="88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42"/>
              <w:spacing w:after="0"/>
              <w:rPr>
                <w:sz w:val="20"/>
                <w:szCs w:val="20"/>
                <w:color w:val="auto"/>
              </w:rPr>
            </w:pPr>
            <w:r>
              <w:rPr>
                <w:rFonts w:ascii="Arial" w:cs="Arial" w:eastAsia="Arial" w:hAnsi="Arial"/>
                <w:sz w:val="12"/>
                <w:szCs w:val="12"/>
                <w:color w:val="auto"/>
              </w:rPr>
              <w:t>1,132,005</w:t>
            </w:r>
          </w:p>
        </w:tc>
        <w:tc>
          <w:tcPr>
            <w:tcW w:w="40" w:type="dxa"/>
            <w:vAlign w:val="bottom"/>
          </w:tcPr>
          <w:p>
            <w:pPr>
              <w:spacing w:after="0"/>
              <w:rPr>
                <w:sz w:val="16"/>
                <w:szCs w:val="16"/>
                <w:color w:val="auto"/>
              </w:rPr>
            </w:pPr>
          </w:p>
        </w:tc>
      </w:tr>
      <w:tr>
        <w:trPr>
          <w:trHeight w:val="189"/>
        </w:trPr>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Arial" w:cs="Arial" w:eastAsia="Arial" w:hAnsi="Arial"/>
                <w:sz w:val="12"/>
                <w:szCs w:val="12"/>
                <w:color w:val="auto"/>
                <w:w w:val="97"/>
              </w:rPr>
              <w:t>2/28/25  (3)</w:t>
            </w:r>
          </w:p>
        </w:tc>
        <w:tc>
          <w:tcPr>
            <w:tcW w:w="700" w:type="dxa"/>
            <w:vAlign w:val="bottom"/>
            <w:gridSpan w:val="2"/>
          </w:tcPr>
          <w:p>
            <w:pPr>
              <w:jc w:val="center"/>
              <w:ind w:left="102"/>
              <w:spacing w:after="0"/>
              <w:rPr>
                <w:sz w:val="20"/>
                <w:szCs w:val="20"/>
                <w:color w:val="auto"/>
              </w:rPr>
            </w:pPr>
            <w:r>
              <w:rPr>
                <w:rFonts w:ascii="Arial" w:cs="Arial" w:eastAsia="Arial" w:hAnsi="Arial"/>
                <w:sz w:val="12"/>
                <w:szCs w:val="12"/>
                <w:color w:val="auto"/>
              </w:rPr>
              <w:t>2/27/25</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6"/>
                <w:szCs w:val="16"/>
                <w:color w:val="auto"/>
              </w:rPr>
            </w:pP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22"/>
              <w:spacing w:after="0"/>
              <w:rPr>
                <w:sz w:val="20"/>
                <w:szCs w:val="20"/>
                <w:color w:val="auto"/>
              </w:rPr>
            </w:pPr>
            <w:r>
              <w:rPr>
                <w:rFonts w:ascii="Arial" w:cs="Arial" w:eastAsia="Arial" w:hAnsi="Arial"/>
                <w:sz w:val="12"/>
                <w:szCs w:val="12"/>
                <w:color w:val="auto"/>
              </w:rPr>
              <w:t>5,925</w:t>
            </w: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11,849</w:t>
            </w:r>
          </w:p>
        </w:tc>
        <w:tc>
          <w:tcPr>
            <w:tcW w:w="840" w:type="dxa"/>
            <w:vAlign w:val="bottom"/>
          </w:tcPr>
          <w:p>
            <w:pPr>
              <w:jc w:val="right"/>
              <w:spacing w:after="0"/>
              <w:rPr>
                <w:sz w:val="20"/>
                <w:szCs w:val="20"/>
                <w:color w:val="auto"/>
              </w:rPr>
            </w:pPr>
            <w:r>
              <w:rPr>
                <w:rFonts w:ascii="Arial" w:cs="Arial" w:eastAsia="Arial" w:hAnsi="Arial"/>
                <w:sz w:val="12"/>
                <w:szCs w:val="12"/>
                <w:color w:val="auto"/>
              </w:rPr>
              <w:t>35,547</w:t>
            </w:r>
          </w:p>
        </w:tc>
        <w:tc>
          <w:tcPr>
            <w:tcW w:w="88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42"/>
              <w:spacing w:after="0"/>
              <w:rPr>
                <w:sz w:val="20"/>
                <w:szCs w:val="20"/>
                <w:color w:val="auto"/>
              </w:rPr>
            </w:pPr>
            <w:r>
              <w:rPr>
                <w:rFonts w:ascii="Arial" w:cs="Arial" w:eastAsia="Arial" w:hAnsi="Arial"/>
                <w:sz w:val="12"/>
                <w:szCs w:val="12"/>
                <w:color w:val="auto"/>
              </w:rPr>
              <w:t>1,620,943</w:t>
            </w:r>
          </w:p>
        </w:tc>
        <w:tc>
          <w:tcPr>
            <w:tcW w:w="40" w:type="dxa"/>
            <w:vAlign w:val="bottom"/>
          </w:tcPr>
          <w:p>
            <w:pPr>
              <w:spacing w:after="0"/>
              <w:rPr>
                <w:sz w:val="16"/>
                <w:szCs w:val="16"/>
                <w:color w:val="auto"/>
              </w:rPr>
            </w:pPr>
          </w:p>
        </w:tc>
      </w:tr>
      <w:tr>
        <w:trPr>
          <w:trHeight w:val="189"/>
        </w:trPr>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Arial" w:cs="Arial" w:eastAsia="Arial" w:hAnsi="Arial"/>
                <w:sz w:val="12"/>
                <w:szCs w:val="12"/>
                <w:color w:val="auto"/>
                <w:w w:val="97"/>
              </w:rPr>
              <w:t>2/28/25  (4)</w:t>
            </w:r>
          </w:p>
        </w:tc>
        <w:tc>
          <w:tcPr>
            <w:tcW w:w="700" w:type="dxa"/>
            <w:vAlign w:val="bottom"/>
            <w:gridSpan w:val="2"/>
          </w:tcPr>
          <w:p>
            <w:pPr>
              <w:jc w:val="center"/>
              <w:ind w:left="102"/>
              <w:spacing w:after="0"/>
              <w:rPr>
                <w:sz w:val="20"/>
                <w:szCs w:val="20"/>
                <w:color w:val="auto"/>
              </w:rPr>
            </w:pPr>
            <w:r>
              <w:rPr>
                <w:rFonts w:ascii="Arial" w:cs="Arial" w:eastAsia="Arial" w:hAnsi="Arial"/>
                <w:sz w:val="12"/>
                <w:szCs w:val="12"/>
                <w:color w:val="auto"/>
              </w:rPr>
              <w:t>2/27/25</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6"/>
                <w:szCs w:val="16"/>
                <w:color w:val="auto"/>
              </w:rPr>
            </w:pP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22"/>
              <w:spacing w:after="0"/>
              <w:rPr>
                <w:sz w:val="20"/>
                <w:szCs w:val="20"/>
                <w:color w:val="auto"/>
              </w:rPr>
            </w:pPr>
            <w:r>
              <w:rPr>
                <w:rFonts w:ascii="Arial" w:cs="Arial" w:eastAsia="Arial" w:hAnsi="Arial"/>
                <w:sz w:val="12"/>
                <w:szCs w:val="12"/>
                <w:color w:val="auto"/>
              </w:rPr>
              <w:t>3,591</w:t>
            </w: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7,182</w:t>
            </w:r>
          </w:p>
        </w:tc>
        <w:tc>
          <w:tcPr>
            <w:tcW w:w="840" w:type="dxa"/>
            <w:vAlign w:val="bottom"/>
          </w:tcPr>
          <w:p>
            <w:pPr>
              <w:jc w:val="right"/>
              <w:spacing w:after="0"/>
              <w:rPr>
                <w:sz w:val="20"/>
                <w:szCs w:val="20"/>
                <w:color w:val="auto"/>
              </w:rPr>
            </w:pPr>
            <w:r>
              <w:rPr>
                <w:rFonts w:ascii="Arial" w:cs="Arial" w:eastAsia="Arial" w:hAnsi="Arial"/>
                <w:sz w:val="12"/>
                <w:szCs w:val="12"/>
                <w:color w:val="auto"/>
              </w:rPr>
              <w:t>14,364</w:t>
            </w:r>
          </w:p>
        </w:tc>
        <w:tc>
          <w:tcPr>
            <w:tcW w:w="88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42"/>
              <w:spacing w:after="0"/>
              <w:rPr>
                <w:sz w:val="20"/>
                <w:szCs w:val="20"/>
                <w:color w:val="auto"/>
              </w:rPr>
            </w:pPr>
            <w:r>
              <w:rPr>
                <w:rFonts w:ascii="Arial" w:cs="Arial" w:eastAsia="Arial" w:hAnsi="Arial"/>
                <w:sz w:val="12"/>
                <w:szCs w:val="12"/>
                <w:color w:val="auto"/>
              </w:rPr>
              <w:t>673,743</w:t>
            </w:r>
          </w:p>
        </w:tc>
        <w:tc>
          <w:tcPr>
            <w:tcW w:w="40" w:type="dxa"/>
            <w:vAlign w:val="bottom"/>
          </w:tcPr>
          <w:p>
            <w:pPr>
              <w:spacing w:after="0"/>
              <w:rPr>
                <w:sz w:val="16"/>
                <w:szCs w:val="16"/>
                <w:color w:val="auto"/>
              </w:rPr>
            </w:pPr>
          </w:p>
        </w:tc>
      </w:tr>
      <w:tr>
        <w:trPr>
          <w:trHeight w:val="172"/>
        </w:trPr>
        <w:tc>
          <w:tcPr>
            <w:tcW w:w="116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720" w:type="dxa"/>
            <w:vAlign w:val="bottom"/>
            <w:tcBorders>
              <w:bottom w:val="single" w:sz="8" w:color="808080"/>
            </w:tcBorders>
          </w:tcPr>
          <w:p>
            <w:pPr>
              <w:jc w:val="center"/>
              <w:spacing w:after="0"/>
              <w:rPr>
                <w:sz w:val="20"/>
                <w:szCs w:val="20"/>
                <w:color w:val="auto"/>
              </w:rPr>
            </w:pPr>
            <w:r>
              <w:rPr>
                <w:rFonts w:ascii="Arial" w:cs="Arial" w:eastAsia="Arial" w:hAnsi="Arial"/>
                <w:sz w:val="12"/>
                <w:szCs w:val="12"/>
                <w:color w:val="auto"/>
                <w:w w:val="97"/>
              </w:rPr>
              <w:t>2/28/25  (5)</w:t>
            </w:r>
          </w:p>
        </w:tc>
        <w:tc>
          <w:tcPr>
            <w:tcW w:w="700" w:type="dxa"/>
            <w:vAlign w:val="bottom"/>
            <w:tcBorders>
              <w:bottom w:val="single" w:sz="8" w:color="808080"/>
            </w:tcBorders>
            <w:gridSpan w:val="2"/>
          </w:tcPr>
          <w:p>
            <w:pPr>
              <w:jc w:val="center"/>
              <w:ind w:left="102"/>
              <w:spacing w:after="0"/>
              <w:rPr>
                <w:sz w:val="20"/>
                <w:szCs w:val="20"/>
                <w:color w:val="auto"/>
              </w:rPr>
            </w:pPr>
            <w:r>
              <w:rPr>
                <w:rFonts w:ascii="Arial" w:cs="Arial" w:eastAsia="Arial" w:hAnsi="Arial"/>
                <w:sz w:val="12"/>
                <w:szCs w:val="12"/>
                <w:color w:val="auto"/>
              </w:rPr>
              <w:t>2/27/25</w:t>
            </w:r>
          </w:p>
        </w:tc>
        <w:tc>
          <w:tcPr>
            <w:tcW w:w="880" w:type="dxa"/>
            <w:vAlign w:val="bottom"/>
            <w:tcBorders>
              <w:bottom w:val="single" w:sz="8" w:color="808080"/>
            </w:tcBorders>
            <w:gridSpan w:val="2"/>
          </w:tcPr>
          <w:p>
            <w:pPr>
              <w:jc w:val="right"/>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808080"/>
            </w:tcBorders>
          </w:tcPr>
          <w:p>
            <w:pPr>
              <w:spacing w:after="0"/>
              <w:rPr>
                <w:sz w:val="14"/>
                <w:szCs w:val="14"/>
                <w:color w:val="auto"/>
              </w:rPr>
            </w:pPr>
          </w:p>
        </w:tc>
        <w:tc>
          <w:tcPr>
            <w:tcW w:w="640" w:type="dxa"/>
            <w:vAlign w:val="bottom"/>
            <w:tcBorders>
              <w:bottom w:val="single" w:sz="8" w:color="808080"/>
            </w:tcBorders>
          </w:tcPr>
          <w:p>
            <w:pPr>
              <w:jc w:val="right"/>
              <w:ind w:right="2"/>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808080"/>
            </w:tcBorders>
          </w:tcPr>
          <w:p>
            <w:pPr>
              <w:jc w:val="right"/>
              <w:spacing w:after="0"/>
              <w:rPr>
                <w:sz w:val="20"/>
                <w:szCs w:val="20"/>
                <w:color w:val="auto"/>
              </w:rPr>
            </w:pPr>
            <w:r>
              <w:rPr>
                <w:rFonts w:ascii="Arial" w:cs="Arial" w:eastAsia="Arial" w:hAnsi="Arial"/>
                <w:sz w:val="12"/>
                <w:szCs w:val="12"/>
                <w:color w:val="auto"/>
              </w:rPr>
              <w:t>-</w:t>
            </w:r>
          </w:p>
        </w:tc>
        <w:tc>
          <w:tcPr>
            <w:tcW w:w="1120" w:type="dxa"/>
            <w:vAlign w:val="bottom"/>
            <w:tcBorders>
              <w:bottom w:val="single" w:sz="8" w:color="808080"/>
            </w:tcBorders>
            <w:gridSpan w:val="2"/>
          </w:tcPr>
          <w:p>
            <w:pPr>
              <w:jc w:val="right"/>
              <w:ind w:right="222"/>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808080"/>
            </w:tcBorders>
          </w:tcPr>
          <w:p>
            <w:pPr>
              <w:jc w:val="right"/>
              <w:ind w:right="2"/>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808080"/>
            </w:tcBorders>
          </w:tcPr>
          <w:p>
            <w:pPr>
              <w:jc w:val="right"/>
              <w:spacing w:after="0"/>
              <w:rPr>
                <w:sz w:val="20"/>
                <w:szCs w:val="20"/>
                <w:color w:val="auto"/>
              </w:rPr>
            </w:pPr>
            <w:r>
              <w:rPr>
                <w:rFonts w:ascii="Arial" w:cs="Arial" w:eastAsia="Arial" w:hAnsi="Arial"/>
                <w:sz w:val="12"/>
                <w:szCs w:val="12"/>
                <w:color w:val="auto"/>
              </w:rPr>
              <w:t>-</w:t>
            </w:r>
          </w:p>
        </w:tc>
        <w:tc>
          <w:tcPr>
            <w:tcW w:w="880" w:type="dxa"/>
            <w:vAlign w:val="bottom"/>
            <w:tcBorders>
              <w:bottom w:val="single" w:sz="8" w:color="808080"/>
            </w:tcBorders>
          </w:tcPr>
          <w:p>
            <w:pPr>
              <w:jc w:val="right"/>
              <w:ind w:right="2"/>
              <w:spacing w:after="0"/>
              <w:rPr>
                <w:sz w:val="20"/>
                <w:szCs w:val="20"/>
                <w:color w:val="auto"/>
              </w:rPr>
            </w:pPr>
            <w:r>
              <w:rPr>
                <w:rFonts w:ascii="Arial" w:cs="Arial" w:eastAsia="Arial" w:hAnsi="Arial"/>
                <w:sz w:val="12"/>
                <w:szCs w:val="12"/>
                <w:color w:val="auto"/>
              </w:rPr>
              <w:t>21,546</w:t>
            </w:r>
          </w:p>
        </w:tc>
        <w:tc>
          <w:tcPr>
            <w:tcW w:w="900" w:type="dxa"/>
            <w:vAlign w:val="bottom"/>
            <w:tcBorders>
              <w:bottom w:val="single" w:sz="8" w:color="808080"/>
            </w:tcBorders>
          </w:tcPr>
          <w:p>
            <w:pPr>
              <w:jc w:val="right"/>
              <w:ind w:right="42"/>
              <w:spacing w:after="0"/>
              <w:rPr>
                <w:sz w:val="20"/>
                <w:szCs w:val="20"/>
                <w:color w:val="auto"/>
              </w:rPr>
            </w:pPr>
            <w:r>
              <w:rPr>
                <w:rFonts w:ascii="Arial" w:cs="Arial" w:eastAsia="Arial" w:hAnsi="Arial"/>
                <w:sz w:val="12"/>
                <w:szCs w:val="12"/>
                <w:color w:val="auto"/>
              </w:rPr>
              <w:t>2,021,230</w:t>
            </w:r>
          </w:p>
        </w:tc>
        <w:tc>
          <w:tcPr>
            <w:tcW w:w="40" w:type="dxa"/>
            <w:vAlign w:val="bottom"/>
          </w:tcPr>
          <w:p>
            <w:pPr>
              <w:spacing w:after="0"/>
              <w:rPr>
                <w:sz w:val="14"/>
                <w:szCs w:val="14"/>
                <w:color w:val="auto"/>
              </w:rPr>
            </w:pPr>
          </w:p>
        </w:tc>
      </w:tr>
    </w:tbl>
    <w:p>
      <w:pPr>
        <w:spacing w:after="0" w:line="89" w:lineRule="exact"/>
        <w:rPr>
          <w:sz w:val="20"/>
          <w:szCs w:val="20"/>
          <w:color w:val="auto"/>
        </w:rPr>
      </w:pPr>
    </w:p>
    <w:p>
      <w:pPr>
        <w:ind w:left="320" w:right="280" w:hanging="316"/>
        <w:spacing w:after="0"/>
        <w:tabs>
          <w:tab w:leader="none" w:pos="320" w:val="left"/>
        </w:tabs>
        <w:numPr>
          <w:ilvl w:val="0"/>
          <w:numId w:val="132"/>
        </w:numPr>
        <w:rPr>
          <w:rFonts w:ascii="Arial" w:cs="Arial" w:eastAsia="Arial" w:hAnsi="Arial"/>
          <w:sz w:val="22"/>
          <w:szCs w:val="22"/>
          <w:color w:val="auto"/>
          <w:vertAlign w:val="superscript"/>
        </w:rPr>
      </w:pPr>
      <w:r>
        <w:rPr>
          <w:rFonts w:ascii="Arial" w:cs="Arial" w:eastAsia="Arial" w:hAnsi="Arial"/>
          <w:sz w:val="14"/>
          <w:szCs w:val="14"/>
          <w:color w:val="auto"/>
        </w:rPr>
        <w:t>Represents the 2025 STI cash award for the performance period January 1, 2025 through December 31, 2025. As described in the CD&amp;A, the 2025 STI awards paid out in March 2026 with overall performance at 135% of the target level after the Committee certifed performance.</w:t>
      </w:r>
    </w:p>
    <w:p>
      <w:pPr>
        <w:sectPr>
          <w:pgSz w:w="11900" w:h="16838" w:orient="portrait"/>
          <w:cols w:equalWidth="0" w:num="1">
            <w:col w:w="9760"/>
          </w:cols>
          <w:pgMar w:left="1080" w:top="695" w:right="10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right"/>
        <w:ind w:right="7760"/>
        <w:spacing w:after="0"/>
        <w:rPr>
          <w:sz w:val="20"/>
          <w:szCs w:val="20"/>
          <w:color w:val="auto"/>
        </w:rPr>
      </w:pPr>
      <w:r>
        <w:rPr>
          <w:rFonts w:ascii="Arial" w:cs="Arial" w:eastAsia="Arial" w:hAnsi="Arial"/>
          <w:sz w:val="16"/>
          <w:szCs w:val="16"/>
          <w:color w:val="auto"/>
        </w:rPr>
        <w:t>​​2026​  Proxy</w:t>
      </w:r>
    </w:p>
    <w:p>
      <w:pPr>
        <w:spacing w:after="0" w:line="5" w:lineRule="exact"/>
        <w:rPr>
          <w:sz w:val="20"/>
          <w:szCs w:val="20"/>
          <w:color w:val="auto"/>
        </w:rPr>
      </w:pPr>
    </w:p>
    <w:p>
      <w:pPr>
        <w:ind w:left="660" w:hanging="656"/>
        <w:spacing w:after="0"/>
        <w:tabs>
          <w:tab w:leader="none" w:pos="660" w:val="left"/>
        </w:tabs>
        <w:numPr>
          <w:ilvl w:val="0"/>
          <w:numId w:val="133"/>
        </w:numPr>
        <w:rPr>
          <w:rFonts w:ascii="Arial" w:cs="Arial" w:eastAsia="Arial" w:hAnsi="Arial"/>
          <w:sz w:val="16"/>
          <w:szCs w:val="16"/>
          <w:b w:val="1"/>
          <w:bCs w:val="1"/>
          <w:color w:val="1414D2"/>
        </w:rPr>
      </w:pPr>
      <w:r>
        <w:rPr>
          <w:rFonts w:ascii="Arial" w:cs="Arial" w:eastAsia="Arial" w:hAnsi="Arial"/>
          <w:sz w:val="16"/>
          <w:szCs w:val="16"/>
          <w:color w:val="auto"/>
        </w:rPr>
        <w:t>Statement</w:t>
      </w:r>
    </w:p>
    <w:p>
      <w:pPr>
        <w:sectPr>
          <w:pgSz w:w="11900" w:h="16838" w:orient="portrait"/>
          <w:cols w:equalWidth="0" w:num="1">
            <w:col w:w="9760"/>
          </w:cols>
          <w:pgMar w:left="1080" w:top="695" w:right="1059" w:bottom="1440" w:gutter="0" w:footer="0" w:header="0"/>
          <w:type w:val="continuous"/>
        </w:sectPr>
      </w:pPr>
    </w:p>
    <w:bookmarkStart w:id="125" w:name="page126"/>
    <w:bookmarkEnd w:id="125"/>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27" w:lineRule="exact"/>
        <w:rPr>
          <w:sz w:val="20"/>
          <w:szCs w:val="20"/>
          <w:color w:val="auto"/>
        </w:rPr>
      </w:pPr>
    </w:p>
    <w:p>
      <w:pPr>
        <w:jc w:val="right"/>
        <w:spacing w:after="0"/>
        <w:rPr>
          <w:sz w:val="20"/>
          <w:szCs w:val="20"/>
          <w:color w:val="auto"/>
        </w:rPr>
      </w:pPr>
      <w:r>
        <w:rPr>
          <w:rFonts w:ascii="Arial" w:cs="Arial" w:eastAsia="Arial" w:hAnsi="Arial"/>
          <w:sz w:val="14"/>
          <w:szCs w:val="14"/>
          <w:color w:val="6D6F71"/>
        </w:rPr>
        <w:t>Executive  Compensation</w:t>
      </w:r>
    </w:p>
    <w:p>
      <w:pPr>
        <w:spacing w:after="0" w:line="231" w:lineRule="exact"/>
        <w:rPr>
          <w:sz w:val="20"/>
          <w:szCs w:val="20"/>
          <w:color w:val="auto"/>
        </w:rPr>
      </w:pPr>
    </w:p>
    <w:p>
      <w:pPr>
        <w:ind w:left="320" w:right="60" w:hanging="316"/>
        <w:spacing w:after="0" w:line="222" w:lineRule="auto"/>
        <w:tabs>
          <w:tab w:leader="none" w:pos="320" w:val="left"/>
        </w:tabs>
        <w:numPr>
          <w:ilvl w:val="0"/>
          <w:numId w:val="134"/>
        </w:numPr>
        <w:rPr>
          <w:rFonts w:ascii="Arial" w:cs="Arial" w:eastAsia="Arial" w:hAnsi="Arial"/>
          <w:sz w:val="22"/>
          <w:szCs w:val="22"/>
          <w:color w:val="auto"/>
          <w:vertAlign w:val="superscript"/>
        </w:rPr>
      </w:pPr>
      <w:r>
        <w:rPr>
          <w:rFonts w:ascii="Arial" w:cs="Arial" w:eastAsia="Arial" w:hAnsi="Arial"/>
          <w:sz w:val="14"/>
          <w:szCs w:val="14"/>
          <w:color w:val="auto"/>
        </w:rPr>
        <w:t>Represents award opportunities for one-third of the full number of shares for which performance measures were established in 2025 for the Performance-Based RSUs granted for the performance period January 1, 2023 through December 31, 2025. See also footnote 8, below.</w:t>
      </w:r>
    </w:p>
    <w:p>
      <w:pPr>
        <w:spacing w:after="0" w:line="170" w:lineRule="exact"/>
        <w:rPr>
          <w:rFonts w:ascii="Arial" w:cs="Arial" w:eastAsia="Arial" w:hAnsi="Arial"/>
          <w:sz w:val="22"/>
          <w:szCs w:val="22"/>
          <w:color w:val="auto"/>
          <w:vertAlign w:val="superscript"/>
        </w:rPr>
      </w:pPr>
    </w:p>
    <w:p>
      <w:pPr>
        <w:ind w:left="320" w:right="60" w:hanging="316"/>
        <w:spacing w:after="0" w:line="222" w:lineRule="auto"/>
        <w:tabs>
          <w:tab w:leader="none" w:pos="320" w:val="left"/>
        </w:tabs>
        <w:numPr>
          <w:ilvl w:val="0"/>
          <w:numId w:val="134"/>
        </w:numPr>
        <w:rPr>
          <w:rFonts w:ascii="Arial" w:cs="Arial" w:eastAsia="Arial" w:hAnsi="Arial"/>
          <w:sz w:val="22"/>
          <w:szCs w:val="22"/>
          <w:color w:val="auto"/>
          <w:vertAlign w:val="superscript"/>
        </w:rPr>
      </w:pPr>
      <w:r>
        <w:rPr>
          <w:rFonts w:ascii="Arial" w:cs="Arial" w:eastAsia="Arial" w:hAnsi="Arial"/>
          <w:sz w:val="14"/>
          <w:szCs w:val="14"/>
          <w:color w:val="auto"/>
        </w:rPr>
        <w:t>Represents award opportunities for one-third of the full number of shares for which performance measures were established in 2025 for the Performance-Based RSUs granted for the performance period January 1, 2024 through December 31, 2026. See also footnote 8, below.</w:t>
      </w:r>
    </w:p>
    <w:p>
      <w:pPr>
        <w:spacing w:after="0" w:line="116" w:lineRule="exact"/>
        <w:rPr>
          <w:rFonts w:ascii="Arial" w:cs="Arial" w:eastAsia="Arial" w:hAnsi="Arial"/>
          <w:sz w:val="22"/>
          <w:szCs w:val="22"/>
          <w:color w:val="auto"/>
          <w:vertAlign w:val="superscript"/>
        </w:rPr>
      </w:pPr>
    </w:p>
    <w:p>
      <w:pPr>
        <w:ind w:left="320" w:right="60" w:hanging="316"/>
        <w:spacing w:after="0" w:line="222" w:lineRule="auto"/>
        <w:tabs>
          <w:tab w:leader="none" w:pos="320" w:val="left"/>
        </w:tabs>
        <w:numPr>
          <w:ilvl w:val="0"/>
          <w:numId w:val="134"/>
        </w:numPr>
        <w:rPr>
          <w:rFonts w:ascii="Arial" w:cs="Arial" w:eastAsia="Arial" w:hAnsi="Arial"/>
          <w:sz w:val="22"/>
          <w:szCs w:val="22"/>
          <w:color w:val="auto"/>
          <w:vertAlign w:val="superscript"/>
        </w:rPr>
      </w:pPr>
      <w:r>
        <w:rPr>
          <w:rFonts w:ascii="Arial" w:cs="Arial" w:eastAsia="Arial" w:hAnsi="Arial"/>
          <w:sz w:val="14"/>
          <w:szCs w:val="14"/>
          <w:color w:val="auto"/>
        </w:rPr>
        <w:t>Represents award opportunities for one-third of the full number of shares for which performance measures were established in 2025 for the Performance-Based RSUs granted for the performance period January 1, 2025 through December 31, 2027. See also footnote 8, below.</w:t>
      </w:r>
    </w:p>
    <w:p>
      <w:pPr>
        <w:spacing w:after="0" w:line="170" w:lineRule="exact"/>
        <w:rPr>
          <w:rFonts w:ascii="Arial" w:cs="Arial" w:eastAsia="Arial" w:hAnsi="Arial"/>
          <w:sz w:val="22"/>
          <w:szCs w:val="22"/>
          <w:color w:val="auto"/>
          <w:vertAlign w:val="superscript"/>
        </w:rPr>
      </w:pPr>
    </w:p>
    <w:p>
      <w:pPr>
        <w:ind w:left="320" w:right="300" w:hanging="316"/>
        <w:spacing w:after="0" w:line="222" w:lineRule="auto"/>
        <w:tabs>
          <w:tab w:leader="none" w:pos="320" w:val="left"/>
        </w:tabs>
        <w:numPr>
          <w:ilvl w:val="0"/>
          <w:numId w:val="134"/>
        </w:numPr>
        <w:rPr>
          <w:rFonts w:ascii="Arial" w:cs="Arial" w:eastAsia="Arial" w:hAnsi="Arial"/>
          <w:sz w:val="22"/>
          <w:szCs w:val="22"/>
          <w:color w:val="auto"/>
          <w:vertAlign w:val="superscript"/>
        </w:rPr>
      </w:pPr>
      <w:r>
        <w:rPr>
          <w:rFonts w:ascii="Arial" w:cs="Arial" w:eastAsia="Arial" w:hAnsi="Arial"/>
          <w:sz w:val="14"/>
          <w:szCs w:val="14"/>
          <w:color w:val="auto"/>
        </w:rPr>
        <w:t>Represents 2025 LTI awards granted as time-based RSUs that are scheduled to vest in one-third increments on February 28, 2026, 2027 and 2028, subject to the NEO’s continued employment through the applicable vesting date or qualifying termination of employment.</w:t>
      </w:r>
    </w:p>
    <w:p>
      <w:pPr>
        <w:spacing w:after="0" w:line="170" w:lineRule="exact"/>
        <w:rPr>
          <w:rFonts w:ascii="Arial" w:cs="Arial" w:eastAsia="Arial" w:hAnsi="Arial"/>
          <w:sz w:val="22"/>
          <w:szCs w:val="22"/>
          <w:color w:val="auto"/>
          <w:vertAlign w:val="superscript"/>
        </w:rPr>
      </w:pPr>
    </w:p>
    <w:p>
      <w:pPr>
        <w:ind w:left="320" w:right="120" w:hanging="316"/>
        <w:spacing w:after="0" w:line="222" w:lineRule="auto"/>
        <w:tabs>
          <w:tab w:leader="none" w:pos="320" w:val="left"/>
        </w:tabs>
        <w:numPr>
          <w:ilvl w:val="0"/>
          <w:numId w:val="134"/>
        </w:numPr>
        <w:rPr>
          <w:rFonts w:ascii="Arial" w:cs="Arial" w:eastAsia="Arial" w:hAnsi="Arial"/>
          <w:sz w:val="22"/>
          <w:szCs w:val="22"/>
          <w:color w:val="auto"/>
          <w:vertAlign w:val="superscript"/>
        </w:rPr>
      </w:pPr>
      <w:r>
        <w:rPr>
          <w:rFonts w:ascii="Arial" w:cs="Arial" w:eastAsia="Arial" w:hAnsi="Arial"/>
          <w:sz w:val="14"/>
          <w:szCs w:val="14"/>
          <w:color w:val="auto"/>
        </w:rPr>
        <w:t>Represents award opportunity for the second half of the full number of shares for which performance measures were established in 2025 for Mr. Leskinen’s 2023 promotional PBRSU award. See also footnote 8, below.</w:t>
      </w:r>
    </w:p>
    <w:p>
      <w:pPr>
        <w:spacing w:after="0" w:line="105" w:lineRule="exact"/>
        <w:rPr>
          <w:rFonts w:ascii="Arial" w:cs="Arial" w:eastAsia="Arial" w:hAnsi="Arial"/>
          <w:sz w:val="22"/>
          <w:szCs w:val="22"/>
          <w:color w:val="auto"/>
          <w:vertAlign w:val="superscript"/>
        </w:rPr>
      </w:pPr>
    </w:p>
    <w:p>
      <w:pPr>
        <w:ind w:left="320" w:hanging="316"/>
        <w:spacing w:after="0"/>
        <w:tabs>
          <w:tab w:leader="none" w:pos="320" w:val="left"/>
        </w:tabs>
        <w:numPr>
          <w:ilvl w:val="0"/>
          <w:numId w:val="134"/>
        </w:numPr>
        <w:rPr>
          <w:rFonts w:ascii="Arial" w:cs="Arial" w:eastAsia="Arial" w:hAnsi="Arial"/>
          <w:sz w:val="19"/>
          <w:szCs w:val="19"/>
          <w:color w:val="auto"/>
          <w:vertAlign w:val="superscript"/>
        </w:rPr>
      </w:pPr>
      <w:r>
        <w:rPr>
          <w:rFonts w:ascii="Arial" w:cs="Arial" w:eastAsia="Arial" w:hAnsi="Arial"/>
          <w:sz w:val="13"/>
          <w:szCs w:val="13"/>
          <w:color w:val="auto"/>
        </w:rPr>
        <w:t>Represents  the  product  of  the  NEO’s  (x)  blended  FY2025  STI  Target  Opportunity  (%)  and  (y)  the  NEO’s  blended  base  salary  rate  for  2025.</w:t>
      </w:r>
    </w:p>
    <w:p>
      <w:pPr>
        <w:spacing w:after="0" w:line="143" w:lineRule="exact"/>
        <w:rPr>
          <w:rFonts w:ascii="Arial" w:cs="Arial" w:eastAsia="Arial" w:hAnsi="Arial"/>
          <w:sz w:val="19"/>
          <w:szCs w:val="19"/>
          <w:color w:val="auto"/>
          <w:vertAlign w:val="superscript"/>
        </w:rPr>
      </w:pPr>
    </w:p>
    <w:p>
      <w:pPr>
        <w:ind w:left="320" w:right="20" w:hanging="316"/>
        <w:spacing w:after="0" w:line="249" w:lineRule="auto"/>
        <w:tabs>
          <w:tab w:leader="none" w:pos="320" w:val="left"/>
        </w:tabs>
        <w:numPr>
          <w:ilvl w:val="0"/>
          <w:numId w:val="134"/>
        </w:numPr>
        <w:rPr>
          <w:rFonts w:ascii="Arial" w:cs="Arial" w:eastAsia="Arial" w:hAnsi="Arial"/>
          <w:sz w:val="22"/>
          <w:szCs w:val="22"/>
          <w:color w:val="auto"/>
          <w:vertAlign w:val="superscript"/>
        </w:rPr>
      </w:pPr>
      <w:r>
        <w:rPr>
          <w:rFonts w:ascii="Arial" w:cs="Arial" w:eastAsia="Arial" w:hAnsi="Arial"/>
          <w:sz w:val="14"/>
          <w:szCs w:val="14"/>
          <w:color w:val="auto"/>
        </w:rPr>
        <w:t>Represents the 2025 grant date fair value of the 2023, 2024 and 2025 Performance-Based RSU awards (with respect to tranches 3, 2 and 1, respectively), the second half of Mr. Leskinen’s 2023 promotional PBRSU award and the time-vested RSU awards, determined in accordance with ASC Topic 718. In accordance with ASC Topic 718, only the portion of the annual Performance-Based RSUs for which the performance measures were established in 2025 (i.e., one-third of the total number of shares subject to the 2023, 2024 and 2025 Performance-Based RSU awards and the second half of Mr. Leskinen’s 2023 promotional PBRSU award) is refected in this table. Performance measures with respect to the remaining one-third of the 2024 Performance-Based RSUs and performance measures with respect to the remaining two-thirds of the 2025 Performance-Based RSUs will be established in 2026 and 2027, and will be reported in the Summary Compensation Table and Grants of Plan-Based Awards Table for the applicable year in which the performance measures are established. In accordance with the SEC disclosure rules, the aggregate grant date fair value of all Performance-Based RSUs was calculated based on the target level (100%) of performance, which was the probable outcome of the required performance conditions as of the grant date, and for Performance-Based RSUs granted in 2023 and 2025, on the closing price of Common Stock on the date of grant ($93.81 per share). For Performance-Based RSUs granted in 2024, the grant date fair value was also based on a Monte Carlo valuation for the portion of the awards attributable to the relative TSR modifer, resulting in a per share value of $136.80. For additional details regarding the assumptions used in these calculations, see footnote 2 to the 2025 Summary Compensation Table. For the time-vested RSUs, the amount was calculated by multiplying the number of RSUs awarded by the closing price per share of Common Stock on the date of grant ($93.81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2026  Proxy  Statement</w:t>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1414D2"/>
        </w:rPr>
        <w:t>115</w:t>
      </w:r>
    </w:p>
    <w:p>
      <w:pPr>
        <w:sectPr>
          <w:pgSz w:w="11900" w:h="16838" w:orient="portrait"/>
          <w:cols w:equalWidth="0" w:num="1">
            <w:col w:w="9720"/>
          </w:cols>
          <w:pgMar w:left="1080" w:top="695" w:right="1099" w:bottom="1440" w:gutter="0" w:footer="0" w:header="0"/>
        </w:sectPr>
      </w:pPr>
    </w:p>
    <w:bookmarkStart w:id="126" w:name="page127"/>
    <w:bookmarkEnd w:id="126"/>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6D6F71"/>
        </w:rPr>
        <w:t>Executive  Compensation</w:t>
      </w:r>
    </w:p>
    <w:p>
      <w:pPr>
        <w:spacing w:after="0" w:line="223" w:lineRule="exact"/>
        <w:rPr>
          <w:sz w:val="20"/>
          <w:szCs w:val="20"/>
          <w:color w:val="auto"/>
        </w:rPr>
      </w:pPr>
    </w:p>
    <w:p>
      <w:pPr>
        <w:spacing w:after="0"/>
        <w:rPr>
          <w:sz w:val="20"/>
          <w:szCs w:val="20"/>
          <w:color w:val="auto"/>
        </w:rPr>
      </w:pPr>
      <w:r>
        <w:rPr>
          <w:rFonts w:ascii="Arial" w:cs="Arial" w:eastAsia="Arial" w:hAnsi="Arial"/>
          <w:sz w:val="25"/>
          <w:szCs w:val="25"/>
          <w:b w:val="1"/>
          <w:bCs w:val="1"/>
          <w:color w:val="1414D2"/>
        </w:rPr>
        <w:t>Outstanding Equity Awards at 2025 Fiscal Year-End</w:t>
      </w:r>
    </w:p>
    <w:p>
      <w:pPr>
        <w:spacing w:after="0" w:line="119"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presents  information  regarding  the  outstanding  equity  awards  held  by  each  NEO  as  of  December  31,  2025.</w:t>
      </w:r>
    </w:p>
    <w:p>
      <w:pPr>
        <w:spacing w:after="0" w:line="30" w:lineRule="exact"/>
        <w:rPr>
          <w:sz w:val="20"/>
          <w:szCs w:val="20"/>
          <w:color w:val="auto"/>
        </w:rPr>
      </w:pPr>
    </w:p>
    <w:p>
      <w:pPr>
        <w:ind w:right="140"/>
        <w:spacing w:after="0" w:line="279" w:lineRule="auto"/>
        <w:rPr>
          <w:sz w:val="20"/>
          <w:szCs w:val="20"/>
          <w:color w:val="auto"/>
        </w:rPr>
      </w:pPr>
      <w:r>
        <w:rPr>
          <w:rFonts w:ascii="Arial" w:cs="Arial" w:eastAsia="Arial" w:hAnsi="Arial"/>
          <w:sz w:val="16"/>
          <w:szCs w:val="16"/>
          <w:color w:val="auto"/>
        </w:rPr>
        <w:t>In accordance with SEC reporting requirements, if performance through 2025 has exceeded the entry level, then the year-end number of Performance-Based RSUs that have not yet vested and the related payout value shown in the table below is based on achieving the next higher performance measure that exceeds the performance achieved through the 2025 fscal year.</w:t>
      </w:r>
    </w:p>
    <w:p>
      <w:pPr>
        <w:spacing w:after="0" w:line="6"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At year-end 2025, (i) the frst-third of the 2024 Performance-Based RSUs, the second-third of the 2024 Performance-Based RSUs and the frst-third of the 2025 Performance-Based RSUs were each estimated at above the target level and therefore are shown at the stretch level (200% of the target opportunity for the 2025 Performance-Based RSUs and 300% (assuming maximum application of the relative TSR modifer) of the target opportunity for the 2024 Performance-Based RSUs) and (ii) the Retention</w:t>
      </w:r>
    </w:p>
    <w:p>
      <w:pPr>
        <w:spacing w:after="0" w:line="3" w:lineRule="exact"/>
        <w:rPr>
          <w:sz w:val="20"/>
          <w:szCs w:val="20"/>
          <w:color w:val="auto"/>
        </w:rPr>
      </w:pPr>
    </w:p>
    <w:p>
      <w:pPr>
        <w:ind w:right="600"/>
        <w:spacing w:after="0" w:line="279" w:lineRule="auto"/>
        <w:rPr>
          <w:sz w:val="20"/>
          <w:szCs w:val="20"/>
          <w:color w:val="auto"/>
        </w:rPr>
      </w:pPr>
      <w:r>
        <w:rPr>
          <w:rFonts w:ascii="Arial" w:cs="Arial" w:eastAsia="Arial" w:hAnsi="Arial"/>
          <w:sz w:val="16"/>
          <w:szCs w:val="16"/>
          <w:color w:val="auto"/>
        </w:rPr>
        <w:t>LTI Awards were estimated at above the target level and therefore are shown at the stretch level (133% of the target opportunity). The fnal value of these awards will be based on the Committee’s determination of the achievement of the performance conditions and the value of Common Stock at the time of vesting.</w:t>
      </w:r>
    </w:p>
    <w:p>
      <w:pPr>
        <w:sectPr>
          <w:pgSz w:w="11900" w:h="16838" w:orient="portrait"/>
          <w:cols w:equalWidth="0" w:num="1">
            <w:col w:w="9660"/>
          </w:cols>
          <w:pgMar w:left="1080" w:top="695" w:right="11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right"/>
        <w:ind w:right="7660"/>
        <w:spacing w:after="0"/>
        <w:rPr>
          <w:sz w:val="20"/>
          <w:szCs w:val="20"/>
          <w:color w:val="auto"/>
        </w:rPr>
      </w:pPr>
      <w:r>
        <w:rPr>
          <w:rFonts w:ascii="Arial" w:cs="Arial" w:eastAsia="Arial" w:hAnsi="Arial"/>
          <w:sz w:val="16"/>
          <w:szCs w:val="16"/>
          <w:color w:val="auto"/>
        </w:rPr>
        <w:t>​​2026​  Proxy</w:t>
      </w:r>
    </w:p>
    <w:p>
      <w:pPr>
        <w:spacing w:after="0" w:line="5" w:lineRule="exact"/>
        <w:rPr>
          <w:sz w:val="20"/>
          <w:szCs w:val="20"/>
          <w:color w:val="auto"/>
        </w:rPr>
      </w:pPr>
    </w:p>
    <w:p>
      <w:pPr>
        <w:ind w:left="660" w:hanging="656"/>
        <w:spacing w:after="0"/>
        <w:tabs>
          <w:tab w:leader="none" w:pos="660" w:val="left"/>
        </w:tabs>
        <w:numPr>
          <w:ilvl w:val="0"/>
          <w:numId w:val="135"/>
        </w:numPr>
        <w:rPr>
          <w:rFonts w:ascii="Arial" w:cs="Arial" w:eastAsia="Arial" w:hAnsi="Arial"/>
          <w:sz w:val="16"/>
          <w:szCs w:val="16"/>
          <w:b w:val="1"/>
          <w:bCs w:val="1"/>
          <w:color w:val="1414D2"/>
        </w:rPr>
      </w:pPr>
      <w:r>
        <w:rPr>
          <w:rFonts w:ascii="Arial" w:cs="Arial" w:eastAsia="Arial" w:hAnsi="Arial"/>
          <w:sz w:val="16"/>
          <w:szCs w:val="16"/>
          <w:color w:val="auto"/>
        </w:rPr>
        <w:t>Statement</w:t>
      </w:r>
    </w:p>
    <w:p>
      <w:pPr>
        <w:sectPr>
          <w:pgSz w:w="11900" w:h="16838" w:orient="portrait"/>
          <w:cols w:equalWidth="0" w:num="1">
            <w:col w:w="9660"/>
          </w:cols>
          <w:pgMar w:left="1080" w:top="695" w:right="1159" w:bottom="1440" w:gutter="0" w:footer="0" w:header="0"/>
          <w:type w:val="continuous"/>
        </w:sectPr>
      </w:pPr>
    </w:p>
    <w:bookmarkStart w:id="127" w:name="page128"/>
    <w:bookmarkEnd w:id="127"/>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27" w:lineRule="exact"/>
        <w:rPr>
          <w:sz w:val="20"/>
          <w:szCs w:val="20"/>
          <w:color w:val="auto"/>
        </w:rPr>
      </w:pPr>
    </w:p>
    <w:p>
      <w:pPr>
        <w:jc w:val="right"/>
        <w:spacing w:after="0"/>
        <w:rPr>
          <w:sz w:val="20"/>
          <w:szCs w:val="20"/>
          <w:color w:val="auto"/>
        </w:rPr>
      </w:pPr>
      <w:r>
        <w:rPr>
          <w:rFonts w:ascii="Arial" w:cs="Arial" w:eastAsia="Arial" w:hAnsi="Arial"/>
          <w:sz w:val="14"/>
          <w:szCs w:val="14"/>
          <w:color w:val="6D6F71"/>
        </w:rPr>
        <w:t>Executive  Compensation</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120" w:type="dxa"/>
            <w:vAlign w:val="bottom"/>
            <w:tcBorders>
              <w:top w:val="single" w:sz="8" w:color="1414D2"/>
            </w:tcBorders>
            <w:shd w:val="clear" w:color="auto" w:fill="F2F2F2"/>
          </w:tcPr>
          <w:p>
            <w:pPr>
              <w:spacing w:after="0"/>
              <w:rPr>
                <w:sz w:val="14"/>
                <w:szCs w:val="14"/>
                <w:color w:val="auto"/>
              </w:rPr>
            </w:pPr>
          </w:p>
        </w:tc>
        <w:tc>
          <w:tcPr>
            <w:tcW w:w="1040" w:type="dxa"/>
            <w:vAlign w:val="bottom"/>
            <w:tcBorders>
              <w:top w:val="single" w:sz="8" w:color="1414D2"/>
            </w:tcBorders>
            <w:gridSpan w:val="2"/>
            <w:shd w:val="clear" w:color="auto" w:fill="F2F2F2"/>
          </w:tcPr>
          <w:p>
            <w:pPr>
              <w:jc w:val="right"/>
              <w:ind w:right="802"/>
              <w:spacing w:after="0"/>
              <w:rPr>
                <w:sz w:val="20"/>
                <w:szCs w:val="20"/>
                <w:color w:val="auto"/>
              </w:rPr>
            </w:pPr>
            <w:r>
              <w:rPr>
                <w:rFonts w:ascii="Arial" w:cs="Arial" w:eastAsia="Arial" w:hAnsi="Arial"/>
                <w:sz w:val="12"/>
                <w:szCs w:val="12"/>
                <w:color w:val="231F20"/>
              </w:rPr>
              <w:t>​​​</w:t>
            </w:r>
          </w:p>
        </w:tc>
        <w:tc>
          <w:tcPr>
            <w:tcW w:w="220" w:type="dxa"/>
            <w:vAlign w:val="bottom"/>
            <w:tcBorders>
              <w:top w:val="single" w:sz="8" w:color="1414D2"/>
            </w:tcBorders>
            <w:shd w:val="clear" w:color="auto" w:fill="F2F2F2"/>
          </w:tcPr>
          <w:p>
            <w:pPr>
              <w:spacing w:after="0"/>
              <w:rPr>
                <w:sz w:val="14"/>
                <w:szCs w:val="14"/>
                <w:color w:val="auto"/>
              </w:rPr>
            </w:pPr>
          </w:p>
        </w:tc>
        <w:tc>
          <w:tcPr>
            <w:tcW w:w="1900" w:type="dxa"/>
            <w:vAlign w:val="bottom"/>
            <w:tcBorders>
              <w:top w:val="single" w:sz="8" w:color="1414D2"/>
            </w:tcBorders>
            <w:gridSpan w:val="3"/>
            <w:shd w:val="clear" w:color="auto" w:fill="F2F2F2"/>
          </w:tcPr>
          <w:p>
            <w:pPr>
              <w:jc w:val="right"/>
              <w:ind w:right="462"/>
              <w:spacing w:after="0"/>
              <w:rPr>
                <w:sz w:val="20"/>
                <w:szCs w:val="20"/>
                <w:color w:val="auto"/>
              </w:rPr>
            </w:pPr>
            <w:r>
              <w:rPr>
                <w:rFonts w:ascii="Arial" w:cs="Arial" w:eastAsia="Arial" w:hAnsi="Arial"/>
                <w:sz w:val="12"/>
                <w:szCs w:val="12"/>
                <w:b w:val="1"/>
                <w:bCs w:val="1"/>
                <w:color w:val="231F20"/>
              </w:rPr>
              <w:t>Option Awards</w:t>
            </w:r>
          </w:p>
        </w:tc>
        <w:tc>
          <w:tcPr>
            <w:tcW w:w="200" w:type="dxa"/>
            <w:vAlign w:val="bottom"/>
            <w:tcBorders>
              <w:top w:val="single" w:sz="8" w:color="1414D2"/>
            </w:tcBorders>
            <w:shd w:val="clear" w:color="auto" w:fill="F2F2F2"/>
          </w:tcPr>
          <w:p>
            <w:pPr>
              <w:spacing w:after="0"/>
              <w:rPr>
                <w:sz w:val="14"/>
                <w:szCs w:val="14"/>
                <w:color w:val="auto"/>
              </w:rPr>
            </w:pPr>
          </w:p>
        </w:tc>
        <w:tc>
          <w:tcPr>
            <w:tcW w:w="860" w:type="dxa"/>
            <w:vAlign w:val="bottom"/>
            <w:tcBorders>
              <w:top w:val="single" w:sz="8" w:color="1414D2"/>
            </w:tcBorders>
            <w:shd w:val="clear" w:color="auto" w:fill="F2F2F2"/>
          </w:tcPr>
          <w:p>
            <w:pPr>
              <w:spacing w:after="0"/>
              <w:rPr>
                <w:sz w:val="14"/>
                <w:szCs w:val="14"/>
                <w:color w:val="auto"/>
              </w:rPr>
            </w:pPr>
          </w:p>
        </w:tc>
        <w:tc>
          <w:tcPr>
            <w:tcW w:w="200" w:type="dxa"/>
            <w:vAlign w:val="bottom"/>
            <w:tcBorders>
              <w:top w:val="single" w:sz="8" w:color="1414D2"/>
            </w:tcBorders>
            <w:shd w:val="clear" w:color="auto" w:fill="F2F2F2"/>
          </w:tcPr>
          <w:p>
            <w:pPr>
              <w:ind w:left="100"/>
              <w:spacing w:after="0"/>
              <w:rPr>
                <w:sz w:val="20"/>
                <w:szCs w:val="20"/>
                <w:color w:val="auto"/>
              </w:rPr>
            </w:pPr>
            <w:r>
              <w:rPr>
                <w:rFonts w:ascii="Arial" w:cs="Arial" w:eastAsia="Arial" w:hAnsi="Arial"/>
                <w:sz w:val="12"/>
                <w:szCs w:val="12"/>
                <w:color w:val="231F20"/>
              </w:rPr>
              <w:t>​​​</w:t>
            </w:r>
          </w:p>
        </w:tc>
        <w:tc>
          <w:tcPr>
            <w:tcW w:w="820" w:type="dxa"/>
            <w:vAlign w:val="bottom"/>
            <w:tcBorders>
              <w:top w:val="single" w:sz="8" w:color="1414D2"/>
            </w:tcBorders>
            <w:shd w:val="clear" w:color="auto" w:fill="F2F2F2"/>
          </w:tcPr>
          <w:p>
            <w:pPr>
              <w:spacing w:after="0"/>
              <w:rPr>
                <w:sz w:val="14"/>
                <w:szCs w:val="14"/>
                <w:color w:val="auto"/>
              </w:rPr>
            </w:pPr>
          </w:p>
        </w:tc>
        <w:tc>
          <w:tcPr>
            <w:tcW w:w="240" w:type="dxa"/>
            <w:vAlign w:val="bottom"/>
            <w:tcBorders>
              <w:top w:val="single" w:sz="8" w:color="1414D2"/>
            </w:tcBorders>
            <w:shd w:val="clear" w:color="auto" w:fill="F2F2F2"/>
          </w:tcPr>
          <w:p>
            <w:pPr>
              <w:spacing w:after="0"/>
              <w:rPr>
                <w:sz w:val="14"/>
                <w:szCs w:val="14"/>
                <w:color w:val="auto"/>
              </w:rPr>
            </w:pPr>
          </w:p>
        </w:tc>
        <w:tc>
          <w:tcPr>
            <w:tcW w:w="1880" w:type="dxa"/>
            <w:vAlign w:val="bottom"/>
            <w:tcBorders>
              <w:top w:val="single" w:sz="8" w:color="1414D2"/>
            </w:tcBorders>
            <w:gridSpan w:val="3"/>
            <w:shd w:val="clear" w:color="auto" w:fill="F2F2F2"/>
          </w:tcPr>
          <w:p>
            <w:pPr>
              <w:jc w:val="right"/>
              <w:ind w:right="482"/>
              <w:spacing w:after="0"/>
              <w:rPr>
                <w:sz w:val="20"/>
                <w:szCs w:val="20"/>
                <w:color w:val="auto"/>
              </w:rPr>
            </w:pPr>
            <w:r>
              <w:rPr>
                <w:rFonts w:ascii="Arial" w:cs="Arial" w:eastAsia="Arial" w:hAnsi="Arial"/>
                <w:sz w:val="12"/>
                <w:szCs w:val="12"/>
                <w:b w:val="1"/>
                <w:bCs w:val="1"/>
                <w:color w:val="231F20"/>
              </w:rPr>
              <w:t>Stock Awards</w:t>
            </w:r>
          </w:p>
        </w:tc>
        <w:tc>
          <w:tcPr>
            <w:tcW w:w="220" w:type="dxa"/>
            <w:vAlign w:val="bottom"/>
            <w:tcBorders>
              <w:top w:val="single" w:sz="8" w:color="1414D2"/>
            </w:tcBorders>
            <w:shd w:val="clear" w:color="auto" w:fill="F2F2F2"/>
          </w:tcPr>
          <w:p>
            <w:pPr>
              <w:spacing w:after="0"/>
              <w:rPr>
                <w:sz w:val="14"/>
                <w:szCs w:val="14"/>
                <w:color w:val="auto"/>
              </w:rPr>
            </w:pPr>
          </w:p>
        </w:tc>
        <w:tc>
          <w:tcPr>
            <w:tcW w:w="820" w:type="dxa"/>
            <w:vAlign w:val="bottom"/>
            <w:tcBorders>
              <w:top w:val="single" w:sz="8" w:color="1414D2"/>
            </w:tcBorders>
            <w:shd w:val="clear" w:color="auto" w:fill="F2F2F2"/>
          </w:tcPr>
          <w:p>
            <w:pPr>
              <w:spacing w:after="0"/>
              <w:rPr>
                <w:sz w:val="14"/>
                <w:szCs w:val="14"/>
                <w:color w:val="auto"/>
              </w:rPr>
            </w:pPr>
          </w:p>
        </w:tc>
        <w:tc>
          <w:tcPr>
            <w:tcW w:w="200" w:type="dxa"/>
            <w:vAlign w:val="bottom"/>
            <w:tcBorders>
              <w:top w:val="single" w:sz="8" w:color="1414D2"/>
            </w:tcBorders>
            <w:shd w:val="clear" w:color="auto" w:fill="F2F2F2"/>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1120" w:type="dxa"/>
            <w:vAlign w:val="bottom"/>
            <w:tcBorders>
              <w:top w:val="single" w:sz="8" w:color="F2F2F2"/>
            </w:tcBorders>
            <w:shd w:val="clear" w:color="auto" w:fill="F2F2F2"/>
          </w:tcPr>
          <w:p>
            <w:pPr>
              <w:spacing w:after="0"/>
              <w:rPr>
                <w:sz w:val="10"/>
                <w:szCs w:val="10"/>
                <w:color w:val="auto"/>
              </w:rPr>
            </w:pPr>
          </w:p>
        </w:tc>
        <w:tc>
          <w:tcPr>
            <w:tcW w:w="200" w:type="dxa"/>
            <w:vAlign w:val="bottom"/>
            <w:tcBorders>
              <w:top w:val="single" w:sz="8" w:color="F2F2F2"/>
            </w:tcBorders>
            <w:shd w:val="clear" w:color="auto" w:fill="F2F2F2"/>
          </w:tcPr>
          <w:p>
            <w:pPr>
              <w:spacing w:after="0"/>
              <w:rPr>
                <w:sz w:val="10"/>
                <w:szCs w:val="10"/>
                <w:color w:val="auto"/>
              </w:rPr>
            </w:pPr>
          </w:p>
        </w:tc>
        <w:tc>
          <w:tcPr>
            <w:tcW w:w="840" w:type="dxa"/>
            <w:vAlign w:val="bottom"/>
            <w:tcBorders>
              <w:top w:val="single" w:sz="8" w:color="1414D2"/>
            </w:tcBorders>
            <w:shd w:val="clear" w:color="auto" w:fill="F2F2F2"/>
          </w:tcPr>
          <w:p>
            <w:pPr>
              <w:spacing w:after="0"/>
              <w:rPr>
                <w:sz w:val="10"/>
                <w:szCs w:val="10"/>
                <w:color w:val="auto"/>
              </w:rPr>
            </w:pPr>
          </w:p>
        </w:tc>
        <w:tc>
          <w:tcPr>
            <w:tcW w:w="220" w:type="dxa"/>
            <w:vAlign w:val="bottom"/>
            <w:tcBorders>
              <w:top w:val="single" w:sz="8" w:color="1414D2"/>
            </w:tcBorders>
            <w:shd w:val="clear" w:color="auto" w:fill="F2F2F2"/>
          </w:tcPr>
          <w:p>
            <w:pPr>
              <w:spacing w:after="0"/>
              <w:rPr>
                <w:sz w:val="10"/>
                <w:szCs w:val="10"/>
                <w:color w:val="auto"/>
              </w:rPr>
            </w:pPr>
          </w:p>
        </w:tc>
        <w:tc>
          <w:tcPr>
            <w:tcW w:w="840" w:type="dxa"/>
            <w:vAlign w:val="bottom"/>
            <w:tcBorders>
              <w:top w:val="single" w:sz="8" w:color="1414D2"/>
            </w:tcBorders>
            <w:shd w:val="clear" w:color="auto" w:fill="F2F2F2"/>
          </w:tcPr>
          <w:p>
            <w:pPr>
              <w:spacing w:after="0"/>
              <w:rPr>
                <w:sz w:val="10"/>
                <w:szCs w:val="10"/>
                <w:color w:val="auto"/>
              </w:rPr>
            </w:pPr>
          </w:p>
        </w:tc>
        <w:tc>
          <w:tcPr>
            <w:tcW w:w="220" w:type="dxa"/>
            <w:vAlign w:val="bottom"/>
            <w:tcBorders>
              <w:top w:val="single" w:sz="8" w:color="1414D2"/>
            </w:tcBorders>
            <w:shd w:val="clear" w:color="auto" w:fill="F2F2F2"/>
          </w:tcPr>
          <w:p>
            <w:pPr>
              <w:spacing w:after="0"/>
              <w:rPr>
                <w:sz w:val="10"/>
                <w:szCs w:val="10"/>
                <w:color w:val="auto"/>
              </w:rPr>
            </w:pPr>
          </w:p>
        </w:tc>
        <w:tc>
          <w:tcPr>
            <w:tcW w:w="840" w:type="dxa"/>
            <w:vAlign w:val="bottom"/>
            <w:tcBorders>
              <w:top w:val="single" w:sz="8" w:color="1414D2"/>
            </w:tcBorders>
            <w:shd w:val="clear" w:color="auto" w:fill="F2F2F2"/>
          </w:tcPr>
          <w:p>
            <w:pPr>
              <w:spacing w:after="0"/>
              <w:rPr>
                <w:sz w:val="10"/>
                <w:szCs w:val="10"/>
                <w:color w:val="auto"/>
              </w:rPr>
            </w:pPr>
          </w:p>
        </w:tc>
        <w:tc>
          <w:tcPr>
            <w:tcW w:w="200" w:type="dxa"/>
            <w:vAlign w:val="bottom"/>
            <w:tcBorders>
              <w:top w:val="single" w:sz="8" w:color="1414D2"/>
            </w:tcBorders>
            <w:shd w:val="clear" w:color="auto" w:fill="F2F2F2"/>
          </w:tcPr>
          <w:p>
            <w:pPr>
              <w:spacing w:after="0"/>
              <w:rPr>
                <w:sz w:val="10"/>
                <w:szCs w:val="10"/>
                <w:color w:val="auto"/>
              </w:rPr>
            </w:pPr>
          </w:p>
        </w:tc>
        <w:tc>
          <w:tcPr>
            <w:tcW w:w="860" w:type="dxa"/>
            <w:vAlign w:val="bottom"/>
            <w:tcBorders>
              <w:top w:val="single" w:sz="8" w:color="1414D2"/>
            </w:tcBorders>
            <w:shd w:val="clear" w:color="auto" w:fill="F2F2F2"/>
          </w:tcPr>
          <w:p>
            <w:pPr>
              <w:spacing w:after="0"/>
              <w:rPr>
                <w:sz w:val="10"/>
                <w:szCs w:val="10"/>
                <w:color w:val="auto"/>
              </w:rPr>
            </w:pPr>
          </w:p>
        </w:tc>
        <w:tc>
          <w:tcPr>
            <w:tcW w:w="200" w:type="dxa"/>
            <w:vAlign w:val="bottom"/>
            <w:tcBorders>
              <w:top w:val="single" w:sz="8" w:color="F2F2F2"/>
            </w:tcBorders>
            <w:shd w:val="clear" w:color="auto" w:fill="F2F2F2"/>
          </w:tcPr>
          <w:p>
            <w:pPr>
              <w:spacing w:after="0"/>
              <w:rPr>
                <w:sz w:val="10"/>
                <w:szCs w:val="10"/>
                <w:color w:val="auto"/>
              </w:rPr>
            </w:pPr>
          </w:p>
        </w:tc>
        <w:tc>
          <w:tcPr>
            <w:tcW w:w="820" w:type="dxa"/>
            <w:vAlign w:val="bottom"/>
            <w:tcBorders>
              <w:top w:val="single" w:sz="8" w:color="1414D2"/>
            </w:tcBorders>
            <w:shd w:val="clear" w:color="auto" w:fill="F2F2F2"/>
          </w:tcPr>
          <w:p>
            <w:pPr>
              <w:spacing w:after="0"/>
              <w:rPr>
                <w:sz w:val="10"/>
                <w:szCs w:val="10"/>
                <w:color w:val="auto"/>
              </w:rPr>
            </w:pPr>
          </w:p>
        </w:tc>
        <w:tc>
          <w:tcPr>
            <w:tcW w:w="240" w:type="dxa"/>
            <w:vAlign w:val="bottom"/>
            <w:tcBorders>
              <w:top w:val="single" w:sz="8" w:color="1414D2"/>
            </w:tcBorders>
            <w:shd w:val="clear" w:color="auto" w:fill="F2F2F2"/>
          </w:tcPr>
          <w:p>
            <w:pPr>
              <w:spacing w:after="0"/>
              <w:rPr>
                <w:sz w:val="10"/>
                <w:szCs w:val="10"/>
                <w:color w:val="auto"/>
              </w:rPr>
            </w:pPr>
          </w:p>
        </w:tc>
        <w:tc>
          <w:tcPr>
            <w:tcW w:w="820" w:type="dxa"/>
            <w:vAlign w:val="bottom"/>
            <w:tcBorders>
              <w:top w:val="single" w:sz="8" w:color="1414D2"/>
            </w:tcBorders>
            <w:shd w:val="clear" w:color="auto" w:fill="F2F2F2"/>
          </w:tcPr>
          <w:p>
            <w:pPr>
              <w:spacing w:after="0"/>
              <w:rPr>
                <w:sz w:val="10"/>
                <w:szCs w:val="10"/>
                <w:color w:val="auto"/>
              </w:rPr>
            </w:pPr>
          </w:p>
        </w:tc>
        <w:tc>
          <w:tcPr>
            <w:tcW w:w="220" w:type="dxa"/>
            <w:vAlign w:val="bottom"/>
            <w:tcBorders>
              <w:top w:val="single" w:sz="8" w:color="1414D2"/>
            </w:tcBorders>
            <w:shd w:val="clear" w:color="auto" w:fill="F2F2F2"/>
          </w:tcPr>
          <w:p>
            <w:pPr>
              <w:spacing w:after="0"/>
              <w:rPr>
                <w:sz w:val="10"/>
                <w:szCs w:val="10"/>
                <w:color w:val="auto"/>
              </w:rPr>
            </w:pPr>
          </w:p>
        </w:tc>
        <w:tc>
          <w:tcPr>
            <w:tcW w:w="840" w:type="dxa"/>
            <w:vAlign w:val="bottom"/>
            <w:tcBorders>
              <w:top w:val="single" w:sz="8" w:color="1414D2"/>
            </w:tcBorders>
            <w:shd w:val="clear" w:color="auto" w:fill="F2F2F2"/>
          </w:tcPr>
          <w:p>
            <w:pPr>
              <w:jc w:val="center"/>
              <w:spacing w:after="0" w:line="118" w:lineRule="exact"/>
              <w:rPr>
                <w:sz w:val="20"/>
                <w:szCs w:val="20"/>
                <w:color w:val="auto"/>
              </w:rPr>
            </w:pPr>
            <w:r>
              <w:rPr>
                <w:rFonts w:ascii="Arial" w:cs="Arial" w:eastAsia="Arial" w:hAnsi="Arial"/>
                <w:sz w:val="12"/>
                <w:szCs w:val="12"/>
                <w:b w:val="1"/>
                <w:bCs w:val="1"/>
                <w:color w:val="231F20"/>
              </w:rPr>
              <w:t>Equity</w:t>
            </w:r>
          </w:p>
        </w:tc>
        <w:tc>
          <w:tcPr>
            <w:tcW w:w="220" w:type="dxa"/>
            <w:vAlign w:val="bottom"/>
            <w:tcBorders>
              <w:top w:val="single" w:sz="8" w:color="1414D2"/>
            </w:tcBorders>
            <w:shd w:val="clear" w:color="auto" w:fill="F2F2F2"/>
          </w:tcPr>
          <w:p>
            <w:pPr>
              <w:spacing w:after="0"/>
              <w:rPr>
                <w:sz w:val="10"/>
                <w:szCs w:val="10"/>
                <w:color w:val="auto"/>
              </w:rPr>
            </w:pPr>
          </w:p>
        </w:tc>
        <w:tc>
          <w:tcPr>
            <w:tcW w:w="820" w:type="dxa"/>
            <w:vAlign w:val="bottom"/>
            <w:tcBorders>
              <w:top w:val="single" w:sz="8" w:color="1414D2"/>
            </w:tcBorders>
            <w:shd w:val="clear" w:color="auto" w:fill="F2F2F2"/>
          </w:tcPr>
          <w:p>
            <w:pPr>
              <w:jc w:val="center"/>
              <w:spacing w:after="0" w:line="118" w:lineRule="exact"/>
              <w:rPr>
                <w:sz w:val="20"/>
                <w:szCs w:val="20"/>
                <w:color w:val="auto"/>
              </w:rPr>
            </w:pPr>
            <w:r>
              <w:rPr>
                <w:rFonts w:ascii="Arial" w:cs="Arial" w:eastAsia="Arial" w:hAnsi="Arial"/>
                <w:sz w:val="12"/>
                <w:szCs w:val="12"/>
                <w:b w:val="1"/>
                <w:bCs w:val="1"/>
                <w:color w:val="231F20"/>
                <w:w w:val="98"/>
              </w:rPr>
              <w:t>Equity</w:t>
            </w:r>
          </w:p>
        </w:tc>
        <w:tc>
          <w:tcPr>
            <w:tcW w:w="200" w:type="dxa"/>
            <w:vAlign w:val="bottom"/>
            <w:tcBorders>
              <w:top w:val="single" w:sz="8" w:color="1414D2"/>
            </w:tcBorders>
            <w:shd w:val="clear" w:color="auto" w:fill="F2F2F2"/>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120" w:type="dxa"/>
            <w:vAlign w:val="bottom"/>
            <w:shd w:val="clear" w:color="auto" w:fill="F2F2F2"/>
          </w:tcPr>
          <w:p>
            <w:pPr>
              <w:spacing w:after="0"/>
              <w:rPr>
                <w:sz w:val="11"/>
                <w:szCs w:val="11"/>
                <w:color w:val="auto"/>
              </w:rPr>
            </w:pPr>
          </w:p>
        </w:tc>
        <w:tc>
          <w:tcPr>
            <w:tcW w:w="200" w:type="dxa"/>
            <w:vAlign w:val="bottom"/>
            <w:shd w:val="clear" w:color="auto" w:fill="F2F2F2"/>
          </w:tcPr>
          <w:p>
            <w:pPr>
              <w:spacing w:after="0"/>
              <w:rPr>
                <w:sz w:val="11"/>
                <w:szCs w:val="11"/>
                <w:color w:val="auto"/>
              </w:rPr>
            </w:pPr>
          </w:p>
        </w:tc>
        <w:tc>
          <w:tcPr>
            <w:tcW w:w="840" w:type="dxa"/>
            <w:vAlign w:val="bottom"/>
            <w:shd w:val="clear" w:color="auto" w:fill="F2F2F2"/>
          </w:tcPr>
          <w:p>
            <w:pPr>
              <w:spacing w:after="0"/>
              <w:rPr>
                <w:sz w:val="11"/>
                <w:szCs w:val="11"/>
                <w:color w:val="auto"/>
              </w:rPr>
            </w:pPr>
          </w:p>
        </w:tc>
        <w:tc>
          <w:tcPr>
            <w:tcW w:w="220" w:type="dxa"/>
            <w:vAlign w:val="bottom"/>
            <w:shd w:val="clear" w:color="auto" w:fill="F2F2F2"/>
          </w:tcPr>
          <w:p>
            <w:pPr>
              <w:spacing w:after="0"/>
              <w:rPr>
                <w:sz w:val="11"/>
                <w:szCs w:val="11"/>
                <w:color w:val="auto"/>
              </w:rPr>
            </w:pPr>
          </w:p>
        </w:tc>
        <w:tc>
          <w:tcPr>
            <w:tcW w:w="840" w:type="dxa"/>
            <w:vAlign w:val="bottom"/>
            <w:shd w:val="clear" w:color="auto" w:fill="F2F2F2"/>
          </w:tcPr>
          <w:p>
            <w:pPr>
              <w:spacing w:after="0"/>
              <w:rPr>
                <w:sz w:val="11"/>
                <w:szCs w:val="11"/>
                <w:color w:val="auto"/>
              </w:rPr>
            </w:pPr>
          </w:p>
        </w:tc>
        <w:tc>
          <w:tcPr>
            <w:tcW w:w="220" w:type="dxa"/>
            <w:vAlign w:val="bottom"/>
            <w:shd w:val="clear" w:color="auto" w:fill="F2F2F2"/>
          </w:tcPr>
          <w:p>
            <w:pPr>
              <w:spacing w:after="0"/>
              <w:rPr>
                <w:sz w:val="11"/>
                <w:szCs w:val="11"/>
                <w:color w:val="auto"/>
              </w:rPr>
            </w:pPr>
          </w:p>
        </w:tc>
        <w:tc>
          <w:tcPr>
            <w:tcW w:w="840" w:type="dxa"/>
            <w:vAlign w:val="bottom"/>
            <w:shd w:val="clear" w:color="auto" w:fill="F2F2F2"/>
          </w:tcPr>
          <w:p>
            <w:pPr>
              <w:spacing w:after="0"/>
              <w:rPr>
                <w:sz w:val="11"/>
                <w:szCs w:val="11"/>
                <w:color w:val="auto"/>
              </w:rPr>
            </w:pPr>
          </w:p>
        </w:tc>
        <w:tc>
          <w:tcPr>
            <w:tcW w:w="200" w:type="dxa"/>
            <w:vAlign w:val="bottom"/>
            <w:shd w:val="clear" w:color="auto" w:fill="F2F2F2"/>
          </w:tcPr>
          <w:p>
            <w:pPr>
              <w:spacing w:after="0"/>
              <w:rPr>
                <w:sz w:val="11"/>
                <w:szCs w:val="11"/>
                <w:color w:val="auto"/>
              </w:rPr>
            </w:pPr>
          </w:p>
        </w:tc>
        <w:tc>
          <w:tcPr>
            <w:tcW w:w="860" w:type="dxa"/>
            <w:vAlign w:val="bottom"/>
            <w:shd w:val="clear" w:color="auto" w:fill="F2F2F2"/>
          </w:tcPr>
          <w:p>
            <w:pPr>
              <w:spacing w:after="0"/>
              <w:rPr>
                <w:sz w:val="11"/>
                <w:szCs w:val="11"/>
                <w:color w:val="auto"/>
              </w:rPr>
            </w:pPr>
          </w:p>
        </w:tc>
        <w:tc>
          <w:tcPr>
            <w:tcW w:w="200" w:type="dxa"/>
            <w:vAlign w:val="bottom"/>
            <w:shd w:val="clear" w:color="auto" w:fill="F2F2F2"/>
          </w:tcPr>
          <w:p>
            <w:pPr>
              <w:spacing w:after="0"/>
              <w:rPr>
                <w:sz w:val="11"/>
                <w:szCs w:val="11"/>
                <w:color w:val="auto"/>
              </w:rPr>
            </w:pPr>
          </w:p>
        </w:tc>
        <w:tc>
          <w:tcPr>
            <w:tcW w:w="820" w:type="dxa"/>
            <w:vAlign w:val="bottom"/>
            <w:shd w:val="clear" w:color="auto" w:fill="F2F2F2"/>
          </w:tcPr>
          <w:p>
            <w:pPr>
              <w:spacing w:after="0"/>
              <w:rPr>
                <w:sz w:val="11"/>
                <w:szCs w:val="11"/>
                <w:color w:val="auto"/>
              </w:rPr>
            </w:pPr>
          </w:p>
        </w:tc>
        <w:tc>
          <w:tcPr>
            <w:tcW w:w="240" w:type="dxa"/>
            <w:vAlign w:val="bottom"/>
            <w:shd w:val="clear" w:color="auto" w:fill="F2F2F2"/>
          </w:tcPr>
          <w:p>
            <w:pPr>
              <w:spacing w:after="0"/>
              <w:rPr>
                <w:sz w:val="11"/>
                <w:szCs w:val="11"/>
                <w:color w:val="auto"/>
              </w:rPr>
            </w:pPr>
          </w:p>
        </w:tc>
        <w:tc>
          <w:tcPr>
            <w:tcW w:w="820" w:type="dxa"/>
            <w:vAlign w:val="bottom"/>
            <w:shd w:val="clear" w:color="auto" w:fill="F2F2F2"/>
          </w:tcPr>
          <w:p>
            <w:pPr>
              <w:spacing w:after="0"/>
              <w:rPr>
                <w:sz w:val="11"/>
                <w:szCs w:val="11"/>
                <w:color w:val="auto"/>
              </w:rPr>
            </w:pPr>
          </w:p>
        </w:tc>
        <w:tc>
          <w:tcPr>
            <w:tcW w:w="220" w:type="dxa"/>
            <w:vAlign w:val="bottom"/>
            <w:shd w:val="clear" w:color="auto" w:fill="F2F2F2"/>
          </w:tcPr>
          <w:p>
            <w:pPr>
              <w:spacing w:after="0"/>
              <w:rPr>
                <w:sz w:val="11"/>
                <w:szCs w:val="11"/>
                <w:color w:val="auto"/>
              </w:rPr>
            </w:pPr>
          </w:p>
        </w:tc>
        <w:tc>
          <w:tcPr>
            <w:tcW w:w="840" w:type="dxa"/>
            <w:vAlign w:val="bottom"/>
            <w:shd w:val="clear" w:color="auto" w:fill="F2F2F2"/>
          </w:tcPr>
          <w:p>
            <w:pPr>
              <w:jc w:val="center"/>
              <w:spacing w:after="0" w:line="135" w:lineRule="exact"/>
              <w:rPr>
                <w:sz w:val="20"/>
                <w:szCs w:val="20"/>
                <w:color w:val="auto"/>
              </w:rPr>
            </w:pPr>
            <w:r>
              <w:rPr>
                <w:rFonts w:ascii="Arial" w:cs="Arial" w:eastAsia="Arial" w:hAnsi="Arial"/>
                <w:sz w:val="12"/>
                <w:szCs w:val="12"/>
                <w:b w:val="1"/>
                <w:bCs w:val="1"/>
                <w:color w:val="231F20"/>
              </w:rPr>
              <w:t>Incentive</w:t>
            </w:r>
          </w:p>
        </w:tc>
        <w:tc>
          <w:tcPr>
            <w:tcW w:w="220" w:type="dxa"/>
            <w:vAlign w:val="bottom"/>
            <w:shd w:val="clear" w:color="auto" w:fill="F2F2F2"/>
          </w:tcPr>
          <w:p>
            <w:pPr>
              <w:spacing w:after="0"/>
              <w:rPr>
                <w:sz w:val="11"/>
                <w:szCs w:val="11"/>
                <w:color w:val="auto"/>
              </w:rPr>
            </w:pPr>
          </w:p>
        </w:tc>
        <w:tc>
          <w:tcPr>
            <w:tcW w:w="820" w:type="dxa"/>
            <w:vAlign w:val="bottom"/>
            <w:shd w:val="clear" w:color="auto" w:fill="F2F2F2"/>
          </w:tcPr>
          <w:p>
            <w:pPr>
              <w:jc w:val="center"/>
              <w:spacing w:after="0" w:line="135" w:lineRule="exact"/>
              <w:rPr>
                <w:sz w:val="20"/>
                <w:szCs w:val="20"/>
                <w:color w:val="auto"/>
              </w:rPr>
            </w:pPr>
            <w:r>
              <w:rPr>
                <w:rFonts w:ascii="Arial" w:cs="Arial" w:eastAsia="Arial" w:hAnsi="Arial"/>
                <w:sz w:val="12"/>
                <w:szCs w:val="12"/>
                <w:b w:val="1"/>
                <w:bCs w:val="1"/>
                <w:color w:val="231F20"/>
              </w:rPr>
              <w:t>Incentive</w:t>
            </w:r>
          </w:p>
        </w:tc>
        <w:tc>
          <w:tcPr>
            <w:tcW w:w="200" w:type="dxa"/>
            <w:vAlign w:val="bottom"/>
            <w:shd w:val="clear" w:color="auto" w:fill="F2F2F2"/>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20" w:type="dxa"/>
            <w:vAlign w:val="bottom"/>
            <w:shd w:val="clear" w:color="auto" w:fill="F2F2F2"/>
          </w:tcPr>
          <w:p>
            <w:pPr>
              <w:spacing w:after="0"/>
              <w:rPr>
                <w:sz w:val="11"/>
                <w:szCs w:val="11"/>
                <w:color w:val="auto"/>
              </w:rPr>
            </w:pPr>
          </w:p>
        </w:tc>
        <w:tc>
          <w:tcPr>
            <w:tcW w:w="200" w:type="dxa"/>
            <w:vAlign w:val="bottom"/>
            <w:shd w:val="clear" w:color="auto" w:fill="F2F2F2"/>
          </w:tcPr>
          <w:p>
            <w:pPr>
              <w:spacing w:after="0"/>
              <w:rPr>
                <w:sz w:val="11"/>
                <w:szCs w:val="11"/>
                <w:color w:val="auto"/>
              </w:rPr>
            </w:pPr>
          </w:p>
        </w:tc>
        <w:tc>
          <w:tcPr>
            <w:tcW w:w="840" w:type="dxa"/>
            <w:vAlign w:val="bottom"/>
            <w:shd w:val="clear" w:color="auto" w:fill="F2F2F2"/>
          </w:tcPr>
          <w:p>
            <w:pPr>
              <w:spacing w:after="0"/>
              <w:rPr>
                <w:sz w:val="11"/>
                <w:szCs w:val="11"/>
                <w:color w:val="auto"/>
              </w:rPr>
            </w:pPr>
          </w:p>
        </w:tc>
        <w:tc>
          <w:tcPr>
            <w:tcW w:w="220" w:type="dxa"/>
            <w:vAlign w:val="bottom"/>
            <w:shd w:val="clear" w:color="auto" w:fill="F2F2F2"/>
          </w:tcPr>
          <w:p>
            <w:pPr>
              <w:spacing w:after="0"/>
              <w:rPr>
                <w:sz w:val="11"/>
                <w:szCs w:val="11"/>
                <w:color w:val="auto"/>
              </w:rPr>
            </w:pPr>
          </w:p>
        </w:tc>
        <w:tc>
          <w:tcPr>
            <w:tcW w:w="840" w:type="dxa"/>
            <w:vAlign w:val="bottom"/>
            <w:shd w:val="clear" w:color="auto" w:fill="F2F2F2"/>
          </w:tcPr>
          <w:p>
            <w:pPr>
              <w:spacing w:after="0"/>
              <w:rPr>
                <w:sz w:val="11"/>
                <w:szCs w:val="11"/>
                <w:color w:val="auto"/>
              </w:rPr>
            </w:pPr>
          </w:p>
        </w:tc>
        <w:tc>
          <w:tcPr>
            <w:tcW w:w="220" w:type="dxa"/>
            <w:vAlign w:val="bottom"/>
            <w:shd w:val="clear" w:color="auto" w:fill="F2F2F2"/>
          </w:tcPr>
          <w:p>
            <w:pPr>
              <w:spacing w:after="0"/>
              <w:rPr>
                <w:sz w:val="11"/>
                <w:szCs w:val="11"/>
                <w:color w:val="auto"/>
              </w:rPr>
            </w:pPr>
          </w:p>
        </w:tc>
        <w:tc>
          <w:tcPr>
            <w:tcW w:w="840" w:type="dxa"/>
            <w:vAlign w:val="bottom"/>
            <w:shd w:val="clear" w:color="auto" w:fill="F2F2F2"/>
          </w:tcPr>
          <w:p>
            <w:pPr>
              <w:spacing w:after="0"/>
              <w:rPr>
                <w:sz w:val="11"/>
                <w:szCs w:val="11"/>
                <w:color w:val="auto"/>
              </w:rPr>
            </w:pPr>
          </w:p>
        </w:tc>
        <w:tc>
          <w:tcPr>
            <w:tcW w:w="200" w:type="dxa"/>
            <w:vAlign w:val="bottom"/>
            <w:shd w:val="clear" w:color="auto" w:fill="F2F2F2"/>
          </w:tcPr>
          <w:p>
            <w:pPr>
              <w:spacing w:after="0"/>
              <w:rPr>
                <w:sz w:val="11"/>
                <w:szCs w:val="11"/>
                <w:color w:val="auto"/>
              </w:rPr>
            </w:pPr>
          </w:p>
        </w:tc>
        <w:tc>
          <w:tcPr>
            <w:tcW w:w="860" w:type="dxa"/>
            <w:vAlign w:val="bottom"/>
            <w:shd w:val="clear" w:color="auto" w:fill="F2F2F2"/>
          </w:tcPr>
          <w:p>
            <w:pPr>
              <w:spacing w:after="0"/>
              <w:rPr>
                <w:sz w:val="11"/>
                <w:szCs w:val="11"/>
                <w:color w:val="auto"/>
              </w:rPr>
            </w:pPr>
          </w:p>
        </w:tc>
        <w:tc>
          <w:tcPr>
            <w:tcW w:w="200" w:type="dxa"/>
            <w:vAlign w:val="bottom"/>
            <w:shd w:val="clear" w:color="auto" w:fill="F2F2F2"/>
          </w:tcPr>
          <w:p>
            <w:pPr>
              <w:spacing w:after="0"/>
              <w:rPr>
                <w:sz w:val="11"/>
                <w:szCs w:val="11"/>
                <w:color w:val="auto"/>
              </w:rPr>
            </w:pPr>
          </w:p>
        </w:tc>
        <w:tc>
          <w:tcPr>
            <w:tcW w:w="820" w:type="dxa"/>
            <w:vAlign w:val="bottom"/>
            <w:shd w:val="clear" w:color="auto" w:fill="F2F2F2"/>
          </w:tcPr>
          <w:p>
            <w:pPr>
              <w:spacing w:after="0"/>
              <w:rPr>
                <w:sz w:val="11"/>
                <w:szCs w:val="11"/>
                <w:color w:val="auto"/>
              </w:rPr>
            </w:pPr>
          </w:p>
        </w:tc>
        <w:tc>
          <w:tcPr>
            <w:tcW w:w="240" w:type="dxa"/>
            <w:vAlign w:val="bottom"/>
            <w:shd w:val="clear" w:color="auto" w:fill="F2F2F2"/>
          </w:tcPr>
          <w:p>
            <w:pPr>
              <w:spacing w:after="0"/>
              <w:rPr>
                <w:sz w:val="11"/>
                <w:szCs w:val="11"/>
                <w:color w:val="auto"/>
              </w:rPr>
            </w:pPr>
          </w:p>
        </w:tc>
        <w:tc>
          <w:tcPr>
            <w:tcW w:w="820" w:type="dxa"/>
            <w:vAlign w:val="bottom"/>
            <w:shd w:val="clear" w:color="auto" w:fill="F2F2F2"/>
          </w:tcPr>
          <w:p>
            <w:pPr>
              <w:spacing w:after="0"/>
              <w:rPr>
                <w:sz w:val="11"/>
                <w:szCs w:val="11"/>
                <w:color w:val="auto"/>
              </w:rPr>
            </w:pPr>
          </w:p>
        </w:tc>
        <w:tc>
          <w:tcPr>
            <w:tcW w:w="220" w:type="dxa"/>
            <w:vAlign w:val="bottom"/>
            <w:shd w:val="clear" w:color="auto" w:fill="F2F2F2"/>
          </w:tcPr>
          <w:p>
            <w:pPr>
              <w:spacing w:after="0"/>
              <w:rPr>
                <w:sz w:val="11"/>
                <w:szCs w:val="11"/>
                <w:color w:val="auto"/>
              </w:rPr>
            </w:pPr>
          </w:p>
        </w:tc>
        <w:tc>
          <w:tcPr>
            <w:tcW w:w="840" w:type="dxa"/>
            <w:vAlign w:val="bottom"/>
            <w:shd w:val="clear" w:color="auto" w:fill="F2F2F2"/>
          </w:tcPr>
          <w:p>
            <w:pPr>
              <w:jc w:val="center"/>
              <w:spacing w:after="0" w:line="135" w:lineRule="exact"/>
              <w:rPr>
                <w:sz w:val="20"/>
                <w:szCs w:val="20"/>
                <w:color w:val="auto"/>
              </w:rPr>
            </w:pPr>
            <w:r>
              <w:rPr>
                <w:rFonts w:ascii="Arial" w:cs="Arial" w:eastAsia="Arial" w:hAnsi="Arial"/>
                <w:sz w:val="12"/>
                <w:szCs w:val="12"/>
                <w:b w:val="1"/>
                <w:bCs w:val="1"/>
                <w:color w:val="231F20"/>
              </w:rPr>
              <w:t>Plan</w:t>
            </w:r>
          </w:p>
        </w:tc>
        <w:tc>
          <w:tcPr>
            <w:tcW w:w="220" w:type="dxa"/>
            <w:vAlign w:val="bottom"/>
            <w:shd w:val="clear" w:color="auto" w:fill="F2F2F2"/>
          </w:tcPr>
          <w:p>
            <w:pPr>
              <w:spacing w:after="0"/>
              <w:rPr>
                <w:sz w:val="11"/>
                <w:szCs w:val="11"/>
                <w:color w:val="auto"/>
              </w:rPr>
            </w:pPr>
          </w:p>
        </w:tc>
        <w:tc>
          <w:tcPr>
            <w:tcW w:w="820" w:type="dxa"/>
            <w:vAlign w:val="bottom"/>
            <w:shd w:val="clear" w:color="auto" w:fill="F2F2F2"/>
          </w:tcPr>
          <w:p>
            <w:pPr>
              <w:jc w:val="center"/>
              <w:spacing w:after="0" w:line="135" w:lineRule="exact"/>
              <w:rPr>
                <w:sz w:val="20"/>
                <w:szCs w:val="20"/>
                <w:color w:val="auto"/>
              </w:rPr>
            </w:pPr>
            <w:r>
              <w:rPr>
                <w:rFonts w:ascii="Arial" w:cs="Arial" w:eastAsia="Arial" w:hAnsi="Arial"/>
                <w:sz w:val="12"/>
                <w:szCs w:val="12"/>
                <w:b w:val="1"/>
                <w:bCs w:val="1"/>
                <w:color w:val="231F20"/>
              </w:rPr>
              <w:t>Plan</w:t>
            </w:r>
          </w:p>
        </w:tc>
        <w:tc>
          <w:tcPr>
            <w:tcW w:w="200" w:type="dxa"/>
            <w:vAlign w:val="bottom"/>
            <w:shd w:val="clear" w:color="auto" w:fill="F2F2F2"/>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20" w:type="dxa"/>
            <w:vAlign w:val="bottom"/>
            <w:shd w:val="clear" w:color="auto" w:fill="F2F2F2"/>
          </w:tcPr>
          <w:p>
            <w:pPr>
              <w:spacing w:after="0"/>
              <w:rPr>
                <w:sz w:val="11"/>
                <w:szCs w:val="11"/>
                <w:color w:val="auto"/>
              </w:rPr>
            </w:pPr>
          </w:p>
        </w:tc>
        <w:tc>
          <w:tcPr>
            <w:tcW w:w="200" w:type="dxa"/>
            <w:vAlign w:val="bottom"/>
            <w:shd w:val="clear" w:color="auto" w:fill="F2F2F2"/>
          </w:tcPr>
          <w:p>
            <w:pPr>
              <w:spacing w:after="0"/>
              <w:rPr>
                <w:sz w:val="11"/>
                <w:szCs w:val="11"/>
                <w:color w:val="auto"/>
              </w:rPr>
            </w:pPr>
          </w:p>
        </w:tc>
        <w:tc>
          <w:tcPr>
            <w:tcW w:w="840" w:type="dxa"/>
            <w:vAlign w:val="bottom"/>
            <w:shd w:val="clear" w:color="auto" w:fill="F2F2F2"/>
          </w:tcPr>
          <w:p>
            <w:pPr>
              <w:spacing w:after="0"/>
              <w:rPr>
                <w:sz w:val="11"/>
                <w:szCs w:val="11"/>
                <w:color w:val="auto"/>
              </w:rPr>
            </w:pPr>
          </w:p>
        </w:tc>
        <w:tc>
          <w:tcPr>
            <w:tcW w:w="220" w:type="dxa"/>
            <w:vAlign w:val="bottom"/>
            <w:shd w:val="clear" w:color="auto" w:fill="F2F2F2"/>
          </w:tcPr>
          <w:p>
            <w:pPr>
              <w:spacing w:after="0"/>
              <w:rPr>
                <w:sz w:val="11"/>
                <w:szCs w:val="11"/>
                <w:color w:val="auto"/>
              </w:rPr>
            </w:pPr>
          </w:p>
        </w:tc>
        <w:tc>
          <w:tcPr>
            <w:tcW w:w="840" w:type="dxa"/>
            <w:vAlign w:val="bottom"/>
            <w:shd w:val="clear" w:color="auto" w:fill="F2F2F2"/>
          </w:tcPr>
          <w:p>
            <w:pPr>
              <w:spacing w:after="0"/>
              <w:rPr>
                <w:sz w:val="11"/>
                <w:szCs w:val="11"/>
                <w:color w:val="auto"/>
              </w:rPr>
            </w:pPr>
          </w:p>
        </w:tc>
        <w:tc>
          <w:tcPr>
            <w:tcW w:w="220" w:type="dxa"/>
            <w:vAlign w:val="bottom"/>
            <w:shd w:val="clear" w:color="auto" w:fill="F2F2F2"/>
          </w:tcPr>
          <w:p>
            <w:pPr>
              <w:spacing w:after="0"/>
              <w:rPr>
                <w:sz w:val="11"/>
                <w:szCs w:val="11"/>
                <w:color w:val="auto"/>
              </w:rPr>
            </w:pPr>
          </w:p>
        </w:tc>
        <w:tc>
          <w:tcPr>
            <w:tcW w:w="840" w:type="dxa"/>
            <w:vAlign w:val="bottom"/>
            <w:shd w:val="clear" w:color="auto" w:fill="F2F2F2"/>
          </w:tcPr>
          <w:p>
            <w:pPr>
              <w:spacing w:after="0"/>
              <w:rPr>
                <w:sz w:val="11"/>
                <w:szCs w:val="11"/>
                <w:color w:val="auto"/>
              </w:rPr>
            </w:pPr>
          </w:p>
        </w:tc>
        <w:tc>
          <w:tcPr>
            <w:tcW w:w="200" w:type="dxa"/>
            <w:vAlign w:val="bottom"/>
            <w:shd w:val="clear" w:color="auto" w:fill="F2F2F2"/>
          </w:tcPr>
          <w:p>
            <w:pPr>
              <w:spacing w:after="0"/>
              <w:rPr>
                <w:sz w:val="11"/>
                <w:szCs w:val="11"/>
                <w:color w:val="auto"/>
              </w:rPr>
            </w:pPr>
          </w:p>
        </w:tc>
        <w:tc>
          <w:tcPr>
            <w:tcW w:w="860" w:type="dxa"/>
            <w:vAlign w:val="bottom"/>
            <w:shd w:val="clear" w:color="auto" w:fill="F2F2F2"/>
          </w:tcPr>
          <w:p>
            <w:pPr>
              <w:spacing w:after="0"/>
              <w:rPr>
                <w:sz w:val="11"/>
                <w:szCs w:val="11"/>
                <w:color w:val="auto"/>
              </w:rPr>
            </w:pPr>
          </w:p>
        </w:tc>
        <w:tc>
          <w:tcPr>
            <w:tcW w:w="200" w:type="dxa"/>
            <w:vAlign w:val="bottom"/>
            <w:shd w:val="clear" w:color="auto" w:fill="F2F2F2"/>
          </w:tcPr>
          <w:p>
            <w:pPr>
              <w:spacing w:after="0"/>
              <w:rPr>
                <w:sz w:val="11"/>
                <w:szCs w:val="11"/>
                <w:color w:val="auto"/>
              </w:rPr>
            </w:pPr>
          </w:p>
        </w:tc>
        <w:tc>
          <w:tcPr>
            <w:tcW w:w="820" w:type="dxa"/>
            <w:vAlign w:val="bottom"/>
            <w:shd w:val="clear" w:color="auto" w:fill="F2F2F2"/>
          </w:tcPr>
          <w:p>
            <w:pPr>
              <w:spacing w:after="0"/>
              <w:rPr>
                <w:sz w:val="11"/>
                <w:szCs w:val="11"/>
                <w:color w:val="auto"/>
              </w:rPr>
            </w:pPr>
          </w:p>
        </w:tc>
        <w:tc>
          <w:tcPr>
            <w:tcW w:w="240" w:type="dxa"/>
            <w:vAlign w:val="bottom"/>
            <w:shd w:val="clear" w:color="auto" w:fill="F2F2F2"/>
          </w:tcPr>
          <w:p>
            <w:pPr>
              <w:spacing w:after="0"/>
              <w:rPr>
                <w:sz w:val="11"/>
                <w:szCs w:val="11"/>
                <w:color w:val="auto"/>
              </w:rPr>
            </w:pPr>
          </w:p>
        </w:tc>
        <w:tc>
          <w:tcPr>
            <w:tcW w:w="820" w:type="dxa"/>
            <w:vAlign w:val="bottom"/>
            <w:shd w:val="clear" w:color="auto" w:fill="F2F2F2"/>
          </w:tcPr>
          <w:p>
            <w:pPr>
              <w:spacing w:after="0"/>
              <w:rPr>
                <w:sz w:val="11"/>
                <w:szCs w:val="11"/>
                <w:color w:val="auto"/>
              </w:rPr>
            </w:pPr>
          </w:p>
        </w:tc>
        <w:tc>
          <w:tcPr>
            <w:tcW w:w="220" w:type="dxa"/>
            <w:vAlign w:val="bottom"/>
            <w:shd w:val="clear" w:color="auto" w:fill="F2F2F2"/>
          </w:tcPr>
          <w:p>
            <w:pPr>
              <w:spacing w:after="0"/>
              <w:rPr>
                <w:sz w:val="11"/>
                <w:szCs w:val="11"/>
                <w:color w:val="auto"/>
              </w:rPr>
            </w:pPr>
          </w:p>
        </w:tc>
        <w:tc>
          <w:tcPr>
            <w:tcW w:w="840" w:type="dxa"/>
            <w:vAlign w:val="bottom"/>
            <w:shd w:val="clear" w:color="auto" w:fill="F2F2F2"/>
          </w:tcPr>
          <w:p>
            <w:pPr>
              <w:jc w:val="center"/>
              <w:spacing w:after="0" w:line="135" w:lineRule="exact"/>
              <w:rPr>
                <w:sz w:val="20"/>
                <w:szCs w:val="20"/>
                <w:color w:val="auto"/>
              </w:rPr>
            </w:pPr>
            <w:r>
              <w:rPr>
                <w:rFonts w:ascii="Arial" w:cs="Arial" w:eastAsia="Arial" w:hAnsi="Arial"/>
                <w:sz w:val="12"/>
                <w:szCs w:val="12"/>
                <w:b w:val="1"/>
                <w:bCs w:val="1"/>
                <w:color w:val="231F20"/>
                <w:w w:val="97"/>
              </w:rPr>
              <w:t>Awards;</w:t>
            </w:r>
          </w:p>
        </w:tc>
        <w:tc>
          <w:tcPr>
            <w:tcW w:w="220" w:type="dxa"/>
            <w:vAlign w:val="bottom"/>
            <w:shd w:val="clear" w:color="auto" w:fill="F2F2F2"/>
          </w:tcPr>
          <w:p>
            <w:pPr>
              <w:spacing w:after="0"/>
              <w:rPr>
                <w:sz w:val="11"/>
                <w:szCs w:val="11"/>
                <w:color w:val="auto"/>
              </w:rPr>
            </w:pPr>
          </w:p>
        </w:tc>
        <w:tc>
          <w:tcPr>
            <w:tcW w:w="820" w:type="dxa"/>
            <w:vAlign w:val="bottom"/>
            <w:shd w:val="clear" w:color="auto" w:fill="F2F2F2"/>
          </w:tcPr>
          <w:p>
            <w:pPr>
              <w:jc w:val="center"/>
              <w:spacing w:after="0" w:line="135" w:lineRule="exact"/>
              <w:rPr>
                <w:sz w:val="20"/>
                <w:szCs w:val="20"/>
                <w:color w:val="auto"/>
              </w:rPr>
            </w:pPr>
            <w:r>
              <w:rPr>
                <w:rFonts w:ascii="Arial" w:cs="Arial" w:eastAsia="Arial" w:hAnsi="Arial"/>
                <w:sz w:val="12"/>
                <w:szCs w:val="12"/>
                <w:b w:val="1"/>
                <w:bCs w:val="1"/>
                <w:color w:val="231F20"/>
              </w:rPr>
              <w:t>Awards;</w:t>
            </w:r>
          </w:p>
        </w:tc>
        <w:tc>
          <w:tcPr>
            <w:tcW w:w="200" w:type="dxa"/>
            <w:vAlign w:val="bottom"/>
            <w:shd w:val="clear" w:color="auto" w:fill="F2F2F2"/>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20" w:type="dxa"/>
            <w:vAlign w:val="bottom"/>
            <w:shd w:val="clear" w:color="auto" w:fill="F2F2F2"/>
          </w:tcPr>
          <w:p>
            <w:pPr>
              <w:spacing w:after="0"/>
              <w:rPr>
                <w:sz w:val="11"/>
                <w:szCs w:val="11"/>
                <w:color w:val="auto"/>
              </w:rPr>
            </w:pPr>
          </w:p>
        </w:tc>
        <w:tc>
          <w:tcPr>
            <w:tcW w:w="200" w:type="dxa"/>
            <w:vAlign w:val="bottom"/>
            <w:shd w:val="clear" w:color="auto" w:fill="F2F2F2"/>
          </w:tcPr>
          <w:p>
            <w:pPr>
              <w:spacing w:after="0"/>
              <w:rPr>
                <w:sz w:val="11"/>
                <w:szCs w:val="11"/>
                <w:color w:val="auto"/>
              </w:rPr>
            </w:pPr>
          </w:p>
        </w:tc>
        <w:tc>
          <w:tcPr>
            <w:tcW w:w="840" w:type="dxa"/>
            <w:vAlign w:val="bottom"/>
            <w:shd w:val="clear" w:color="auto" w:fill="F2F2F2"/>
          </w:tcPr>
          <w:p>
            <w:pPr>
              <w:spacing w:after="0"/>
              <w:rPr>
                <w:sz w:val="11"/>
                <w:szCs w:val="11"/>
                <w:color w:val="auto"/>
              </w:rPr>
            </w:pPr>
          </w:p>
        </w:tc>
        <w:tc>
          <w:tcPr>
            <w:tcW w:w="220" w:type="dxa"/>
            <w:vAlign w:val="bottom"/>
            <w:shd w:val="clear" w:color="auto" w:fill="F2F2F2"/>
          </w:tcPr>
          <w:p>
            <w:pPr>
              <w:spacing w:after="0"/>
              <w:rPr>
                <w:sz w:val="11"/>
                <w:szCs w:val="11"/>
                <w:color w:val="auto"/>
              </w:rPr>
            </w:pPr>
          </w:p>
        </w:tc>
        <w:tc>
          <w:tcPr>
            <w:tcW w:w="840" w:type="dxa"/>
            <w:vAlign w:val="bottom"/>
            <w:shd w:val="clear" w:color="auto" w:fill="F2F2F2"/>
          </w:tcPr>
          <w:p>
            <w:pPr>
              <w:spacing w:after="0"/>
              <w:rPr>
                <w:sz w:val="11"/>
                <w:szCs w:val="11"/>
                <w:color w:val="auto"/>
              </w:rPr>
            </w:pPr>
          </w:p>
        </w:tc>
        <w:tc>
          <w:tcPr>
            <w:tcW w:w="220" w:type="dxa"/>
            <w:vAlign w:val="bottom"/>
            <w:shd w:val="clear" w:color="auto" w:fill="F2F2F2"/>
          </w:tcPr>
          <w:p>
            <w:pPr>
              <w:spacing w:after="0"/>
              <w:rPr>
                <w:sz w:val="11"/>
                <w:szCs w:val="11"/>
                <w:color w:val="auto"/>
              </w:rPr>
            </w:pPr>
          </w:p>
        </w:tc>
        <w:tc>
          <w:tcPr>
            <w:tcW w:w="840" w:type="dxa"/>
            <w:vAlign w:val="bottom"/>
            <w:shd w:val="clear" w:color="auto" w:fill="F2F2F2"/>
          </w:tcPr>
          <w:p>
            <w:pPr>
              <w:spacing w:after="0"/>
              <w:rPr>
                <w:sz w:val="11"/>
                <w:szCs w:val="11"/>
                <w:color w:val="auto"/>
              </w:rPr>
            </w:pPr>
          </w:p>
        </w:tc>
        <w:tc>
          <w:tcPr>
            <w:tcW w:w="200" w:type="dxa"/>
            <w:vAlign w:val="bottom"/>
            <w:shd w:val="clear" w:color="auto" w:fill="F2F2F2"/>
          </w:tcPr>
          <w:p>
            <w:pPr>
              <w:spacing w:after="0"/>
              <w:rPr>
                <w:sz w:val="11"/>
                <w:szCs w:val="11"/>
                <w:color w:val="auto"/>
              </w:rPr>
            </w:pPr>
          </w:p>
        </w:tc>
        <w:tc>
          <w:tcPr>
            <w:tcW w:w="860" w:type="dxa"/>
            <w:vAlign w:val="bottom"/>
            <w:shd w:val="clear" w:color="auto" w:fill="F2F2F2"/>
          </w:tcPr>
          <w:p>
            <w:pPr>
              <w:spacing w:after="0"/>
              <w:rPr>
                <w:sz w:val="11"/>
                <w:szCs w:val="11"/>
                <w:color w:val="auto"/>
              </w:rPr>
            </w:pPr>
          </w:p>
        </w:tc>
        <w:tc>
          <w:tcPr>
            <w:tcW w:w="200" w:type="dxa"/>
            <w:vAlign w:val="bottom"/>
            <w:shd w:val="clear" w:color="auto" w:fill="F2F2F2"/>
          </w:tcPr>
          <w:p>
            <w:pPr>
              <w:spacing w:after="0"/>
              <w:rPr>
                <w:sz w:val="11"/>
                <w:szCs w:val="11"/>
                <w:color w:val="auto"/>
              </w:rPr>
            </w:pPr>
          </w:p>
        </w:tc>
        <w:tc>
          <w:tcPr>
            <w:tcW w:w="820" w:type="dxa"/>
            <w:vAlign w:val="bottom"/>
            <w:shd w:val="clear" w:color="auto" w:fill="F2F2F2"/>
          </w:tcPr>
          <w:p>
            <w:pPr>
              <w:spacing w:after="0"/>
              <w:rPr>
                <w:sz w:val="11"/>
                <w:szCs w:val="11"/>
                <w:color w:val="auto"/>
              </w:rPr>
            </w:pPr>
          </w:p>
        </w:tc>
        <w:tc>
          <w:tcPr>
            <w:tcW w:w="240" w:type="dxa"/>
            <w:vAlign w:val="bottom"/>
            <w:shd w:val="clear" w:color="auto" w:fill="F2F2F2"/>
          </w:tcPr>
          <w:p>
            <w:pPr>
              <w:spacing w:after="0"/>
              <w:rPr>
                <w:sz w:val="11"/>
                <w:szCs w:val="11"/>
                <w:color w:val="auto"/>
              </w:rPr>
            </w:pPr>
          </w:p>
        </w:tc>
        <w:tc>
          <w:tcPr>
            <w:tcW w:w="820" w:type="dxa"/>
            <w:vAlign w:val="bottom"/>
            <w:shd w:val="clear" w:color="auto" w:fill="F2F2F2"/>
          </w:tcPr>
          <w:p>
            <w:pPr>
              <w:spacing w:after="0"/>
              <w:rPr>
                <w:sz w:val="11"/>
                <w:szCs w:val="11"/>
                <w:color w:val="auto"/>
              </w:rPr>
            </w:pPr>
          </w:p>
        </w:tc>
        <w:tc>
          <w:tcPr>
            <w:tcW w:w="220" w:type="dxa"/>
            <w:vAlign w:val="bottom"/>
            <w:shd w:val="clear" w:color="auto" w:fill="F2F2F2"/>
          </w:tcPr>
          <w:p>
            <w:pPr>
              <w:spacing w:after="0"/>
              <w:rPr>
                <w:sz w:val="11"/>
                <w:szCs w:val="11"/>
                <w:color w:val="auto"/>
              </w:rPr>
            </w:pPr>
          </w:p>
        </w:tc>
        <w:tc>
          <w:tcPr>
            <w:tcW w:w="840" w:type="dxa"/>
            <w:vAlign w:val="bottom"/>
            <w:shd w:val="clear" w:color="auto" w:fill="F2F2F2"/>
          </w:tcPr>
          <w:p>
            <w:pPr>
              <w:jc w:val="center"/>
              <w:spacing w:after="0" w:line="135" w:lineRule="exact"/>
              <w:rPr>
                <w:sz w:val="20"/>
                <w:szCs w:val="20"/>
                <w:color w:val="auto"/>
              </w:rPr>
            </w:pPr>
            <w:r>
              <w:rPr>
                <w:rFonts w:ascii="Arial" w:cs="Arial" w:eastAsia="Arial" w:hAnsi="Arial"/>
                <w:sz w:val="12"/>
                <w:szCs w:val="12"/>
                <w:b w:val="1"/>
                <w:bCs w:val="1"/>
                <w:color w:val="231F20"/>
              </w:rPr>
              <w:t>Number</w:t>
            </w:r>
          </w:p>
        </w:tc>
        <w:tc>
          <w:tcPr>
            <w:tcW w:w="220" w:type="dxa"/>
            <w:vAlign w:val="bottom"/>
            <w:shd w:val="clear" w:color="auto" w:fill="F2F2F2"/>
          </w:tcPr>
          <w:p>
            <w:pPr>
              <w:spacing w:after="0"/>
              <w:rPr>
                <w:sz w:val="11"/>
                <w:szCs w:val="11"/>
                <w:color w:val="auto"/>
              </w:rPr>
            </w:pPr>
          </w:p>
        </w:tc>
        <w:tc>
          <w:tcPr>
            <w:tcW w:w="820" w:type="dxa"/>
            <w:vAlign w:val="bottom"/>
            <w:shd w:val="clear" w:color="auto" w:fill="F2F2F2"/>
          </w:tcPr>
          <w:p>
            <w:pPr>
              <w:jc w:val="center"/>
              <w:spacing w:after="0" w:line="135" w:lineRule="exact"/>
              <w:rPr>
                <w:sz w:val="20"/>
                <w:szCs w:val="20"/>
                <w:color w:val="auto"/>
              </w:rPr>
            </w:pPr>
            <w:r>
              <w:rPr>
                <w:rFonts w:ascii="Arial" w:cs="Arial" w:eastAsia="Arial" w:hAnsi="Arial"/>
                <w:sz w:val="12"/>
                <w:szCs w:val="12"/>
                <w:b w:val="1"/>
                <w:bCs w:val="1"/>
                <w:color w:val="231F20"/>
              </w:rPr>
              <w:t>Market or</w:t>
            </w:r>
          </w:p>
        </w:tc>
        <w:tc>
          <w:tcPr>
            <w:tcW w:w="200" w:type="dxa"/>
            <w:vAlign w:val="bottom"/>
            <w:shd w:val="clear" w:color="auto" w:fill="F2F2F2"/>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20" w:type="dxa"/>
            <w:vAlign w:val="bottom"/>
            <w:shd w:val="clear" w:color="auto" w:fill="F2F2F2"/>
          </w:tcPr>
          <w:p>
            <w:pPr>
              <w:spacing w:after="0"/>
              <w:rPr>
                <w:sz w:val="11"/>
                <w:szCs w:val="11"/>
                <w:color w:val="auto"/>
              </w:rPr>
            </w:pPr>
          </w:p>
        </w:tc>
        <w:tc>
          <w:tcPr>
            <w:tcW w:w="200" w:type="dxa"/>
            <w:vAlign w:val="bottom"/>
            <w:shd w:val="clear" w:color="auto" w:fill="F2F2F2"/>
          </w:tcPr>
          <w:p>
            <w:pPr>
              <w:spacing w:after="0"/>
              <w:rPr>
                <w:sz w:val="11"/>
                <w:szCs w:val="11"/>
                <w:color w:val="auto"/>
              </w:rPr>
            </w:pPr>
          </w:p>
        </w:tc>
        <w:tc>
          <w:tcPr>
            <w:tcW w:w="840" w:type="dxa"/>
            <w:vAlign w:val="bottom"/>
            <w:shd w:val="clear" w:color="auto" w:fill="F2F2F2"/>
          </w:tcPr>
          <w:p>
            <w:pPr>
              <w:spacing w:after="0"/>
              <w:rPr>
                <w:sz w:val="11"/>
                <w:szCs w:val="11"/>
                <w:color w:val="auto"/>
              </w:rPr>
            </w:pPr>
          </w:p>
        </w:tc>
        <w:tc>
          <w:tcPr>
            <w:tcW w:w="220" w:type="dxa"/>
            <w:vAlign w:val="bottom"/>
            <w:shd w:val="clear" w:color="auto" w:fill="F2F2F2"/>
          </w:tcPr>
          <w:p>
            <w:pPr>
              <w:spacing w:after="0"/>
              <w:rPr>
                <w:sz w:val="11"/>
                <w:szCs w:val="11"/>
                <w:color w:val="auto"/>
              </w:rPr>
            </w:pPr>
          </w:p>
        </w:tc>
        <w:tc>
          <w:tcPr>
            <w:tcW w:w="840" w:type="dxa"/>
            <w:vAlign w:val="bottom"/>
            <w:shd w:val="clear" w:color="auto" w:fill="F2F2F2"/>
          </w:tcPr>
          <w:p>
            <w:pPr>
              <w:spacing w:after="0"/>
              <w:rPr>
                <w:sz w:val="11"/>
                <w:szCs w:val="11"/>
                <w:color w:val="auto"/>
              </w:rPr>
            </w:pPr>
          </w:p>
        </w:tc>
        <w:tc>
          <w:tcPr>
            <w:tcW w:w="220" w:type="dxa"/>
            <w:vAlign w:val="bottom"/>
            <w:shd w:val="clear" w:color="auto" w:fill="F2F2F2"/>
          </w:tcPr>
          <w:p>
            <w:pPr>
              <w:spacing w:after="0"/>
              <w:rPr>
                <w:sz w:val="11"/>
                <w:szCs w:val="11"/>
                <w:color w:val="auto"/>
              </w:rPr>
            </w:pPr>
          </w:p>
        </w:tc>
        <w:tc>
          <w:tcPr>
            <w:tcW w:w="840" w:type="dxa"/>
            <w:vAlign w:val="bottom"/>
            <w:shd w:val="clear" w:color="auto" w:fill="F2F2F2"/>
          </w:tcPr>
          <w:p>
            <w:pPr>
              <w:spacing w:after="0"/>
              <w:rPr>
                <w:sz w:val="11"/>
                <w:szCs w:val="11"/>
                <w:color w:val="auto"/>
              </w:rPr>
            </w:pPr>
          </w:p>
        </w:tc>
        <w:tc>
          <w:tcPr>
            <w:tcW w:w="200" w:type="dxa"/>
            <w:vAlign w:val="bottom"/>
            <w:shd w:val="clear" w:color="auto" w:fill="F2F2F2"/>
          </w:tcPr>
          <w:p>
            <w:pPr>
              <w:spacing w:after="0"/>
              <w:rPr>
                <w:sz w:val="11"/>
                <w:szCs w:val="11"/>
                <w:color w:val="auto"/>
              </w:rPr>
            </w:pPr>
          </w:p>
        </w:tc>
        <w:tc>
          <w:tcPr>
            <w:tcW w:w="860" w:type="dxa"/>
            <w:vAlign w:val="bottom"/>
            <w:shd w:val="clear" w:color="auto" w:fill="F2F2F2"/>
          </w:tcPr>
          <w:p>
            <w:pPr>
              <w:spacing w:after="0"/>
              <w:rPr>
                <w:sz w:val="11"/>
                <w:szCs w:val="11"/>
                <w:color w:val="auto"/>
              </w:rPr>
            </w:pPr>
          </w:p>
        </w:tc>
        <w:tc>
          <w:tcPr>
            <w:tcW w:w="200" w:type="dxa"/>
            <w:vAlign w:val="bottom"/>
            <w:shd w:val="clear" w:color="auto" w:fill="F2F2F2"/>
          </w:tcPr>
          <w:p>
            <w:pPr>
              <w:spacing w:after="0"/>
              <w:rPr>
                <w:sz w:val="11"/>
                <w:szCs w:val="11"/>
                <w:color w:val="auto"/>
              </w:rPr>
            </w:pPr>
          </w:p>
        </w:tc>
        <w:tc>
          <w:tcPr>
            <w:tcW w:w="820" w:type="dxa"/>
            <w:vAlign w:val="bottom"/>
            <w:shd w:val="clear" w:color="auto" w:fill="F2F2F2"/>
          </w:tcPr>
          <w:p>
            <w:pPr>
              <w:spacing w:after="0"/>
              <w:rPr>
                <w:sz w:val="11"/>
                <w:szCs w:val="11"/>
                <w:color w:val="auto"/>
              </w:rPr>
            </w:pPr>
          </w:p>
        </w:tc>
        <w:tc>
          <w:tcPr>
            <w:tcW w:w="240" w:type="dxa"/>
            <w:vAlign w:val="bottom"/>
            <w:shd w:val="clear" w:color="auto" w:fill="F2F2F2"/>
          </w:tcPr>
          <w:p>
            <w:pPr>
              <w:spacing w:after="0"/>
              <w:rPr>
                <w:sz w:val="11"/>
                <w:szCs w:val="11"/>
                <w:color w:val="auto"/>
              </w:rPr>
            </w:pPr>
          </w:p>
        </w:tc>
        <w:tc>
          <w:tcPr>
            <w:tcW w:w="820" w:type="dxa"/>
            <w:vAlign w:val="bottom"/>
            <w:shd w:val="clear" w:color="auto" w:fill="F2F2F2"/>
          </w:tcPr>
          <w:p>
            <w:pPr>
              <w:spacing w:after="0"/>
              <w:rPr>
                <w:sz w:val="11"/>
                <w:szCs w:val="11"/>
                <w:color w:val="auto"/>
              </w:rPr>
            </w:pPr>
          </w:p>
        </w:tc>
        <w:tc>
          <w:tcPr>
            <w:tcW w:w="220" w:type="dxa"/>
            <w:vAlign w:val="bottom"/>
            <w:shd w:val="clear" w:color="auto" w:fill="F2F2F2"/>
          </w:tcPr>
          <w:p>
            <w:pPr>
              <w:spacing w:after="0"/>
              <w:rPr>
                <w:sz w:val="11"/>
                <w:szCs w:val="11"/>
                <w:color w:val="auto"/>
              </w:rPr>
            </w:pPr>
          </w:p>
        </w:tc>
        <w:tc>
          <w:tcPr>
            <w:tcW w:w="840" w:type="dxa"/>
            <w:vAlign w:val="bottom"/>
            <w:shd w:val="clear" w:color="auto" w:fill="F2F2F2"/>
          </w:tcPr>
          <w:p>
            <w:pPr>
              <w:jc w:val="center"/>
              <w:spacing w:after="0" w:line="135" w:lineRule="exact"/>
              <w:rPr>
                <w:sz w:val="20"/>
                <w:szCs w:val="20"/>
                <w:color w:val="auto"/>
              </w:rPr>
            </w:pPr>
            <w:r>
              <w:rPr>
                <w:rFonts w:ascii="Arial" w:cs="Arial" w:eastAsia="Arial" w:hAnsi="Arial"/>
                <w:sz w:val="12"/>
                <w:szCs w:val="12"/>
                <w:b w:val="1"/>
                <w:bCs w:val="1"/>
                <w:color w:val="231F20"/>
                <w:w w:val="87"/>
              </w:rPr>
              <w:t>of</w:t>
            </w:r>
          </w:p>
        </w:tc>
        <w:tc>
          <w:tcPr>
            <w:tcW w:w="220" w:type="dxa"/>
            <w:vAlign w:val="bottom"/>
            <w:shd w:val="clear" w:color="auto" w:fill="F2F2F2"/>
          </w:tcPr>
          <w:p>
            <w:pPr>
              <w:spacing w:after="0"/>
              <w:rPr>
                <w:sz w:val="11"/>
                <w:szCs w:val="11"/>
                <w:color w:val="auto"/>
              </w:rPr>
            </w:pPr>
          </w:p>
        </w:tc>
        <w:tc>
          <w:tcPr>
            <w:tcW w:w="820" w:type="dxa"/>
            <w:vAlign w:val="bottom"/>
            <w:shd w:val="clear" w:color="auto" w:fill="F2F2F2"/>
          </w:tcPr>
          <w:p>
            <w:pPr>
              <w:jc w:val="center"/>
              <w:spacing w:after="0" w:line="135" w:lineRule="exact"/>
              <w:rPr>
                <w:sz w:val="20"/>
                <w:szCs w:val="20"/>
                <w:color w:val="auto"/>
              </w:rPr>
            </w:pPr>
            <w:r>
              <w:rPr>
                <w:rFonts w:ascii="Arial" w:cs="Arial" w:eastAsia="Arial" w:hAnsi="Arial"/>
                <w:sz w:val="12"/>
                <w:szCs w:val="12"/>
                <w:b w:val="1"/>
                <w:bCs w:val="1"/>
                <w:color w:val="231F20"/>
                <w:w w:val="99"/>
              </w:rPr>
              <w:t>Payout</w:t>
            </w:r>
          </w:p>
        </w:tc>
        <w:tc>
          <w:tcPr>
            <w:tcW w:w="200" w:type="dxa"/>
            <w:vAlign w:val="bottom"/>
            <w:shd w:val="clear" w:color="auto" w:fill="F2F2F2"/>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20" w:type="dxa"/>
            <w:vAlign w:val="bottom"/>
            <w:shd w:val="clear" w:color="auto" w:fill="F2F2F2"/>
          </w:tcPr>
          <w:p>
            <w:pPr>
              <w:spacing w:after="0"/>
              <w:rPr>
                <w:sz w:val="11"/>
                <w:szCs w:val="11"/>
                <w:color w:val="auto"/>
              </w:rPr>
            </w:pPr>
          </w:p>
        </w:tc>
        <w:tc>
          <w:tcPr>
            <w:tcW w:w="200" w:type="dxa"/>
            <w:vAlign w:val="bottom"/>
            <w:shd w:val="clear" w:color="auto" w:fill="F2F2F2"/>
          </w:tcPr>
          <w:p>
            <w:pPr>
              <w:spacing w:after="0"/>
              <w:rPr>
                <w:sz w:val="11"/>
                <w:szCs w:val="11"/>
                <w:color w:val="auto"/>
              </w:rPr>
            </w:pPr>
          </w:p>
        </w:tc>
        <w:tc>
          <w:tcPr>
            <w:tcW w:w="840" w:type="dxa"/>
            <w:vAlign w:val="bottom"/>
            <w:shd w:val="clear" w:color="auto" w:fill="F2F2F2"/>
          </w:tcPr>
          <w:p>
            <w:pPr>
              <w:spacing w:after="0"/>
              <w:rPr>
                <w:sz w:val="11"/>
                <w:szCs w:val="11"/>
                <w:color w:val="auto"/>
              </w:rPr>
            </w:pPr>
          </w:p>
        </w:tc>
        <w:tc>
          <w:tcPr>
            <w:tcW w:w="220" w:type="dxa"/>
            <w:vAlign w:val="bottom"/>
            <w:shd w:val="clear" w:color="auto" w:fill="F2F2F2"/>
          </w:tcPr>
          <w:p>
            <w:pPr>
              <w:spacing w:after="0"/>
              <w:rPr>
                <w:sz w:val="11"/>
                <w:szCs w:val="11"/>
                <w:color w:val="auto"/>
              </w:rPr>
            </w:pPr>
          </w:p>
        </w:tc>
        <w:tc>
          <w:tcPr>
            <w:tcW w:w="840" w:type="dxa"/>
            <w:vAlign w:val="bottom"/>
            <w:shd w:val="clear" w:color="auto" w:fill="F2F2F2"/>
          </w:tcPr>
          <w:p>
            <w:pPr>
              <w:spacing w:after="0"/>
              <w:rPr>
                <w:sz w:val="11"/>
                <w:szCs w:val="11"/>
                <w:color w:val="auto"/>
              </w:rPr>
            </w:pPr>
          </w:p>
        </w:tc>
        <w:tc>
          <w:tcPr>
            <w:tcW w:w="220" w:type="dxa"/>
            <w:vAlign w:val="bottom"/>
            <w:shd w:val="clear" w:color="auto" w:fill="F2F2F2"/>
          </w:tcPr>
          <w:p>
            <w:pPr>
              <w:spacing w:after="0"/>
              <w:rPr>
                <w:sz w:val="11"/>
                <w:szCs w:val="11"/>
                <w:color w:val="auto"/>
              </w:rPr>
            </w:pPr>
          </w:p>
        </w:tc>
        <w:tc>
          <w:tcPr>
            <w:tcW w:w="840" w:type="dxa"/>
            <w:vAlign w:val="bottom"/>
            <w:shd w:val="clear" w:color="auto" w:fill="F2F2F2"/>
          </w:tcPr>
          <w:p>
            <w:pPr>
              <w:spacing w:after="0"/>
              <w:rPr>
                <w:sz w:val="11"/>
                <w:szCs w:val="11"/>
                <w:color w:val="auto"/>
              </w:rPr>
            </w:pPr>
          </w:p>
        </w:tc>
        <w:tc>
          <w:tcPr>
            <w:tcW w:w="200" w:type="dxa"/>
            <w:vAlign w:val="bottom"/>
            <w:shd w:val="clear" w:color="auto" w:fill="F2F2F2"/>
          </w:tcPr>
          <w:p>
            <w:pPr>
              <w:spacing w:after="0"/>
              <w:rPr>
                <w:sz w:val="11"/>
                <w:szCs w:val="11"/>
                <w:color w:val="auto"/>
              </w:rPr>
            </w:pPr>
          </w:p>
        </w:tc>
        <w:tc>
          <w:tcPr>
            <w:tcW w:w="860" w:type="dxa"/>
            <w:vAlign w:val="bottom"/>
            <w:shd w:val="clear" w:color="auto" w:fill="F2F2F2"/>
          </w:tcPr>
          <w:p>
            <w:pPr>
              <w:spacing w:after="0"/>
              <w:rPr>
                <w:sz w:val="11"/>
                <w:szCs w:val="11"/>
                <w:color w:val="auto"/>
              </w:rPr>
            </w:pPr>
          </w:p>
        </w:tc>
        <w:tc>
          <w:tcPr>
            <w:tcW w:w="200" w:type="dxa"/>
            <w:vAlign w:val="bottom"/>
            <w:shd w:val="clear" w:color="auto" w:fill="F2F2F2"/>
          </w:tcPr>
          <w:p>
            <w:pPr>
              <w:spacing w:after="0"/>
              <w:rPr>
                <w:sz w:val="11"/>
                <w:szCs w:val="11"/>
                <w:color w:val="auto"/>
              </w:rPr>
            </w:pPr>
          </w:p>
        </w:tc>
        <w:tc>
          <w:tcPr>
            <w:tcW w:w="820" w:type="dxa"/>
            <w:vAlign w:val="bottom"/>
            <w:shd w:val="clear" w:color="auto" w:fill="F2F2F2"/>
          </w:tcPr>
          <w:p>
            <w:pPr>
              <w:jc w:val="center"/>
              <w:spacing w:after="0" w:line="135" w:lineRule="exact"/>
              <w:rPr>
                <w:sz w:val="20"/>
                <w:szCs w:val="20"/>
                <w:color w:val="auto"/>
              </w:rPr>
            </w:pPr>
            <w:r>
              <w:rPr>
                <w:rFonts w:ascii="Arial" w:cs="Arial" w:eastAsia="Arial" w:hAnsi="Arial"/>
                <w:sz w:val="12"/>
                <w:szCs w:val="12"/>
                <w:b w:val="1"/>
                <w:bCs w:val="1"/>
                <w:color w:val="231F20"/>
              </w:rPr>
              <w:t>Number</w:t>
            </w:r>
          </w:p>
        </w:tc>
        <w:tc>
          <w:tcPr>
            <w:tcW w:w="240" w:type="dxa"/>
            <w:vAlign w:val="bottom"/>
            <w:shd w:val="clear" w:color="auto" w:fill="F2F2F2"/>
          </w:tcPr>
          <w:p>
            <w:pPr>
              <w:spacing w:after="0"/>
              <w:rPr>
                <w:sz w:val="11"/>
                <w:szCs w:val="11"/>
                <w:color w:val="auto"/>
              </w:rPr>
            </w:pPr>
          </w:p>
        </w:tc>
        <w:tc>
          <w:tcPr>
            <w:tcW w:w="820" w:type="dxa"/>
            <w:vAlign w:val="bottom"/>
            <w:shd w:val="clear" w:color="auto" w:fill="F2F2F2"/>
          </w:tcPr>
          <w:p>
            <w:pPr>
              <w:jc w:val="center"/>
              <w:spacing w:after="0" w:line="135" w:lineRule="exact"/>
              <w:rPr>
                <w:sz w:val="20"/>
                <w:szCs w:val="20"/>
                <w:color w:val="auto"/>
              </w:rPr>
            </w:pPr>
            <w:r>
              <w:rPr>
                <w:rFonts w:ascii="Arial" w:cs="Arial" w:eastAsia="Arial" w:hAnsi="Arial"/>
                <w:sz w:val="12"/>
                <w:szCs w:val="12"/>
                <w:b w:val="1"/>
                <w:bCs w:val="1"/>
                <w:color w:val="231F20"/>
              </w:rPr>
              <w:t>Market</w:t>
            </w:r>
          </w:p>
        </w:tc>
        <w:tc>
          <w:tcPr>
            <w:tcW w:w="220" w:type="dxa"/>
            <w:vAlign w:val="bottom"/>
            <w:shd w:val="clear" w:color="auto" w:fill="F2F2F2"/>
          </w:tcPr>
          <w:p>
            <w:pPr>
              <w:spacing w:after="0"/>
              <w:rPr>
                <w:sz w:val="11"/>
                <w:szCs w:val="11"/>
                <w:color w:val="auto"/>
              </w:rPr>
            </w:pPr>
          </w:p>
        </w:tc>
        <w:tc>
          <w:tcPr>
            <w:tcW w:w="840" w:type="dxa"/>
            <w:vAlign w:val="bottom"/>
            <w:shd w:val="clear" w:color="auto" w:fill="F2F2F2"/>
          </w:tcPr>
          <w:p>
            <w:pPr>
              <w:jc w:val="center"/>
              <w:spacing w:after="0" w:line="135" w:lineRule="exact"/>
              <w:rPr>
                <w:sz w:val="20"/>
                <w:szCs w:val="20"/>
                <w:color w:val="auto"/>
              </w:rPr>
            </w:pPr>
            <w:r>
              <w:rPr>
                <w:rFonts w:ascii="Arial" w:cs="Arial" w:eastAsia="Arial" w:hAnsi="Arial"/>
                <w:sz w:val="12"/>
                <w:szCs w:val="12"/>
                <w:b w:val="1"/>
                <w:bCs w:val="1"/>
                <w:color w:val="231F20"/>
              </w:rPr>
              <w:t>Unearned</w:t>
            </w:r>
          </w:p>
        </w:tc>
        <w:tc>
          <w:tcPr>
            <w:tcW w:w="220" w:type="dxa"/>
            <w:vAlign w:val="bottom"/>
            <w:shd w:val="clear" w:color="auto" w:fill="F2F2F2"/>
          </w:tcPr>
          <w:p>
            <w:pPr>
              <w:spacing w:after="0"/>
              <w:rPr>
                <w:sz w:val="11"/>
                <w:szCs w:val="11"/>
                <w:color w:val="auto"/>
              </w:rPr>
            </w:pPr>
          </w:p>
        </w:tc>
        <w:tc>
          <w:tcPr>
            <w:tcW w:w="820" w:type="dxa"/>
            <w:vAlign w:val="bottom"/>
            <w:shd w:val="clear" w:color="auto" w:fill="F2F2F2"/>
          </w:tcPr>
          <w:p>
            <w:pPr>
              <w:jc w:val="center"/>
              <w:spacing w:after="0" w:line="135" w:lineRule="exact"/>
              <w:rPr>
                <w:sz w:val="20"/>
                <w:szCs w:val="20"/>
                <w:color w:val="auto"/>
              </w:rPr>
            </w:pPr>
            <w:r>
              <w:rPr>
                <w:rFonts w:ascii="Arial" w:cs="Arial" w:eastAsia="Arial" w:hAnsi="Arial"/>
                <w:sz w:val="12"/>
                <w:szCs w:val="12"/>
                <w:b w:val="1"/>
                <w:bCs w:val="1"/>
                <w:color w:val="231F20"/>
              </w:rPr>
              <w:t>Value of</w:t>
            </w:r>
          </w:p>
        </w:tc>
        <w:tc>
          <w:tcPr>
            <w:tcW w:w="200" w:type="dxa"/>
            <w:vAlign w:val="bottom"/>
            <w:shd w:val="clear" w:color="auto" w:fill="F2F2F2"/>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20" w:type="dxa"/>
            <w:vAlign w:val="bottom"/>
            <w:shd w:val="clear" w:color="auto" w:fill="F2F2F2"/>
          </w:tcPr>
          <w:p>
            <w:pPr>
              <w:spacing w:after="0"/>
              <w:rPr>
                <w:sz w:val="11"/>
                <w:szCs w:val="11"/>
                <w:color w:val="auto"/>
              </w:rPr>
            </w:pPr>
          </w:p>
        </w:tc>
        <w:tc>
          <w:tcPr>
            <w:tcW w:w="200" w:type="dxa"/>
            <w:vAlign w:val="bottom"/>
            <w:shd w:val="clear" w:color="auto" w:fill="F2F2F2"/>
          </w:tcPr>
          <w:p>
            <w:pPr>
              <w:spacing w:after="0"/>
              <w:rPr>
                <w:sz w:val="11"/>
                <w:szCs w:val="11"/>
                <w:color w:val="auto"/>
              </w:rPr>
            </w:pPr>
          </w:p>
        </w:tc>
        <w:tc>
          <w:tcPr>
            <w:tcW w:w="840" w:type="dxa"/>
            <w:vAlign w:val="bottom"/>
            <w:shd w:val="clear" w:color="auto" w:fill="F2F2F2"/>
          </w:tcPr>
          <w:p>
            <w:pPr>
              <w:spacing w:after="0"/>
              <w:rPr>
                <w:sz w:val="11"/>
                <w:szCs w:val="11"/>
                <w:color w:val="auto"/>
              </w:rPr>
            </w:pPr>
          </w:p>
        </w:tc>
        <w:tc>
          <w:tcPr>
            <w:tcW w:w="220" w:type="dxa"/>
            <w:vAlign w:val="bottom"/>
            <w:shd w:val="clear" w:color="auto" w:fill="F2F2F2"/>
          </w:tcPr>
          <w:p>
            <w:pPr>
              <w:spacing w:after="0"/>
              <w:rPr>
                <w:sz w:val="11"/>
                <w:szCs w:val="11"/>
                <w:color w:val="auto"/>
              </w:rPr>
            </w:pPr>
          </w:p>
        </w:tc>
        <w:tc>
          <w:tcPr>
            <w:tcW w:w="840" w:type="dxa"/>
            <w:vAlign w:val="bottom"/>
            <w:shd w:val="clear" w:color="auto" w:fill="F2F2F2"/>
          </w:tcPr>
          <w:p>
            <w:pPr>
              <w:spacing w:after="0"/>
              <w:rPr>
                <w:sz w:val="11"/>
                <w:szCs w:val="11"/>
                <w:color w:val="auto"/>
              </w:rPr>
            </w:pPr>
          </w:p>
        </w:tc>
        <w:tc>
          <w:tcPr>
            <w:tcW w:w="220" w:type="dxa"/>
            <w:vAlign w:val="bottom"/>
            <w:shd w:val="clear" w:color="auto" w:fill="F2F2F2"/>
          </w:tcPr>
          <w:p>
            <w:pPr>
              <w:spacing w:after="0"/>
              <w:rPr>
                <w:sz w:val="11"/>
                <w:szCs w:val="11"/>
                <w:color w:val="auto"/>
              </w:rPr>
            </w:pPr>
          </w:p>
        </w:tc>
        <w:tc>
          <w:tcPr>
            <w:tcW w:w="840" w:type="dxa"/>
            <w:vAlign w:val="bottom"/>
            <w:shd w:val="clear" w:color="auto" w:fill="F2F2F2"/>
          </w:tcPr>
          <w:p>
            <w:pPr>
              <w:spacing w:after="0"/>
              <w:rPr>
                <w:sz w:val="11"/>
                <w:szCs w:val="11"/>
                <w:color w:val="auto"/>
              </w:rPr>
            </w:pPr>
          </w:p>
        </w:tc>
        <w:tc>
          <w:tcPr>
            <w:tcW w:w="200" w:type="dxa"/>
            <w:vAlign w:val="bottom"/>
            <w:shd w:val="clear" w:color="auto" w:fill="F2F2F2"/>
          </w:tcPr>
          <w:p>
            <w:pPr>
              <w:spacing w:after="0"/>
              <w:rPr>
                <w:sz w:val="11"/>
                <w:szCs w:val="11"/>
                <w:color w:val="auto"/>
              </w:rPr>
            </w:pPr>
          </w:p>
        </w:tc>
        <w:tc>
          <w:tcPr>
            <w:tcW w:w="860" w:type="dxa"/>
            <w:vAlign w:val="bottom"/>
            <w:shd w:val="clear" w:color="auto" w:fill="F2F2F2"/>
          </w:tcPr>
          <w:p>
            <w:pPr>
              <w:spacing w:after="0"/>
              <w:rPr>
                <w:sz w:val="11"/>
                <w:szCs w:val="11"/>
                <w:color w:val="auto"/>
              </w:rPr>
            </w:pPr>
          </w:p>
        </w:tc>
        <w:tc>
          <w:tcPr>
            <w:tcW w:w="200" w:type="dxa"/>
            <w:vAlign w:val="bottom"/>
            <w:shd w:val="clear" w:color="auto" w:fill="F2F2F2"/>
          </w:tcPr>
          <w:p>
            <w:pPr>
              <w:spacing w:after="0"/>
              <w:rPr>
                <w:sz w:val="11"/>
                <w:szCs w:val="11"/>
                <w:color w:val="auto"/>
              </w:rPr>
            </w:pPr>
          </w:p>
        </w:tc>
        <w:tc>
          <w:tcPr>
            <w:tcW w:w="820" w:type="dxa"/>
            <w:vAlign w:val="bottom"/>
            <w:shd w:val="clear" w:color="auto" w:fill="F2F2F2"/>
          </w:tcPr>
          <w:p>
            <w:pPr>
              <w:jc w:val="center"/>
              <w:spacing w:after="0" w:line="135" w:lineRule="exact"/>
              <w:rPr>
                <w:sz w:val="20"/>
                <w:szCs w:val="20"/>
                <w:color w:val="auto"/>
              </w:rPr>
            </w:pPr>
            <w:r>
              <w:rPr>
                <w:rFonts w:ascii="Arial" w:cs="Arial" w:eastAsia="Arial" w:hAnsi="Arial"/>
                <w:sz w:val="12"/>
                <w:szCs w:val="12"/>
                <w:b w:val="1"/>
                <w:bCs w:val="1"/>
                <w:color w:val="auto"/>
              </w:rPr>
              <w:t>of</w:t>
            </w:r>
          </w:p>
        </w:tc>
        <w:tc>
          <w:tcPr>
            <w:tcW w:w="240" w:type="dxa"/>
            <w:vAlign w:val="bottom"/>
            <w:shd w:val="clear" w:color="auto" w:fill="F2F2F2"/>
          </w:tcPr>
          <w:p>
            <w:pPr>
              <w:spacing w:after="0"/>
              <w:rPr>
                <w:sz w:val="11"/>
                <w:szCs w:val="11"/>
                <w:color w:val="auto"/>
              </w:rPr>
            </w:pPr>
          </w:p>
        </w:tc>
        <w:tc>
          <w:tcPr>
            <w:tcW w:w="820" w:type="dxa"/>
            <w:vAlign w:val="bottom"/>
            <w:shd w:val="clear" w:color="auto" w:fill="F2F2F2"/>
          </w:tcPr>
          <w:p>
            <w:pPr>
              <w:jc w:val="center"/>
              <w:spacing w:after="0" w:line="135" w:lineRule="exact"/>
              <w:rPr>
                <w:sz w:val="20"/>
                <w:szCs w:val="20"/>
                <w:color w:val="auto"/>
              </w:rPr>
            </w:pPr>
            <w:r>
              <w:rPr>
                <w:rFonts w:ascii="Arial" w:cs="Arial" w:eastAsia="Arial" w:hAnsi="Arial"/>
                <w:sz w:val="12"/>
                <w:szCs w:val="12"/>
                <w:b w:val="1"/>
                <w:bCs w:val="1"/>
                <w:color w:val="auto"/>
              </w:rPr>
              <w:t>Value of</w:t>
            </w:r>
          </w:p>
        </w:tc>
        <w:tc>
          <w:tcPr>
            <w:tcW w:w="220" w:type="dxa"/>
            <w:vAlign w:val="bottom"/>
            <w:shd w:val="clear" w:color="auto" w:fill="F2F2F2"/>
          </w:tcPr>
          <w:p>
            <w:pPr>
              <w:spacing w:after="0"/>
              <w:rPr>
                <w:sz w:val="11"/>
                <w:szCs w:val="11"/>
                <w:color w:val="auto"/>
              </w:rPr>
            </w:pPr>
          </w:p>
        </w:tc>
        <w:tc>
          <w:tcPr>
            <w:tcW w:w="840" w:type="dxa"/>
            <w:vAlign w:val="bottom"/>
            <w:shd w:val="clear" w:color="auto" w:fill="F2F2F2"/>
          </w:tcPr>
          <w:p>
            <w:pPr>
              <w:jc w:val="center"/>
              <w:spacing w:after="0" w:line="135" w:lineRule="exact"/>
              <w:rPr>
                <w:sz w:val="20"/>
                <w:szCs w:val="20"/>
                <w:color w:val="auto"/>
              </w:rPr>
            </w:pPr>
            <w:r>
              <w:rPr>
                <w:rFonts w:ascii="Arial" w:cs="Arial" w:eastAsia="Arial" w:hAnsi="Arial"/>
                <w:sz w:val="12"/>
                <w:szCs w:val="12"/>
                <w:b w:val="1"/>
                <w:bCs w:val="1"/>
                <w:color w:val="auto"/>
                <w:w w:val="96"/>
              </w:rPr>
              <w:t>Shares,</w:t>
            </w:r>
          </w:p>
        </w:tc>
        <w:tc>
          <w:tcPr>
            <w:tcW w:w="220" w:type="dxa"/>
            <w:vAlign w:val="bottom"/>
            <w:shd w:val="clear" w:color="auto" w:fill="F2F2F2"/>
          </w:tcPr>
          <w:p>
            <w:pPr>
              <w:spacing w:after="0"/>
              <w:rPr>
                <w:sz w:val="11"/>
                <w:szCs w:val="11"/>
                <w:color w:val="auto"/>
              </w:rPr>
            </w:pPr>
          </w:p>
        </w:tc>
        <w:tc>
          <w:tcPr>
            <w:tcW w:w="820" w:type="dxa"/>
            <w:vAlign w:val="bottom"/>
            <w:shd w:val="clear" w:color="auto" w:fill="F2F2F2"/>
          </w:tcPr>
          <w:p>
            <w:pPr>
              <w:jc w:val="center"/>
              <w:spacing w:after="0" w:line="135" w:lineRule="exact"/>
              <w:rPr>
                <w:sz w:val="20"/>
                <w:szCs w:val="20"/>
                <w:color w:val="auto"/>
              </w:rPr>
            </w:pPr>
            <w:r>
              <w:rPr>
                <w:rFonts w:ascii="Arial" w:cs="Arial" w:eastAsia="Arial" w:hAnsi="Arial"/>
                <w:sz w:val="12"/>
                <w:szCs w:val="12"/>
                <w:b w:val="1"/>
                <w:bCs w:val="1"/>
                <w:color w:val="auto"/>
              </w:rPr>
              <w:t>Unearned</w:t>
            </w:r>
          </w:p>
        </w:tc>
        <w:tc>
          <w:tcPr>
            <w:tcW w:w="200" w:type="dxa"/>
            <w:vAlign w:val="bottom"/>
            <w:shd w:val="clear" w:color="auto" w:fill="F2F2F2"/>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20" w:type="dxa"/>
            <w:vAlign w:val="bottom"/>
            <w:shd w:val="clear" w:color="auto" w:fill="F2F2F2"/>
          </w:tcPr>
          <w:p>
            <w:pPr>
              <w:spacing w:after="0"/>
              <w:rPr>
                <w:sz w:val="11"/>
                <w:szCs w:val="11"/>
                <w:color w:val="auto"/>
              </w:rPr>
            </w:pPr>
          </w:p>
        </w:tc>
        <w:tc>
          <w:tcPr>
            <w:tcW w:w="200" w:type="dxa"/>
            <w:vAlign w:val="bottom"/>
            <w:shd w:val="clear" w:color="auto" w:fill="F2F2F2"/>
          </w:tcPr>
          <w:p>
            <w:pPr>
              <w:spacing w:after="0"/>
              <w:rPr>
                <w:sz w:val="11"/>
                <w:szCs w:val="11"/>
                <w:color w:val="auto"/>
              </w:rPr>
            </w:pPr>
          </w:p>
        </w:tc>
        <w:tc>
          <w:tcPr>
            <w:tcW w:w="840" w:type="dxa"/>
            <w:vAlign w:val="bottom"/>
            <w:shd w:val="clear" w:color="auto" w:fill="F2F2F2"/>
          </w:tcPr>
          <w:p>
            <w:pPr>
              <w:spacing w:after="0"/>
              <w:rPr>
                <w:sz w:val="11"/>
                <w:szCs w:val="11"/>
                <w:color w:val="auto"/>
              </w:rPr>
            </w:pPr>
          </w:p>
        </w:tc>
        <w:tc>
          <w:tcPr>
            <w:tcW w:w="220" w:type="dxa"/>
            <w:vAlign w:val="bottom"/>
            <w:shd w:val="clear" w:color="auto" w:fill="F2F2F2"/>
          </w:tcPr>
          <w:p>
            <w:pPr>
              <w:spacing w:after="0"/>
              <w:rPr>
                <w:sz w:val="11"/>
                <w:szCs w:val="11"/>
                <w:color w:val="auto"/>
              </w:rPr>
            </w:pPr>
          </w:p>
        </w:tc>
        <w:tc>
          <w:tcPr>
            <w:tcW w:w="840" w:type="dxa"/>
            <w:vAlign w:val="bottom"/>
            <w:shd w:val="clear" w:color="auto" w:fill="F2F2F2"/>
          </w:tcPr>
          <w:p>
            <w:pPr>
              <w:spacing w:after="0"/>
              <w:rPr>
                <w:sz w:val="11"/>
                <w:szCs w:val="11"/>
                <w:color w:val="auto"/>
              </w:rPr>
            </w:pPr>
          </w:p>
        </w:tc>
        <w:tc>
          <w:tcPr>
            <w:tcW w:w="220" w:type="dxa"/>
            <w:vAlign w:val="bottom"/>
            <w:shd w:val="clear" w:color="auto" w:fill="F2F2F2"/>
          </w:tcPr>
          <w:p>
            <w:pPr>
              <w:spacing w:after="0"/>
              <w:rPr>
                <w:sz w:val="11"/>
                <w:szCs w:val="11"/>
                <w:color w:val="auto"/>
              </w:rPr>
            </w:pPr>
          </w:p>
        </w:tc>
        <w:tc>
          <w:tcPr>
            <w:tcW w:w="840" w:type="dxa"/>
            <w:vAlign w:val="bottom"/>
            <w:shd w:val="clear" w:color="auto" w:fill="F2F2F2"/>
          </w:tcPr>
          <w:p>
            <w:pPr>
              <w:spacing w:after="0"/>
              <w:rPr>
                <w:sz w:val="11"/>
                <w:szCs w:val="11"/>
                <w:color w:val="auto"/>
              </w:rPr>
            </w:pPr>
          </w:p>
        </w:tc>
        <w:tc>
          <w:tcPr>
            <w:tcW w:w="200" w:type="dxa"/>
            <w:vAlign w:val="bottom"/>
            <w:shd w:val="clear" w:color="auto" w:fill="F2F2F2"/>
          </w:tcPr>
          <w:p>
            <w:pPr>
              <w:spacing w:after="0"/>
              <w:rPr>
                <w:sz w:val="11"/>
                <w:szCs w:val="11"/>
                <w:color w:val="auto"/>
              </w:rPr>
            </w:pPr>
          </w:p>
        </w:tc>
        <w:tc>
          <w:tcPr>
            <w:tcW w:w="860" w:type="dxa"/>
            <w:vAlign w:val="bottom"/>
            <w:shd w:val="clear" w:color="auto" w:fill="F2F2F2"/>
          </w:tcPr>
          <w:p>
            <w:pPr>
              <w:spacing w:after="0"/>
              <w:rPr>
                <w:sz w:val="11"/>
                <w:szCs w:val="11"/>
                <w:color w:val="auto"/>
              </w:rPr>
            </w:pPr>
          </w:p>
        </w:tc>
        <w:tc>
          <w:tcPr>
            <w:tcW w:w="200" w:type="dxa"/>
            <w:vAlign w:val="bottom"/>
            <w:shd w:val="clear" w:color="auto" w:fill="F2F2F2"/>
          </w:tcPr>
          <w:p>
            <w:pPr>
              <w:spacing w:after="0"/>
              <w:rPr>
                <w:sz w:val="11"/>
                <w:szCs w:val="11"/>
                <w:color w:val="auto"/>
              </w:rPr>
            </w:pPr>
          </w:p>
        </w:tc>
        <w:tc>
          <w:tcPr>
            <w:tcW w:w="820" w:type="dxa"/>
            <w:vAlign w:val="bottom"/>
            <w:shd w:val="clear" w:color="auto" w:fill="F2F2F2"/>
          </w:tcPr>
          <w:p>
            <w:pPr>
              <w:jc w:val="center"/>
              <w:spacing w:after="0" w:line="135" w:lineRule="exact"/>
              <w:rPr>
                <w:sz w:val="20"/>
                <w:szCs w:val="20"/>
                <w:color w:val="auto"/>
              </w:rPr>
            </w:pPr>
            <w:r>
              <w:rPr>
                <w:rFonts w:ascii="Arial" w:cs="Arial" w:eastAsia="Arial" w:hAnsi="Arial"/>
                <w:sz w:val="12"/>
                <w:szCs w:val="12"/>
                <w:b w:val="1"/>
                <w:bCs w:val="1"/>
                <w:color w:val="auto"/>
                <w:w w:val="97"/>
              </w:rPr>
              <w:t>Shares or</w:t>
            </w:r>
          </w:p>
        </w:tc>
        <w:tc>
          <w:tcPr>
            <w:tcW w:w="240" w:type="dxa"/>
            <w:vAlign w:val="bottom"/>
            <w:shd w:val="clear" w:color="auto" w:fill="F2F2F2"/>
          </w:tcPr>
          <w:p>
            <w:pPr>
              <w:spacing w:after="0"/>
              <w:rPr>
                <w:sz w:val="11"/>
                <w:szCs w:val="11"/>
                <w:color w:val="auto"/>
              </w:rPr>
            </w:pPr>
          </w:p>
        </w:tc>
        <w:tc>
          <w:tcPr>
            <w:tcW w:w="820" w:type="dxa"/>
            <w:vAlign w:val="bottom"/>
            <w:shd w:val="clear" w:color="auto" w:fill="F2F2F2"/>
          </w:tcPr>
          <w:p>
            <w:pPr>
              <w:jc w:val="center"/>
              <w:spacing w:after="0" w:line="135" w:lineRule="exact"/>
              <w:rPr>
                <w:sz w:val="20"/>
                <w:szCs w:val="20"/>
                <w:color w:val="auto"/>
              </w:rPr>
            </w:pPr>
            <w:r>
              <w:rPr>
                <w:rFonts w:ascii="Arial" w:cs="Arial" w:eastAsia="Arial" w:hAnsi="Arial"/>
                <w:sz w:val="12"/>
                <w:szCs w:val="12"/>
                <w:b w:val="1"/>
                <w:bCs w:val="1"/>
                <w:color w:val="auto"/>
              </w:rPr>
              <w:t>Shares or</w:t>
            </w:r>
          </w:p>
        </w:tc>
        <w:tc>
          <w:tcPr>
            <w:tcW w:w="220" w:type="dxa"/>
            <w:vAlign w:val="bottom"/>
            <w:shd w:val="clear" w:color="auto" w:fill="F2F2F2"/>
          </w:tcPr>
          <w:p>
            <w:pPr>
              <w:spacing w:after="0"/>
              <w:rPr>
                <w:sz w:val="11"/>
                <w:szCs w:val="11"/>
                <w:color w:val="auto"/>
              </w:rPr>
            </w:pPr>
          </w:p>
        </w:tc>
        <w:tc>
          <w:tcPr>
            <w:tcW w:w="840" w:type="dxa"/>
            <w:vAlign w:val="bottom"/>
            <w:shd w:val="clear" w:color="auto" w:fill="F2F2F2"/>
          </w:tcPr>
          <w:p>
            <w:pPr>
              <w:jc w:val="center"/>
              <w:spacing w:after="0" w:line="135" w:lineRule="exact"/>
              <w:rPr>
                <w:sz w:val="20"/>
                <w:szCs w:val="20"/>
                <w:color w:val="auto"/>
              </w:rPr>
            </w:pPr>
            <w:r>
              <w:rPr>
                <w:rFonts w:ascii="Arial" w:cs="Arial" w:eastAsia="Arial" w:hAnsi="Arial"/>
                <w:sz w:val="12"/>
                <w:szCs w:val="12"/>
                <w:b w:val="1"/>
                <w:bCs w:val="1"/>
                <w:color w:val="auto"/>
              </w:rPr>
              <w:t>Units or</w:t>
            </w:r>
          </w:p>
        </w:tc>
        <w:tc>
          <w:tcPr>
            <w:tcW w:w="220" w:type="dxa"/>
            <w:vAlign w:val="bottom"/>
            <w:shd w:val="clear" w:color="auto" w:fill="F2F2F2"/>
          </w:tcPr>
          <w:p>
            <w:pPr>
              <w:spacing w:after="0"/>
              <w:rPr>
                <w:sz w:val="11"/>
                <w:szCs w:val="11"/>
                <w:color w:val="auto"/>
              </w:rPr>
            </w:pPr>
          </w:p>
        </w:tc>
        <w:tc>
          <w:tcPr>
            <w:tcW w:w="820" w:type="dxa"/>
            <w:vAlign w:val="bottom"/>
            <w:shd w:val="clear" w:color="auto" w:fill="F2F2F2"/>
          </w:tcPr>
          <w:p>
            <w:pPr>
              <w:jc w:val="center"/>
              <w:spacing w:after="0" w:line="135" w:lineRule="exact"/>
              <w:rPr>
                <w:sz w:val="20"/>
                <w:szCs w:val="20"/>
                <w:color w:val="auto"/>
              </w:rPr>
            </w:pPr>
            <w:r>
              <w:rPr>
                <w:rFonts w:ascii="Arial" w:cs="Arial" w:eastAsia="Arial" w:hAnsi="Arial"/>
                <w:sz w:val="12"/>
                <w:szCs w:val="12"/>
                <w:b w:val="1"/>
                <w:bCs w:val="1"/>
                <w:color w:val="auto"/>
                <w:w w:val="96"/>
              </w:rPr>
              <w:t>Shares,</w:t>
            </w:r>
          </w:p>
        </w:tc>
        <w:tc>
          <w:tcPr>
            <w:tcW w:w="200" w:type="dxa"/>
            <w:vAlign w:val="bottom"/>
            <w:shd w:val="clear" w:color="auto" w:fill="F2F2F2"/>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20" w:type="dxa"/>
            <w:vAlign w:val="bottom"/>
            <w:shd w:val="clear" w:color="auto" w:fill="F2F2F2"/>
          </w:tcPr>
          <w:p>
            <w:pPr>
              <w:spacing w:after="0"/>
              <w:rPr>
                <w:sz w:val="11"/>
                <w:szCs w:val="11"/>
                <w:color w:val="auto"/>
              </w:rPr>
            </w:pPr>
          </w:p>
        </w:tc>
        <w:tc>
          <w:tcPr>
            <w:tcW w:w="200" w:type="dxa"/>
            <w:vAlign w:val="bottom"/>
            <w:shd w:val="clear" w:color="auto" w:fill="F2F2F2"/>
          </w:tcPr>
          <w:p>
            <w:pPr>
              <w:spacing w:after="0"/>
              <w:rPr>
                <w:sz w:val="11"/>
                <w:szCs w:val="11"/>
                <w:color w:val="auto"/>
              </w:rPr>
            </w:pPr>
          </w:p>
        </w:tc>
        <w:tc>
          <w:tcPr>
            <w:tcW w:w="840" w:type="dxa"/>
            <w:vAlign w:val="bottom"/>
            <w:shd w:val="clear" w:color="auto" w:fill="F2F2F2"/>
          </w:tcPr>
          <w:p>
            <w:pPr>
              <w:spacing w:after="0"/>
              <w:rPr>
                <w:sz w:val="11"/>
                <w:szCs w:val="11"/>
                <w:color w:val="auto"/>
              </w:rPr>
            </w:pPr>
          </w:p>
        </w:tc>
        <w:tc>
          <w:tcPr>
            <w:tcW w:w="220" w:type="dxa"/>
            <w:vAlign w:val="bottom"/>
            <w:shd w:val="clear" w:color="auto" w:fill="F2F2F2"/>
          </w:tcPr>
          <w:p>
            <w:pPr>
              <w:spacing w:after="0"/>
              <w:rPr>
                <w:sz w:val="11"/>
                <w:szCs w:val="11"/>
                <w:color w:val="auto"/>
              </w:rPr>
            </w:pPr>
          </w:p>
        </w:tc>
        <w:tc>
          <w:tcPr>
            <w:tcW w:w="840" w:type="dxa"/>
            <w:vAlign w:val="bottom"/>
            <w:shd w:val="clear" w:color="auto" w:fill="F2F2F2"/>
          </w:tcPr>
          <w:p>
            <w:pPr>
              <w:spacing w:after="0"/>
              <w:rPr>
                <w:sz w:val="11"/>
                <w:szCs w:val="11"/>
                <w:color w:val="auto"/>
              </w:rPr>
            </w:pPr>
          </w:p>
        </w:tc>
        <w:tc>
          <w:tcPr>
            <w:tcW w:w="220" w:type="dxa"/>
            <w:vAlign w:val="bottom"/>
            <w:shd w:val="clear" w:color="auto" w:fill="F2F2F2"/>
          </w:tcPr>
          <w:p>
            <w:pPr>
              <w:spacing w:after="0"/>
              <w:rPr>
                <w:sz w:val="11"/>
                <w:szCs w:val="11"/>
                <w:color w:val="auto"/>
              </w:rPr>
            </w:pPr>
          </w:p>
        </w:tc>
        <w:tc>
          <w:tcPr>
            <w:tcW w:w="840" w:type="dxa"/>
            <w:vAlign w:val="bottom"/>
            <w:shd w:val="clear" w:color="auto" w:fill="F2F2F2"/>
          </w:tcPr>
          <w:p>
            <w:pPr>
              <w:spacing w:after="0"/>
              <w:rPr>
                <w:sz w:val="11"/>
                <w:szCs w:val="11"/>
                <w:color w:val="auto"/>
              </w:rPr>
            </w:pPr>
          </w:p>
        </w:tc>
        <w:tc>
          <w:tcPr>
            <w:tcW w:w="200" w:type="dxa"/>
            <w:vAlign w:val="bottom"/>
            <w:shd w:val="clear" w:color="auto" w:fill="F2F2F2"/>
          </w:tcPr>
          <w:p>
            <w:pPr>
              <w:spacing w:after="0"/>
              <w:rPr>
                <w:sz w:val="11"/>
                <w:szCs w:val="11"/>
                <w:color w:val="auto"/>
              </w:rPr>
            </w:pPr>
          </w:p>
        </w:tc>
        <w:tc>
          <w:tcPr>
            <w:tcW w:w="860" w:type="dxa"/>
            <w:vAlign w:val="bottom"/>
            <w:shd w:val="clear" w:color="auto" w:fill="F2F2F2"/>
          </w:tcPr>
          <w:p>
            <w:pPr>
              <w:spacing w:after="0"/>
              <w:rPr>
                <w:sz w:val="11"/>
                <w:szCs w:val="11"/>
                <w:color w:val="auto"/>
              </w:rPr>
            </w:pPr>
          </w:p>
        </w:tc>
        <w:tc>
          <w:tcPr>
            <w:tcW w:w="200" w:type="dxa"/>
            <w:vAlign w:val="bottom"/>
            <w:shd w:val="clear" w:color="auto" w:fill="F2F2F2"/>
          </w:tcPr>
          <w:p>
            <w:pPr>
              <w:spacing w:after="0"/>
              <w:rPr>
                <w:sz w:val="11"/>
                <w:szCs w:val="11"/>
                <w:color w:val="auto"/>
              </w:rPr>
            </w:pPr>
          </w:p>
        </w:tc>
        <w:tc>
          <w:tcPr>
            <w:tcW w:w="820" w:type="dxa"/>
            <w:vAlign w:val="bottom"/>
            <w:shd w:val="clear" w:color="auto" w:fill="F2F2F2"/>
          </w:tcPr>
          <w:p>
            <w:pPr>
              <w:jc w:val="center"/>
              <w:spacing w:after="0" w:line="135" w:lineRule="exact"/>
              <w:rPr>
                <w:sz w:val="20"/>
                <w:szCs w:val="20"/>
                <w:color w:val="auto"/>
              </w:rPr>
            </w:pPr>
            <w:r>
              <w:rPr>
                <w:rFonts w:ascii="Arial" w:cs="Arial" w:eastAsia="Arial" w:hAnsi="Arial"/>
                <w:sz w:val="12"/>
                <w:szCs w:val="12"/>
                <w:b w:val="1"/>
                <w:bCs w:val="1"/>
                <w:color w:val="auto"/>
              </w:rPr>
              <w:t>Units of</w:t>
            </w:r>
          </w:p>
        </w:tc>
        <w:tc>
          <w:tcPr>
            <w:tcW w:w="240" w:type="dxa"/>
            <w:vAlign w:val="bottom"/>
            <w:shd w:val="clear" w:color="auto" w:fill="F2F2F2"/>
          </w:tcPr>
          <w:p>
            <w:pPr>
              <w:spacing w:after="0"/>
              <w:rPr>
                <w:sz w:val="11"/>
                <w:szCs w:val="11"/>
                <w:color w:val="auto"/>
              </w:rPr>
            </w:pPr>
          </w:p>
        </w:tc>
        <w:tc>
          <w:tcPr>
            <w:tcW w:w="820" w:type="dxa"/>
            <w:vAlign w:val="bottom"/>
            <w:shd w:val="clear" w:color="auto" w:fill="F2F2F2"/>
          </w:tcPr>
          <w:p>
            <w:pPr>
              <w:jc w:val="center"/>
              <w:spacing w:after="0" w:line="135" w:lineRule="exact"/>
              <w:rPr>
                <w:sz w:val="20"/>
                <w:szCs w:val="20"/>
                <w:color w:val="auto"/>
              </w:rPr>
            </w:pPr>
            <w:r>
              <w:rPr>
                <w:rFonts w:ascii="Arial" w:cs="Arial" w:eastAsia="Arial" w:hAnsi="Arial"/>
                <w:sz w:val="12"/>
                <w:szCs w:val="12"/>
                <w:b w:val="1"/>
                <w:bCs w:val="1"/>
                <w:color w:val="auto"/>
              </w:rPr>
              <w:t>Units of</w:t>
            </w:r>
          </w:p>
        </w:tc>
        <w:tc>
          <w:tcPr>
            <w:tcW w:w="220" w:type="dxa"/>
            <w:vAlign w:val="bottom"/>
            <w:shd w:val="clear" w:color="auto" w:fill="F2F2F2"/>
          </w:tcPr>
          <w:p>
            <w:pPr>
              <w:spacing w:after="0"/>
              <w:rPr>
                <w:sz w:val="11"/>
                <w:szCs w:val="11"/>
                <w:color w:val="auto"/>
              </w:rPr>
            </w:pPr>
          </w:p>
        </w:tc>
        <w:tc>
          <w:tcPr>
            <w:tcW w:w="840" w:type="dxa"/>
            <w:vAlign w:val="bottom"/>
            <w:shd w:val="clear" w:color="auto" w:fill="F2F2F2"/>
          </w:tcPr>
          <w:p>
            <w:pPr>
              <w:jc w:val="center"/>
              <w:spacing w:after="0" w:line="135" w:lineRule="exact"/>
              <w:rPr>
                <w:sz w:val="20"/>
                <w:szCs w:val="20"/>
                <w:color w:val="auto"/>
              </w:rPr>
            </w:pPr>
            <w:r>
              <w:rPr>
                <w:rFonts w:ascii="Arial" w:cs="Arial" w:eastAsia="Arial" w:hAnsi="Arial"/>
                <w:sz w:val="12"/>
                <w:szCs w:val="12"/>
                <w:b w:val="1"/>
                <w:bCs w:val="1"/>
                <w:color w:val="auto"/>
              </w:rPr>
              <w:t>Other</w:t>
            </w:r>
          </w:p>
        </w:tc>
        <w:tc>
          <w:tcPr>
            <w:tcW w:w="220" w:type="dxa"/>
            <w:vAlign w:val="bottom"/>
            <w:shd w:val="clear" w:color="auto" w:fill="F2F2F2"/>
          </w:tcPr>
          <w:p>
            <w:pPr>
              <w:spacing w:after="0"/>
              <w:rPr>
                <w:sz w:val="11"/>
                <w:szCs w:val="11"/>
                <w:color w:val="auto"/>
              </w:rPr>
            </w:pPr>
          </w:p>
        </w:tc>
        <w:tc>
          <w:tcPr>
            <w:tcW w:w="820" w:type="dxa"/>
            <w:vAlign w:val="bottom"/>
            <w:shd w:val="clear" w:color="auto" w:fill="F2F2F2"/>
          </w:tcPr>
          <w:p>
            <w:pPr>
              <w:jc w:val="center"/>
              <w:spacing w:after="0" w:line="135" w:lineRule="exact"/>
              <w:rPr>
                <w:sz w:val="20"/>
                <w:szCs w:val="20"/>
                <w:color w:val="auto"/>
              </w:rPr>
            </w:pPr>
            <w:r>
              <w:rPr>
                <w:rFonts w:ascii="Arial" w:cs="Arial" w:eastAsia="Arial" w:hAnsi="Arial"/>
                <w:sz w:val="12"/>
                <w:szCs w:val="12"/>
                <w:b w:val="1"/>
                <w:bCs w:val="1"/>
                <w:color w:val="auto"/>
              </w:rPr>
              <w:t>Units</w:t>
            </w:r>
          </w:p>
        </w:tc>
        <w:tc>
          <w:tcPr>
            <w:tcW w:w="200" w:type="dxa"/>
            <w:vAlign w:val="bottom"/>
            <w:shd w:val="clear" w:color="auto" w:fill="F2F2F2"/>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20" w:type="dxa"/>
            <w:vAlign w:val="bottom"/>
            <w:shd w:val="clear" w:color="auto" w:fill="F2F2F2"/>
          </w:tcPr>
          <w:p>
            <w:pPr>
              <w:spacing w:after="0"/>
              <w:rPr>
                <w:sz w:val="11"/>
                <w:szCs w:val="11"/>
                <w:color w:val="auto"/>
              </w:rPr>
            </w:pPr>
          </w:p>
        </w:tc>
        <w:tc>
          <w:tcPr>
            <w:tcW w:w="200" w:type="dxa"/>
            <w:vAlign w:val="bottom"/>
            <w:shd w:val="clear" w:color="auto" w:fill="F2F2F2"/>
          </w:tcPr>
          <w:p>
            <w:pPr>
              <w:spacing w:after="0"/>
              <w:rPr>
                <w:sz w:val="11"/>
                <w:szCs w:val="11"/>
                <w:color w:val="auto"/>
              </w:rPr>
            </w:pPr>
          </w:p>
        </w:tc>
        <w:tc>
          <w:tcPr>
            <w:tcW w:w="840" w:type="dxa"/>
            <w:vAlign w:val="bottom"/>
            <w:shd w:val="clear" w:color="auto" w:fill="F2F2F2"/>
          </w:tcPr>
          <w:p>
            <w:pPr>
              <w:jc w:val="center"/>
              <w:spacing w:after="0" w:line="135" w:lineRule="exact"/>
              <w:rPr>
                <w:sz w:val="20"/>
                <w:szCs w:val="20"/>
                <w:color w:val="auto"/>
              </w:rPr>
            </w:pPr>
            <w:r>
              <w:rPr>
                <w:rFonts w:ascii="Arial" w:cs="Arial" w:eastAsia="Arial" w:hAnsi="Arial"/>
                <w:sz w:val="12"/>
                <w:szCs w:val="12"/>
                <w:b w:val="1"/>
                <w:bCs w:val="1"/>
                <w:color w:val="auto"/>
              </w:rPr>
              <w:t>Number of</w:t>
            </w:r>
          </w:p>
        </w:tc>
        <w:tc>
          <w:tcPr>
            <w:tcW w:w="220" w:type="dxa"/>
            <w:vAlign w:val="bottom"/>
            <w:shd w:val="clear" w:color="auto" w:fill="F2F2F2"/>
          </w:tcPr>
          <w:p>
            <w:pPr>
              <w:spacing w:after="0"/>
              <w:rPr>
                <w:sz w:val="11"/>
                <w:szCs w:val="11"/>
                <w:color w:val="auto"/>
              </w:rPr>
            </w:pPr>
          </w:p>
        </w:tc>
        <w:tc>
          <w:tcPr>
            <w:tcW w:w="840" w:type="dxa"/>
            <w:vAlign w:val="bottom"/>
            <w:shd w:val="clear" w:color="auto" w:fill="F2F2F2"/>
          </w:tcPr>
          <w:p>
            <w:pPr>
              <w:jc w:val="center"/>
              <w:spacing w:after="0" w:line="135" w:lineRule="exact"/>
              <w:rPr>
                <w:sz w:val="20"/>
                <w:szCs w:val="20"/>
                <w:color w:val="auto"/>
              </w:rPr>
            </w:pPr>
            <w:r>
              <w:rPr>
                <w:rFonts w:ascii="Arial" w:cs="Arial" w:eastAsia="Arial" w:hAnsi="Arial"/>
                <w:sz w:val="12"/>
                <w:szCs w:val="12"/>
                <w:b w:val="1"/>
                <w:bCs w:val="1"/>
                <w:color w:val="auto"/>
              </w:rPr>
              <w:t>Number of</w:t>
            </w:r>
          </w:p>
        </w:tc>
        <w:tc>
          <w:tcPr>
            <w:tcW w:w="220" w:type="dxa"/>
            <w:vAlign w:val="bottom"/>
            <w:shd w:val="clear" w:color="auto" w:fill="F2F2F2"/>
          </w:tcPr>
          <w:p>
            <w:pPr>
              <w:spacing w:after="0"/>
              <w:rPr>
                <w:sz w:val="11"/>
                <w:szCs w:val="11"/>
                <w:color w:val="auto"/>
              </w:rPr>
            </w:pPr>
          </w:p>
        </w:tc>
        <w:tc>
          <w:tcPr>
            <w:tcW w:w="840" w:type="dxa"/>
            <w:vAlign w:val="bottom"/>
            <w:shd w:val="clear" w:color="auto" w:fill="F2F2F2"/>
          </w:tcPr>
          <w:p>
            <w:pPr>
              <w:spacing w:after="0"/>
              <w:rPr>
                <w:sz w:val="11"/>
                <w:szCs w:val="11"/>
                <w:color w:val="auto"/>
              </w:rPr>
            </w:pPr>
          </w:p>
        </w:tc>
        <w:tc>
          <w:tcPr>
            <w:tcW w:w="200" w:type="dxa"/>
            <w:vAlign w:val="bottom"/>
            <w:shd w:val="clear" w:color="auto" w:fill="F2F2F2"/>
          </w:tcPr>
          <w:p>
            <w:pPr>
              <w:spacing w:after="0"/>
              <w:rPr>
                <w:sz w:val="11"/>
                <w:szCs w:val="11"/>
                <w:color w:val="auto"/>
              </w:rPr>
            </w:pPr>
          </w:p>
        </w:tc>
        <w:tc>
          <w:tcPr>
            <w:tcW w:w="860" w:type="dxa"/>
            <w:vAlign w:val="bottom"/>
            <w:shd w:val="clear" w:color="auto" w:fill="F2F2F2"/>
          </w:tcPr>
          <w:p>
            <w:pPr>
              <w:spacing w:after="0"/>
              <w:rPr>
                <w:sz w:val="11"/>
                <w:szCs w:val="11"/>
                <w:color w:val="auto"/>
              </w:rPr>
            </w:pPr>
          </w:p>
        </w:tc>
        <w:tc>
          <w:tcPr>
            <w:tcW w:w="200" w:type="dxa"/>
            <w:vAlign w:val="bottom"/>
            <w:shd w:val="clear" w:color="auto" w:fill="F2F2F2"/>
          </w:tcPr>
          <w:p>
            <w:pPr>
              <w:spacing w:after="0"/>
              <w:rPr>
                <w:sz w:val="11"/>
                <w:szCs w:val="11"/>
                <w:color w:val="auto"/>
              </w:rPr>
            </w:pPr>
          </w:p>
        </w:tc>
        <w:tc>
          <w:tcPr>
            <w:tcW w:w="820" w:type="dxa"/>
            <w:vAlign w:val="bottom"/>
            <w:shd w:val="clear" w:color="auto" w:fill="F2F2F2"/>
          </w:tcPr>
          <w:p>
            <w:pPr>
              <w:jc w:val="center"/>
              <w:spacing w:after="0" w:line="135" w:lineRule="exact"/>
              <w:rPr>
                <w:sz w:val="20"/>
                <w:szCs w:val="20"/>
                <w:color w:val="auto"/>
              </w:rPr>
            </w:pPr>
            <w:r>
              <w:rPr>
                <w:rFonts w:ascii="Arial" w:cs="Arial" w:eastAsia="Arial" w:hAnsi="Arial"/>
                <w:sz w:val="12"/>
                <w:szCs w:val="12"/>
                <w:b w:val="1"/>
                <w:bCs w:val="1"/>
                <w:color w:val="auto"/>
                <w:w w:val="97"/>
              </w:rPr>
              <w:t>Stock</w:t>
            </w:r>
          </w:p>
        </w:tc>
        <w:tc>
          <w:tcPr>
            <w:tcW w:w="240" w:type="dxa"/>
            <w:vAlign w:val="bottom"/>
            <w:shd w:val="clear" w:color="auto" w:fill="F2F2F2"/>
          </w:tcPr>
          <w:p>
            <w:pPr>
              <w:spacing w:after="0"/>
              <w:rPr>
                <w:sz w:val="11"/>
                <w:szCs w:val="11"/>
                <w:color w:val="auto"/>
              </w:rPr>
            </w:pPr>
          </w:p>
        </w:tc>
        <w:tc>
          <w:tcPr>
            <w:tcW w:w="820" w:type="dxa"/>
            <w:vAlign w:val="bottom"/>
            <w:shd w:val="clear" w:color="auto" w:fill="F2F2F2"/>
          </w:tcPr>
          <w:p>
            <w:pPr>
              <w:jc w:val="center"/>
              <w:spacing w:after="0" w:line="135" w:lineRule="exact"/>
              <w:rPr>
                <w:sz w:val="20"/>
                <w:szCs w:val="20"/>
                <w:color w:val="auto"/>
              </w:rPr>
            </w:pPr>
            <w:r>
              <w:rPr>
                <w:rFonts w:ascii="Arial" w:cs="Arial" w:eastAsia="Arial" w:hAnsi="Arial"/>
                <w:sz w:val="12"/>
                <w:szCs w:val="12"/>
                <w:b w:val="1"/>
                <w:bCs w:val="1"/>
                <w:color w:val="auto"/>
                <w:w w:val="97"/>
              </w:rPr>
              <w:t>Stock</w:t>
            </w:r>
          </w:p>
        </w:tc>
        <w:tc>
          <w:tcPr>
            <w:tcW w:w="220" w:type="dxa"/>
            <w:vAlign w:val="bottom"/>
            <w:shd w:val="clear" w:color="auto" w:fill="F2F2F2"/>
          </w:tcPr>
          <w:p>
            <w:pPr>
              <w:spacing w:after="0"/>
              <w:rPr>
                <w:sz w:val="11"/>
                <w:szCs w:val="11"/>
                <w:color w:val="auto"/>
              </w:rPr>
            </w:pPr>
          </w:p>
        </w:tc>
        <w:tc>
          <w:tcPr>
            <w:tcW w:w="840" w:type="dxa"/>
            <w:vAlign w:val="bottom"/>
            <w:shd w:val="clear" w:color="auto" w:fill="F2F2F2"/>
          </w:tcPr>
          <w:p>
            <w:pPr>
              <w:jc w:val="center"/>
              <w:spacing w:after="0" w:line="135" w:lineRule="exact"/>
              <w:rPr>
                <w:sz w:val="20"/>
                <w:szCs w:val="20"/>
                <w:color w:val="auto"/>
              </w:rPr>
            </w:pPr>
            <w:r>
              <w:rPr>
                <w:rFonts w:ascii="Arial" w:cs="Arial" w:eastAsia="Arial" w:hAnsi="Arial"/>
                <w:sz w:val="12"/>
                <w:szCs w:val="12"/>
                <w:b w:val="1"/>
                <w:bCs w:val="1"/>
                <w:color w:val="auto"/>
              </w:rPr>
              <w:t>Rights</w:t>
            </w:r>
          </w:p>
        </w:tc>
        <w:tc>
          <w:tcPr>
            <w:tcW w:w="220" w:type="dxa"/>
            <w:vAlign w:val="bottom"/>
            <w:shd w:val="clear" w:color="auto" w:fill="F2F2F2"/>
          </w:tcPr>
          <w:p>
            <w:pPr>
              <w:spacing w:after="0"/>
              <w:rPr>
                <w:sz w:val="11"/>
                <w:szCs w:val="11"/>
                <w:color w:val="auto"/>
              </w:rPr>
            </w:pPr>
          </w:p>
        </w:tc>
        <w:tc>
          <w:tcPr>
            <w:tcW w:w="820" w:type="dxa"/>
            <w:vAlign w:val="bottom"/>
            <w:shd w:val="clear" w:color="auto" w:fill="F2F2F2"/>
          </w:tcPr>
          <w:p>
            <w:pPr>
              <w:jc w:val="center"/>
              <w:spacing w:after="0" w:line="135" w:lineRule="exact"/>
              <w:rPr>
                <w:sz w:val="20"/>
                <w:szCs w:val="20"/>
                <w:color w:val="auto"/>
              </w:rPr>
            </w:pPr>
            <w:r>
              <w:rPr>
                <w:rFonts w:ascii="Arial" w:cs="Arial" w:eastAsia="Arial" w:hAnsi="Arial"/>
                <w:sz w:val="12"/>
                <w:szCs w:val="12"/>
                <w:b w:val="1"/>
                <w:bCs w:val="1"/>
                <w:color w:val="auto"/>
              </w:rPr>
              <w:t>or Other</w:t>
            </w:r>
          </w:p>
        </w:tc>
        <w:tc>
          <w:tcPr>
            <w:tcW w:w="200" w:type="dxa"/>
            <w:vAlign w:val="bottom"/>
            <w:shd w:val="clear" w:color="auto" w:fill="F2F2F2"/>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20" w:type="dxa"/>
            <w:vAlign w:val="bottom"/>
            <w:shd w:val="clear" w:color="auto" w:fill="F2F2F2"/>
          </w:tcPr>
          <w:p>
            <w:pPr>
              <w:spacing w:after="0"/>
              <w:rPr>
                <w:sz w:val="11"/>
                <w:szCs w:val="11"/>
                <w:color w:val="auto"/>
              </w:rPr>
            </w:pPr>
          </w:p>
        </w:tc>
        <w:tc>
          <w:tcPr>
            <w:tcW w:w="200" w:type="dxa"/>
            <w:vAlign w:val="bottom"/>
            <w:shd w:val="clear" w:color="auto" w:fill="F2F2F2"/>
          </w:tcPr>
          <w:p>
            <w:pPr>
              <w:spacing w:after="0"/>
              <w:rPr>
                <w:sz w:val="11"/>
                <w:szCs w:val="11"/>
                <w:color w:val="auto"/>
              </w:rPr>
            </w:pPr>
          </w:p>
        </w:tc>
        <w:tc>
          <w:tcPr>
            <w:tcW w:w="840" w:type="dxa"/>
            <w:vAlign w:val="bottom"/>
            <w:shd w:val="clear" w:color="auto" w:fill="F2F2F2"/>
          </w:tcPr>
          <w:p>
            <w:pPr>
              <w:jc w:val="center"/>
              <w:spacing w:after="0" w:line="135" w:lineRule="exact"/>
              <w:rPr>
                <w:sz w:val="20"/>
                <w:szCs w:val="20"/>
                <w:color w:val="auto"/>
              </w:rPr>
            </w:pPr>
            <w:r>
              <w:rPr>
                <w:rFonts w:ascii="Arial" w:cs="Arial" w:eastAsia="Arial" w:hAnsi="Arial"/>
                <w:sz w:val="12"/>
                <w:szCs w:val="12"/>
                <w:b w:val="1"/>
                <w:bCs w:val="1"/>
                <w:color w:val="auto"/>
              </w:rPr>
              <w:t>Securities</w:t>
            </w:r>
          </w:p>
        </w:tc>
        <w:tc>
          <w:tcPr>
            <w:tcW w:w="220" w:type="dxa"/>
            <w:vAlign w:val="bottom"/>
            <w:shd w:val="clear" w:color="auto" w:fill="F2F2F2"/>
          </w:tcPr>
          <w:p>
            <w:pPr>
              <w:spacing w:after="0"/>
              <w:rPr>
                <w:sz w:val="11"/>
                <w:szCs w:val="11"/>
                <w:color w:val="auto"/>
              </w:rPr>
            </w:pPr>
          </w:p>
        </w:tc>
        <w:tc>
          <w:tcPr>
            <w:tcW w:w="840" w:type="dxa"/>
            <w:vAlign w:val="bottom"/>
            <w:shd w:val="clear" w:color="auto" w:fill="F2F2F2"/>
          </w:tcPr>
          <w:p>
            <w:pPr>
              <w:jc w:val="center"/>
              <w:spacing w:after="0" w:line="135" w:lineRule="exact"/>
              <w:rPr>
                <w:sz w:val="20"/>
                <w:szCs w:val="20"/>
                <w:color w:val="auto"/>
              </w:rPr>
            </w:pPr>
            <w:r>
              <w:rPr>
                <w:rFonts w:ascii="Arial" w:cs="Arial" w:eastAsia="Arial" w:hAnsi="Arial"/>
                <w:sz w:val="12"/>
                <w:szCs w:val="12"/>
                <w:b w:val="1"/>
                <w:bCs w:val="1"/>
                <w:color w:val="auto"/>
              </w:rPr>
              <w:t>Securities</w:t>
            </w:r>
          </w:p>
        </w:tc>
        <w:tc>
          <w:tcPr>
            <w:tcW w:w="220" w:type="dxa"/>
            <w:vAlign w:val="bottom"/>
            <w:shd w:val="clear" w:color="auto" w:fill="F2F2F2"/>
          </w:tcPr>
          <w:p>
            <w:pPr>
              <w:spacing w:after="0"/>
              <w:rPr>
                <w:sz w:val="11"/>
                <w:szCs w:val="11"/>
                <w:color w:val="auto"/>
              </w:rPr>
            </w:pPr>
          </w:p>
        </w:tc>
        <w:tc>
          <w:tcPr>
            <w:tcW w:w="840" w:type="dxa"/>
            <w:vAlign w:val="bottom"/>
            <w:shd w:val="clear" w:color="auto" w:fill="F2F2F2"/>
          </w:tcPr>
          <w:p>
            <w:pPr>
              <w:spacing w:after="0"/>
              <w:rPr>
                <w:sz w:val="11"/>
                <w:szCs w:val="11"/>
                <w:color w:val="auto"/>
              </w:rPr>
            </w:pPr>
          </w:p>
        </w:tc>
        <w:tc>
          <w:tcPr>
            <w:tcW w:w="200" w:type="dxa"/>
            <w:vAlign w:val="bottom"/>
            <w:shd w:val="clear" w:color="auto" w:fill="F2F2F2"/>
          </w:tcPr>
          <w:p>
            <w:pPr>
              <w:spacing w:after="0"/>
              <w:rPr>
                <w:sz w:val="11"/>
                <w:szCs w:val="11"/>
                <w:color w:val="auto"/>
              </w:rPr>
            </w:pPr>
          </w:p>
        </w:tc>
        <w:tc>
          <w:tcPr>
            <w:tcW w:w="860" w:type="dxa"/>
            <w:vAlign w:val="bottom"/>
            <w:shd w:val="clear" w:color="auto" w:fill="F2F2F2"/>
          </w:tcPr>
          <w:p>
            <w:pPr>
              <w:spacing w:after="0"/>
              <w:rPr>
                <w:sz w:val="11"/>
                <w:szCs w:val="11"/>
                <w:color w:val="auto"/>
              </w:rPr>
            </w:pPr>
          </w:p>
        </w:tc>
        <w:tc>
          <w:tcPr>
            <w:tcW w:w="200" w:type="dxa"/>
            <w:vAlign w:val="bottom"/>
            <w:shd w:val="clear" w:color="auto" w:fill="F2F2F2"/>
          </w:tcPr>
          <w:p>
            <w:pPr>
              <w:spacing w:after="0"/>
              <w:rPr>
                <w:sz w:val="11"/>
                <w:szCs w:val="11"/>
                <w:color w:val="auto"/>
              </w:rPr>
            </w:pPr>
          </w:p>
        </w:tc>
        <w:tc>
          <w:tcPr>
            <w:tcW w:w="820" w:type="dxa"/>
            <w:vAlign w:val="bottom"/>
            <w:shd w:val="clear" w:color="auto" w:fill="F2F2F2"/>
          </w:tcPr>
          <w:p>
            <w:pPr>
              <w:jc w:val="center"/>
              <w:spacing w:after="0" w:line="135" w:lineRule="exact"/>
              <w:rPr>
                <w:sz w:val="20"/>
                <w:szCs w:val="20"/>
                <w:color w:val="auto"/>
              </w:rPr>
            </w:pPr>
            <w:r>
              <w:rPr>
                <w:rFonts w:ascii="Arial" w:cs="Arial" w:eastAsia="Arial" w:hAnsi="Arial"/>
                <w:sz w:val="12"/>
                <w:szCs w:val="12"/>
                <w:b w:val="1"/>
                <w:bCs w:val="1"/>
                <w:color w:val="auto"/>
              </w:rPr>
              <w:t>That</w:t>
            </w:r>
          </w:p>
        </w:tc>
        <w:tc>
          <w:tcPr>
            <w:tcW w:w="240" w:type="dxa"/>
            <w:vAlign w:val="bottom"/>
            <w:shd w:val="clear" w:color="auto" w:fill="F2F2F2"/>
          </w:tcPr>
          <w:p>
            <w:pPr>
              <w:spacing w:after="0"/>
              <w:rPr>
                <w:sz w:val="11"/>
                <w:szCs w:val="11"/>
                <w:color w:val="auto"/>
              </w:rPr>
            </w:pPr>
          </w:p>
        </w:tc>
        <w:tc>
          <w:tcPr>
            <w:tcW w:w="820" w:type="dxa"/>
            <w:vAlign w:val="bottom"/>
            <w:shd w:val="clear" w:color="auto" w:fill="F2F2F2"/>
          </w:tcPr>
          <w:p>
            <w:pPr>
              <w:jc w:val="center"/>
              <w:spacing w:after="0" w:line="135" w:lineRule="exact"/>
              <w:rPr>
                <w:sz w:val="20"/>
                <w:szCs w:val="20"/>
                <w:color w:val="auto"/>
              </w:rPr>
            </w:pPr>
            <w:r>
              <w:rPr>
                <w:rFonts w:ascii="Arial" w:cs="Arial" w:eastAsia="Arial" w:hAnsi="Arial"/>
                <w:sz w:val="12"/>
                <w:szCs w:val="12"/>
                <w:b w:val="1"/>
                <w:bCs w:val="1"/>
                <w:color w:val="auto"/>
              </w:rPr>
              <w:t>That</w:t>
            </w:r>
          </w:p>
        </w:tc>
        <w:tc>
          <w:tcPr>
            <w:tcW w:w="220" w:type="dxa"/>
            <w:vAlign w:val="bottom"/>
            <w:shd w:val="clear" w:color="auto" w:fill="F2F2F2"/>
          </w:tcPr>
          <w:p>
            <w:pPr>
              <w:spacing w:after="0"/>
              <w:rPr>
                <w:sz w:val="11"/>
                <w:szCs w:val="11"/>
                <w:color w:val="auto"/>
              </w:rPr>
            </w:pPr>
          </w:p>
        </w:tc>
        <w:tc>
          <w:tcPr>
            <w:tcW w:w="840" w:type="dxa"/>
            <w:vAlign w:val="bottom"/>
            <w:shd w:val="clear" w:color="auto" w:fill="F2F2F2"/>
          </w:tcPr>
          <w:p>
            <w:pPr>
              <w:jc w:val="center"/>
              <w:spacing w:after="0" w:line="135" w:lineRule="exact"/>
              <w:rPr>
                <w:sz w:val="20"/>
                <w:szCs w:val="20"/>
                <w:color w:val="auto"/>
              </w:rPr>
            </w:pPr>
            <w:r>
              <w:rPr>
                <w:rFonts w:ascii="Arial" w:cs="Arial" w:eastAsia="Arial" w:hAnsi="Arial"/>
                <w:sz w:val="12"/>
                <w:szCs w:val="12"/>
                <w:b w:val="1"/>
                <w:bCs w:val="1"/>
                <w:color w:val="auto"/>
              </w:rPr>
              <w:t>That</w:t>
            </w:r>
          </w:p>
        </w:tc>
        <w:tc>
          <w:tcPr>
            <w:tcW w:w="220" w:type="dxa"/>
            <w:vAlign w:val="bottom"/>
            <w:shd w:val="clear" w:color="auto" w:fill="F2F2F2"/>
          </w:tcPr>
          <w:p>
            <w:pPr>
              <w:spacing w:after="0"/>
              <w:rPr>
                <w:sz w:val="11"/>
                <w:szCs w:val="11"/>
                <w:color w:val="auto"/>
              </w:rPr>
            </w:pPr>
          </w:p>
        </w:tc>
        <w:tc>
          <w:tcPr>
            <w:tcW w:w="820" w:type="dxa"/>
            <w:vAlign w:val="bottom"/>
            <w:shd w:val="clear" w:color="auto" w:fill="F2F2F2"/>
          </w:tcPr>
          <w:p>
            <w:pPr>
              <w:jc w:val="center"/>
              <w:spacing w:after="0" w:line="135" w:lineRule="exact"/>
              <w:rPr>
                <w:sz w:val="20"/>
                <w:szCs w:val="20"/>
                <w:color w:val="auto"/>
              </w:rPr>
            </w:pPr>
            <w:r>
              <w:rPr>
                <w:rFonts w:ascii="Arial" w:cs="Arial" w:eastAsia="Arial" w:hAnsi="Arial"/>
                <w:sz w:val="12"/>
                <w:szCs w:val="12"/>
                <w:b w:val="1"/>
                <w:bCs w:val="1"/>
                <w:color w:val="auto"/>
                <w:w w:val="96"/>
              </w:rPr>
              <w:t>Rights</w:t>
            </w:r>
          </w:p>
        </w:tc>
        <w:tc>
          <w:tcPr>
            <w:tcW w:w="200" w:type="dxa"/>
            <w:vAlign w:val="bottom"/>
            <w:shd w:val="clear" w:color="auto" w:fill="F2F2F2"/>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20" w:type="dxa"/>
            <w:vAlign w:val="bottom"/>
            <w:shd w:val="clear" w:color="auto" w:fill="F2F2F2"/>
          </w:tcPr>
          <w:p>
            <w:pPr>
              <w:spacing w:after="0"/>
              <w:rPr>
                <w:sz w:val="11"/>
                <w:szCs w:val="11"/>
                <w:color w:val="auto"/>
              </w:rPr>
            </w:pPr>
          </w:p>
        </w:tc>
        <w:tc>
          <w:tcPr>
            <w:tcW w:w="200" w:type="dxa"/>
            <w:vAlign w:val="bottom"/>
            <w:shd w:val="clear" w:color="auto" w:fill="F2F2F2"/>
          </w:tcPr>
          <w:p>
            <w:pPr>
              <w:spacing w:after="0"/>
              <w:rPr>
                <w:sz w:val="11"/>
                <w:szCs w:val="11"/>
                <w:color w:val="auto"/>
              </w:rPr>
            </w:pPr>
          </w:p>
        </w:tc>
        <w:tc>
          <w:tcPr>
            <w:tcW w:w="840" w:type="dxa"/>
            <w:vAlign w:val="bottom"/>
            <w:shd w:val="clear" w:color="auto" w:fill="F2F2F2"/>
          </w:tcPr>
          <w:p>
            <w:pPr>
              <w:jc w:val="center"/>
              <w:spacing w:after="0" w:line="135" w:lineRule="exact"/>
              <w:rPr>
                <w:sz w:val="20"/>
                <w:szCs w:val="20"/>
                <w:color w:val="auto"/>
              </w:rPr>
            </w:pPr>
            <w:r>
              <w:rPr>
                <w:rFonts w:ascii="Arial" w:cs="Arial" w:eastAsia="Arial" w:hAnsi="Arial"/>
                <w:sz w:val="12"/>
                <w:szCs w:val="12"/>
                <w:b w:val="1"/>
                <w:bCs w:val="1"/>
                <w:color w:val="auto"/>
              </w:rPr>
              <w:t>Underlying</w:t>
            </w:r>
          </w:p>
        </w:tc>
        <w:tc>
          <w:tcPr>
            <w:tcW w:w="220" w:type="dxa"/>
            <w:vAlign w:val="bottom"/>
            <w:shd w:val="clear" w:color="auto" w:fill="F2F2F2"/>
          </w:tcPr>
          <w:p>
            <w:pPr>
              <w:spacing w:after="0"/>
              <w:rPr>
                <w:sz w:val="11"/>
                <w:szCs w:val="11"/>
                <w:color w:val="auto"/>
              </w:rPr>
            </w:pPr>
          </w:p>
        </w:tc>
        <w:tc>
          <w:tcPr>
            <w:tcW w:w="840" w:type="dxa"/>
            <w:vAlign w:val="bottom"/>
            <w:shd w:val="clear" w:color="auto" w:fill="F2F2F2"/>
          </w:tcPr>
          <w:p>
            <w:pPr>
              <w:jc w:val="center"/>
              <w:spacing w:after="0" w:line="135" w:lineRule="exact"/>
              <w:rPr>
                <w:sz w:val="20"/>
                <w:szCs w:val="20"/>
                <w:color w:val="auto"/>
              </w:rPr>
            </w:pPr>
            <w:r>
              <w:rPr>
                <w:rFonts w:ascii="Arial" w:cs="Arial" w:eastAsia="Arial" w:hAnsi="Arial"/>
                <w:sz w:val="12"/>
                <w:szCs w:val="12"/>
                <w:b w:val="1"/>
                <w:bCs w:val="1"/>
                <w:color w:val="auto"/>
              </w:rPr>
              <w:t>Underlying</w:t>
            </w:r>
          </w:p>
        </w:tc>
        <w:tc>
          <w:tcPr>
            <w:tcW w:w="220" w:type="dxa"/>
            <w:vAlign w:val="bottom"/>
            <w:shd w:val="clear" w:color="auto" w:fill="F2F2F2"/>
          </w:tcPr>
          <w:p>
            <w:pPr>
              <w:spacing w:after="0"/>
              <w:rPr>
                <w:sz w:val="11"/>
                <w:szCs w:val="11"/>
                <w:color w:val="auto"/>
              </w:rPr>
            </w:pPr>
          </w:p>
        </w:tc>
        <w:tc>
          <w:tcPr>
            <w:tcW w:w="840" w:type="dxa"/>
            <w:vAlign w:val="bottom"/>
            <w:shd w:val="clear" w:color="auto" w:fill="F2F2F2"/>
          </w:tcPr>
          <w:p>
            <w:pPr>
              <w:spacing w:after="0"/>
              <w:rPr>
                <w:sz w:val="11"/>
                <w:szCs w:val="11"/>
                <w:color w:val="auto"/>
              </w:rPr>
            </w:pPr>
          </w:p>
        </w:tc>
        <w:tc>
          <w:tcPr>
            <w:tcW w:w="200" w:type="dxa"/>
            <w:vAlign w:val="bottom"/>
            <w:shd w:val="clear" w:color="auto" w:fill="F2F2F2"/>
          </w:tcPr>
          <w:p>
            <w:pPr>
              <w:spacing w:after="0"/>
              <w:rPr>
                <w:sz w:val="11"/>
                <w:szCs w:val="11"/>
                <w:color w:val="auto"/>
              </w:rPr>
            </w:pPr>
          </w:p>
        </w:tc>
        <w:tc>
          <w:tcPr>
            <w:tcW w:w="860" w:type="dxa"/>
            <w:vAlign w:val="bottom"/>
            <w:shd w:val="clear" w:color="auto" w:fill="F2F2F2"/>
          </w:tcPr>
          <w:p>
            <w:pPr>
              <w:spacing w:after="0"/>
              <w:rPr>
                <w:sz w:val="11"/>
                <w:szCs w:val="11"/>
                <w:color w:val="auto"/>
              </w:rPr>
            </w:pPr>
          </w:p>
        </w:tc>
        <w:tc>
          <w:tcPr>
            <w:tcW w:w="200" w:type="dxa"/>
            <w:vAlign w:val="bottom"/>
            <w:shd w:val="clear" w:color="auto" w:fill="F2F2F2"/>
          </w:tcPr>
          <w:p>
            <w:pPr>
              <w:spacing w:after="0"/>
              <w:rPr>
                <w:sz w:val="11"/>
                <w:szCs w:val="11"/>
                <w:color w:val="auto"/>
              </w:rPr>
            </w:pPr>
          </w:p>
        </w:tc>
        <w:tc>
          <w:tcPr>
            <w:tcW w:w="820" w:type="dxa"/>
            <w:vAlign w:val="bottom"/>
            <w:shd w:val="clear" w:color="auto" w:fill="F2F2F2"/>
          </w:tcPr>
          <w:p>
            <w:pPr>
              <w:jc w:val="center"/>
              <w:spacing w:after="0" w:line="135" w:lineRule="exact"/>
              <w:rPr>
                <w:sz w:val="20"/>
                <w:szCs w:val="20"/>
                <w:color w:val="auto"/>
              </w:rPr>
            </w:pPr>
            <w:r>
              <w:rPr>
                <w:rFonts w:ascii="Arial" w:cs="Arial" w:eastAsia="Arial" w:hAnsi="Arial"/>
                <w:sz w:val="12"/>
                <w:szCs w:val="12"/>
                <w:b w:val="1"/>
                <w:bCs w:val="1"/>
                <w:color w:val="auto"/>
              </w:rPr>
              <w:t>Have</w:t>
            </w:r>
          </w:p>
        </w:tc>
        <w:tc>
          <w:tcPr>
            <w:tcW w:w="240" w:type="dxa"/>
            <w:vAlign w:val="bottom"/>
            <w:shd w:val="clear" w:color="auto" w:fill="F2F2F2"/>
          </w:tcPr>
          <w:p>
            <w:pPr>
              <w:spacing w:after="0"/>
              <w:rPr>
                <w:sz w:val="11"/>
                <w:szCs w:val="11"/>
                <w:color w:val="auto"/>
              </w:rPr>
            </w:pPr>
          </w:p>
        </w:tc>
        <w:tc>
          <w:tcPr>
            <w:tcW w:w="820" w:type="dxa"/>
            <w:vAlign w:val="bottom"/>
            <w:shd w:val="clear" w:color="auto" w:fill="F2F2F2"/>
          </w:tcPr>
          <w:p>
            <w:pPr>
              <w:jc w:val="center"/>
              <w:spacing w:after="0" w:line="135" w:lineRule="exact"/>
              <w:rPr>
                <w:sz w:val="20"/>
                <w:szCs w:val="20"/>
                <w:color w:val="auto"/>
              </w:rPr>
            </w:pPr>
            <w:r>
              <w:rPr>
                <w:rFonts w:ascii="Arial" w:cs="Arial" w:eastAsia="Arial" w:hAnsi="Arial"/>
                <w:sz w:val="12"/>
                <w:szCs w:val="12"/>
                <w:b w:val="1"/>
                <w:bCs w:val="1"/>
                <w:color w:val="auto"/>
              </w:rPr>
              <w:t>Have</w:t>
            </w:r>
          </w:p>
        </w:tc>
        <w:tc>
          <w:tcPr>
            <w:tcW w:w="220" w:type="dxa"/>
            <w:vAlign w:val="bottom"/>
            <w:shd w:val="clear" w:color="auto" w:fill="F2F2F2"/>
          </w:tcPr>
          <w:p>
            <w:pPr>
              <w:spacing w:after="0"/>
              <w:rPr>
                <w:sz w:val="11"/>
                <w:szCs w:val="11"/>
                <w:color w:val="auto"/>
              </w:rPr>
            </w:pPr>
          </w:p>
        </w:tc>
        <w:tc>
          <w:tcPr>
            <w:tcW w:w="840" w:type="dxa"/>
            <w:vAlign w:val="bottom"/>
            <w:shd w:val="clear" w:color="auto" w:fill="F2F2F2"/>
          </w:tcPr>
          <w:p>
            <w:pPr>
              <w:jc w:val="center"/>
              <w:spacing w:after="0" w:line="135" w:lineRule="exact"/>
              <w:rPr>
                <w:sz w:val="20"/>
                <w:szCs w:val="20"/>
                <w:color w:val="auto"/>
              </w:rPr>
            </w:pPr>
            <w:r>
              <w:rPr>
                <w:rFonts w:ascii="Arial" w:cs="Arial" w:eastAsia="Arial" w:hAnsi="Arial"/>
                <w:sz w:val="12"/>
                <w:szCs w:val="12"/>
                <w:b w:val="1"/>
                <w:bCs w:val="1"/>
                <w:color w:val="auto"/>
              </w:rPr>
              <w:t>Have</w:t>
            </w:r>
          </w:p>
        </w:tc>
        <w:tc>
          <w:tcPr>
            <w:tcW w:w="220" w:type="dxa"/>
            <w:vAlign w:val="bottom"/>
            <w:shd w:val="clear" w:color="auto" w:fill="F2F2F2"/>
          </w:tcPr>
          <w:p>
            <w:pPr>
              <w:spacing w:after="0"/>
              <w:rPr>
                <w:sz w:val="11"/>
                <w:szCs w:val="11"/>
                <w:color w:val="auto"/>
              </w:rPr>
            </w:pPr>
          </w:p>
        </w:tc>
        <w:tc>
          <w:tcPr>
            <w:tcW w:w="820" w:type="dxa"/>
            <w:vAlign w:val="bottom"/>
            <w:shd w:val="clear" w:color="auto" w:fill="F2F2F2"/>
          </w:tcPr>
          <w:p>
            <w:pPr>
              <w:jc w:val="center"/>
              <w:spacing w:after="0" w:line="135" w:lineRule="exact"/>
              <w:rPr>
                <w:sz w:val="20"/>
                <w:szCs w:val="20"/>
                <w:color w:val="auto"/>
              </w:rPr>
            </w:pPr>
            <w:r>
              <w:rPr>
                <w:rFonts w:ascii="Arial" w:cs="Arial" w:eastAsia="Arial" w:hAnsi="Arial"/>
                <w:sz w:val="12"/>
                <w:szCs w:val="12"/>
                <w:b w:val="1"/>
                <w:bCs w:val="1"/>
                <w:color w:val="auto"/>
              </w:rPr>
              <w:t>That</w:t>
            </w:r>
          </w:p>
        </w:tc>
        <w:tc>
          <w:tcPr>
            <w:tcW w:w="200" w:type="dxa"/>
            <w:vAlign w:val="bottom"/>
            <w:shd w:val="clear" w:color="auto" w:fill="F2F2F2"/>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20" w:type="dxa"/>
            <w:vAlign w:val="bottom"/>
            <w:shd w:val="clear" w:color="auto" w:fill="F2F2F2"/>
          </w:tcPr>
          <w:p>
            <w:pPr>
              <w:spacing w:after="0"/>
              <w:rPr>
                <w:sz w:val="11"/>
                <w:szCs w:val="11"/>
                <w:color w:val="auto"/>
              </w:rPr>
            </w:pPr>
          </w:p>
        </w:tc>
        <w:tc>
          <w:tcPr>
            <w:tcW w:w="200" w:type="dxa"/>
            <w:vAlign w:val="bottom"/>
            <w:shd w:val="clear" w:color="auto" w:fill="F2F2F2"/>
          </w:tcPr>
          <w:p>
            <w:pPr>
              <w:spacing w:after="0"/>
              <w:rPr>
                <w:sz w:val="11"/>
                <w:szCs w:val="11"/>
                <w:color w:val="auto"/>
              </w:rPr>
            </w:pPr>
          </w:p>
        </w:tc>
        <w:tc>
          <w:tcPr>
            <w:tcW w:w="840" w:type="dxa"/>
            <w:vAlign w:val="bottom"/>
            <w:shd w:val="clear" w:color="auto" w:fill="F2F2F2"/>
          </w:tcPr>
          <w:p>
            <w:pPr>
              <w:jc w:val="center"/>
              <w:spacing w:after="0" w:line="135" w:lineRule="exact"/>
              <w:rPr>
                <w:sz w:val="20"/>
                <w:szCs w:val="20"/>
                <w:color w:val="auto"/>
              </w:rPr>
            </w:pPr>
            <w:r>
              <w:rPr>
                <w:rFonts w:ascii="Arial" w:cs="Arial" w:eastAsia="Arial" w:hAnsi="Arial"/>
                <w:sz w:val="12"/>
                <w:szCs w:val="12"/>
                <w:b w:val="1"/>
                <w:bCs w:val="1"/>
                <w:color w:val="auto"/>
              </w:rPr>
              <w:t>Unexercised</w:t>
            </w:r>
          </w:p>
        </w:tc>
        <w:tc>
          <w:tcPr>
            <w:tcW w:w="220" w:type="dxa"/>
            <w:vAlign w:val="bottom"/>
            <w:shd w:val="clear" w:color="auto" w:fill="F2F2F2"/>
          </w:tcPr>
          <w:p>
            <w:pPr>
              <w:spacing w:after="0"/>
              <w:rPr>
                <w:sz w:val="11"/>
                <w:szCs w:val="11"/>
                <w:color w:val="auto"/>
              </w:rPr>
            </w:pPr>
          </w:p>
        </w:tc>
        <w:tc>
          <w:tcPr>
            <w:tcW w:w="840" w:type="dxa"/>
            <w:vAlign w:val="bottom"/>
            <w:shd w:val="clear" w:color="auto" w:fill="F2F2F2"/>
          </w:tcPr>
          <w:p>
            <w:pPr>
              <w:jc w:val="center"/>
              <w:spacing w:after="0" w:line="135" w:lineRule="exact"/>
              <w:rPr>
                <w:sz w:val="20"/>
                <w:szCs w:val="20"/>
                <w:color w:val="auto"/>
              </w:rPr>
            </w:pPr>
            <w:r>
              <w:rPr>
                <w:rFonts w:ascii="Arial" w:cs="Arial" w:eastAsia="Arial" w:hAnsi="Arial"/>
                <w:sz w:val="12"/>
                <w:szCs w:val="12"/>
                <w:b w:val="1"/>
                <w:bCs w:val="1"/>
                <w:color w:val="auto"/>
              </w:rPr>
              <w:t>Unexercised</w:t>
            </w:r>
          </w:p>
        </w:tc>
        <w:tc>
          <w:tcPr>
            <w:tcW w:w="220" w:type="dxa"/>
            <w:vAlign w:val="bottom"/>
            <w:shd w:val="clear" w:color="auto" w:fill="F2F2F2"/>
          </w:tcPr>
          <w:p>
            <w:pPr>
              <w:spacing w:after="0"/>
              <w:rPr>
                <w:sz w:val="11"/>
                <w:szCs w:val="11"/>
                <w:color w:val="auto"/>
              </w:rPr>
            </w:pPr>
          </w:p>
        </w:tc>
        <w:tc>
          <w:tcPr>
            <w:tcW w:w="840" w:type="dxa"/>
            <w:vAlign w:val="bottom"/>
            <w:shd w:val="clear" w:color="auto" w:fill="F2F2F2"/>
          </w:tcPr>
          <w:p>
            <w:pPr>
              <w:jc w:val="right"/>
              <w:ind w:right="162"/>
              <w:spacing w:after="0" w:line="135" w:lineRule="exact"/>
              <w:rPr>
                <w:sz w:val="20"/>
                <w:szCs w:val="20"/>
                <w:color w:val="auto"/>
              </w:rPr>
            </w:pPr>
            <w:r>
              <w:rPr>
                <w:rFonts w:ascii="Arial" w:cs="Arial" w:eastAsia="Arial" w:hAnsi="Arial"/>
                <w:sz w:val="12"/>
                <w:szCs w:val="12"/>
                <w:b w:val="1"/>
                <w:bCs w:val="1"/>
                <w:color w:val="auto"/>
              </w:rPr>
              <w:t>Option</w:t>
            </w:r>
          </w:p>
        </w:tc>
        <w:tc>
          <w:tcPr>
            <w:tcW w:w="200" w:type="dxa"/>
            <w:vAlign w:val="bottom"/>
            <w:shd w:val="clear" w:color="auto" w:fill="F2F2F2"/>
          </w:tcPr>
          <w:p>
            <w:pPr>
              <w:spacing w:after="0"/>
              <w:rPr>
                <w:sz w:val="11"/>
                <w:szCs w:val="11"/>
                <w:color w:val="auto"/>
              </w:rPr>
            </w:pPr>
          </w:p>
        </w:tc>
        <w:tc>
          <w:tcPr>
            <w:tcW w:w="860" w:type="dxa"/>
            <w:vAlign w:val="bottom"/>
            <w:shd w:val="clear" w:color="auto" w:fill="F2F2F2"/>
          </w:tcPr>
          <w:p>
            <w:pPr>
              <w:jc w:val="center"/>
              <w:spacing w:after="0" w:line="135" w:lineRule="exact"/>
              <w:rPr>
                <w:sz w:val="20"/>
                <w:szCs w:val="20"/>
                <w:color w:val="auto"/>
              </w:rPr>
            </w:pPr>
            <w:r>
              <w:rPr>
                <w:rFonts w:ascii="Arial" w:cs="Arial" w:eastAsia="Arial" w:hAnsi="Arial"/>
                <w:sz w:val="12"/>
                <w:szCs w:val="12"/>
                <w:b w:val="1"/>
                <w:bCs w:val="1"/>
                <w:color w:val="auto"/>
              </w:rPr>
              <w:t>Option</w:t>
            </w:r>
          </w:p>
        </w:tc>
        <w:tc>
          <w:tcPr>
            <w:tcW w:w="200" w:type="dxa"/>
            <w:vAlign w:val="bottom"/>
            <w:shd w:val="clear" w:color="auto" w:fill="F2F2F2"/>
          </w:tcPr>
          <w:p>
            <w:pPr>
              <w:spacing w:after="0"/>
              <w:rPr>
                <w:sz w:val="11"/>
                <w:szCs w:val="11"/>
                <w:color w:val="auto"/>
              </w:rPr>
            </w:pPr>
          </w:p>
        </w:tc>
        <w:tc>
          <w:tcPr>
            <w:tcW w:w="820" w:type="dxa"/>
            <w:vAlign w:val="bottom"/>
            <w:shd w:val="clear" w:color="auto" w:fill="F2F2F2"/>
          </w:tcPr>
          <w:p>
            <w:pPr>
              <w:jc w:val="center"/>
              <w:spacing w:after="0" w:line="135" w:lineRule="exact"/>
              <w:rPr>
                <w:sz w:val="20"/>
                <w:szCs w:val="20"/>
                <w:color w:val="auto"/>
              </w:rPr>
            </w:pPr>
            <w:r>
              <w:rPr>
                <w:rFonts w:ascii="Arial" w:cs="Arial" w:eastAsia="Arial" w:hAnsi="Arial"/>
                <w:sz w:val="12"/>
                <w:szCs w:val="12"/>
                <w:b w:val="1"/>
                <w:bCs w:val="1"/>
                <w:color w:val="auto"/>
              </w:rPr>
              <w:t>Not</w:t>
            </w:r>
          </w:p>
        </w:tc>
        <w:tc>
          <w:tcPr>
            <w:tcW w:w="240" w:type="dxa"/>
            <w:vAlign w:val="bottom"/>
            <w:shd w:val="clear" w:color="auto" w:fill="F2F2F2"/>
          </w:tcPr>
          <w:p>
            <w:pPr>
              <w:spacing w:after="0"/>
              <w:rPr>
                <w:sz w:val="11"/>
                <w:szCs w:val="11"/>
                <w:color w:val="auto"/>
              </w:rPr>
            </w:pPr>
          </w:p>
        </w:tc>
        <w:tc>
          <w:tcPr>
            <w:tcW w:w="820" w:type="dxa"/>
            <w:vAlign w:val="bottom"/>
            <w:shd w:val="clear" w:color="auto" w:fill="F2F2F2"/>
          </w:tcPr>
          <w:p>
            <w:pPr>
              <w:jc w:val="center"/>
              <w:spacing w:after="0" w:line="135" w:lineRule="exact"/>
              <w:rPr>
                <w:sz w:val="20"/>
                <w:szCs w:val="20"/>
                <w:color w:val="auto"/>
              </w:rPr>
            </w:pPr>
            <w:r>
              <w:rPr>
                <w:rFonts w:ascii="Arial" w:cs="Arial" w:eastAsia="Arial" w:hAnsi="Arial"/>
                <w:sz w:val="12"/>
                <w:szCs w:val="12"/>
                <w:b w:val="1"/>
                <w:bCs w:val="1"/>
                <w:color w:val="auto"/>
              </w:rPr>
              <w:t>Not</w:t>
            </w:r>
          </w:p>
        </w:tc>
        <w:tc>
          <w:tcPr>
            <w:tcW w:w="220" w:type="dxa"/>
            <w:vAlign w:val="bottom"/>
            <w:shd w:val="clear" w:color="auto" w:fill="F2F2F2"/>
          </w:tcPr>
          <w:p>
            <w:pPr>
              <w:spacing w:after="0"/>
              <w:rPr>
                <w:sz w:val="11"/>
                <w:szCs w:val="11"/>
                <w:color w:val="auto"/>
              </w:rPr>
            </w:pPr>
          </w:p>
        </w:tc>
        <w:tc>
          <w:tcPr>
            <w:tcW w:w="840" w:type="dxa"/>
            <w:vAlign w:val="bottom"/>
            <w:shd w:val="clear" w:color="auto" w:fill="F2F2F2"/>
          </w:tcPr>
          <w:p>
            <w:pPr>
              <w:jc w:val="center"/>
              <w:spacing w:after="0" w:line="135" w:lineRule="exact"/>
              <w:rPr>
                <w:sz w:val="20"/>
                <w:szCs w:val="20"/>
                <w:color w:val="auto"/>
              </w:rPr>
            </w:pPr>
            <w:r>
              <w:rPr>
                <w:rFonts w:ascii="Arial" w:cs="Arial" w:eastAsia="Arial" w:hAnsi="Arial"/>
                <w:sz w:val="12"/>
                <w:szCs w:val="12"/>
                <w:b w:val="1"/>
                <w:bCs w:val="1"/>
                <w:color w:val="auto"/>
              </w:rPr>
              <w:t>Not</w:t>
            </w:r>
          </w:p>
        </w:tc>
        <w:tc>
          <w:tcPr>
            <w:tcW w:w="220" w:type="dxa"/>
            <w:vAlign w:val="bottom"/>
            <w:shd w:val="clear" w:color="auto" w:fill="F2F2F2"/>
          </w:tcPr>
          <w:p>
            <w:pPr>
              <w:spacing w:after="0"/>
              <w:rPr>
                <w:sz w:val="11"/>
                <w:szCs w:val="11"/>
                <w:color w:val="auto"/>
              </w:rPr>
            </w:pPr>
          </w:p>
        </w:tc>
        <w:tc>
          <w:tcPr>
            <w:tcW w:w="820" w:type="dxa"/>
            <w:vAlign w:val="bottom"/>
            <w:shd w:val="clear" w:color="auto" w:fill="F2F2F2"/>
          </w:tcPr>
          <w:p>
            <w:pPr>
              <w:jc w:val="center"/>
              <w:spacing w:after="0" w:line="135" w:lineRule="exact"/>
              <w:rPr>
                <w:sz w:val="20"/>
                <w:szCs w:val="20"/>
                <w:color w:val="auto"/>
              </w:rPr>
            </w:pPr>
            <w:r>
              <w:rPr>
                <w:rFonts w:ascii="Arial" w:cs="Arial" w:eastAsia="Arial" w:hAnsi="Arial"/>
                <w:sz w:val="12"/>
                <w:szCs w:val="12"/>
                <w:b w:val="1"/>
                <w:bCs w:val="1"/>
                <w:color w:val="auto"/>
              </w:rPr>
              <w:t>Have Not</w:t>
            </w:r>
          </w:p>
        </w:tc>
        <w:tc>
          <w:tcPr>
            <w:tcW w:w="200" w:type="dxa"/>
            <w:vAlign w:val="bottom"/>
            <w:shd w:val="clear" w:color="auto" w:fill="F2F2F2"/>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20" w:type="dxa"/>
            <w:vAlign w:val="bottom"/>
            <w:shd w:val="clear" w:color="auto" w:fill="F2F2F2"/>
          </w:tcPr>
          <w:p>
            <w:pPr>
              <w:spacing w:after="0"/>
              <w:rPr>
                <w:sz w:val="11"/>
                <w:szCs w:val="11"/>
                <w:color w:val="auto"/>
              </w:rPr>
            </w:pPr>
          </w:p>
        </w:tc>
        <w:tc>
          <w:tcPr>
            <w:tcW w:w="200" w:type="dxa"/>
            <w:vAlign w:val="bottom"/>
            <w:shd w:val="clear" w:color="auto" w:fill="F2F2F2"/>
          </w:tcPr>
          <w:p>
            <w:pPr>
              <w:spacing w:after="0"/>
              <w:rPr>
                <w:sz w:val="11"/>
                <w:szCs w:val="11"/>
                <w:color w:val="auto"/>
              </w:rPr>
            </w:pPr>
          </w:p>
        </w:tc>
        <w:tc>
          <w:tcPr>
            <w:tcW w:w="840" w:type="dxa"/>
            <w:vAlign w:val="bottom"/>
            <w:shd w:val="clear" w:color="auto" w:fill="F2F2F2"/>
          </w:tcPr>
          <w:p>
            <w:pPr>
              <w:jc w:val="center"/>
              <w:spacing w:after="0" w:line="135" w:lineRule="exact"/>
              <w:rPr>
                <w:sz w:val="20"/>
                <w:szCs w:val="20"/>
                <w:color w:val="auto"/>
              </w:rPr>
            </w:pPr>
            <w:r>
              <w:rPr>
                <w:rFonts w:ascii="Arial" w:cs="Arial" w:eastAsia="Arial" w:hAnsi="Arial"/>
                <w:sz w:val="12"/>
                <w:szCs w:val="12"/>
                <w:b w:val="1"/>
                <w:bCs w:val="1"/>
                <w:color w:val="auto"/>
              </w:rPr>
              <w:t>Options (#)</w:t>
            </w:r>
          </w:p>
        </w:tc>
        <w:tc>
          <w:tcPr>
            <w:tcW w:w="220" w:type="dxa"/>
            <w:vAlign w:val="bottom"/>
            <w:shd w:val="clear" w:color="auto" w:fill="F2F2F2"/>
          </w:tcPr>
          <w:p>
            <w:pPr>
              <w:spacing w:after="0"/>
              <w:rPr>
                <w:sz w:val="11"/>
                <w:szCs w:val="11"/>
                <w:color w:val="auto"/>
              </w:rPr>
            </w:pPr>
          </w:p>
        </w:tc>
        <w:tc>
          <w:tcPr>
            <w:tcW w:w="840" w:type="dxa"/>
            <w:vAlign w:val="bottom"/>
            <w:shd w:val="clear" w:color="auto" w:fill="F2F2F2"/>
          </w:tcPr>
          <w:p>
            <w:pPr>
              <w:jc w:val="center"/>
              <w:spacing w:after="0" w:line="135" w:lineRule="exact"/>
              <w:rPr>
                <w:sz w:val="20"/>
                <w:szCs w:val="20"/>
                <w:color w:val="auto"/>
              </w:rPr>
            </w:pPr>
            <w:r>
              <w:rPr>
                <w:rFonts w:ascii="Arial" w:cs="Arial" w:eastAsia="Arial" w:hAnsi="Arial"/>
                <w:sz w:val="12"/>
                <w:szCs w:val="12"/>
                <w:b w:val="1"/>
                <w:bCs w:val="1"/>
                <w:color w:val="auto"/>
              </w:rPr>
              <w:t>Options (#)</w:t>
            </w:r>
          </w:p>
        </w:tc>
        <w:tc>
          <w:tcPr>
            <w:tcW w:w="220" w:type="dxa"/>
            <w:vAlign w:val="bottom"/>
            <w:shd w:val="clear" w:color="auto" w:fill="F2F2F2"/>
          </w:tcPr>
          <w:p>
            <w:pPr>
              <w:spacing w:after="0"/>
              <w:rPr>
                <w:sz w:val="11"/>
                <w:szCs w:val="11"/>
                <w:color w:val="auto"/>
              </w:rPr>
            </w:pPr>
          </w:p>
        </w:tc>
        <w:tc>
          <w:tcPr>
            <w:tcW w:w="840" w:type="dxa"/>
            <w:vAlign w:val="bottom"/>
            <w:shd w:val="clear" w:color="auto" w:fill="F2F2F2"/>
          </w:tcPr>
          <w:p>
            <w:pPr>
              <w:jc w:val="right"/>
              <w:ind w:right="122"/>
              <w:spacing w:after="0" w:line="135" w:lineRule="exact"/>
              <w:rPr>
                <w:sz w:val="20"/>
                <w:szCs w:val="20"/>
                <w:color w:val="auto"/>
              </w:rPr>
            </w:pPr>
            <w:r>
              <w:rPr>
                <w:rFonts w:ascii="Arial" w:cs="Arial" w:eastAsia="Arial" w:hAnsi="Arial"/>
                <w:sz w:val="12"/>
                <w:szCs w:val="12"/>
                <w:b w:val="1"/>
                <w:bCs w:val="1"/>
                <w:color w:val="auto"/>
              </w:rPr>
              <w:t>Exercise</w:t>
            </w:r>
          </w:p>
        </w:tc>
        <w:tc>
          <w:tcPr>
            <w:tcW w:w="200" w:type="dxa"/>
            <w:vAlign w:val="bottom"/>
            <w:shd w:val="clear" w:color="auto" w:fill="F2F2F2"/>
          </w:tcPr>
          <w:p>
            <w:pPr>
              <w:spacing w:after="0"/>
              <w:rPr>
                <w:sz w:val="11"/>
                <w:szCs w:val="11"/>
                <w:color w:val="auto"/>
              </w:rPr>
            </w:pPr>
          </w:p>
        </w:tc>
        <w:tc>
          <w:tcPr>
            <w:tcW w:w="860" w:type="dxa"/>
            <w:vAlign w:val="bottom"/>
            <w:shd w:val="clear" w:color="auto" w:fill="F2F2F2"/>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200" w:type="dxa"/>
            <w:vAlign w:val="bottom"/>
            <w:shd w:val="clear" w:color="auto" w:fill="F2F2F2"/>
          </w:tcPr>
          <w:p>
            <w:pPr>
              <w:spacing w:after="0"/>
              <w:rPr>
                <w:sz w:val="11"/>
                <w:szCs w:val="11"/>
                <w:color w:val="auto"/>
              </w:rPr>
            </w:pPr>
          </w:p>
        </w:tc>
        <w:tc>
          <w:tcPr>
            <w:tcW w:w="820" w:type="dxa"/>
            <w:vAlign w:val="bottom"/>
            <w:shd w:val="clear" w:color="auto" w:fill="F2F2F2"/>
          </w:tcPr>
          <w:p>
            <w:pPr>
              <w:jc w:val="center"/>
              <w:spacing w:after="0" w:line="135" w:lineRule="exact"/>
              <w:rPr>
                <w:sz w:val="20"/>
                <w:szCs w:val="20"/>
                <w:color w:val="auto"/>
              </w:rPr>
            </w:pPr>
            <w:r>
              <w:rPr>
                <w:rFonts w:ascii="Arial" w:cs="Arial" w:eastAsia="Arial" w:hAnsi="Arial"/>
                <w:sz w:val="12"/>
                <w:szCs w:val="12"/>
                <w:b w:val="1"/>
                <w:bCs w:val="1"/>
                <w:color w:val="auto"/>
              </w:rPr>
              <w:t>Vested</w:t>
            </w:r>
          </w:p>
        </w:tc>
        <w:tc>
          <w:tcPr>
            <w:tcW w:w="240" w:type="dxa"/>
            <w:vAlign w:val="bottom"/>
            <w:shd w:val="clear" w:color="auto" w:fill="F2F2F2"/>
          </w:tcPr>
          <w:p>
            <w:pPr>
              <w:ind w:left="140"/>
              <w:spacing w:after="0" w:line="135" w:lineRule="exact"/>
              <w:rPr>
                <w:sz w:val="20"/>
                <w:szCs w:val="20"/>
                <w:color w:val="auto"/>
              </w:rPr>
            </w:pPr>
            <w:r>
              <w:rPr>
                <w:rFonts w:ascii="Arial" w:cs="Arial" w:eastAsia="Arial" w:hAnsi="Arial"/>
                <w:sz w:val="12"/>
                <w:szCs w:val="12"/>
                <w:color w:val="auto"/>
              </w:rPr>
              <w:t>​​​</w:t>
            </w:r>
          </w:p>
        </w:tc>
        <w:tc>
          <w:tcPr>
            <w:tcW w:w="820" w:type="dxa"/>
            <w:vAlign w:val="bottom"/>
            <w:shd w:val="clear" w:color="auto" w:fill="F2F2F2"/>
          </w:tcPr>
          <w:p>
            <w:pPr>
              <w:jc w:val="center"/>
              <w:spacing w:after="0" w:line="135" w:lineRule="exact"/>
              <w:rPr>
                <w:sz w:val="20"/>
                <w:szCs w:val="20"/>
                <w:color w:val="auto"/>
              </w:rPr>
            </w:pPr>
            <w:r>
              <w:rPr>
                <w:rFonts w:ascii="Arial" w:cs="Arial" w:eastAsia="Arial" w:hAnsi="Arial"/>
                <w:sz w:val="12"/>
                <w:szCs w:val="12"/>
                <w:b w:val="1"/>
                <w:bCs w:val="1"/>
                <w:color w:val="auto"/>
              </w:rPr>
              <w:t>Vested</w:t>
            </w:r>
          </w:p>
        </w:tc>
        <w:tc>
          <w:tcPr>
            <w:tcW w:w="220" w:type="dxa"/>
            <w:vAlign w:val="bottom"/>
            <w:shd w:val="clear" w:color="auto" w:fill="F2F2F2"/>
          </w:tcPr>
          <w:p>
            <w:pPr>
              <w:spacing w:after="0"/>
              <w:rPr>
                <w:sz w:val="11"/>
                <w:szCs w:val="11"/>
                <w:color w:val="auto"/>
              </w:rPr>
            </w:pPr>
          </w:p>
        </w:tc>
        <w:tc>
          <w:tcPr>
            <w:tcW w:w="840" w:type="dxa"/>
            <w:vAlign w:val="bottom"/>
            <w:shd w:val="clear" w:color="auto" w:fill="F2F2F2"/>
          </w:tcPr>
          <w:p>
            <w:pPr>
              <w:jc w:val="center"/>
              <w:spacing w:after="0" w:line="135" w:lineRule="exact"/>
              <w:rPr>
                <w:sz w:val="20"/>
                <w:szCs w:val="20"/>
                <w:color w:val="auto"/>
              </w:rPr>
            </w:pPr>
            <w:r>
              <w:rPr>
                <w:rFonts w:ascii="Arial" w:cs="Arial" w:eastAsia="Arial" w:hAnsi="Arial"/>
                <w:sz w:val="12"/>
                <w:szCs w:val="12"/>
                <w:b w:val="1"/>
                <w:bCs w:val="1"/>
                <w:color w:val="auto"/>
                <w:w w:val="96"/>
              </w:rPr>
              <w:t>Vested</w:t>
            </w:r>
          </w:p>
        </w:tc>
        <w:tc>
          <w:tcPr>
            <w:tcW w:w="220" w:type="dxa"/>
            <w:vAlign w:val="bottom"/>
            <w:shd w:val="clear" w:color="auto" w:fill="F2F2F2"/>
          </w:tcPr>
          <w:p>
            <w:pPr>
              <w:spacing w:after="0"/>
              <w:rPr>
                <w:sz w:val="11"/>
                <w:szCs w:val="11"/>
                <w:color w:val="auto"/>
              </w:rPr>
            </w:pPr>
          </w:p>
        </w:tc>
        <w:tc>
          <w:tcPr>
            <w:tcW w:w="820" w:type="dxa"/>
            <w:vAlign w:val="bottom"/>
            <w:shd w:val="clear" w:color="auto" w:fill="F2F2F2"/>
          </w:tcPr>
          <w:p>
            <w:pPr>
              <w:jc w:val="center"/>
              <w:spacing w:after="0" w:line="135" w:lineRule="exact"/>
              <w:rPr>
                <w:sz w:val="20"/>
                <w:szCs w:val="20"/>
                <w:color w:val="auto"/>
              </w:rPr>
            </w:pPr>
            <w:r>
              <w:rPr>
                <w:rFonts w:ascii="Arial" w:cs="Arial" w:eastAsia="Arial" w:hAnsi="Arial"/>
                <w:sz w:val="12"/>
                <w:szCs w:val="12"/>
                <w:b w:val="1"/>
                <w:bCs w:val="1"/>
                <w:color w:val="auto"/>
              </w:rPr>
              <w:t>Vested</w:t>
            </w:r>
          </w:p>
        </w:tc>
        <w:tc>
          <w:tcPr>
            <w:tcW w:w="200" w:type="dxa"/>
            <w:vAlign w:val="bottom"/>
            <w:shd w:val="clear" w:color="auto" w:fill="F2F2F2"/>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120" w:type="dxa"/>
            <w:vAlign w:val="bottom"/>
            <w:tcBorders>
              <w:bottom w:val="single" w:sz="8" w:color="F2F2F2"/>
            </w:tcBorders>
            <w:shd w:val="clear" w:color="auto" w:fill="F2F2F2"/>
          </w:tcPr>
          <w:p>
            <w:pPr>
              <w:ind w:left="120"/>
              <w:spacing w:after="0"/>
              <w:rPr>
                <w:sz w:val="20"/>
                <w:szCs w:val="20"/>
                <w:color w:val="auto"/>
              </w:rPr>
            </w:pPr>
            <w:r>
              <w:rPr>
                <w:rFonts w:ascii="Arial" w:cs="Arial" w:eastAsia="Arial" w:hAnsi="Arial"/>
                <w:sz w:val="12"/>
                <w:szCs w:val="12"/>
                <w:b w:val="1"/>
                <w:bCs w:val="1"/>
                <w:color w:val="auto"/>
              </w:rPr>
              <w:t>Name</w:t>
            </w:r>
          </w:p>
        </w:tc>
        <w:tc>
          <w:tcPr>
            <w:tcW w:w="20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2"/>
                <w:szCs w:val="12"/>
                <w:b w:val="1"/>
                <w:bCs w:val="1"/>
                <w:color w:val="auto"/>
                <w:w w:val="98"/>
              </w:rPr>
              <w:t>Exercisable</w:t>
            </w:r>
          </w:p>
        </w:tc>
        <w:tc>
          <w:tcPr>
            <w:tcW w:w="220" w:type="dxa"/>
            <w:vAlign w:val="bottom"/>
            <w:tcBorders>
              <w:bottom w:val="single" w:sz="8" w:color="F2F2F2"/>
            </w:tcBorders>
            <w:shd w:val="clear" w:color="auto" w:fill="F2F2F2"/>
          </w:tcPr>
          <w:p>
            <w:pPr>
              <w:ind w:left="120"/>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2"/>
                <w:szCs w:val="12"/>
                <w:b w:val="1"/>
                <w:bCs w:val="1"/>
                <w:color w:val="auto"/>
              </w:rPr>
              <w:t>Unexercisable</w:t>
            </w:r>
          </w:p>
        </w:tc>
        <w:tc>
          <w:tcPr>
            <w:tcW w:w="22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F2F2F2"/>
            </w:tcBorders>
            <w:shd w:val="clear" w:color="auto" w:fill="F2F2F2"/>
          </w:tcPr>
          <w:p>
            <w:pPr>
              <w:jc w:val="right"/>
              <w:ind w:right="122"/>
              <w:spacing w:after="0"/>
              <w:rPr>
                <w:sz w:val="20"/>
                <w:szCs w:val="20"/>
                <w:color w:val="auto"/>
              </w:rPr>
            </w:pPr>
            <w:r>
              <w:rPr>
                <w:rFonts w:ascii="Arial" w:cs="Arial" w:eastAsia="Arial" w:hAnsi="Arial"/>
                <w:sz w:val="12"/>
                <w:szCs w:val="12"/>
                <w:b w:val="1"/>
                <w:bCs w:val="1"/>
                <w:color w:val="auto"/>
              </w:rPr>
              <w:t>Price ($)</w:t>
            </w:r>
          </w:p>
        </w:tc>
        <w:tc>
          <w:tcPr>
            <w:tcW w:w="200" w:type="dxa"/>
            <w:vAlign w:val="bottom"/>
            <w:tcBorders>
              <w:bottom w:val="single" w:sz="8" w:color="F2F2F2"/>
            </w:tcBorders>
            <w:shd w:val="clear" w:color="auto" w:fill="F2F2F2"/>
          </w:tcPr>
          <w:p>
            <w:pPr>
              <w:ind w:left="100"/>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2"/>
                <w:szCs w:val="12"/>
                <w:b w:val="1"/>
                <w:bCs w:val="1"/>
                <w:color w:val="auto"/>
                <w:w w:val="99"/>
              </w:rPr>
              <w:t>Date</w:t>
            </w:r>
          </w:p>
        </w:tc>
        <w:tc>
          <w:tcPr>
            <w:tcW w:w="200" w:type="dxa"/>
            <w:vAlign w:val="bottom"/>
            <w:tcBorders>
              <w:bottom w:val="single" w:sz="8" w:color="F2F2F2"/>
            </w:tcBorders>
            <w:shd w:val="clear" w:color="auto" w:fill="F2F2F2"/>
          </w:tcPr>
          <w:p>
            <w:pPr>
              <w:ind w:left="100"/>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2"/>
                <w:szCs w:val="12"/>
                <w:b w:val="1"/>
                <w:bCs w:val="1"/>
                <w:color w:val="auto"/>
              </w:rPr>
              <w:t>(#)</w:t>
            </w:r>
          </w:p>
        </w:tc>
        <w:tc>
          <w:tcPr>
            <w:tcW w:w="240" w:type="dxa"/>
            <w:vAlign w:val="bottom"/>
            <w:tcBorders>
              <w:bottom w:val="single" w:sz="8" w:color="F2F2F2"/>
            </w:tcBorders>
            <w:shd w:val="clear" w:color="auto" w:fill="F2F2F2"/>
          </w:tcPr>
          <w:p>
            <w:pPr>
              <w:ind w:left="140"/>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2"/>
                <w:szCs w:val="12"/>
                <w:b w:val="1"/>
                <w:bCs w:val="1"/>
                <w:color w:val="auto"/>
              </w:rPr>
              <w:t>($)</w:t>
            </w:r>
          </w:p>
        </w:tc>
        <w:tc>
          <w:tcPr>
            <w:tcW w:w="22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2"/>
                <w:szCs w:val="12"/>
                <w:b w:val="1"/>
                <w:bCs w:val="1"/>
                <w:color w:val="auto"/>
                <w:w w:val="95"/>
              </w:rPr>
              <w:t>(#)</w:t>
            </w:r>
          </w:p>
        </w:tc>
        <w:tc>
          <w:tcPr>
            <w:tcW w:w="22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2"/>
                <w:szCs w:val="12"/>
                <w:b w:val="1"/>
                <w:bCs w:val="1"/>
                <w:color w:val="auto"/>
                <w:w w:val="95"/>
              </w:rPr>
              <w:t>($)</w:t>
            </w:r>
          </w:p>
        </w:tc>
        <w:tc>
          <w:tcPr>
            <w:tcW w:w="200" w:type="dxa"/>
            <w:vAlign w:val="bottom"/>
            <w:tcBorders>
              <w:bottom w:val="single" w:sz="8" w:color="F2F2F2"/>
            </w:tcBorders>
            <w:shd w:val="clear" w:color="auto" w:fill="F2F2F2"/>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12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Scott Kirby</w:t>
            </w:r>
          </w:p>
        </w:tc>
        <w:tc>
          <w:tcPr>
            <w:tcW w:w="1040" w:type="dxa"/>
            <w:vAlign w:val="bottom"/>
            <w:gridSpan w:val="2"/>
          </w:tcPr>
          <w:p>
            <w:pPr>
              <w:jc w:val="right"/>
              <w:spacing w:after="0" w:line="136" w:lineRule="exact"/>
              <w:rPr>
                <w:sz w:val="20"/>
                <w:szCs w:val="20"/>
                <w:color w:val="auto"/>
              </w:rPr>
            </w:pPr>
            <w:r>
              <w:rPr>
                <w:rFonts w:ascii="Arial" w:cs="Arial" w:eastAsia="Arial" w:hAnsi="Arial"/>
                <w:sz w:val="12"/>
                <w:szCs w:val="12"/>
                <w:color w:val="auto"/>
              </w:rPr>
              <w:t>159,321</w:t>
            </w:r>
          </w:p>
        </w:tc>
        <w:tc>
          <w:tcPr>
            <w:tcW w:w="220" w:type="dxa"/>
            <w:vAlign w:val="bottom"/>
          </w:tcPr>
          <w:p>
            <w:pPr>
              <w:ind w:left="20"/>
              <w:spacing w:after="0"/>
              <w:rPr>
                <w:sz w:val="20"/>
                <w:szCs w:val="20"/>
                <w:color w:val="auto"/>
              </w:rPr>
            </w:pPr>
            <w:r>
              <w:rPr>
                <w:rFonts w:ascii="Arial" w:cs="Arial" w:eastAsia="Arial" w:hAnsi="Arial"/>
                <w:sz w:val="9"/>
                <w:szCs w:val="9"/>
                <w:color w:val="auto"/>
              </w:rPr>
              <w:t>(1)</w:t>
            </w:r>
          </w:p>
        </w:tc>
        <w:tc>
          <w:tcPr>
            <w:tcW w:w="84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840" w:type="dxa"/>
            <w:vAlign w:val="bottom"/>
          </w:tcPr>
          <w:p>
            <w:pPr>
              <w:jc w:val="right"/>
              <w:spacing w:after="0" w:line="136" w:lineRule="exact"/>
              <w:rPr>
                <w:sz w:val="20"/>
                <w:szCs w:val="20"/>
                <w:color w:val="auto"/>
              </w:rPr>
            </w:pPr>
            <w:r>
              <w:rPr>
                <w:rFonts w:ascii="Arial" w:cs="Arial" w:eastAsia="Arial" w:hAnsi="Arial"/>
                <w:sz w:val="12"/>
                <w:szCs w:val="12"/>
                <w:color w:val="auto"/>
              </w:rPr>
              <w:t>58.69</w:t>
            </w:r>
          </w:p>
        </w:tc>
        <w:tc>
          <w:tcPr>
            <w:tcW w:w="200" w:type="dxa"/>
            <w:vAlign w:val="bottom"/>
          </w:tcPr>
          <w:p>
            <w:pPr>
              <w:spacing w:after="0"/>
              <w:rPr>
                <w:sz w:val="11"/>
                <w:szCs w:val="11"/>
                <w:color w:val="auto"/>
              </w:rPr>
            </w:pPr>
          </w:p>
        </w:tc>
        <w:tc>
          <w:tcPr>
            <w:tcW w:w="860" w:type="dxa"/>
            <w:vAlign w:val="bottom"/>
          </w:tcPr>
          <w:p>
            <w:pPr>
              <w:jc w:val="right"/>
              <w:spacing w:after="0" w:line="136" w:lineRule="exact"/>
              <w:rPr>
                <w:sz w:val="20"/>
                <w:szCs w:val="20"/>
                <w:color w:val="auto"/>
              </w:rPr>
            </w:pPr>
            <w:r>
              <w:rPr>
                <w:rFonts w:ascii="Arial" w:cs="Arial" w:eastAsia="Arial" w:hAnsi="Arial"/>
                <w:sz w:val="12"/>
                <w:szCs w:val="12"/>
                <w:color w:val="auto"/>
              </w:rPr>
              <w:t>8/29/26</w:t>
            </w:r>
          </w:p>
        </w:tc>
        <w:tc>
          <w:tcPr>
            <w:tcW w:w="200" w:type="dxa"/>
            <w:vAlign w:val="bottom"/>
          </w:tcPr>
          <w:p>
            <w:pPr>
              <w:spacing w:after="0"/>
              <w:rPr>
                <w:sz w:val="11"/>
                <w:szCs w:val="11"/>
                <w:color w:val="auto"/>
              </w:rPr>
            </w:pPr>
          </w:p>
        </w:tc>
        <w:tc>
          <w:tcPr>
            <w:tcW w:w="82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240" w:type="dxa"/>
            <w:vAlign w:val="bottom"/>
          </w:tcPr>
          <w:p>
            <w:pPr>
              <w:spacing w:after="0"/>
              <w:rPr>
                <w:sz w:val="11"/>
                <w:szCs w:val="11"/>
                <w:color w:val="auto"/>
              </w:rPr>
            </w:pPr>
          </w:p>
        </w:tc>
        <w:tc>
          <w:tcPr>
            <w:tcW w:w="82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84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82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112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2"/>
                <w:szCs w:val="12"/>
                <w:color w:val="auto"/>
              </w:rPr>
              <w:t>168,775</w:t>
            </w:r>
          </w:p>
        </w:tc>
        <w:tc>
          <w:tcPr>
            <w:tcW w:w="220" w:type="dxa"/>
            <w:vAlign w:val="bottom"/>
          </w:tcPr>
          <w:p>
            <w:pPr>
              <w:ind w:left="20"/>
              <w:spacing w:after="0"/>
              <w:rPr>
                <w:sz w:val="20"/>
                <w:szCs w:val="20"/>
                <w:color w:val="auto"/>
              </w:rPr>
            </w:pPr>
            <w:r>
              <w:rPr>
                <w:rFonts w:ascii="Arial" w:cs="Arial" w:eastAsia="Arial" w:hAnsi="Arial"/>
                <w:sz w:val="9"/>
                <w:szCs w:val="9"/>
                <w:color w:val="auto"/>
              </w:rPr>
              <w:t>(2)</w:t>
            </w:r>
          </w:p>
        </w:tc>
        <w:tc>
          <w:tcPr>
            <w:tcW w:w="840" w:type="dxa"/>
            <w:vAlign w:val="bottom"/>
          </w:tcPr>
          <w:p>
            <w:pPr>
              <w:jc w:val="right"/>
              <w:spacing w:after="0"/>
              <w:rPr>
                <w:sz w:val="20"/>
                <w:szCs w:val="20"/>
                <w:color w:val="auto"/>
              </w:rPr>
            </w:pPr>
            <w:r>
              <w:rPr>
                <w:rFonts w:ascii="Arial" w:cs="Arial" w:eastAsia="Arial" w:hAnsi="Arial"/>
                <w:sz w:val="12"/>
                <w:szCs w:val="12"/>
                <w:color w:val="auto"/>
              </w:rPr>
              <w:t>138,090</w:t>
            </w:r>
          </w:p>
        </w:tc>
        <w:tc>
          <w:tcPr>
            <w:tcW w:w="220" w:type="dxa"/>
            <w:vAlign w:val="bottom"/>
          </w:tcPr>
          <w:p>
            <w:pPr>
              <w:jc w:val="right"/>
              <w:ind w:right="49"/>
              <w:spacing w:after="0"/>
              <w:rPr>
                <w:sz w:val="20"/>
                <w:szCs w:val="20"/>
                <w:color w:val="auto"/>
              </w:rPr>
            </w:pPr>
            <w:r>
              <w:rPr>
                <w:rFonts w:ascii="Arial" w:cs="Arial" w:eastAsia="Arial" w:hAnsi="Arial"/>
                <w:sz w:val="9"/>
                <w:szCs w:val="9"/>
                <w:color w:val="auto"/>
                <w:w w:val="90"/>
              </w:rPr>
              <w:t>(2)</w:t>
            </w:r>
          </w:p>
        </w:tc>
        <w:tc>
          <w:tcPr>
            <w:tcW w:w="840" w:type="dxa"/>
            <w:vAlign w:val="bottom"/>
          </w:tcPr>
          <w:p>
            <w:pPr>
              <w:jc w:val="right"/>
              <w:spacing w:after="0"/>
              <w:rPr>
                <w:sz w:val="20"/>
                <w:szCs w:val="20"/>
                <w:color w:val="auto"/>
              </w:rPr>
            </w:pPr>
            <w:r>
              <w:rPr>
                <w:rFonts w:ascii="Arial" w:cs="Arial" w:eastAsia="Arial" w:hAnsi="Arial"/>
                <w:sz w:val="12"/>
                <w:szCs w:val="12"/>
                <w:color w:val="auto"/>
              </w:rPr>
              <w:t>110.21</w:t>
            </w: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12/04/29</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vMerge w:val="restart"/>
          </w:tcPr>
          <w:p>
            <w:pPr>
              <w:ind w:left="20"/>
              <w:spacing w:after="0"/>
              <w:rPr>
                <w:sz w:val="20"/>
                <w:szCs w:val="20"/>
                <w:color w:val="auto"/>
              </w:rPr>
            </w:pPr>
            <w:r>
              <w:rPr>
                <w:rFonts w:ascii="Arial" w:cs="Arial" w:eastAsia="Arial" w:hAnsi="Arial"/>
                <w:sz w:val="9"/>
                <w:szCs w:val="9"/>
                <w:color w:val="auto"/>
              </w:rPr>
              <w:t>(3)</w:t>
            </w: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vMerge w:val="restart"/>
          </w:tcPr>
          <w:p>
            <w:pPr>
              <w:jc w:val="right"/>
              <w:ind w:right="55"/>
              <w:spacing w:after="0"/>
              <w:rPr>
                <w:sz w:val="20"/>
                <w:szCs w:val="20"/>
                <w:color w:val="auto"/>
              </w:rPr>
            </w:pPr>
            <w:r>
              <w:rPr>
                <w:rFonts w:ascii="Arial" w:cs="Arial" w:eastAsia="Arial" w:hAnsi="Arial"/>
                <w:sz w:val="9"/>
                <w:szCs w:val="9"/>
                <w:color w:val="auto"/>
                <w:w w:val="90"/>
              </w:rPr>
              <w:t>(6)</w:t>
            </w: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1120" w:type="dxa"/>
            <w:vAlign w:val="bottom"/>
          </w:tcPr>
          <w:p>
            <w:pPr>
              <w:spacing w:after="0"/>
              <w:rPr>
                <w:sz w:val="10"/>
                <w:szCs w:val="10"/>
                <w:color w:val="auto"/>
              </w:rPr>
            </w:pPr>
          </w:p>
        </w:tc>
        <w:tc>
          <w:tcPr>
            <w:tcW w:w="1040" w:type="dxa"/>
            <w:vAlign w:val="bottom"/>
            <w:gridSpan w:val="2"/>
          </w:tcPr>
          <w:p>
            <w:pPr>
              <w:jc w:val="right"/>
              <w:spacing w:after="0" w:line="126"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0"/>
                <w:szCs w:val="10"/>
                <w:color w:val="auto"/>
              </w:rPr>
            </w:pPr>
          </w:p>
        </w:tc>
        <w:tc>
          <w:tcPr>
            <w:tcW w:w="840" w:type="dxa"/>
            <w:vAlign w:val="bottom"/>
          </w:tcPr>
          <w:p>
            <w:pPr>
              <w:jc w:val="right"/>
              <w:spacing w:after="0" w:line="126"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0"/>
                <w:szCs w:val="10"/>
                <w:color w:val="auto"/>
              </w:rPr>
            </w:pPr>
          </w:p>
        </w:tc>
        <w:tc>
          <w:tcPr>
            <w:tcW w:w="840" w:type="dxa"/>
            <w:vAlign w:val="bottom"/>
          </w:tcPr>
          <w:p>
            <w:pPr>
              <w:jc w:val="right"/>
              <w:spacing w:after="0" w:line="126"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0"/>
                <w:szCs w:val="10"/>
                <w:color w:val="auto"/>
              </w:rPr>
            </w:pPr>
          </w:p>
        </w:tc>
        <w:tc>
          <w:tcPr>
            <w:tcW w:w="860" w:type="dxa"/>
            <w:vAlign w:val="bottom"/>
          </w:tcPr>
          <w:p>
            <w:pPr>
              <w:jc w:val="right"/>
              <w:spacing w:after="0" w:line="126"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0"/>
                <w:szCs w:val="10"/>
                <w:color w:val="auto"/>
              </w:rPr>
            </w:pPr>
          </w:p>
        </w:tc>
        <w:tc>
          <w:tcPr>
            <w:tcW w:w="820" w:type="dxa"/>
            <w:vAlign w:val="bottom"/>
          </w:tcPr>
          <w:p>
            <w:pPr>
              <w:jc w:val="right"/>
              <w:spacing w:after="0" w:line="126" w:lineRule="exact"/>
              <w:rPr>
                <w:sz w:val="20"/>
                <w:szCs w:val="20"/>
                <w:color w:val="auto"/>
              </w:rPr>
            </w:pPr>
            <w:r>
              <w:rPr>
                <w:rFonts w:ascii="Arial" w:cs="Arial" w:eastAsia="Arial" w:hAnsi="Arial"/>
                <w:sz w:val="12"/>
                <w:szCs w:val="12"/>
                <w:color w:val="auto"/>
              </w:rPr>
              <w:t>49,561</w:t>
            </w:r>
          </w:p>
        </w:tc>
        <w:tc>
          <w:tcPr>
            <w:tcW w:w="240" w:type="dxa"/>
            <w:vAlign w:val="bottom"/>
            <w:vMerge w:val="continue"/>
          </w:tcPr>
          <w:p>
            <w:pPr>
              <w:spacing w:after="0"/>
              <w:rPr>
                <w:sz w:val="10"/>
                <w:szCs w:val="10"/>
                <w:color w:val="auto"/>
              </w:rPr>
            </w:pPr>
          </w:p>
        </w:tc>
        <w:tc>
          <w:tcPr>
            <w:tcW w:w="820" w:type="dxa"/>
            <w:vAlign w:val="bottom"/>
          </w:tcPr>
          <w:p>
            <w:pPr>
              <w:jc w:val="right"/>
              <w:spacing w:after="0" w:line="126" w:lineRule="exact"/>
              <w:rPr>
                <w:sz w:val="20"/>
                <w:szCs w:val="20"/>
                <w:color w:val="auto"/>
              </w:rPr>
            </w:pPr>
            <w:r>
              <w:rPr>
                <w:rFonts w:ascii="Arial" w:cs="Arial" w:eastAsia="Arial" w:hAnsi="Arial"/>
                <w:sz w:val="12"/>
                <w:szCs w:val="12"/>
                <w:color w:val="auto"/>
              </w:rPr>
              <w:t>5,541,911</w:t>
            </w:r>
          </w:p>
        </w:tc>
        <w:tc>
          <w:tcPr>
            <w:tcW w:w="220" w:type="dxa"/>
            <w:vAlign w:val="bottom"/>
            <w:vMerge w:val="continue"/>
          </w:tcPr>
          <w:p>
            <w:pPr>
              <w:spacing w:after="0"/>
              <w:rPr>
                <w:sz w:val="10"/>
                <w:szCs w:val="10"/>
                <w:color w:val="auto"/>
              </w:rPr>
            </w:pPr>
          </w:p>
        </w:tc>
        <w:tc>
          <w:tcPr>
            <w:tcW w:w="840" w:type="dxa"/>
            <w:vAlign w:val="bottom"/>
          </w:tcPr>
          <w:p>
            <w:pPr>
              <w:jc w:val="right"/>
              <w:spacing w:after="0" w:line="126"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0"/>
                <w:szCs w:val="10"/>
                <w:color w:val="auto"/>
              </w:rPr>
            </w:pPr>
          </w:p>
        </w:tc>
        <w:tc>
          <w:tcPr>
            <w:tcW w:w="820" w:type="dxa"/>
            <w:vAlign w:val="bottom"/>
          </w:tcPr>
          <w:p>
            <w:pPr>
              <w:jc w:val="right"/>
              <w:spacing w:after="0" w:line="126"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12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101,121</w:t>
            </w:r>
          </w:p>
        </w:tc>
        <w:tc>
          <w:tcPr>
            <w:tcW w:w="240" w:type="dxa"/>
            <w:vAlign w:val="bottom"/>
          </w:tcPr>
          <w:p>
            <w:pPr>
              <w:ind w:left="20"/>
              <w:spacing w:after="0"/>
              <w:rPr>
                <w:sz w:val="20"/>
                <w:szCs w:val="20"/>
                <w:color w:val="auto"/>
              </w:rPr>
            </w:pPr>
            <w:r>
              <w:rPr>
                <w:rFonts w:ascii="Arial" w:cs="Arial" w:eastAsia="Arial" w:hAnsi="Arial"/>
                <w:sz w:val="9"/>
                <w:szCs w:val="9"/>
                <w:color w:val="auto"/>
              </w:rPr>
              <w:t>(4)</w:t>
            </w:r>
          </w:p>
        </w:tc>
        <w:tc>
          <w:tcPr>
            <w:tcW w:w="820" w:type="dxa"/>
            <w:vAlign w:val="bottom"/>
          </w:tcPr>
          <w:p>
            <w:pPr>
              <w:jc w:val="right"/>
              <w:spacing w:after="0"/>
              <w:rPr>
                <w:sz w:val="20"/>
                <w:szCs w:val="20"/>
                <w:color w:val="auto"/>
              </w:rPr>
            </w:pPr>
            <w:r>
              <w:rPr>
                <w:rFonts w:ascii="Arial" w:cs="Arial" w:eastAsia="Arial" w:hAnsi="Arial"/>
                <w:sz w:val="12"/>
                <w:szCs w:val="12"/>
                <w:color w:val="auto"/>
              </w:rPr>
              <w:t>11,307,350</w:t>
            </w:r>
          </w:p>
        </w:tc>
        <w:tc>
          <w:tcPr>
            <w:tcW w:w="220" w:type="dxa"/>
            <w:vAlign w:val="bottom"/>
          </w:tcPr>
          <w:p>
            <w:pPr>
              <w:jc w:val="right"/>
              <w:ind w:right="55"/>
              <w:spacing w:after="0"/>
              <w:rPr>
                <w:sz w:val="20"/>
                <w:szCs w:val="20"/>
                <w:color w:val="auto"/>
              </w:rPr>
            </w:pPr>
            <w:r>
              <w:rPr>
                <w:rFonts w:ascii="Arial" w:cs="Arial" w:eastAsia="Arial" w:hAnsi="Arial"/>
                <w:sz w:val="9"/>
                <w:szCs w:val="9"/>
                <w:color w:val="auto"/>
                <w:w w:val="90"/>
              </w:rPr>
              <w:t>(6)</w:t>
            </w: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12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87,943</w:t>
            </w:r>
          </w:p>
        </w:tc>
        <w:tc>
          <w:tcPr>
            <w:tcW w:w="240" w:type="dxa"/>
            <w:vAlign w:val="bottom"/>
          </w:tcPr>
          <w:p>
            <w:pPr>
              <w:ind w:left="20"/>
              <w:spacing w:after="0"/>
              <w:rPr>
                <w:sz w:val="20"/>
                <w:szCs w:val="20"/>
                <w:color w:val="auto"/>
              </w:rPr>
            </w:pPr>
            <w:r>
              <w:rPr>
                <w:rFonts w:ascii="Arial" w:cs="Arial" w:eastAsia="Arial" w:hAnsi="Arial"/>
                <w:sz w:val="9"/>
                <w:szCs w:val="9"/>
                <w:color w:val="auto"/>
              </w:rPr>
              <w:t>(5)</w:t>
            </w:r>
          </w:p>
        </w:tc>
        <w:tc>
          <w:tcPr>
            <w:tcW w:w="820" w:type="dxa"/>
            <w:vAlign w:val="bottom"/>
          </w:tcPr>
          <w:p>
            <w:pPr>
              <w:jc w:val="right"/>
              <w:spacing w:after="0"/>
              <w:rPr>
                <w:sz w:val="20"/>
                <w:szCs w:val="20"/>
                <w:color w:val="auto"/>
              </w:rPr>
            </w:pPr>
            <w:r>
              <w:rPr>
                <w:rFonts w:ascii="Arial" w:cs="Arial" w:eastAsia="Arial" w:hAnsi="Arial"/>
                <w:sz w:val="12"/>
                <w:szCs w:val="12"/>
                <w:color w:val="auto"/>
              </w:rPr>
              <w:t>9,833,786</w:t>
            </w:r>
          </w:p>
        </w:tc>
        <w:tc>
          <w:tcPr>
            <w:tcW w:w="220" w:type="dxa"/>
            <w:vAlign w:val="bottom"/>
          </w:tcPr>
          <w:p>
            <w:pPr>
              <w:jc w:val="right"/>
              <w:ind w:right="55"/>
              <w:spacing w:after="0"/>
              <w:rPr>
                <w:sz w:val="20"/>
                <w:szCs w:val="20"/>
                <w:color w:val="auto"/>
              </w:rPr>
            </w:pPr>
            <w:r>
              <w:rPr>
                <w:rFonts w:ascii="Arial" w:cs="Arial" w:eastAsia="Arial" w:hAnsi="Arial"/>
                <w:sz w:val="9"/>
                <w:szCs w:val="9"/>
                <w:color w:val="auto"/>
                <w:w w:val="90"/>
              </w:rPr>
              <w:t>(6)</w:t>
            </w: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vMerge w:val="restart"/>
          </w:tcPr>
          <w:p>
            <w:pPr>
              <w:jc w:val="right"/>
              <w:ind w:right="55"/>
              <w:spacing w:after="0"/>
              <w:rPr>
                <w:sz w:val="20"/>
                <w:szCs w:val="20"/>
                <w:color w:val="auto"/>
              </w:rPr>
            </w:pPr>
            <w:r>
              <w:rPr>
                <w:rFonts w:ascii="Arial" w:cs="Arial" w:eastAsia="Arial" w:hAnsi="Arial"/>
                <w:sz w:val="9"/>
                <w:szCs w:val="9"/>
                <w:color w:val="auto"/>
                <w:w w:val="90"/>
              </w:rPr>
              <w:t>(7)</w:t>
            </w: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vMerge w:val="restart"/>
          </w:tcPr>
          <w:p>
            <w:pPr>
              <w:jc w:val="right"/>
              <w:spacing w:after="0"/>
              <w:rPr>
                <w:sz w:val="20"/>
                <w:szCs w:val="20"/>
                <w:color w:val="auto"/>
              </w:rPr>
            </w:pPr>
            <w:r>
              <w:rPr>
                <w:rFonts w:ascii="Arial" w:cs="Arial" w:eastAsia="Arial" w:hAnsi="Arial"/>
                <w:sz w:val="9"/>
                <w:szCs w:val="9"/>
                <w:color w:val="auto"/>
                <w:w w:val="99"/>
              </w:rPr>
              <w:t>(10)</w:t>
            </w:r>
          </w:p>
        </w:tc>
        <w:tc>
          <w:tcPr>
            <w:tcW w:w="0" w:type="dxa"/>
            <w:vAlign w:val="bottom"/>
          </w:tcPr>
          <w:p>
            <w:pPr>
              <w:spacing w:after="0"/>
              <w:rPr>
                <w:sz w:val="1"/>
                <w:szCs w:val="1"/>
                <w:color w:val="auto"/>
              </w:rPr>
            </w:pPr>
          </w:p>
        </w:tc>
      </w:tr>
      <w:tr>
        <w:trPr>
          <w:trHeight w:val="126"/>
        </w:trPr>
        <w:tc>
          <w:tcPr>
            <w:tcW w:w="1120" w:type="dxa"/>
            <w:vAlign w:val="bottom"/>
          </w:tcPr>
          <w:p>
            <w:pPr>
              <w:spacing w:after="0"/>
              <w:rPr>
                <w:sz w:val="10"/>
                <w:szCs w:val="10"/>
                <w:color w:val="auto"/>
              </w:rPr>
            </w:pPr>
          </w:p>
        </w:tc>
        <w:tc>
          <w:tcPr>
            <w:tcW w:w="1040" w:type="dxa"/>
            <w:vAlign w:val="bottom"/>
            <w:gridSpan w:val="2"/>
          </w:tcPr>
          <w:p>
            <w:pPr>
              <w:jc w:val="right"/>
              <w:spacing w:after="0" w:line="126"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0"/>
                <w:szCs w:val="10"/>
                <w:color w:val="auto"/>
              </w:rPr>
            </w:pPr>
          </w:p>
        </w:tc>
        <w:tc>
          <w:tcPr>
            <w:tcW w:w="840" w:type="dxa"/>
            <w:vAlign w:val="bottom"/>
          </w:tcPr>
          <w:p>
            <w:pPr>
              <w:jc w:val="right"/>
              <w:spacing w:after="0" w:line="126"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0"/>
                <w:szCs w:val="10"/>
                <w:color w:val="auto"/>
              </w:rPr>
            </w:pPr>
          </w:p>
        </w:tc>
        <w:tc>
          <w:tcPr>
            <w:tcW w:w="840" w:type="dxa"/>
            <w:vAlign w:val="bottom"/>
          </w:tcPr>
          <w:p>
            <w:pPr>
              <w:jc w:val="right"/>
              <w:spacing w:after="0" w:line="126"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0"/>
                <w:szCs w:val="10"/>
                <w:color w:val="auto"/>
              </w:rPr>
            </w:pPr>
          </w:p>
        </w:tc>
        <w:tc>
          <w:tcPr>
            <w:tcW w:w="860" w:type="dxa"/>
            <w:vAlign w:val="bottom"/>
          </w:tcPr>
          <w:p>
            <w:pPr>
              <w:jc w:val="right"/>
              <w:spacing w:after="0" w:line="126"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0"/>
                <w:szCs w:val="10"/>
                <w:color w:val="auto"/>
              </w:rPr>
            </w:pPr>
          </w:p>
        </w:tc>
        <w:tc>
          <w:tcPr>
            <w:tcW w:w="820" w:type="dxa"/>
            <w:vAlign w:val="bottom"/>
          </w:tcPr>
          <w:p>
            <w:pPr>
              <w:jc w:val="right"/>
              <w:spacing w:after="0" w:line="126" w:lineRule="exact"/>
              <w:rPr>
                <w:sz w:val="20"/>
                <w:szCs w:val="20"/>
                <w:color w:val="auto"/>
              </w:rPr>
            </w:pPr>
            <w:r>
              <w:rPr>
                <w:rFonts w:ascii="Arial" w:cs="Arial" w:eastAsia="Arial" w:hAnsi="Arial"/>
                <w:sz w:val="12"/>
                <w:szCs w:val="12"/>
                <w:color w:val="auto"/>
              </w:rPr>
              <w:t>-</w:t>
            </w:r>
          </w:p>
        </w:tc>
        <w:tc>
          <w:tcPr>
            <w:tcW w:w="240" w:type="dxa"/>
            <w:vAlign w:val="bottom"/>
          </w:tcPr>
          <w:p>
            <w:pPr>
              <w:spacing w:after="0"/>
              <w:rPr>
                <w:sz w:val="10"/>
                <w:szCs w:val="10"/>
                <w:color w:val="auto"/>
              </w:rPr>
            </w:pPr>
          </w:p>
        </w:tc>
        <w:tc>
          <w:tcPr>
            <w:tcW w:w="820" w:type="dxa"/>
            <w:vAlign w:val="bottom"/>
          </w:tcPr>
          <w:p>
            <w:pPr>
              <w:jc w:val="right"/>
              <w:spacing w:after="0" w:line="126"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0"/>
                <w:szCs w:val="10"/>
                <w:color w:val="auto"/>
              </w:rPr>
            </w:pPr>
          </w:p>
        </w:tc>
        <w:tc>
          <w:tcPr>
            <w:tcW w:w="840" w:type="dxa"/>
            <w:vAlign w:val="bottom"/>
          </w:tcPr>
          <w:p>
            <w:pPr>
              <w:jc w:val="right"/>
              <w:spacing w:after="0" w:line="126" w:lineRule="exact"/>
              <w:rPr>
                <w:sz w:val="20"/>
                <w:szCs w:val="20"/>
                <w:color w:val="auto"/>
              </w:rPr>
            </w:pPr>
            <w:r>
              <w:rPr>
                <w:rFonts w:ascii="Arial" w:cs="Arial" w:eastAsia="Arial" w:hAnsi="Arial"/>
                <w:sz w:val="12"/>
                <w:szCs w:val="12"/>
                <w:color w:val="auto"/>
              </w:rPr>
              <w:t>303,360</w:t>
            </w:r>
          </w:p>
        </w:tc>
        <w:tc>
          <w:tcPr>
            <w:tcW w:w="220" w:type="dxa"/>
            <w:vAlign w:val="bottom"/>
            <w:vMerge w:val="continue"/>
          </w:tcPr>
          <w:p>
            <w:pPr>
              <w:spacing w:after="0"/>
              <w:rPr>
                <w:sz w:val="10"/>
                <w:szCs w:val="10"/>
                <w:color w:val="auto"/>
              </w:rPr>
            </w:pPr>
          </w:p>
        </w:tc>
        <w:tc>
          <w:tcPr>
            <w:tcW w:w="820" w:type="dxa"/>
            <w:vAlign w:val="bottom"/>
          </w:tcPr>
          <w:p>
            <w:pPr>
              <w:jc w:val="right"/>
              <w:spacing w:after="0" w:line="126" w:lineRule="exact"/>
              <w:rPr>
                <w:sz w:val="20"/>
                <w:szCs w:val="20"/>
                <w:color w:val="auto"/>
              </w:rPr>
            </w:pPr>
            <w:r>
              <w:rPr>
                <w:rFonts w:ascii="Arial" w:cs="Arial" w:eastAsia="Arial" w:hAnsi="Arial"/>
                <w:sz w:val="12"/>
                <w:szCs w:val="12"/>
                <w:color w:val="auto"/>
              </w:rPr>
              <w:t>33,921,715</w:t>
            </w:r>
          </w:p>
        </w:tc>
        <w:tc>
          <w:tcPr>
            <w:tcW w:w="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12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58,628</w:t>
            </w:r>
          </w:p>
        </w:tc>
        <w:tc>
          <w:tcPr>
            <w:tcW w:w="220" w:type="dxa"/>
            <w:vAlign w:val="bottom"/>
          </w:tcPr>
          <w:p>
            <w:pPr>
              <w:jc w:val="right"/>
              <w:ind w:right="55"/>
              <w:spacing w:after="0"/>
              <w:rPr>
                <w:sz w:val="20"/>
                <w:szCs w:val="20"/>
                <w:color w:val="auto"/>
              </w:rPr>
            </w:pPr>
            <w:r>
              <w:rPr>
                <w:rFonts w:ascii="Arial" w:cs="Arial" w:eastAsia="Arial" w:hAnsi="Arial"/>
                <w:sz w:val="9"/>
                <w:szCs w:val="9"/>
                <w:color w:val="auto"/>
                <w:w w:val="90"/>
              </w:rPr>
              <w:t>(8)</w:t>
            </w:r>
          </w:p>
        </w:tc>
        <w:tc>
          <w:tcPr>
            <w:tcW w:w="820" w:type="dxa"/>
            <w:vAlign w:val="bottom"/>
          </w:tcPr>
          <w:p>
            <w:pPr>
              <w:jc w:val="right"/>
              <w:spacing w:after="0"/>
              <w:rPr>
                <w:sz w:val="20"/>
                <w:szCs w:val="20"/>
                <w:color w:val="auto"/>
              </w:rPr>
            </w:pPr>
            <w:r>
              <w:rPr>
                <w:rFonts w:ascii="Arial" w:cs="Arial" w:eastAsia="Arial" w:hAnsi="Arial"/>
                <w:sz w:val="12"/>
                <w:szCs w:val="12"/>
                <w:color w:val="auto"/>
              </w:rPr>
              <w:t>6,555,783</w:t>
            </w:r>
          </w:p>
        </w:tc>
        <w:tc>
          <w:tcPr>
            <w:tcW w:w="200" w:type="dxa"/>
            <w:vAlign w:val="bottom"/>
          </w:tcPr>
          <w:p>
            <w:pPr>
              <w:jc w:val="right"/>
              <w:spacing w:after="0"/>
              <w:rPr>
                <w:sz w:val="20"/>
                <w:szCs w:val="20"/>
                <w:color w:val="auto"/>
              </w:rPr>
            </w:pPr>
            <w:r>
              <w:rPr>
                <w:rFonts w:ascii="Arial" w:cs="Arial" w:eastAsia="Arial" w:hAnsi="Arial"/>
                <w:sz w:val="9"/>
                <w:szCs w:val="9"/>
                <w:color w:val="auto"/>
                <w:w w:val="99"/>
              </w:rPr>
              <w:t>(10)</w:t>
            </w:r>
          </w:p>
        </w:tc>
        <w:tc>
          <w:tcPr>
            <w:tcW w:w="0" w:type="dxa"/>
            <w:vAlign w:val="bottom"/>
          </w:tcPr>
          <w:p>
            <w:pPr>
              <w:spacing w:after="0"/>
              <w:rPr>
                <w:sz w:val="1"/>
                <w:szCs w:val="1"/>
                <w:color w:val="auto"/>
              </w:rPr>
            </w:pPr>
          </w:p>
        </w:tc>
      </w:tr>
      <w:tr>
        <w:trPr>
          <w:trHeight w:val="188"/>
        </w:trPr>
        <w:tc>
          <w:tcPr>
            <w:tcW w:w="1120" w:type="dxa"/>
            <w:vAlign w:val="bottom"/>
            <w:tcBorders>
              <w:bottom w:val="single" w:sz="8" w:color="808080"/>
            </w:tcBorders>
          </w:tcPr>
          <w:p>
            <w:pPr>
              <w:spacing w:after="0"/>
              <w:rPr>
                <w:sz w:val="16"/>
                <w:szCs w:val="16"/>
                <w:color w:val="auto"/>
              </w:rPr>
            </w:pPr>
          </w:p>
        </w:tc>
        <w:tc>
          <w:tcPr>
            <w:tcW w:w="1040" w:type="dxa"/>
            <w:vAlign w:val="bottom"/>
            <w:tcBorders>
              <w:bottom w:val="single" w:sz="8" w:color="808080"/>
            </w:tcBorders>
            <w:gridSpan w:val="2"/>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808080"/>
            </w:tcBorders>
          </w:tcPr>
          <w:p>
            <w:pPr>
              <w:spacing w:after="0"/>
              <w:rPr>
                <w:sz w:val="16"/>
                <w:szCs w:val="16"/>
                <w:color w:val="auto"/>
              </w:rPr>
            </w:pPr>
          </w:p>
        </w:tc>
        <w:tc>
          <w:tcPr>
            <w:tcW w:w="840" w:type="dxa"/>
            <w:vAlign w:val="bottom"/>
            <w:tcBorders>
              <w:bottom w:val="single" w:sz="8" w:color="808080"/>
            </w:tcBorders>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808080"/>
            </w:tcBorders>
          </w:tcPr>
          <w:p>
            <w:pPr>
              <w:spacing w:after="0"/>
              <w:rPr>
                <w:sz w:val="16"/>
                <w:szCs w:val="16"/>
                <w:color w:val="auto"/>
              </w:rPr>
            </w:pPr>
          </w:p>
        </w:tc>
        <w:tc>
          <w:tcPr>
            <w:tcW w:w="840" w:type="dxa"/>
            <w:vAlign w:val="bottom"/>
            <w:tcBorders>
              <w:bottom w:val="single" w:sz="8" w:color="808080"/>
            </w:tcBorders>
          </w:tcPr>
          <w:p>
            <w:pPr>
              <w:jc w:val="right"/>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808080"/>
            </w:tcBorders>
          </w:tcPr>
          <w:p>
            <w:pPr>
              <w:spacing w:after="0"/>
              <w:rPr>
                <w:sz w:val="16"/>
                <w:szCs w:val="16"/>
                <w:color w:val="auto"/>
              </w:rPr>
            </w:pPr>
          </w:p>
        </w:tc>
        <w:tc>
          <w:tcPr>
            <w:tcW w:w="860" w:type="dxa"/>
            <w:vAlign w:val="bottom"/>
            <w:tcBorders>
              <w:bottom w:val="single" w:sz="8" w:color="808080"/>
            </w:tcBorders>
          </w:tcPr>
          <w:p>
            <w:pPr>
              <w:jc w:val="right"/>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808080"/>
            </w:tcBorders>
          </w:tcPr>
          <w:p>
            <w:pPr>
              <w:spacing w:after="0"/>
              <w:rPr>
                <w:sz w:val="16"/>
                <w:szCs w:val="16"/>
                <w:color w:val="auto"/>
              </w:rPr>
            </w:pPr>
          </w:p>
        </w:tc>
        <w:tc>
          <w:tcPr>
            <w:tcW w:w="820" w:type="dxa"/>
            <w:vAlign w:val="bottom"/>
            <w:tcBorders>
              <w:bottom w:val="single" w:sz="8" w:color="808080"/>
            </w:tcBorders>
          </w:tcPr>
          <w:p>
            <w:pPr>
              <w:jc w:val="right"/>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808080"/>
            </w:tcBorders>
          </w:tcPr>
          <w:p>
            <w:pPr>
              <w:spacing w:after="0"/>
              <w:rPr>
                <w:sz w:val="16"/>
                <w:szCs w:val="16"/>
                <w:color w:val="auto"/>
              </w:rPr>
            </w:pPr>
          </w:p>
        </w:tc>
        <w:tc>
          <w:tcPr>
            <w:tcW w:w="820" w:type="dxa"/>
            <w:vAlign w:val="bottom"/>
            <w:tcBorders>
              <w:bottom w:val="single" w:sz="8" w:color="808080"/>
            </w:tcBorders>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808080"/>
            </w:tcBorders>
          </w:tcPr>
          <w:p>
            <w:pPr>
              <w:spacing w:after="0"/>
              <w:rPr>
                <w:sz w:val="16"/>
                <w:szCs w:val="16"/>
                <w:color w:val="auto"/>
              </w:rPr>
            </w:pPr>
          </w:p>
        </w:tc>
        <w:tc>
          <w:tcPr>
            <w:tcW w:w="840" w:type="dxa"/>
            <w:vAlign w:val="bottom"/>
            <w:tcBorders>
              <w:bottom w:val="single" w:sz="8" w:color="808080"/>
            </w:tcBorders>
          </w:tcPr>
          <w:p>
            <w:pPr>
              <w:jc w:val="right"/>
              <w:spacing w:after="0"/>
              <w:rPr>
                <w:sz w:val="20"/>
                <w:szCs w:val="20"/>
                <w:color w:val="auto"/>
              </w:rPr>
            </w:pPr>
            <w:r>
              <w:rPr>
                <w:rFonts w:ascii="Arial" w:cs="Arial" w:eastAsia="Arial" w:hAnsi="Arial"/>
                <w:sz w:val="12"/>
                <w:szCs w:val="12"/>
                <w:color w:val="auto"/>
              </w:rPr>
              <w:t>189,783</w:t>
            </w:r>
          </w:p>
        </w:tc>
        <w:tc>
          <w:tcPr>
            <w:tcW w:w="220" w:type="dxa"/>
            <w:vAlign w:val="bottom"/>
            <w:tcBorders>
              <w:bottom w:val="single" w:sz="8" w:color="808080"/>
            </w:tcBorders>
          </w:tcPr>
          <w:p>
            <w:pPr>
              <w:jc w:val="right"/>
              <w:ind w:right="55"/>
              <w:spacing w:after="0"/>
              <w:rPr>
                <w:sz w:val="20"/>
                <w:szCs w:val="20"/>
                <w:color w:val="auto"/>
              </w:rPr>
            </w:pPr>
            <w:r>
              <w:rPr>
                <w:rFonts w:ascii="Arial" w:cs="Arial" w:eastAsia="Arial" w:hAnsi="Arial"/>
                <w:sz w:val="9"/>
                <w:szCs w:val="9"/>
                <w:color w:val="auto"/>
                <w:w w:val="90"/>
              </w:rPr>
              <w:t>(9)</w:t>
            </w:r>
          </w:p>
        </w:tc>
        <w:tc>
          <w:tcPr>
            <w:tcW w:w="820" w:type="dxa"/>
            <w:vAlign w:val="bottom"/>
            <w:tcBorders>
              <w:bottom w:val="single" w:sz="8" w:color="808080"/>
            </w:tcBorders>
          </w:tcPr>
          <w:p>
            <w:pPr>
              <w:jc w:val="right"/>
              <w:spacing w:after="0"/>
              <w:rPr>
                <w:sz w:val="20"/>
                <w:szCs w:val="20"/>
                <w:color w:val="auto"/>
              </w:rPr>
            </w:pPr>
            <w:r>
              <w:rPr>
                <w:rFonts w:ascii="Arial" w:cs="Arial" w:eastAsia="Arial" w:hAnsi="Arial"/>
                <w:sz w:val="12"/>
                <w:szCs w:val="12"/>
                <w:color w:val="auto"/>
              </w:rPr>
              <w:t>21,221,535</w:t>
            </w:r>
          </w:p>
        </w:tc>
        <w:tc>
          <w:tcPr>
            <w:tcW w:w="200" w:type="dxa"/>
            <w:vAlign w:val="bottom"/>
            <w:tcBorders>
              <w:bottom w:val="single" w:sz="8" w:color="808080"/>
            </w:tcBorders>
          </w:tcPr>
          <w:p>
            <w:pPr>
              <w:jc w:val="right"/>
              <w:spacing w:after="0"/>
              <w:rPr>
                <w:sz w:val="20"/>
                <w:szCs w:val="20"/>
                <w:color w:val="auto"/>
              </w:rPr>
            </w:pPr>
            <w:r>
              <w:rPr>
                <w:rFonts w:ascii="Arial" w:cs="Arial" w:eastAsia="Arial" w:hAnsi="Arial"/>
                <w:sz w:val="9"/>
                <w:szCs w:val="9"/>
                <w:color w:val="auto"/>
                <w:w w:val="99"/>
              </w:rPr>
              <w:t>(10)</w:t>
            </w:r>
          </w:p>
        </w:tc>
        <w:tc>
          <w:tcPr>
            <w:tcW w:w="0" w:type="dxa"/>
            <w:vAlign w:val="bottom"/>
          </w:tcPr>
          <w:p>
            <w:pPr>
              <w:spacing w:after="0"/>
              <w:rPr>
                <w:sz w:val="1"/>
                <w:szCs w:val="1"/>
                <w:color w:val="auto"/>
              </w:rPr>
            </w:pPr>
          </w:p>
        </w:tc>
      </w:tr>
      <w:tr>
        <w:trPr>
          <w:trHeight w:val="112"/>
        </w:trPr>
        <w:tc>
          <w:tcPr>
            <w:tcW w:w="1120" w:type="dxa"/>
            <w:vAlign w:val="bottom"/>
          </w:tcPr>
          <w:p>
            <w:pPr>
              <w:ind w:left="120"/>
              <w:spacing w:after="0" w:line="111" w:lineRule="exact"/>
              <w:rPr>
                <w:sz w:val="20"/>
                <w:szCs w:val="20"/>
                <w:color w:val="auto"/>
              </w:rPr>
            </w:pPr>
            <w:r>
              <w:rPr>
                <w:rFonts w:ascii="Arial" w:cs="Arial" w:eastAsia="Arial" w:hAnsi="Arial"/>
                <w:sz w:val="12"/>
                <w:szCs w:val="12"/>
                <w:b w:val="1"/>
                <w:bCs w:val="1"/>
                <w:color w:val="auto"/>
              </w:rPr>
              <w:t>Michael</w:t>
            </w: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vMerge w:val="restart"/>
          </w:tcPr>
          <w:p>
            <w:pPr>
              <w:ind w:left="20"/>
              <w:spacing w:after="0"/>
              <w:rPr>
                <w:sz w:val="20"/>
                <w:szCs w:val="20"/>
                <w:color w:val="auto"/>
              </w:rPr>
            </w:pPr>
            <w:r>
              <w:rPr>
                <w:rFonts w:ascii="Arial" w:cs="Arial" w:eastAsia="Arial" w:hAnsi="Arial"/>
                <w:sz w:val="9"/>
                <w:szCs w:val="9"/>
                <w:color w:val="auto"/>
              </w:rPr>
              <w:t>(3)</w:t>
            </w:r>
          </w:p>
        </w:tc>
        <w:tc>
          <w:tcPr>
            <w:tcW w:w="820" w:type="dxa"/>
            <w:vAlign w:val="bottom"/>
          </w:tcPr>
          <w:p>
            <w:pPr>
              <w:spacing w:after="0"/>
              <w:rPr>
                <w:sz w:val="9"/>
                <w:szCs w:val="9"/>
                <w:color w:val="auto"/>
              </w:rPr>
            </w:pPr>
          </w:p>
        </w:tc>
        <w:tc>
          <w:tcPr>
            <w:tcW w:w="220" w:type="dxa"/>
            <w:vAlign w:val="bottom"/>
            <w:vMerge w:val="restart"/>
          </w:tcPr>
          <w:p>
            <w:pPr>
              <w:jc w:val="right"/>
              <w:ind w:right="55"/>
              <w:spacing w:after="0"/>
              <w:rPr>
                <w:sz w:val="20"/>
                <w:szCs w:val="20"/>
                <w:color w:val="auto"/>
              </w:rPr>
            </w:pPr>
            <w:r>
              <w:rPr>
                <w:rFonts w:ascii="Arial" w:cs="Arial" w:eastAsia="Arial" w:hAnsi="Arial"/>
                <w:sz w:val="9"/>
                <w:szCs w:val="9"/>
                <w:color w:val="auto"/>
                <w:w w:val="90"/>
              </w:rPr>
              <w:t>(6)</w:t>
            </w: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1120" w:type="dxa"/>
            <w:vAlign w:val="bottom"/>
          </w:tcPr>
          <w:p>
            <w:pPr>
              <w:ind w:left="120"/>
              <w:spacing w:after="0"/>
              <w:rPr>
                <w:sz w:val="20"/>
                <w:szCs w:val="20"/>
                <w:color w:val="auto"/>
              </w:rPr>
            </w:pPr>
            <w:r>
              <w:rPr>
                <w:rFonts w:ascii="Arial" w:cs="Arial" w:eastAsia="Arial" w:hAnsi="Arial"/>
                <w:sz w:val="12"/>
                <w:szCs w:val="12"/>
                <w:b w:val="1"/>
                <w:bCs w:val="1"/>
                <w:color w:val="auto"/>
              </w:rPr>
              <w:t>Leskinen</w:t>
            </w:r>
          </w:p>
        </w:tc>
        <w:tc>
          <w:tcPr>
            <w:tcW w:w="10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838</w:t>
            </w:r>
          </w:p>
        </w:tc>
        <w:tc>
          <w:tcPr>
            <w:tcW w:w="240" w:type="dxa"/>
            <w:vAlign w:val="bottom"/>
            <w:vMerge w:val="continue"/>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93,705</w:t>
            </w:r>
          </w:p>
        </w:tc>
        <w:tc>
          <w:tcPr>
            <w:tcW w:w="220" w:type="dxa"/>
            <w:vAlign w:val="bottom"/>
            <w:vMerge w:val="continue"/>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12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6,212</w:t>
            </w:r>
          </w:p>
        </w:tc>
        <w:tc>
          <w:tcPr>
            <w:tcW w:w="240" w:type="dxa"/>
            <w:vAlign w:val="bottom"/>
          </w:tcPr>
          <w:p>
            <w:pPr>
              <w:ind w:left="20"/>
              <w:spacing w:after="0"/>
              <w:rPr>
                <w:sz w:val="20"/>
                <w:szCs w:val="20"/>
                <w:color w:val="auto"/>
              </w:rPr>
            </w:pPr>
            <w:r>
              <w:rPr>
                <w:rFonts w:ascii="Arial" w:cs="Arial" w:eastAsia="Arial" w:hAnsi="Arial"/>
                <w:sz w:val="9"/>
                <w:szCs w:val="9"/>
                <w:color w:val="auto"/>
              </w:rPr>
              <w:t>(11)</w:t>
            </w:r>
          </w:p>
        </w:tc>
        <w:tc>
          <w:tcPr>
            <w:tcW w:w="820" w:type="dxa"/>
            <w:vAlign w:val="bottom"/>
          </w:tcPr>
          <w:p>
            <w:pPr>
              <w:jc w:val="right"/>
              <w:spacing w:after="0"/>
              <w:rPr>
                <w:sz w:val="20"/>
                <w:szCs w:val="20"/>
                <w:color w:val="auto"/>
              </w:rPr>
            </w:pPr>
            <w:r>
              <w:rPr>
                <w:rFonts w:ascii="Arial" w:cs="Arial" w:eastAsia="Arial" w:hAnsi="Arial"/>
                <w:sz w:val="12"/>
                <w:szCs w:val="12"/>
                <w:color w:val="auto"/>
              </w:rPr>
              <w:t>694,626</w:t>
            </w:r>
          </w:p>
        </w:tc>
        <w:tc>
          <w:tcPr>
            <w:tcW w:w="220" w:type="dxa"/>
            <w:vAlign w:val="bottom"/>
          </w:tcPr>
          <w:p>
            <w:pPr>
              <w:jc w:val="right"/>
              <w:ind w:right="55"/>
              <w:spacing w:after="0"/>
              <w:rPr>
                <w:sz w:val="20"/>
                <w:szCs w:val="20"/>
                <w:color w:val="auto"/>
              </w:rPr>
            </w:pPr>
            <w:r>
              <w:rPr>
                <w:rFonts w:ascii="Arial" w:cs="Arial" w:eastAsia="Arial" w:hAnsi="Arial"/>
                <w:sz w:val="9"/>
                <w:szCs w:val="9"/>
                <w:color w:val="auto"/>
                <w:w w:val="90"/>
              </w:rPr>
              <w:t>(6)</w:t>
            </w: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2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21,158</w:t>
            </w:r>
          </w:p>
        </w:tc>
        <w:tc>
          <w:tcPr>
            <w:tcW w:w="240" w:type="dxa"/>
            <w:vAlign w:val="bottom"/>
          </w:tcPr>
          <w:p>
            <w:pPr>
              <w:ind w:left="20"/>
              <w:spacing w:after="0"/>
              <w:rPr>
                <w:sz w:val="20"/>
                <w:szCs w:val="20"/>
                <w:color w:val="auto"/>
              </w:rPr>
            </w:pPr>
            <w:r>
              <w:rPr>
                <w:rFonts w:ascii="Arial" w:cs="Arial" w:eastAsia="Arial" w:hAnsi="Arial"/>
                <w:sz w:val="9"/>
                <w:szCs w:val="9"/>
                <w:color w:val="auto"/>
              </w:rPr>
              <w:t>(4)</w:t>
            </w:r>
          </w:p>
        </w:tc>
        <w:tc>
          <w:tcPr>
            <w:tcW w:w="820" w:type="dxa"/>
            <w:vAlign w:val="bottom"/>
          </w:tcPr>
          <w:p>
            <w:pPr>
              <w:jc w:val="right"/>
              <w:spacing w:after="0"/>
              <w:rPr>
                <w:sz w:val="20"/>
                <w:szCs w:val="20"/>
                <w:color w:val="auto"/>
              </w:rPr>
            </w:pPr>
            <w:r>
              <w:rPr>
                <w:rFonts w:ascii="Arial" w:cs="Arial" w:eastAsia="Arial" w:hAnsi="Arial"/>
                <w:sz w:val="12"/>
                <w:szCs w:val="12"/>
                <w:color w:val="auto"/>
              </w:rPr>
              <w:t>2,365,888</w:t>
            </w:r>
          </w:p>
        </w:tc>
        <w:tc>
          <w:tcPr>
            <w:tcW w:w="220" w:type="dxa"/>
            <w:vAlign w:val="bottom"/>
          </w:tcPr>
          <w:p>
            <w:pPr>
              <w:jc w:val="right"/>
              <w:ind w:right="55"/>
              <w:spacing w:after="0"/>
              <w:rPr>
                <w:sz w:val="20"/>
                <w:szCs w:val="20"/>
                <w:color w:val="auto"/>
              </w:rPr>
            </w:pPr>
            <w:r>
              <w:rPr>
                <w:rFonts w:ascii="Arial" w:cs="Arial" w:eastAsia="Arial" w:hAnsi="Arial"/>
                <w:sz w:val="9"/>
                <w:szCs w:val="9"/>
                <w:color w:val="auto"/>
                <w:w w:val="90"/>
              </w:rPr>
              <w:t>(6)</w:t>
            </w: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12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19,187</w:t>
            </w:r>
          </w:p>
        </w:tc>
        <w:tc>
          <w:tcPr>
            <w:tcW w:w="240" w:type="dxa"/>
            <w:vAlign w:val="bottom"/>
          </w:tcPr>
          <w:p>
            <w:pPr>
              <w:ind w:left="20"/>
              <w:spacing w:after="0"/>
              <w:rPr>
                <w:sz w:val="20"/>
                <w:szCs w:val="20"/>
                <w:color w:val="auto"/>
              </w:rPr>
            </w:pPr>
            <w:r>
              <w:rPr>
                <w:rFonts w:ascii="Arial" w:cs="Arial" w:eastAsia="Arial" w:hAnsi="Arial"/>
                <w:sz w:val="9"/>
                <w:szCs w:val="9"/>
                <w:color w:val="auto"/>
              </w:rPr>
              <w:t>(5)</w:t>
            </w:r>
          </w:p>
        </w:tc>
        <w:tc>
          <w:tcPr>
            <w:tcW w:w="820" w:type="dxa"/>
            <w:vAlign w:val="bottom"/>
          </w:tcPr>
          <w:p>
            <w:pPr>
              <w:jc w:val="right"/>
              <w:spacing w:after="0"/>
              <w:rPr>
                <w:sz w:val="20"/>
                <w:szCs w:val="20"/>
                <w:color w:val="auto"/>
              </w:rPr>
            </w:pPr>
            <w:r>
              <w:rPr>
                <w:rFonts w:ascii="Arial" w:cs="Arial" w:eastAsia="Arial" w:hAnsi="Arial"/>
                <w:sz w:val="12"/>
                <w:szCs w:val="12"/>
                <w:color w:val="auto"/>
              </w:rPr>
              <w:t>2,145,490</w:t>
            </w:r>
          </w:p>
        </w:tc>
        <w:tc>
          <w:tcPr>
            <w:tcW w:w="220" w:type="dxa"/>
            <w:vAlign w:val="bottom"/>
          </w:tcPr>
          <w:p>
            <w:pPr>
              <w:jc w:val="right"/>
              <w:ind w:right="55"/>
              <w:spacing w:after="0"/>
              <w:rPr>
                <w:sz w:val="20"/>
                <w:szCs w:val="20"/>
                <w:color w:val="auto"/>
              </w:rPr>
            </w:pPr>
            <w:r>
              <w:rPr>
                <w:rFonts w:ascii="Arial" w:cs="Arial" w:eastAsia="Arial" w:hAnsi="Arial"/>
                <w:sz w:val="9"/>
                <w:szCs w:val="9"/>
                <w:color w:val="auto"/>
                <w:w w:val="90"/>
              </w:rPr>
              <w:t>(6)</w:t>
            </w: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vMerge w:val="restart"/>
          </w:tcPr>
          <w:p>
            <w:pPr>
              <w:jc w:val="right"/>
              <w:ind w:right="55"/>
              <w:spacing w:after="0"/>
              <w:rPr>
                <w:sz w:val="20"/>
                <w:szCs w:val="20"/>
                <w:color w:val="auto"/>
              </w:rPr>
            </w:pPr>
            <w:r>
              <w:rPr>
                <w:rFonts w:ascii="Arial" w:cs="Arial" w:eastAsia="Arial" w:hAnsi="Arial"/>
                <w:sz w:val="9"/>
                <w:szCs w:val="9"/>
                <w:color w:val="auto"/>
                <w:w w:val="90"/>
              </w:rPr>
              <w:t>(7)</w:t>
            </w: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vMerge w:val="restart"/>
          </w:tcPr>
          <w:p>
            <w:pPr>
              <w:jc w:val="right"/>
              <w:spacing w:after="0"/>
              <w:rPr>
                <w:sz w:val="20"/>
                <w:szCs w:val="20"/>
                <w:color w:val="auto"/>
              </w:rPr>
            </w:pPr>
            <w:r>
              <w:rPr>
                <w:rFonts w:ascii="Arial" w:cs="Arial" w:eastAsia="Arial" w:hAnsi="Arial"/>
                <w:sz w:val="9"/>
                <w:szCs w:val="9"/>
                <w:color w:val="auto"/>
                <w:w w:val="99"/>
              </w:rPr>
              <w:t>(10)</w:t>
            </w:r>
          </w:p>
        </w:tc>
        <w:tc>
          <w:tcPr>
            <w:tcW w:w="0" w:type="dxa"/>
            <w:vAlign w:val="bottom"/>
          </w:tcPr>
          <w:p>
            <w:pPr>
              <w:spacing w:after="0"/>
              <w:rPr>
                <w:sz w:val="1"/>
                <w:szCs w:val="1"/>
                <w:color w:val="auto"/>
              </w:rPr>
            </w:pPr>
          </w:p>
        </w:tc>
      </w:tr>
      <w:tr>
        <w:trPr>
          <w:trHeight w:val="126"/>
        </w:trPr>
        <w:tc>
          <w:tcPr>
            <w:tcW w:w="1120" w:type="dxa"/>
            <w:vAlign w:val="bottom"/>
          </w:tcPr>
          <w:p>
            <w:pPr>
              <w:spacing w:after="0"/>
              <w:rPr>
                <w:sz w:val="10"/>
                <w:szCs w:val="10"/>
                <w:color w:val="auto"/>
              </w:rPr>
            </w:pPr>
          </w:p>
        </w:tc>
        <w:tc>
          <w:tcPr>
            <w:tcW w:w="1040" w:type="dxa"/>
            <w:vAlign w:val="bottom"/>
            <w:gridSpan w:val="2"/>
          </w:tcPr>
          <w:p>
            <w:pPr>
              <w:jc w:val="right"/>
              <w:spacing w:after="0" w:line="126"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0"/>
                <w:szCs w:val="10"/>
                <w:color w:val="auto"/>
              </w:rPr>
            </w:pPr>
          </w:p>
        </w:tc>
        <w:tc>
          <w:tcPr>
            <w:tcW w:w="840" w:type="dxa"/>
            <w:vAlign w:val="bottom"/>
          </w:tcPr>
          <w:p>
            <w:pPr>
              <w:jc w:val="right"/>
              <w:spacing w:after="0" w:line="126"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0"/>
                <w:szCs w:val="10"/>
                <w:color w:val="auto"/>
              </w:rPr>
            </w:pPr>
          </w:p>
        </w:tc>
        <w:tc>
          <w:tcPr>
            <w:tcW w:w="840" w:type="dxa"/>
            <w:vAlign w:val="bottom"/>
          </w:tcPr>
          <w:p>
            <w:pPr>
              <w:jc w:val="right"/>
              <w:spacing w:after="0" w:line="126"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0"/>
                <w:szCs w:val="10"/>
                <w:color w:val="auto"/>
              </w:rPr>
            </w:pPr>
          </w:p>
        </w:tc>
        <w:tc>
          <w:tcPr>
            <w:tcW w:w="860" w:type="dxa"/>
            <w:vAlign w:val="bottom"/>
          </w:tcPr>
          <w:p>
            <w:pPr>
              <w:jc w:val="right"/>
              <w:spacing w:after="0" w:line="126"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0"/>
                <w:szCs w:val="10"/>
                <w:color w:val="auto"/>
              </w:rPr>
            </w:pPr>
          </w:p>
        </w:tc>
        <w:tc>
          <w:tcPr>
            <w:tcW w:w="820" w:type="dxa"/>
            <w:vAlign w:val="bottom"/>
          </w:tcPr>
          <w:p>
            <w:pPr>
              <w:jc w:val="right"/>
              <w:spacing w:after="0" w:line="126" w:lineRule="exact"/>
              <w:rPr>
                <w:sz w:val="20"/>
                <w:szCs w:val="20"/>
                <w:color w:val="auto"/>
              </w:rPr>
            </w:pPr>
            <w:r>
              <w:rPr>
                <w:rFonts w:ascii="Arial" w:cs="Arial" w:eastAsia="Arial" w:hAnsi="Arial"/>
                <w:sz w:val="12"/>
                <w:szCs w:val="12"/>
                <w:color w:val="auto"/>
              </w:rPr>
              <w:t>-</w:t>
            </w:r>
          </w:p>
        </w:tc>
        <w:tc>
          <w:tcPr>
            <w:tcW w:w="240" w:type="dxa"/>
            <w:vAlign w:val="bottom"/>
          </w:tcPr>
          <w:p>
            <w:pPr>
              <w:spacing w:after="0"/>
              <w:rPr>
                <w:sz w:val="10"/>
                <w:szCs w:val="10"/>
                <w:color w:val="auto"/>
              </w:rPr>
            </w:pPr>
          </w:p>
        </w:tc>
        <w:tc>
          <w:tcPr>
            <w:tcW w:w="820" w:type="dxa"/>
            <w:vAlign w:val="bottom"/>
          </w:tcPr>
          <w:p>
            <w:pPr>
              <w:jc w:val="right"/>
              <w:spacing w:after="0" w:line="126"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0"/>
                <w:szCs w:val="10"/>
                <w:color w:val="auto"/>
              </w:rPr>
            </w:pPr>
          </w:p>
        </w:tc>
        <w:tc>
          <w:tcPr>
            <w:tcW w:w="840" w:type="dxa"/>
            <w:vAlign w:val="bottom"/>
          </w:tcPr>
          <w:p>
            <w:pPr>
              <w:jc w:val="right"/>
              <w:spacing w:after="0" w:line="126" w:lineRule="exact"/>
              <w:rPr>
                <w:sz w:val="20"/>
                <w:szCs w:val="20"/>
                <w:color w:val="auto"/>
              </w:rPr>
            </w:pPr>
            <w:r>
              <w:rPr>
                <w:rFonts w:ascii="Arial" w:cs="Arial" w:eastAsia="Arial" w:hAnsi="Arial"/>
                <w:sz w:val="12"/>
                <w:szCs w:val="12"/>
                <w:color w:val="auto"/>
              </w:rPr>
              <w:t>63,474</w:t>
            </w:r>
          </w:p>
        </w:tc>
        <w:tc>
          <w:tcPr>
            <w:tcW w:w="220" w:type="dxa"/>
            <w:vAlign w:val="bottom"/>
            <w:vMerge w:val="continue"/>
          </w:tcPr>
          <w:p>
            <w:pPr>
              <w:spacing w:after="0"/>
              <w:rPr>
                <w:sz w:val="10"/>
                <w:szCs w:val="10"/>
                <w:color w:val="auto"/>
              </w:rPr>
            </w:pPr>
          </w:p>
        </w:tc>
        <w:tc>
          <w:tcPr>
            <w:tcW w:w="820" w:type="dxa"/>
            <w:vAlign w:val="bottom"/>
          </w:tcPr>
          <w:p>
            <w:pPr>
              <w:jc w:val="right"/>
              <w:spacing w:after="0" w:line="126" w:lineRule="exact"/>
              <w:rPr>
                <w:sz w:val="20"/>
                <w:szCs w:val="20"/>
                <w:color w:val="auto"/>
              </w:rPr>
            </w:pPr>
            <w:r>
              <w:rPr>
                <w:rFonts w:ascii="Arial" w:cs="Arial" w:eastAsia="Arial" w:hAnsi="Arial"/>
                <w:sz w:val="12"/>
                <w:szCs w:val="12"/>
                <w:color w:val="auto"/>
              </w:rPr>
              <w:t>7,097,663</w:t>
            </w:r>
          </w:p>
        </w:tc>
        <w:tc>
          <w:tcPr>
            <w:tcW w:w="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12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12,790</w:t>
            </w:r>
          </w:p>
        </w:tc>
        <w:tc>
          <w:tcPr>
            <w:tcW w:w="220" w:type="dxa"/>
            <w:vAlign w:val="bottom"/>
          </w:tcPr>
          <w:p>
            <w:pPr>
              <w:jc w:val="right"/>
              <w:ind w:right="55"/>
              <w:spacing w:after="0"/>
              <w:rPr>
                <w:sz w:val="20"/>
                <w:szCs w:val="20"/>
                <w:color w:val="auto"/>
              </w:rPr>
            </w:pPr>
            <w:r>
              <w:rPr>
                <w:rFonts w:ascii="Arial" w:cs="Arial" w:eastAsia="Arial" w:hAnsi="Arial"/>
                <w:sz w:val="9"/>
                <w:szCs w:val="9"/>
                <w:color w:val="auto"/>
                <w:w w:val="90"/>
              </w:rPr>
              <w:t>(8)</w:t>
            </w:r>
          </w:p>
        </w:tc>
        <w:tc>
          <w:tcPr>
            <w:tcW w:w="820" w:type="dxa"/>
            <w:vAlign w:val="bottom"/>
          </w:tcPr>
          <w:p>
            <w:pPr>
              <w:jc w:val="right"/>
              <w:spacing w:after="0"/>
              <w:rPr>
                <w:sz w:val="20"/>
                <w:szCs w:val="20"/>
                <w:color w:val="auto"/>
              </w:rPr>
            </w:pPr>
            <w:r>
              <w:rPr>
                <w:rFonts w:ascii="Arial" w:cs="Arial" w:eastAsia="Arial" w:hAnsi="Arial"/>
                <w:sz w:val="12"/>
                <w:szCs w:val="12"/>
                <w:color w:val="auto"/>
              </w:rPr>
              <w:t>1,430,178</w:t>
            </w:r>
          </w:p>
        </w:tc>
        <w:tc>
          <w:tcPr>
            <w:tcW w:w="200" w:type="dxa"/>
            <w:vAlign w:val="bottom"/>
          </w:tcPr>
          <w:p>
            <w:pPr>
              <w:jc w:val="right"/>
              <w:spacing w:after="0"/>
              <w:rPr>
                <w:sz w:val="20"/>
                <w:szCs w:val="20"/>
                <w:color w:val="auto"/>
              </w:rPr>
            </w:pPr>
            <w:r>
              <w:rPr>
                <w:rFonts w:ascii="Arial" w:cs="Arial" w:eastAsia="Arial" w:hAnsi="Arial"/>
                <w:sz w:val="9"/>
                <w:szCs w:val="9"/>
                <w:color w:val="auto"/>
                <w:w w:val="99"/>
              </w:rPr>
              <w:t>(10)</w:t>
            </w:r>
          </w:p>
        </w:tc>
        <w:tc>
          <w:tcPr>
            <w:tcW w:w="0" w:type="dxa"/>
            <w:vAlign w:val="bottom"/>
          </w:tcPr>
          <w:p>
            <w:pPr>
              <w:spacing w:after="0"/>
              <w:rPr>
                <w:sz w:val="1"/>
                <w:szCs w:val="1"/>
                <w:color w:val="auto"/>
              </w:rPr>
            </w:pPr>
          </w:p>
        </w:tc>
      </w:tr>
      <w:tr>
        <w:trPr>
          <w:trHeight w:val="188"/>
        </w:trPr>
        <w:tc>
          <w:tcPr>
            <w:tcW w:w="1120" w:type="dxa"/>
            <w:vAlign w:val="bottom"/>
            <w:tcBorders>
              <w:bottom w:val="single" w:sz="8" w:color="808080"/>
            </w:tcBorders>
          </w:tcPr>
          <w:p>
            <w:pPr>
              <w:spacing w:after="0"/>
              <w:rPr>
                <w:sz w:val="16"/>
                <w:szCs w:val="16"/>
                <w:color w:val="auto"/>
              </w:rPr>
            </w:pPr>
          </w:p>
        </w:tc>
        <w:tc>
          <w:tcPr>
            <w:tcW w:w="1040" w:type="dxa"/>
            <w:vAlign w:val="bottom"/>
            <w:tcBorders>
              <w:bottom w:val="single" w:sz="8" w:color="808080"/>
            </w:tcBorders>
            <w:gridSpan w:val="2"/>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808080"/>
            </w:tcBorders>
          </w:tcPr>
          <w:p>
            <w:pPr>
              <w:spacing w:after="0"/>
              <w:rPr>
                <w:sz w:val="16"/>
                <w:szCs w:val="16"/>
                <w:color w:val="auto"/>
              </w:rPr>
            </w:pPr>
          </w:p>
        </w:tc>
        <w:tc>
          <w:tcPr>
            <w:tcW w:w="840" w:type="dxa"/>
            <w:vAlign w:val="bottom"/>
            <w:tcBorders>
              <w:bottom w:val="single" w:sz="8" w:color="808080"/>
            </w:tcBorders>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808080"/>
            </w:tcBorders>
          </w:tcPr>
          <w:p>
            <w:pPr>
              <w:spacing w:after="0"/>
              <w:rPr>
                <w:sz w:val="16"/>
                <w:szCs w:val="16"/>
                <w:color w:val="auto"/>
              </w:rPr>
            </w:pPr>
          </w:p>
        </w:tc>
        <w:tc>
          <w:tcPr>
            <w:tcW w:w="840" w:type="dxa"/>
            <w:vAlign w:val="bottom"/>
            <w:tcBorders>
              <w:bottom w:val="single" w:sz="8" w:color="808080"/>
            </w:tcBorders>
          </w:tcPr>
          <w:p>
            <w:pPr>
              <w:jc w:val="right"/>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808080"/>
            </w:tcBorders>
          </w:tcPr>
          <w:p>
            <w:pPr>
              <w:spacing w:after="0"/>
              <w:rPr>
                <w:sz w:val="16"/>
                <w:szCs w:val="16"/>
                <w:color w:val="auto"/>
              </w:rPr>
            </w:pPr>
          </w:p>
        </w:tc>
        <w:tc>
          <w:tcPr>
            <w:tcW w:w="860" w:type="dxa"/>
            <w:vAlign w:val="bottom"/>
            <w:tcBorders>
              <w:bottom w:val="single" w:sz="8" w:color="808080"/>
            </w:tcBorders>
          </w:tcPr>
          <w:p>
            <w:pPr>
              <w:jc w:val="right"/>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808080"/>
            </w:tcBorders>
          </w:tcPr>
          <w:p>
            <w:pPr>
              <w:spacing w:after="0"/>
              <w:rPr>
                <w:sz w:val="16"/>
                <w:szCs w:val="16"/>
                <w:color w:val="auto"/>
              </w:rPr>
            </w:pPr>
          </w:p>
        </w:tc>
        <w:tc>
          <w:tcPr>
            <w:tcW w:w="820" w:type="dxa"/>
            <w:vAlign w:val="bottom"/>
            <w:tcBorders>
              <w:bottom w:val="single" w:sz="8" w:color="808080"/>
            </w:tcBorders>
          </w:tcPr>
          <w:p>
            <w:pPr>
              <w:jc w:val="right"/>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808080"/>
            </w:tcBorders>
          </w:tcPr>
          <w:p>
            <w:pPr>
              <w:spacing w:after="0"/>
              <w:rPr>
                <w:sz w:val="16"/>
                <w:szCs w:val="16"/>
                <w:color w:val="auto"/>
              </w:rPr>
            </w:pPr>
          </w:p>
        </w:tc>
        <w:tc>
          <w:tcPr>
            <w:tcW w:w="820" w:type="dxa"/>
            <w:vAlign w:val="bottom"/>
            <w:tcBorders>
              <w:bottom w:val="single" w:sz="8" w:color="808080"/>
            </w:tcBorders>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808080"/>
            </w:tcBorders>
          </w:tcPr>
          <w:p>
            <w:pPr>
              <w:spacing w:after="0"/>
              <w:rPr>
                <w:sz w:val="16"/>
                <w:szCs w:val="16"/>
                <w:color w:val="auto"/>
              </w:rPr>
            </w:pPr>
          </w:p>
        </w:tc>
        <w:tc>
          <w:tcPr>
            <w:tcW w:w="840" w:type="dxa"/>
            <w:vAlign w:val="bottom"/>
            <w:tcBorders>
              <w:bottom w:val="single" w:sz="8" w:color="808080"/>
            </w:tcBorders>
          </w:tcPr>
          <w:p>
            <w:pPr>
              <w:jc w:val="right"/>
              <w:spacing w:after="0"/>
              <w:rPr>
                <w:sz w:val="20"/>
                <w:szCs w:val="20"/>
                <w:color w:val="auto"/>
              </w:rPr>
            </w:pPr>
            <w:r>
              <w:rPr>
                <w:rFonts w:ascii="Arial" w:cs="Arial" w:eastAsia="Arial" w:hAnsi="Arial"/>
                <w:sz w:val="12"/>
                <w:szCs w:val="12"/>
                <w:color w:val="auto"/>
              </w:rPr>
              <w:t>47,446</w:t>
            </w:r>
          </w:p>
        </w:tc>
        <w:tc>
          <w:tcPr>
            <w:tcW w:w="220" w:type="dxa"/>
            <w:vAlign w:val="bottom"/>
            <w:tcBorders>
              <w:bottom w:val="single" w:sz="8" w:color="808080"/>
            </w:tcBorders>
          </w:tcPr>
          <w:p>
            <w:pPr>
              <w:jc w:val="right"/>
              <w:ind w:right="55"/>
              <w:spacing w:after="0"/>
              <w:rPr>
                <w:sz w:val="20"/>
                <w:szCs w:val="20"/>
                <w:color w:val="auto"/>
              </w:rPr>
            </w:pPr>
            <w:r>
              <w:rPr>
                <w:rFonts w:ascii="Arial" w:cs="Arial" w:eastAsia="Arial" w:hAnsi="Arial"/>
                <w:sz w:val="9"/>
                <w:szCs w:val="9"/>
                <w:color w:val="auto"/>
                <w:w w:val="90"/>
              </w:rPr>
              <w:t>(9)</w:t>
            </w:r>
          </w:p>
        </w:tc>
        <w:tc>
          <w:tcPr>
            <w:tcW w:w="820" w:type="dxa"/>
            <w:vAlign w:val="bottom"/>
            <w:tcBorders>
              <w:bottom w:val="single" w:sz="8" w:color="808080"/>
            </w:tcBorders>
          </w:tcPr>
          <w:p>
            <w:pPr>
              <w:jc w:val="right"/>
              <w:spacing w:after="0"/>
              <w:rPr>
                <w:sz w:val="20"/>
                <w:szCs w:val="20"/>
                <w:color w:val="auto"/>
              </w:rPr>
            </w:pPr>
            <w:r>
              <w:rPr>
                <w:rFonts w:ascii="Arial" w:cs="Arial" w:eastAsia="Arial" w:hAnsi="Arial"/>
                <w:sz w:val="12"/>
                <w:szCs w:val="12"/>
                <w:color w:val="auto"/>
              </w:rPr>
              <w:t>5,305,412</w:t>
            </w:r>
          </w:p>
        </w:tc>
        <w:tc>
          <w:tcPr>
            <w:tcW w:w="200" w:type="dxa"/>
            <w:vAlign w:val="bottom"/>
            <w:tcBorders>
              <w:bottom w:val="single" w:sz="8" w:color="808080"/>
            </w:tcBorders>
          </w:tcPr>
          <w:p>
            <w:pPr>
              <w:jc w:val="right"/>
              <w:spacing w:after="0"/>
              <w:rPr>
                <w:sz w:val="20"/>
                <w:szCs w:val="20"/>
                <w:color w:val="auto"/>
              </w:rPr>
            </w:pPr>
            <w:r>
              <w:rPr>
                <w:rFonts w:ascii="Arial" w:cs="Arial" w:eastAsia="Arial" w:hAnsi="Arial"/>
                <w:sz w:val="9"/>
                <w:szCs w:val="9"/>
                <w:color w:val="auto"/>
                <w:w w:val="99"/>
              </w:rPr>
              <w:t>(10)</w:t>
            </w:r>
          </w:p>
        </w:tc>
        <w:tc>
          <w:tcPr>
            <w:tcW w:w="0" w:type="dxa"/>
            <w:vAlign w:val="bottom"/>
          </w:tcPr>
          <w:p>
            <w:pPr>
              <w:spacing w:after="0"/>
              <w:rPr>
                <w:sz w:val="1"/>
                <w:szCs w:val="1"/>
                <w:color w:val="auto"/>
              </w:rPr>
            </w:pPr>
          </w:p>
        </w:tc>
      </w:tr>
      <w:tr>
        <w:trPr>
          <w:trHeight w:val="166"/>
        </w:trPr>
        <w:tc>
          <w:tcPr>
            <w:tcW w:w="1120" w:type="dxa"/>
            <w:vAlign w:val="bottom"/>
          </w:tcPr>
          <w:p>
            <w:pPr>
              <w:ind w:left="120"/>
              <w:spacing w:after="0"/>
              <w:rPr>
                <w:sz w:val="20"/>
                <w:szCs w:val="20"/>
                <w:color w:val="auto"/>
              </w:rPr>
            </w:pPr>
            <w:r>
              <w:rPr>
                <w:rFonts w:ascii="Arial" w:cs="Arial" w:eastAsia="Arial" w:hAnsi="Arial"/>
                <w:sz w:val="12"/>
                <w:szCs w:val="12"/>
                <w:b w:val="1"/>
                <w:bCs w:val="1"/>
                <w:color w:val="auto"/>
              </w:rPr>
              <w:t>Brett Hart</w:t>
            </w:r>
          </w:p>
        </w:tc>
        <w:tc>
          <w:tcPr>
            <w:tcW w:w="1040" w:type="dxa"/>
            <w:vAlign w:val="bottom"/>
            <w:gridSpan w:val="2"/>
          </w:tcPr>
          <w:p>
            <w:pPr>
              <w:jc w:val="right"/>
              <w:spacing w:after="0"/>
              <w:rPr>
                <w:sz w:val="20"/>
                <w:szCs w:val="20"/>
                <w:color w:val="auto"/>
              </w:rPr>
            </w:pPr>
            <w:r>
              <w:rPr>
                <w:rFonts w:ascii="Arial" w:cs="Arial" w:eastAsia="Arial" w:hAnsi="Arial"/>
                <w:sz w:val="12"/>
                <w:szCs w:val="12"/>
                <w:color w:val="auto"/>
              </w:rPr>
              <w:t>21,521</w:t>
            </w:r>
          </w:p>
        </w:tc>
        <w:tc>
          <w:tcPr>
            <w:tcW w:w="220" w:type="dxa"/>
            <w:vAlign w:val="bottom"/>
          </w:tcPr>
          <w:p>
            <w:pPr>
              <w:ind w:left="20"/>
              <w:spacing w:after="0"/>
              <w:rPr>
                <w:sz w:val="20"/>
                <w:szCs w:val="20"/>
                <w:color w:val="auto"/>
              </w:rPr>
            </w:pPr>
            <w:r>
              <w:rPr>
                <w:rFonts w:ascii="Arial" w:cs="Arial" w:eastAsia="Arial" w:hAnsi="Arial"/>
                <w:sz w:val="9"/>
                <w:szCs w:val="9"/>
                <w:color w:val="auto"/>
              </w:rPr>
              <w:t>(12)</w:t>
            </w: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77.56</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6/14/27</w:t>
            </w:r>
          </w:p>
        </w:tc>
        <w:tc>
          <w:tcPr>
            <w:tcW w:w="2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vMerge w:val="restart"/>
          </w:tcPr>
          <w:p>
            <w:pPr>
              <w:ind w:left="20"/>
              <w:spacing w:after="0"/>
              <w:rPr>
                <w:sz w:val="20"/>
                <w:szCs w:val="20"/>
                <w:color w:val="auto"/>
              </w:rPr>
            </w:pPr>
            <w:r>
              <w:rPr>
                <w:rFonts w:ascii="Arial" w:cs="Arial" w:eastAsia="Arial" w:hAnsi="Arial"/>
                <w:sz w:val="9"/>
                <w:szCs w:val="9"/>
                <w:color w:val="auto"/>
              </w:rPr>
              <w:t>(3)</w:t>
            </w: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vMerge w:val="restart"/>
          </w:tcPr>
          <w:p>
            <w:pPr>
              <w:jc w:val="right"/>
              <w:ind w:right="55"/>
              <w:spacing w:after="0"/>
              <w:rPr>
                <w:sz w:val="20"/>
                <w:szCs w:val="20"/>
                <w:color w:val="auto"/>
              </w:rPr>
            </w:pPr>
            <w:r>
              <w:rPr>
                <w:rFonts w:ascii="Arial" w:cs="Arial" w:eastAsia="Arial" w:hAnsi="Arial"/>
                <w:sz w:val="9"/>
                <w:szCs w:val="9"/>
                <w:color w:val="auto"/>
                <w:w w:val="90"/>
              </w:rPr>
              <w:t>(6)</w:t>
            </w: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120" w:type="dxa"/>
            <w:vAlign w:val="bottom"/>
          </w:tcPr>
          <w:p>
            <w:pPr>
              <w:spacing w:after="0"/>
              <w:rPr>
                <w:sz w:val="10"/>
                <w:szCs w:val="10"/>
                <w:color w:val="auto"/>
              </w:rPr>
            </w:pPr>
          </w:p>
        </w:tc>
        <w:tc>
          <w:tcPr>
            <w:tcW w:w="1040" w:type="dxa"/>
            <w:vAlign w:val="bottom"/>
            <w:gridSpan w:val="2"/>
          </w:tcPr>
          <w:p>
            <w:pPr>
              <w:jc w:val="right"/>
              <w:spacing w:after="0" w:line="126"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0"/>
                <w:szCs w:val="10"/>
                <w:color w:val="auto"/>
              </w:rPr>
            </w:pPr>
          </w:p>
        </w:tc>
        <w:tc>
          <w:tcPr>
            <w:tcW w:w="840" w:type="dxa"/>
            <w:vAlign w:val="bottom"/>
          </w:tcPr>
          <w:p>
            <w:pPr>
              <w:jc w:val="right"/>
              <w:spacing w:after="0" w:line="126"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0"/>
                <w:szCs w:val="10"/>
                <w:color w:val="auto"/>
              </w:rPr>
            </w:pPr>
          </w:p>
        </w:tc>
        <w:tc>
          <w:tcPr>
            <w:tcW w:w="840" w:type="dxa"/>
            <w:vAlign w:val="bottom"/>
          </w:tcPr>
          <w:p>
            <w:pPr>
              <w:jc w:val="right"/>
              <w:spacing w:after="0" w:line="126"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0"/>
                <w:szCs w:val="10"/>
                <w:color w:val="auto"/>
              </w:rPr>
            </w:pPr>
          </w:p>
        </w:tc>
        <w:tc>
          <w:tcPr>
            <w:tcW w:w="860" w:type="dxa"/>
            <w:vAlign w:val="bottom"/>
          </w:tcPr>
          <w:p>
            <w:pPr>
              <w:jc w:val="right"/>
              <w:spacing w:after="0" w:line="126"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0"/>
                <w:szCs w:val="10"/>
                <w:color w:val="auto"/>
              </w:rPr>
            </w:pPr>
          </w:p>
        </w:tc>
        <w:tc>
          <w:tcPr>
            <w:tcW w:w="820" w:type="dxa"/>
            <w:vAlign w:val="bottom"/>
          </w:tcPr>
          <w:p>
            <w:pPr>
              <w:jc w:val="right"/>
              <w:spacing w:after="0" w:line="126" w:lineRule="exact"/>
              <w:rPr>
                <w:sz w:val="20"/>
                <w:szCs w:val="20"/>
                <w:color w:val="auto"/>
              </w:rPr>
            </w:pPr>
            <w:r>
              <w:rPr>
                <w:rFonts w:ascii="Arial" w:cs="Arial" w:eastAsia="Arial" w:hAnsi="Arial"/>
                <w:sz w:val="12"/>
                <w:szCs w:val="12"/>
                <w:color w:val="auto"/>
              </w:rPr>
              <w:t>29,972</w:t>
            </w:r>
          </w:p>
        </w:tc>
        <w:tc>
          <w:tcPr>
            <w:tcW w:w="240" w:type="dxa"/>
            <w:vAlign w:val="bottom"/>
            <w:vMerge w:val="continue"/>
          </w:tcPr>
          <w:p>
            <w:pPr>
              <w:spacing w:after="0"/>
              <w:rPr>
                <w:sz w:val="10"/>
                <w:szCs w:val="10"/>
                <w:color w:val="auto"/>
              </w:rPr>
            </w:pPr>
          </w:p>
        </w:tc>
        <w:tc>
          <w:tcPr>
            <w:tcW w:w="820" w:type="dxa"/>
            <w:vAlign w:val="bottom"/>
          </w:tcPr>
          <w:p>
            <w:pPr>
              <w:jc w:val="right"/>
              <w:spacing w:after="0" w:line="126" w:lineRule="exact"/>
              <w:rPr>
                <w:sz w:val="20"/>
                <w:szCs w:val="20"/>
                <w:color w:val="auto"/>
              </w:rPr>
            </w:pPr>
            <w:r>
              <w:rPr>
                <w:rFonts w:ascii="Arial" w:cs="Arial" w:eastAsia="Arial" w:hAnsi="Arial"/>
                <w:sz w:val="12"/>
                <w:szCs w:val="12"/>
                <w:color w:val="auto"/>
              </w:rPr>
              <w:t>3,351,469</w:t>
            </w:r>
          </w:p>
        </w:tc>
        <w:tc>
          <w:tcPr>
            <w:tcW w:w="220" w:type="dxa"/>
            <w:vAlign w:val="bottom"/>
            <w:vMerge w:val="continue"/>
          </w:tcPr>
          <w:p>
            <w:pPr>
              <w:spacing w:after="0"/>
              <w:rPr>
                <w:sz w:val="10"/>
                <w:szCs w:val="10"/>
                <w:color w:val="auto"/>
              </w:rPr>
            </w:pPr>
          </w:p>
        </w:tc>
        <w:tc>
          <w:tcPr>
            <w:tcW w:w="840" w:type="dxa"/>
            <w:vAlign w:val="bottom"/>
          </w:tcPr>
          <w:p>
            <w:pPr>
              <w:jc w:val="right"/>
              <w:spacing w:after="0" w:line="126"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0"/>
                <w:szCs w:val="10"/>
                <w:color w:val="auto"/>
              </w:rPr>
            </w:pPr>
          </w:p>
        </w:tc>
        <w:tc>
          <w:tcPr>
            <w:tcW w:w="820" w:type="dxa"/>
            <w:vAlign w:val="bottom"/>
          </w:tcPr>
          <w:p>
            <w:pPr>
              <w:jc w:val="right"/>
              <w:spacing w:after="0" w:line="126"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12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62,285</w:t>
            </w:r>
          </w:p>
        </w:tc>
        <w:tc>
          <w:tcPr>
            <w:tcW w:w="240" w:type="dxa"/>
            <w:vAlign w:val="bottom"/>
          </w:tcPr>
          <w:p>
            <w:pPr>
              <w:ind w:left="20"/>
              <w:spacing w:after="0"/>
              <w:rPr>
                <w:sz w:val="20"/>
                <w:szCs w:val="20"/>
                <w:color w:val="auto"/>
              </w:rPr>
            </w:pPr>
            <w:r>
              <w:rPr>
                <w:rFonts w:ascii="Arial" w:cs="Arial" w:eastAsia="Arial" w:hAnsi="Arial"/>
                <w:sz w:val="9"/>
                <w:szCs w:val="9"/>
                <w:color w:val="auto"/>
              </w:rPr>
              <w:t>(4)</w:t>
            </w:r>
          </w:p>
        </w:tc>
        <w:tc>
          <w:tcPr>
            <w:tcW w:w="820" w:type="dxa"/>
            <w:vAlign w:val="bottom"/>
          </w:tcPr>
          <w:p>
            <w:pPr>
              <w:jc w:val="right"/>
              <w:spacing w:after="0"/>
              <w:rPr>
                <w:sz w:val="20"/>
                <w:szCs w:val="20"/>
                <w:color w:val="auto"/>
              </w:rPr>
            </w:pPr>
            <w:r>
              <w:rPr>
                <w:rFonts w:ascii="Arial" w:cs="Arial" w:eastAsia="Arial" w:hAnsi="Arial"/>
                <w:sz w:val="12"/>
                <w:szCs w:val="12"/>
                <w:color w:val="auto"/>
              </w:rPr>
              <w:t>6,964,709</w:t>
            </w:r>
          </w:p>
        </w:tc>
        <w:tc>
          <w:tcPr>
            <w:tcW w:w="220" w:type="dxa"/>
            <w:vAlign w:val="bottom"/>
          </w:tcPr>
          <w:p>
            <w:pPr>
              <w:jc w:val="right"/>
              <w:ind w:right="55"/>
              <w:spacing w:after="0"/>
              <w:rPr>
                <w:sz w:val="20"/>
                <w:szCs w:val="20"/>
                <w:color w:val="auto"/>
              </w:rPr>
            </w:pPr>
            <w:r>
              <w:rPr>
                <w:rFonts w:ascii="Arial" w:cs="Arial" w:eastAsia="Arial" w:hAnsi="Arial"/>
                <w:sz w:val="9"/>
                <w:szCs w:val="9"/>
                <w:color w:val="auto"/>
                <w:w w:val="90"/>
              </w:rPr>
              <w:t>(6)</w:t>
            </w: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12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54,631</w:t>
            </w:r>
          </w:p>
        </w:tc>
        <w:tc>
          <w:tcPr>
            <w:tcW w:w="240" w:type="dxa"/>
            <w:vAlign w:val="bottom"/>
          </w:tcPr>
          <w:p>
            <w:pPr>
              <w:ind w:left="20"/>
              <w:spacing w:after="0"/>
              <w:rPr>
                <w:sz w:val="20"/>
                <w:szCs w:val="20"/>
                <w:color w:val="auto"/>
              </w:rPr>
            </w:pPr>
            <w:r>
              <w:rPr>
                <w:rFonts w:ascii="Arial" w:cs="Arial" w:eastAsia="Arial" w:hAnsi="Arial"/>
                <w:sz w:val="9"/>
                <w:szCs w:val="9"/>
                <w:color w:val="auto"/>
              </w:rPr>
              <w:t>(5)</w:t>
            </w:r>
          </w:p>
        </w:tc>
        <w:tc>
          <w:tcPr>
            <w:tcW w:w="820" w:type="dxa"/>
            <w:vAlign w:val="bottom"/>
          </w:tcPr>
          <w:p>
            <w:pPr>
              <w:jc w:val="right"/>
              <w:spacing w:after="0"/>
              <w:rPr>
                <w:sz w:val="20"/>
                <w:szCs w:val="20"/>
                <w:color w:val="auto"/>
              </w:rPr>
            </w:pPr>
            <w:r>
              <w:rPr>
                <w:rFonts w:ascii="Arial" w:cs="Arial" w:eastAsia="Arial" w:hAnsi="Arial"/>
                <w:sz w:val="12"/>
                <w:szCs w:val="12"/>
                <w:color w:val="auto"/>
              </w:rPr>
              <w:t>6,108,838</w:t>
            </w:r>
          </w:p>
        </w:tc>
        <w:tc>
          <w:tcPr>
            <w:tcW w:w="220" w:type="dxa"/>
            <w:vAlign w:val="bottom"/>
          </w:tcPr>
          <w:p>
            <w:pPr>
              <w:jc w:val="right"/>
              <w:ind w:right="55"/>
              <w:spacing w:after="0"/>
              <w:rPr>
                <w:sz w:val="20"/>
                <w:szCs w:val="20"/>
                <w:color w:val="auto"/>
              </w:rPr>
            </w:pPr>
            <w:r>
              <w:rPr>
                <w:rFonts w:ascii="Arial" w:cs="Arial" w:eastAsia="Arial" w:hAnsi="Arial"/>
                <w:sz w:val="9"/>
                <w:szCs w:val="9"/>
                <w:color w:val="auto"/>
                <w:w w:val="90"/>
              </w:rPr>
              <w:t>(6)</w:t>
            </w: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vMerge w:val="restart"/>
          </w:tcPr>
          <w:p>
            <w:pPr>
              <w:jc w:val="right"/>
              <w:ind w:right="55"/>
              <w:spacing w:after="0"/>
              <w:rPr>
                <w:sz w:val="20"/>
                <w:szCs w:val="20"/>
                <w:color w:val="auto"/>
              </w:rPr>
            </w:pPr>
            <w:r>
              <w:rPr>
                <w:rFonts w:ascii="Arial" w:cs="Arial" w:eastAsia="Arial" w:hAnsi="Arial"/>
                <w:sz w:val="9"/>
                <w:szCs w:val="9"/>
                <w:color w:val="auto"/>
                <w:w w:val="90"/>
              </w:rPr>
              <w:t>(7)</w:t>
            </w: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vMerge w:val="restart"/>
          </w:tcPr>
          <w:p>
            <w:pPr>
              <w:jc w:val="right"/>
              <w:spacing w:after="0"/>
              <w:rPr>
                <w:sz w:val="20"/>
                <w:szCs w:val="20"/>
                <w:color w:val="auto"/>
              </w:rPr>
            </w:pPr>
            <w:r>
              <w:rPr>
                <w:rFonts w:ascii="Arial" w:cs="Arial" w:eastAsia="Arial" w:hAnsi="Arial"/>
                <w:sz w:val="9"/>
                <w:szCs w:val="9"/>
                <w:color w:val="auto"/>
                <w:w w:val="99"/>
              </w:rPr>
              <w:t>(10)</w:t>
            </w:r>
          </w:p>
        </w:tc>
        <w:tc>
          <w:tcPr>
            <w:tcW w:w="0" w:type="dxa"/>
            <w:vAlign w:val="bottom"/>
          </w:tcPr>
          <w:p>
            <w:pPr>
              <w:spacing w:after="0"/>
              <w:rPr>
                <w:sz w:val="1"/>
                <w:szCs w:val="1"/>
                <w:color w:val="auto"/>
              </w:rPr>
            </w:pPr>
          </w:p>
        </w:tc>
      </w:tr>
      <w:tr>
        <w:trPr>
          <w:trHeight w:val="126"/>
        </w:trPr>
        <w:tc>
          <w:tcPr>
            <w:tcW w:w="1120" w:type="dxa"/>
            <w:vAlign w:val="bottom"/>
          </w:tcPr>
          <w:p>
            <w:pPr>
              <w:spacing w:after="0"/>
              <w:rPr>
                <w:sz w:val="10"/>
                <w:szCs w:val="10"/>
                <w:color w:val="auto"/>
              </w:rPr>
            </w:pPr>
          </w:p>
        </w:tc>
        <w:tc>
          <w:tcPr>
            <w:tcW w:w="1040" w:type="dxa"/>
            <w:vAlign w:val="bottom"/>
            <w:gridSpan w:val="2"/>
          </w:tcPr>
          <w:p>
            <w:pPr>
              <w:jc w:val="right"/>
              <w:spacing w:after="0" w:line="126"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0"/>
                <w:szCs w:val="10"/>
                <w:color w:val="auto"/>
              </w:rPr>
            </w:pPr>
          </w:p>
        </w:tc>
        <w:tc>
          <w:tcPr>
            <w:tcW w:w="840" w:type="dxa"/>
            <w:vAlign w:val="bottom"/>
          </w:tcPr>
          <w:p>
            <w:pPr>
              <w:jc w:val="right"/>
              <w:spacing w:after="0" w:line="126"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0"/>
                <w:szCs w:val="10"/>
                <w:color w:val="auto"/>
              </w:rPr>
            </w:pPr>
          </w:p>
        </w:tc>
        <w:tc>
          <w:tcPr>
            <w:tcW w:w="840" w:type="dxa"/>
            <w:vAlign w:val="bottom"/>
          </w:tcPr>
          <w:p>
            <w:pPr>
              <w:jc w:val="right"/>
              <w:spacing w:after="0" w:line="126"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0"/>
                <w:szCs w:val="10"/>
                <w:color w:val="auto"/>
              </w:rPr>
            </w:pPr>
          </w:p>
        </w:tc>
        <w:tc>
          <w:tcPr>
            <w:tcW w:w="860" w:type="dxa"/>
            <w:vAlign w:val="bottom"/>
          </w:tcPr>
          <w:p>
            <w:pPr>
              <w:jc w:val="right"/>
              <w:spacing w:after="0" w:line="126"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0"/>
                <w:szCs w:val="10"/>
                <w:color w:val="auto"/>
              </w:rPr>
            </w:pPr>
          </w:p>
        </w:tc>
        <w:tc>
          <w:tcPr>
            <w:tcW w:w="820" w:type="dxa"/>
            <w:vAlign w:val="bottom"/>
          </w:tcPr>
          <w:p>
            <w:pPr>
              <w:jc w:val="right"/>
              <w:spacing w:after="0" w:line="126" w:lineRule="exact"/>
              <w:rPr>
                <w:sz w:val="20"/>
                <w:szCs w:val="20"/>
                <w:color w:val="auto"/>
              </w:rPr>
            </w:pPr>
            <w:r>
              <w:rPr>
                <w:rFonts w:ascii="Arial" w:cs="Arial" w:eastAsia="Arial" w:hAnsi="Arial"/>
                <w:sz w:val="12"/>
                <w:szCs w:val="12"/>
                <w:color w:val="auto"/>
              </w:rPr>
              <w:t>-</w:t>
            </w:r>
          </w:p>
        </w:tc>
        <w:tc>
          <w:tcPr>
            <w:tcW w:w="240" w:type="dxa"/>
            <w:vAlign w:val="bottom"/>
          </w:tcPr>
          <w:p>
            <w:pPr>
              <w:spacing w:after="0"/>
              <w:rPr>
                <w:sz w:val="10"/>
                <w:szCs w:val="10"/>
                <w:color w:val="auto"/>
              </w:rPr>
            </w:pPr>
          </w:p>
        </w:tc>
        <w:tc>
          <w:tcPr>
            <w:tcW w:w="820" w:type="dxa"/>
            <w:vAlign w:val="bottom"/>
          </w:tcPr>
          <w:p>
            <w:pPr>
              <w:jc w:val="right"/>
              <w:spacing w:after="0" w:line="126"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0"/>
                <w:szCs w:val="10"/>
                <w:color w:val="auto"/>
              </w:rPr>
            </w:pPr>
          </w:p>
        </w:tc>
        <w:tc>
          <w:tcPr>
            <w:tcW w:w="840" w:type="dxa"/>
            <w:vAlign w:val="bottom"/>
          </w:tcPr>
          <w:p>
            <w:pPr>
              <w:jc w:val="right"/>
              <w:spacing w:after="0" w:line="126" w:lineRule="exact"/>
              <w:rPr>
                <w:sz w:val="20"/>
                <w:szCs w:val="20"/>
                <w:color w:val="auto"/>
              </w:rPr>
            </w:pPr>
            <w:r>
              <w:rPr>
                <w:rFonts w:ascii="Arial" w:cs="Arial" w:eastAsia="Arial" w:hAnsi="Arial"/>
                <w:sz w:val="12"/>
                <w:szCs w:val="12"/>
                <w:color w:val="auto"/>
              </w:rPr>
              <w:t>186,852</w:t>
            </w:r>
          </w:p>
        </w:tc>
        <w:tc>
          <w:tcPr>
            <w:tcW w:w="220" w:type="dxa"/>
            <w:vAlign w:val="bottom"/>
            <w:vMerge w:val="continue"/>
          </w:tcPr>
          <w:p>
            <w:pPr>
              <w:spacing w:after="0"/>
              <w:rPr>
                <w:sz w:val="10"/>
                <w:szCs w:val="10"/>
                <w:color w:val="auto"/>
              </w:rPr>
            </w:pPr>
          </w:p>
        </w:tc>
        <w:tc>
          <w:tcPr>
            <w:tcW w:w="820" w:type="dxa"/>
            <w:vAlign w:val="bottom"/>
          </w:tcPr>
          <w:p>
            <w:pPr>
              <w:jc w:val="right"/>
              <w:spacing w:after="0" w:line="126" w:lineRule="exact"/>
              <w:rPr>
                <w:sz w:val="20"/>
                <w:szCs w:val="20"/>
                <w:color w:val="auto"/>
              </w:rPr>
            </w:pPr>
            <w:r>
              <w:rPr>
                <w:rFonts w:ascii="Arial" w:cs="Arial" w:eastAsia="Arial" w:hAnsi="Arial"/>
                <w:sz w:val="12"/>
                <w:szCs w:val="12"/>
                <w:color w:val="auto"/>
              </w:rPr>
              <w:t>20,893,791</w:t>
            </w:r>
          </w:p>
        </w:tc>
        <w:tc>
          <w:tcPr>
            <w:tcW w:w="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12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36,420</w:t>
            </w:r>
          </w:p>
        </w:tc>
        <w:tc>
          <w:tcPr>
            <w:tcW w:w="220" w:type="dxa"/>
            <w:vAlign w:val="bottom"/>
          </w:tcPr>
          <w:p>
            <w:pPr>
              <w:jc w:val="right"/>
              <w:ind w:right="55"/>
              <w:spacing w:after="0"/>
              <w:rPr>
                <w:sz w:val="20"/>
                <w:szCs w:val="20"/>
                <w:color w:val="auto"/>
              </w:rPr>
            </w:pPr>
            <w:r>
              <w:rPr>
                <w:rFonts w:ascii="Arial" w:cs="Arial" w:eastAsia="Arial" w:hAnsi="Arial"/>
                <w:sz w:val="9"/>
                <w:szCs w:val="9"/>
                <w:color w:val="auto"/>
                <w:w w:val="90"/>
              </w:rPr>
              <w:t>(8)</w:t>
            </w:r>
          </w:p>
        </w:tc>
        <w:tc>
          <w:tcPr>
            <w:tcW w:w="820" w:type="dxa"/>
            <w:vAlign w:val="bottom"/>
          </w:tcPr>
          <w:p>
            <w:pPr>
              <w:jc w:val="right"/>
              <w:spacing w:after="0"/>
              <w:rPr>
                <w:sz w:val="20"/>
                <w:szCs w:val="20"/>
                <w:color w:val="auto"/>
              </w:rPr>
            </w:pPr>
            <w:r>
              <w:rPr>
                <w:rFonts w:ascii="Arial" w:cs="Arial" w:eastAsia="Arial" w:hAnsi="Arial"/>
                <w:sz w:val="12"/>
                <w:szCs w:val="12"/>
                <w:color w:val="auto"/>
              </w:rPr>
              <w:t>4,072,484</w:t>
            </w:r>
          </w:p>
        </w:tc>
        <w:tc>
          <w:tcPr>
            <w:tcW w:w="200" w:type="dxa"/>
            <w:vAlign w:val="bottom"/>
          </w:tcPr>
          <w:p>
            <w:pPr>
              <w:jc w:val="right"/>
              <w:spacing w:after="0"/>
              <w:rPr>
                <w:sz w:val="20"/>
                <w:szCs w:val="20"/>
                <w:color w:val="auto"/>
              </w:rPr>
            </w:pPr>
            <w:r>
              <w:rPr>
                <w:rFonts w:ascii="Arial" w:cs="Arial" w:eastAsia="Arial" w:hAnsi="Arial"/>
                <w:sz w:val="9"/>
                <w:szCs w:val="9"/>
                <w:color w:val="auto"/>
                <w:w w:val="99"/>
              </w:rPr>
              <w:t>(10)</w:t>
            </w:r>
          </w:p>
        </w:tc>
        <w:tc>
          <w:tcPr>
            <w:tcW w:w="0" w:type="dxa"/>
            <w:vAlign w:val="bottom"/>
          </w:tcPr>
          <w:p>
            <w:pPr>
              <w:spacing w:after="0"/>
              <w:rPr>
                <w:sz w:val="1"/>
                <w:szCs w:val="1"/>
                <w:color w:val="auto"/>
              </w:rPr>
            </w:pPr>
          </w:p>
        </w:tc>
      </w:tr>
      <w:tr>
        <w:trPr>
          <w:trHeight w:val="188"/>
        </w:trPr>
        <w:tc>
          <w:tcPr>
            <w:tcW w:w="1120" w:type="dxa"/>
            <w:vAlign w:val="bottom"/>
            <w:tcBorders>
              <w:bottom w:val="single" w:sz="8" w:color="808080"/>
            </w:tcBorders>
          </w:tcPr>
          <w:p>
            <w:pPr>
              <w:spacing w:after="0"/>
              <w:rPr>
                <w:sz w:val="16"/>
                <w:szCs w:val="16"/>
                <w:color w:val="auto"/>
              </w:rPr>
            </w:pPr>
          </w:p>
        </w:tc>
        <w:tc>
          <w:tcPr>
            <w:tcW w:w="1040" w:type="dxa"/>
            <w:vAlign w:val="bottom"/>
            <w:tcBorders>
              <w:bottom w:val="single" w:sz="8" w:color="808080"/>
            </w:tcBorders>
            <w:gridSpan w:val="2"/>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808080"/>
            </w:tcBorders>
          </w:tcPr>
          <w:p>
            <w:pPr>
              <w:spacing w:after="0"/>
              <w:rPr>
                <w:sz w:val="16"/>
                <w:szCs w:val="16"/>
                <w:color w:val="auto"/>
              </w:rPr>
            </w:pPr>
          </w:p>
        </w:tc>
        <w:tc>
          <w:tcPr>
            <w:tcW w:w="840" w:type="dxa"/>
            <w:vAlign w:val="bottom"/>
            <w:tcBorders>
              <w:bottom w:val="single" w:sz="8" w:color="808080"/>
            </w:tcBorders>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808080"/>
            </w:tcBorders>
          </w:tcPr>
          <w:p>
            <w:pPr>
              <w:spacing w:after="0"/>
              <w:rPr>
                <w:sz w:val="16"/>
                <w:szCs w:val="16"/>
                <w:color w:val="auto"/>
              </w:rPr>
            </w:pPr>
          </w:p>
        </w:tc>
        <w:tc>
          <w:tcPr>
            <w:tcW w:w="840" w:type="dxa"/>
            <w:vAlign w:val="bottom"/>
            <w:tcBorders>
              <w:bottom w:val="single" w:sz="8" w:color="808080"/>
            </w:tcBorders>
          </w:tcPr>
          <w:p>
            <w:pPr>
              <w:jc w:val="right"/>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808080"/>
            </w:tcBorders>
          </w:tcPr>
          <w:p>
            <w:pPr>
              <w:spacing w:after="0"/>
              <w:rPr>
                <w:sz w:val="16"/>
                <w:szCs w:val="16"/>
                <w:color w:val="auto"/>
              </w:rPr>
            </w:pPr>
          </w:p>
        </w:tc>
        <w:tc>
          <w:tcPr>
            <w:tcW w:w="860" w:type="dxa"/>
            <w:vAlign w:val="bottom"/>
            <w:tcBorders>
              <w:bottom w:val="single" w:sz="8" w:color="808080"/>
            </w:tcBorders>
          </w:tcPr>
          <w:p>
            <w:pPr>
              <w:jc w:val="right"/>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808080"/>
            </w:tcBorders>
          </w:tcPr>
          <w:p>
            <w:pPr>
              <w:spacing w:after="0"/>
              <w:rPr>
                <w:sz w:val="16"/>
                <w:szCs w:val="16"/>
                <w:color w:val="auto"/>
              </w:rPr>
            </w:pPr>
          </w:p>
        </w:tc>
        <w:tc>
          <w:tcPr>
            <w:tcW w:w="820" w:type="dxa"/>
            <w:vAlign w:val="bottom"/>
            <w:tcBorders>
              <w:bottom w:val="single" w:sz="8" w:color="808080"/>
            </w:tcBorders>
          </w:tcPr>
          <w:p>
            <w:pPr>
              <w:jc w:val="right"/>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808080"/>
            </w:tcBorders>
          </w:tcPr>
          <w:p>
            <w:pPr>
              <w:spacing w:after="0"/>
              <w:rPr>
                <w:sz w:val="16"/>
                <w:szCs w:val="16"/>
                <w:color w:val="auto"/>
              </w:rPr>
            </w:pPr>
          </w:p>
        </w:tc>
        <w:tc>
          <w:tcPr>
            <w:tcW w:w="820" w:type="dxa"/>
            <w:vAlign w:val="bottom"/>
            <w:tcBorders>
              <w:bottom w:val="single" w:sz="8" w:color="808080"/>
            </w:tcBorders>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808080"/>
            </w:tcBorders>
          </w:tcPr>
          <w:p>
            <w:pPr>
              <w:spacing w:after="0"/>
              <w:rPr>
                <w:sz w:val="16"/>
                <w:szCs w:val="16"/>
                <w:color w:val="auto"/>
              </w:rPr>
            </w:pPr>
          </w:p>
        </w:tc>
        <w:tc>
          <w:tcPr>
            <w:tcW w:w="840" w:type="dxa"/>
            <w:vAlign w:val="bottom"/>
            <w:tcBorders>
              <w:bottom w:val="single" w:sz="8" w:color="808080"/>
            </w:tcBorders>
          </w:tcPr>
          <w:p>
            <w:pPr>
              <w:jc w:val="right"/>
              <w:spacing w:after="0"/>
              <w:rPr>
                <w:sz w:val="20"/>
                <w:szCs w:val="20"/>
                <w:color w:val="auto"/>
              </w:rPr>
            </w:pPr>
            <w:r>
              <w:rPr>
                <w:rFonts w:ascii="Arial" w:cs="Arial" w:eastAsia="Arial" w:hAnsi="Arial"/>
                <w:sz w:val="12"/>
                <w:szCs w:val="12"/>
                <w:color w:val="auto"/>
              </w:rPr>
              <w:t>123,359</w:t>
            </w:r>
          </w:p>
        </w:tc>
        <w:tc>
          <w:tcPr>
            <w:tcW w:w="220" w:type="dxa"/>
            <w:vAlign w:val="bottom"/>
            <w:tcBorders>
              <w:bottom w:val="single" w:sz="8" w:color="808080"/>
            </w:tcBorders>
          </w:tcPr>
          <w:p>
            <w:pPr>
              <w:jc w:val="right"/>
              <w:ind w:right="55"/>
              <w:spacing w:after="0"/>
              <w:rPr>
                <w:sz w:val="20"/>
                <w:szCs w:val="20"/>
                <w:color w:val="auto"/>
              </w:rPr>
            </w:pPr>
            <w:r>
              <w:rPr>
                <w:rFonts w:ascii="Arial" w:cs="Arial" w:eastAsia="Arial" w:hAnsi="Arial"/>
                <w:sz w:val="9"/>
                <w:szCs w:val="9"/>
                <w:color w:val="auto"/>
                <w:w w:val="90"/>
              </w:rPr>
              <w:t>(9)</w:t>
            </w:r>
          </w:p>
        </w:tc>
        <w:tc>
          <w:tcPr>
            <w:tcW w:w="820" w:type="dxa"/>
            <w:vAlign w:val="bottom"/>
            <w:tcBorders>
              <w:bottom w:val="single" w:sz="8" w:color="808080"/>
            </w:tcBorders>
          </w:tcPr>
          <w:p>
            <w:pPr>
              <w:jc w:val="right"/>
              <w:spacing w:after="0"/>
              <w:rPr>
                <w:sz w:val="20"/>
                <w:szCs w:val="20"/>
                <w:color w:val="auto"/>
              </w:rPr>
            </w:pPr>
            <w:r>
              <w:rPr>
                <w:rFonts w:ascii="Arial" w:cs="Arial" w:eastAsia="Arial" w:hAnsi="Arial"/>
                <w:sz w:val="12"/>
                <w:szCs w:val="12"/>
                <w:color w:val="auto"/>
              </w:rPr>
              <w:t>13,794,003</w:t>
            </w:r>
          </w:p>
        </w:tc>
        <w:tc>
          <w:tcPr>
            <w:tcW w:w="200" w:type="dxa"/>
            <w:vAlign w:val="bottom"/>
            <w:tcBorders>
              <w:bottom w:val="single" w:sz="8" w:color="808080"/>
            </w:tcBorders>
          </w:tcPr>
          <w:p>
            <w:pPr>
              <w:jc w:val="right"/>
              <w:spacing w:after="0"/>
              <w:rPr>
                <w:sz w:val="20"/>
                <w:szCs w:val="20"/>
                <w:color w:val="auto"/>
              </w:rPr>
            </w:pPr>
            <w:r>
              <w:rPr>
                <w:rFonts w:ascii="Arial" w:cs="Arial" w:eastAsia="Arial" w:hAnsi="Arial"/>
                <w:sz w:val="9"/>
                <w:szCs w:val="9"/>
                <w:color w:val="auto"/>
                <w:w w:val="99"/>
              </w:rPr>
              <w:t>(10)</w:t>
            </w:r>
          </w:p>
        </w:tc>
        <w:tc>
          <w:tcPr>
            <w:tcW w:w="0" w:type="dxa"/>
            <w:vAlign w:val="bottom"/>
          </w:tcPr>
          <w:p>
            <w:pPr>
              <w:spacing w:after="0"/>
              <w:rPr>
                <w:sz w:val="1"/>
                <w:szCs w:val="1"/>
                <w:color w:val="auto"/>
              </w:rPr>
            </w:pPr>
          </w:p>
        </w:tc>
      </w:tr>
      <w:tr>
        <w:trPr>
          <w:trHeight w:val="129"/>
        </w:trPr>
        <w:tc>
          <w:tcPr>
            <w:tcW w:w="11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Torbjorn Enqvist</w:t>
            </w:r>
          </w:p>
        </w:tc>
        <w:tc>
          <w:tcPr>
            <w:tcW w:w="1040" w:type="dxa"/>
            <w:vAlign w:val="bottom"/>
            <w:gridSpan w:val="2"/>
          </w:tcPr>
          <w:p>
            <w:pPr>
              <w:jc w:val="right"/>
              <w:spacing w:after="0" w:line="129"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840" w:type="dxa"/>
            <w:vAlign w:val="bottom"/>
          </w:tcPr>
          <w:p>
            <w:pPr>
              <w:jc w:val="right"/>
              <w:spacing w:after="0" w:line="129"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840" w:type="dxa"/>
            <w:vAlign w:val="bottom"/>
          </w:tcPr>
          <w:p>
            <w:pPr>
              <w:jc w:val="right"/>
              <w:spacing w:after="0" w:line="129"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1"/>
                <w:szCs w:val="11"/>
                <w:color w:val="auto"/>
              </w:rPr>
            </w:pPr>
          </w:p>
        </w:tc>
        <w:tc>
          <w:tcPr>
            <w:tcW w:w="860" w:type="dxa"/>
            <w:vAlign w:val="bottom"/>
          </w:tcPr>
          <w:p>
            <w:pPr>
              <w:jc w:val="right"/>
              <w:spacing w:after="0" w:line="129"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1"/>
                <w:szCs w:val="11"/>
                <w:color w:val="auto"/>
              </w:rPr>
            </w:pPr>
          </w:p>
        </w:tc>
        <w:tc>
          <w:tcPr>
            <w:tcW w:w="820" w:type="dxa"/>
            <w:vAlign w:val="bottom"/>
          </w:tcPr>
          <w:p>
            <w:pPr>
              <w:jc w:val="right"/>
              <w:spacing w:after="0" w:line="129" w:lineRule="exact"/>
              <w:rPr>
                <w:sz w:val="20"/>
                <w:szCs w:val="20"/>
                <w:color w:val="auto"/>
              </w:rPr>
            </w:pPr>
            <w:r>
              <w:rPr>
                <w:rFonts w:ascii="Arial" w:cs="Arial" w:eastAsia="Arial" w:hAnsi="Arial"/>
                <w:sz w:val="12"/>
                <w:szCs w:val="12"/>
                <w:color w:val="auto"/>
              </w:rPr>
              <w:t>14,105</w:t>
            </w:r>
          </w:p>
        </w:tc>
        <w:tc>
          <w:tcPr>
            <w:tcW w:w="240" w:type="dxa"/>
            <w:vAlign w:val="bottom"/>
          </w:tcPr>
          <w:p>
            <w:pPr>
              <w:ind w:left="20"/>
              <w:spacing w:after="0"/>
              <w:rPr>
                <w:sz w:val="20"/>
                <w:szCs w:val="20"/>
                <w:color w:val="auto"/>
              </w:rPr>
            </w:pPr>
            <w:r>
              <w:rPr>
                <w:rFonts w:ascii="Arial" w:cs="Arial" w:eastAsia="Arial" w:hAnsi="Arial"/>
                <w:sz w:val="9"/>
                <w:szCs w:val="9"/>
                <w:color w:val="auto"/>
              </w:rPr>
              <w:t>(3)</w:t>
            </w:r>
          </w:p>
        </w:tc>
        <w:tc>
          <w:tcPr>
            <w:tcW w:w="820" w:type="dxa"/>
            <w:vAlign w:val="bottom"/>
          </w:tcPr>
          <w:p>
            <w:pPr>
              <w:jc w:val="right"/>
              <w:spacing w:after="0" w:line="129" w:lineRule="exact"/>
              <w:rPr>
                <w:sz w:val="20"/>
                <w:szCs w:val="20"/>
                <w:color w:val="auto"/>
              </w:rPr>
            </w:pPr>
            <w:r>
              <w:rPr>
                <w:rFonts w:ascii="Arial" w:cs="Arial" w:eastAsia="Arial" w:hAnsi="Arial"/>
                <w:sz w:val="12"/>
                <w:szCs w:val="12"/>
                <w:color w:val="auto"/>
              </w:rPr>
              <w:t>1,577,221</w:t>
            </w:r>
          </w:p>
        </w:tc>
        <w:tc>
          <w:tcPr>
            <w:tcW w:w="220" w:type="dxa"/>
            <w:vAlign w:val="bottom"/>
          </w:tcPr>
          <w:p>
            <w:pPr>
              <w:jc w:val="right"/>
              <w:ind w:right="55"/>
              <w:spacing w:after="0"/>
              <w:rPr>
                <w:sz w:val="20"/>
                <w:szCs w:val="20"/>
                <w:color w:val="auto"/>
              </w:rPr>
            </w:pPr>
            <w:r>
              <w:rPr>
                <w:rFonts w:ascii="Arial" w:cs="Arial" w:eastAsia="Arial" w:hAnsi="Arial"/>
                <w:sz w:val="9"/>
                <w:szCs w:val="9"/>
                <w:color w:val="auto"/>
                <w:w w:val="90"/>
              </w:rPr>
              <w:t>(6)</w:t>
            </w:r>
          </w:p>
        </w:tc>
        <w:tc>
          <w:tcPr>
            <w:tcW w:w="840" w:type="dxa"/>
            <w:vAlign w:val="bottom"/>
          </w:tcPr>
          <w:p>
            <w:pPr>
              <w:jc w:val="right"/>
              <w:spacing w:after="0" w:line="129"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820" w:type="dxa"/>
            <w:vAlign w:val="bottom"/>
          </w:tcPr>
          <w:p>
            <w:pPr>
              <w:jc w:val="right"/>
              <w:spacing w:after="0" w:line="129"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12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29,018</w:t>
            </w:r>
          </w:p>
        </w:tc>
        <w:tc>
          <w:tcPr>
            <w:tcW w:w="240" w:type="dxa"/>
            <w:vAlign w:val="bottom"/>
          </w:tcPr>
          <w:p>
            <w:pPr>
              <w:ind w:left="20"/>
              <w:spacing w:after="0"/>
              <w:rPr>
                <w:sz w:val="20"/>
                <w:szCs w:val="20"/>
                <w:color w:val="auto"/>
              </w:rPr>
            </w:pPr>
            <w:r>
              <w:rPr>
                <w:rFonts w:ascii="Arial" w:cs="Arial" w:eastAsia="Arial" w:hAnsi="Arial"/>
                <w:sz w:val="9"/>
                <w:szCs w:val="9"/>
                <w:color w:val="auto"/>
              </w:rPr>
              <w:t>(4)</w:t>
            </w:r>
          </w:p>
        </w:tc>
        <w:tc>
          <w:tcPr>
            <w:tcW w:w="820" w:type="dxa"/>
            <w:vAlign w:val="bottom"/>
          </w:tcPr>
          <w:p>
            <w:pPr>
              <w:jc w:val="right"/>
              <w:spacing w:after="0"/>
              <w:rPr>
                <w:sz w:val="20"/>
                <w:szCs w:val="20"/>
                <w:color w:val="auto"/>
              </w:rPr>
            </w:pPr>
            <w:r>
              <w:rPr>
                <w:rFonts w:ascii="Arial" w:cs="Arial" w:eastAsia="Arial" w:hAnsi="Arial"/>
                <w:sz w:val="12"/>
                <w:szCs w:val="12"/>
                <w:color w:val="auto"/>
              </w:rPr>
              <w:t>3,244,793</w:t>
            </w:r>
          </w:p>
        </w:tc>
        <w:tc>
          <w:tcPr>
            <w:tcW w:w="220" w:type="dxa"/>
            <w:vAlign w:val="bottom"/>
          </w:tcPr>
          <w:p>
            <w:pPr>
              <w:jc w:val="right"/>
              <w:ind w:right="55"/>
              <w:spacing w:after="0"/>
              <w:rPr>
                <w:sz w:val="20"/>
                <w:szCs w:val="20"/>
                <w:color w:val="auto"/>
              </w:rPr>
            </w:pPr>
            <w:r>
              <w:rPr>
                <w:rFonts w:ascii="Arial" w:cs="Arial" w:eastAsia="Arial" w:hAnsi="Arial"/>
                <w:sz w:val="9"/>
                <w:szCs w:val="9"/>
                <w:color w:val="auto"/>
                <w:w w:val="90"/>
              </w:rPr>
              <w:t>(6)</w:t>
            </w: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12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24,858</w:t>
            </w:r>
          </w:p>
        </w:tc>
        <w:tc>
          <w:tcPr>
            <w:tcW w:w="240" w:type="dxa"/>
            <w:vAlign w:val="bottom"/>
          </w:tcPr>
          <w:p>
            <w:pPr>
              <w:ind w:left="20"/>
              <w:spacing w:after="0"/>
              <w:rPr>
                <w:sz w:val="20"/>
                <w:szCs w:val="20"/>
                <w:color w:val="auto"/>
              </w:rPr>
            </w:pPr>
            <w:r>
              <w:rPr>
                <w:rFonts w:ascii="Arial" w:cs="Arial" w:eastAsia="Arial" w:hAnsi="Arial"/>
                <w:sz w:val="9"/>
                <w:szCs w:val="9"/>
                <w:color w:val="auto"/>
              </w:rPr>
              <w:t>(5)</w:t>
            </w:r>
          </w:p>
        </w:tc>
        <w:tc>
          <w:tcPr>
            <w:tcW w:w="820" w:type="dxa"/>
            <w:vAlign w:val="bottom"/>
          </w:tcPr>
          <w:p>
            <w:pPr>
              <w:jc w:val="right"/>
              <w:spacing w:after="0"/>
              <w:rPr>
                <w:sz w:val="20"/>
                <w:szCs w:val="20"/>
                <w:color w:val="auto"/>
              </w:rPr>
            </w:pPr>
            <w:r>
              <w:rPr>
                <w:rFonts w:ascii="Arial" w:cs="Arial" w:eastAsia="Arial" w:hAnsi="Arial"/>
                <w:sz w:val="12"/>
                <w:szCs w:val="12"/>
                <w:color w:val="auto"/>
              </w:rPr>
              <w:t>2,779,622</w:t>
            </w:r>
          </w:p>
        </w:tc>
        <w:tc>
          <w:tcPr>
            <w:tcW w:w="220" w:type="dxa"/>
            <w:vAlign w:val="bottom"/>
          </w:tcPr>
          <w:p>
            <w:pPr>
              <w:jc w:val="right"/>
              <w:ind w:right="55"/>
              <w:spacing w:after="0"/>
              <w:rPr>
                <w:sz w:val="20"/>
                <w:szCs w:val="20"/>
                <w:color w:val="auto"/>
              </w:rPr>
            </w:pPr>
            <w:r>
              <w:rPr>
                <w:rFonts w:ascii="Arial" w:cs="Arial" w:eastAsia="Arial" w:hAnsi="Arial"/>
                <w:sz w:val="9"/>
                <w:szCs w:val="9"/>
                <w:color w:val="auto"/>
                <w:w w:val="90"/>
              </w:rPr>
              <w:t>(6)</w:t>
            </w: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vMerge w:val="restart"/>
          </w:tcPr>
          <w:p>
            <w:pPr>
              <w:jc w:val="right"/>
              <w:ind w:right="55"/>
              <w:spacing w:after="0"/>
              <w:rPr>
                <w:sz w:val="20"/>
                <w:szCs w:val="20"/>
                <w:color w:val="auto"/>
              </w:rPr>
            </w:pPr>
            <w:r>
              <w:rPr>
                <w:rFonts w:ascii="Arial" w:cs="Arial" w:eastAsia="Arial" w:hAnsi="Arial"/>
                <w:sz w:val="9"/>
                <w:szCs w:val="9"/>
                <w:color w:val="auto"/>
                <w:w w:val="90"/>
              </w:rPr>
              <w:t>(7)</w:t>
            </w: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vMerge w:val="restart"/>
          </w:tcPr>
          <w:p>
            <w:pPr>
              <w:jc w:val="right"/>
              <w:spacing w:after="0"/>
              <w:rPr>
                <w:sz w:val="20"/>
                <w:szCs w:val="20"/>
                <w:color w:val="auto"/>
              </w:rPr>
            </w:pPr>
            <w:r>
              <w:rPr>
                <w:rFonts w:ascii="Arial" w:cs="Arial" w:eastAsia="Arial" w:hAnsi="Arial"/>
                <w:sz w:val="9"/>
                <w:szCs w:val="9"/>
                <w:color w:val="auto"/>
                <w:w w:val="99"/>
              </w:rPr>
              <w:t>(10)</w:t>
            </w:r>
          </w:p>
        </w:tc>
        <w:tc>
          <w:tcPr>
            <w:tcW w:w="0" w:type="dxa"/>
            <w:vAlign w:val="bottom"/>
          </w:tcPr>
          <w:p>
            <w:pPr>
              <w:spacing w:after="0"/>
              <w:rPr>
                <w:sz w:val="1"/>
                <w:szCs w:val="1"/>
                <w:color w:val="auto"/>
              </w:rPr>
            </w:pPr>
          </w:p>
        </w:tc>
      </w:tr>
      <w:tr>
        <w:trPr>
          <w:trHeight w:val="126"/>
        </w:trPr>
        <w:tc>
          <w:tcPr>
            <w:tcW w:w="1120" w:type="dxa"/>
            <w:vAlign w:val="bottom"/>
          </w:tcPr>
          <w:p>
            <w:pPr>
              <w:spacing w:after="0"/>
              <w:rPr>
                <w:sz w:val="10"/>
                <w:szCs w:val="10"/>
                <w:color w:val="auto"/>
              </w:rPr>
            </w:pPr>
          </w:p>
        </w:tc>
        <w:tc>
          <w:tcPr>
            <w:tcW w:w="1040" w:type="dxa"/>
            <w:vAlign w:val="bottom"/>
            <w:gridSpan w:val="2"/>
          </w:tcPr>
          <w:p>
            <w:pPr>
              <w:jc w:val="right"/>
              <w:spacing w:after="0" w:line="126"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0"/>
                <w:szCs w:val="10"/>
                <w:color w:val="auto"/>
              </w:rPr>
            </w:pPr>
          </w:p>
        </w:tc>
        <w:tc>
          <w:tcPr>
            <w:tcW w:w="840" w:type="dxa"/>
            <w:vAlign w:val="bottom"/>
          </w:tcPr>
          <w:p>
            <w:pPr>
              <w:jc w:val="right"/>
              <w:spacing w:after="0" w:line="126"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0"/>
                <w:szCs w:val="10"/>
                <w:color w:val="auto"/>
              </w:rPr>
            </w:pPr>
          </w:p>
        </w:tc>
        <w:tc>
          <w:tcPr>
            <w:tcW w:w="840" w:type="dxa"/>
            <w:vAlign w:val="bottom"/>
          </w:tcPr>
          <w:p>
            <w:pPr>
              <w:jc w:val="right"/>
              <w:spacing w:after="0" w:line="126"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0"/>
                <w:szCs w:val="10"/>
                <w:color w:val="auto"/>
              </w:rPr>
            </w:pPr>
          </w:p>
        </w:tc>
        <w:tc>
          <w:tcPr>
            <w:tcW w:w="860" w:type="dxa"/>
            <w:vAlign w:val="bottom"/>
          </w:tcPr>
          <w:p>
            <w:pPr>
              <w:jc w:val="right"/>
              <w:spacing w:after="0" w:line="126"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0"/>
                <w:szCs w:val="10"/>
                <w:color w:val="auto"/>
              </w:rPr>
            </w:pPr>
          </w:p>
        </w:tc>
        <w:tc>
          <w:tcPr>
            <w:tcW w:w="820" w:type="dxa"/>
            <w:vAlign w:val="bottom"/>
          </w:tcPr>
          <w:p>
            <w:pPr>
              <w:jc w:val="right"/>
              <w:spacing w:after="0" w:line="126" w:lineRule="exact"/>
              <w:rPr>
                <w:sz w:val="20"/>
                <w:szCs w:val="20"/>
                <w:color w:val="auto"/>
              </w:rPr>
            </w:pPr>
            <w:r>
              <w:rPr>
                <w:rFonts w:ascii="Arial" w:cs="Arial" w:eastAsia="Arial" w:hAnsi="Arial"/>
                <w:sz w:val="12"/>
                <w:szCs w:val="12"/>
                <w:color w:val="auto"/>
              </w:rPr>
              <w:t>-</w:t>
            </w:r>
          </w:p>
        </w:tc>
        <w:tc>
          <w:tcPr>
            <w:tcW w:w="240" w:type="dxa"/>
            <w:vAlign w:val="bottom"/>
          </w:tcPr>
          <w:p>
            <w:pPr>
              <w:spacing w:after="0"/>
              <w:rPr>
                <w:sz w:val="10"/>
                <w:szCs w:val="10"/>
                <w:color w:val="auto"/>
              </w:rPr>
            </w:pPr>
          </w:p>
        </w:tc>
        <w:tc>
          <w:tcPr>
            <w:tcW w:w="820" w:type="dxa"/>
            <w:vAlign w:val="bottom"/>
          </w:tcPr>
          <w:p>
            <w:pPr>
              <w:jc w:val="right"/>
              <w:spacing w:after="0" w:line="126"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0"/>
                <w:szCs w:val="10"/>
                <w:color w:val="auto"/>
              </w:rPr>
            </w:pPr>
          </w:p>
        </w:tc>
        <w:tc>
          <w:tcPr>
            <w:tcW w:w="840" w:type="dxa"/>
            <w:vAlign w:val="bottom"/>
          </w:tcPr>
          <w:p>
            <w:pPr>
              <w:jc w:val="right"/>
              <w:spacing w:after="0" w:line="126" w:lineRule="exact"/>
              <w:rPr>
                <w:sz w:val="20"/>
                <w:szCs w:val="20"/>
                <w:color w:val="auto"/>
              </w:rPr>
            </w:pPr>
            <w:r>
              <w:rPr>
                <w:rFonts w:ascii="Arial" w:cs="Arial" w:eastAsia="Arial" w:hAnsi="Arial"/>
                <w:sz w:val="12"/>
                <w:szCs w:val="12"/>
                <w:color w:val="auto"/>
              </w:rPr>
              <w:t>87,051</w:t>
            </w:r>
          </w:p>
        </w:tc>
        <w:tc>
          <w:tcPr>
            <w:tcW w:w="220" w:type="dxa"/>
            <w:vAlign w:val="bottom"/>
            <w:vMerge w:val="continue"/>
          </w:tcPr>
          <w:p>
            <w:pPr>
              <w:spacing w:after="0"/>
              <w:rPr>
                <w:sz w:val="10"/>
                <w:szCs w:val="10"/>
                <w:color w:val="auto"/>
              </w:rPr>
            </w:pPr>
          </w:p>
        </w:tc>
        <w:tc>
          <w:tcPr>
            <w:tcW w:w="820" w:type="dxa"/>
            <w:vAlign w:val="bottom"/>
          </w:tcPr>
          <w:p>
            <w:pPr>
              <w:jc w:val="right"/>
              <w:spacing w:after="0" w:line="126" w:lineRule="exact"/>
              <w:rPr>
                <w:sz w:val="20"/>
                <w:szCs w:val="20"/>
                <w:color w:val="auto"/>
              </w:rPr>
            </w:pPr>
            <w:r>
              <w:rPr>
                <w:rFonts w:ascii="Arial" w:cs="Arial" w:eastAsia="Arial" w:hAnsi="Arial"/>
                <w:sz w:val="12"/>
                <w:szCs w:val="12"/>
                <w:color w:val="auto"/>
              </w:rPr>
              <w:t>9,734,043</w:t>
            </w:r>
          </w:p>
        </w:tc>
        <w:tc>
          <w:tcPr>
            <w:tcW w:w="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12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16,572</w:t>
            </w:r>
          </w:p>
        </w:tc>
        <w:tc>
          <w:tcPr>
            <w:tcW w:w="220" w:type="dxa"/>
            <w:vAlign w:val="bottom"/>
          </w:tcPr>
          <w:p>
            <w:pPr>
              <w:jc w:val="right"/>
              <w:ind w:right="55"/>
              <w:spacing w:after="0"/>
              <w:rPr>
                <w:sz w:val="20"/>
                <w:szCs w:val="20"/>
                <w:color w:val="auto"/>
              </w:rPr>
            </w:pPr>
            <w:r>
              <w:rPr>
                <w:rFonts w:ascii="Arial" w:cs="Arial" w:eastAsia="Arial" w:hAnsi="Arial"/>
                <w:sz w:val="9"/>
                <w:szCs w:val="9"/>
                <w:color w:val="auto"/>
                <w:w w:val="90"/>
              </w:rPr>
              <w:t>(8)</w:t>
            </w:r>
          </w:p>
        </w:tc>
        <w:tc>
          <w:tcPr>
            <w:tcW w:w="820" w:type="dxa"/>
            <w:vAlign w:val="bottom"/>
          </w:tcPr>
          <w:p>
            <w:pPr>
              <w:jc w:val="right"/>
              <w:spacing w:after="0"/>
              <w:rPr>
                <w:sz w:val="20"/>
                <w:szCs w:val="20"/>
                <w:color w:val="auto"/>
              </w:rPr>
            </w:pPr>
            <w:r>
              <w:rPr>
                <w:rFonts w:ascii="Arial" w:cs="Arial" w:eastAsia="Arial" w:hAnsi="Arial"/>
                <w:sz w:val="12"/>
                <w:szCs w:val="12"/>
                <w:color w:val="auto"/>
              </w:rPr>
              <w:t>1,853,081</w:t>
            </w:r>
          </w:p>
        </w:tc>
        <w:tc>
          <w:tcPr>
            <w:tcW w:w="200" w:type="dxa"/>
            <w:vAlign w:val="bottom"/>
          </w:tcPr>
          <w:p>
            <w:pPr>
              <w:jc w:val="right"/>
              <w:spacing w:after="0"/>
              <w:rPr>
                <w:sz w:val="20"/>
                <w:szCs w:val="20"/>
                <w:color w:val="auto"/>
              </w:rPr>
            </w:pPr>
            <w:r>
              <w:rPr>
                <w:rFonts w:ascii="Arial" w:cs="Arial" w:eastAsia="Arial" w:hAnsi="Arial"/>
                <w:sz w:val="9"/>
                <w:szCs w:val="9"/>
                <w:color w:val="auto"/>
                <w:w w:val="99"/>
              </w:rPr>
              <w:t>(10)</w:t>
            </w:r>
          </w:p>
        </w:tc>
        <w:tc>
          <w:tcPr>
            <w:tcW w:w="0" w:type="dxa"/>
            <w:vAlign w:val="bottom"/>
          </w:tcPr>
          <w:p>
            <w:pPr>
              <w:spacing w:after="0"/>
              <w:rPr>
                <w:sz w:val="1"/>
                <w:szCs w:val="1"/>
                <w:color w:val="auto"/>
              </w:rPr>
            </w:pPr>
          </w:p>
        </w:tc>
      </w:tr>
      <w:tr>
        <w:trPr>
          <w:trHeight w:val="188"/>
        </w:trPr>
        <w:tc>
          <w:tcPr>
            <w:tcW w:w="1120" w:type="dxa"/>
            <w:vAlign w:val="bottom"/>
            <w:tcBorders>
              <w:bottom w:val="single" w:sz="8" w:color="808080"/>
            </w:tcBorders>
          </w:tcPr>
          <w:p>
            <w:pPr>
              <w:spacing w:after="0"/>
              <w:rPr>
                <w:sz w:val="16"/>
                <w:szCs w:val="16"/>
                <w:color w:val="auto"/>
              </w:rPr>
            </w:pPr>
          </w:p>
        </w:tc>
        <w:tc>
          <w:tcPr>
            <w:tcW w:w="1040" w:type="dxa"/>
            <w:vAlign w:val="bottom"/>
            <w:tcBorders>
              <w:bottom w:val="single" w:sz="8" w:color="808080"/>
            </w:tcBorders>
            <w:gridSpan w:val="2"/>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808080"/>
            </w:tcBorders>
          </w:tcPr>
          <w:p>
            <w:pPr>
              <w:spacing w:after="0"/>
              <w:rPr>
                <w:sz w:val="16"/>
                <w:szCs w:val="16"/>
                <w:color w:val="auto"/>
              </w:rPr>
            </w:pPr>
          </w:p>
        </w:tc>
        <w:tc>
          <w:tcPr>
            <w:tcW w:w="840" w:type="dxa"/>
            <w:vAlign w:val="bottom"/>
            <w:tcBorders>
              <w:bottom w:val="single" w:sz="8" w:color="808080"/>
            </w:tcBorders>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808080"/>
            </w:tcBorders>
          </w:tcPr>
          <w:p>
            <w:pPr>
              <w:spacing w:after="0"/>
              <w:rPr>
                <w:sz w:val="16"/>
                <w:szCs w:val="16"/>
                <w:color w:val="auto"/>
              </w:rPr>
            </w:pPr>
          </w:p>
        </w:tc>
        <w:tc>
          <w:tcPr>
            <w:tcW w:w="840" w:type="dxa"/>
            <w:vAlign w:val="bottom"/>
            <w:tcBorders>
              <w:bottom w:val="single" w:sz="8" w:color="808080"/>
            </w:tcBorders>
          </w:tcPr>
          <w:p>
            <w:pPr>
              <w:jc w:val="right"/>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808080"/>
            </w:tcBorders>
          </w:tcPr>
          <w:p>
            <w:pPr>
              <w:spacing w:after="0"/>
              <w:rPr>
                <w:sz w:val="16"/>
                <w:szCs w:val="16"/>
                <w:color w:val="auto"/>
              </w:rPr>
            </w:pPr>
          </w:p>
        </w:tc>
        <w:tc>
          <w:tcPr>
            <w:tcW w:w="860" w:type="dxa"/>
            <w:vAlign w:val="bottom"/>
            <w:tcBorders>
              <w:bottom w:val="single" w:sz="8" w:color="808080"/>
            </w:tcBorders>
          </w:tcPr>
          <w:p>
            <w:pPr>
              <w:jc w:val="right"/>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808080"/>
            </w:tcBorders>
          </w:tcPr>
          <w:p>
            <w:pPr>
              <w:spacing w:after="0"/>
              <w:rPr>
                <w:sz w:val="16"/>
                <w:szCs w:val="16"/>
                <w:color w:val="auto"/>
              </w:rPr>
            </w:pPr>
          </w:p>
        </w:tc>
        <w:tc>
          <w:tcPr>
            <w:tcW w:w="820" w:type="dxa"/>
            <w:vAlign w:val="bottom"/>
            <w:tcBorders>
              <w:bottom w:val="single" w:sz="8" w:color="808080"/>
            </w:tcBorders>
          </w:tcPr>
          <w:p>
            <w:pPr>
              <w:jc w:val="right"/>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808080"/>
            </w:tcBorders>
          </w:tcPr>
          <w:p>
            <w:pPr>
              <w:spacing w:after="0"/>
              <w:rPr>
                <w:sz w:val="16"/>
                <w:szCs w:val="16"/>
                <w:color w:val="auto"/>
              </w:rPr>
            </w:pPr>
          </w:p>
        </w:tc>
        <w:tc>
          <w:tcPr>
            <w:tcW w:w="820" w:type="dxa"/>
            <w:vAlign w:val="bottom"/>
            <w:tcBorders>
              <w:bottom w:val="single" w:sz="8" w:color="808080"/>
            </w:tcBorders>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808080"/>
            </w:tcBorders>
          </w:tcPr>
          <w:p>
            <w:pPr>
              <w:spacing w:after="0"/>
              <w:rPr>
                <w:sz w:val="16"/>
                <w:szCs w:val="16"/>
                <w:color w:val="auto"/>
              </w:rPr>
            </w:pPr>
          </w:p>
        </w:tc>
        <w:tc>
          <w:tcPr>
            <w:tcW w:w="840" w:type="dxa"/>
            <w:vAlign w:val="bottom"/>
            <w:tcBorders>
              <w:bottom w:val="single" w:sz="8" w:color="808080"/>
            </w:tcBorders>
          </w:tcPr>
          <w:p>
            <w:pPr>
              <w:jc w:val="right"/>
              <w:spacing w:after="0"/>
              <w:rPr>
                <w:sz w:val="20"/>
                <w:szCs w:val="20"/>
                <w:color w:val="auto"/>
              </w:rPr>
            </w:pPr>
            <w:r>
              <w:rPr>
                <w:rFonts w:ascii="Arial" w:cs="Arial" w:eastAsia="Arial" w:hAnsi="Arial"/>
                <w:sz w:val="12"/>
                <w:szCs w:val="12"/>
                <w:color w:val="auto"/>
              </w:rPr>
              <w:t>66,424</w:t>
            </w:r>
          </w:p>
        </w:tc>
        <w:tc>
          <w:tcPr>
            <w:tcW w:w="220" w:type="dxa"/>
            <w:vAlign w:val="bottom"/>
            <w:tcBorders>
              <w:bottom w:val="single" w:sz="8" w:color="808080"/>
            </w:tcBorders>
          </w:tcPr>
          <w:p>
            <w:pPr>
              <w:jc w:val="right"/>
              <w:ind w:right="55"/>
              <w:spacing w:after="0"/>
              <w:rPr>
                <w:sz w:val="20"/>
                <w:szCs w:val="20"/>
                <w:color w:val="auto"/>
              </w:rPr>
            </w:pPr>
            <w:r>
              <w:rPr>
                <w:rFonts w:ascii="Arial" w:cs="Arial" w:eastAsia="Arial" w:hAnsi="Arial"/>
                <w:sz w:val="9"/>
                <w:szCs w:val="9"/>
                <w:color w:val="auto"/>
                <w:w w:val="90"/>
              </w:rPr>
              <w:t>(9)</w:t>
            </w:r>
          </w:p>
        </w:tc>
        <w:tc>
          <w:tcPr>
            <w:tcW w:w="820" w:type="dxa"/>
            <w:vAlign w:val="bottom"/>
            <w:tcBorders>
              <w:bottom w:val="single" w:sz="8" w:color="808080"/>
            </w:tcBorders>
          </w:tcPr>
          <w:p>
            <w:pPr>
              <w:jc w:val="right"/>
              <w:spacing w:after="0"/>
              <w:rPr>
                <w:sz w:val="20"/>
                <w:szCs w:val="20"/>
                <w:color w:val="auto"/>
              </w:rPr>
            </w:pPr>
            <w:r>
              <w:rPr>
                <w:rFonts w:ascii="Arial" w:cs="Arial" w:eastAsia="Arial" w:hAnsi="Arial"/>
                <w:sz w:val="12"/>
                <w:szCs w:val="12"/>
                <w:color w:val="auto"/>
              </w:rPr>
              <w:t>7,427,532</w:t>
            </w:r>
          </w:p>
        </w:tc>
        <w:tc>
          <w:tcPr>
            <w:tcW w:w="200" w:type="dxa"/>
            <w:vAlign w:val="bottom"/>
            <w:tcBorders>
              <w:bottom w:val="single" w:sz="8" w:color="808080"/>
            </w:tcBorders>
          </w:tcPr>
          <w:p>
            <w:pPr>
              <w:jc w:val="right"/>
              <w:spacing w:after="0"/>
              <w:rPr>
                <w:sz w:val="20"/>
                <w:szCs w:val="20"/>
                <w:color w:val="auto"/>
              </w:rPr>
            </w:pPr>
            <w:r>
              <w:rPr>
                <w:rFonts w:ascii="Arial" w:cs="Arial" w:eastAsia="Arial" w:hAnsi="Arial"/>
                <w:sz w:val="9"/>
                <w:szCs w:val="9"/>
                <w:color w:val="auto"/>
                <w:w w:val="99"/>
              </w:rPr>
              <w:t>(10)</w:t>
            </w:r>
          </w:p>
        </w:tc>
        <w:tc>
          <w:tcPr>
            <w:tcW w:w="0" w:type="dxa"/>
            <w:vAlign w:val="bottom"/>
          </w:tcPr>
          <w:p>
            <w:pPr>
              <w:spacing w:after="0"/>
              <w:rPr>
                <w:sz w:val="1"/>
                <w:szCs w:val="1"/>
                <w:color w:val="auto"/>
              </w:rPr>
            </w:pPr>
          </w:p>
        </w:tc>
      </w:tr>
      <w:tr>
        <w:trPr>
          <w:trHeight w:val="129"/>
        </w:trPr>
        <w:tc>
          <w:tcPr>
            <w:tcW w:w="11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Andrew Nocella</w:t>
            </w:r>
          </w:p>
        </w:tc>
        <w:tc>
          <w:tcPr>
            <w:tcW w:w="1040" w:type="dxa"/>
            <w:vAlign w:val="bottom"/>
            <w:gridSpan w:val="2"/>
          </w:tcPr>
          <w:p>
            <w:pPr>
              <w:jc w:val="right"/>
              <w:spacing w:after="0" w:line="129"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840" w:type="dxa"/>
            <w:vAlign w:val="bottom"/>
          </w:tcPr>
          <w:p>
            <w:pPr>
              <w:jc w:val="right"/>
              <w:spacing w:after="0" w:line="129"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840" w:type="dxa"/>
            <w:vAlign w:val="bottom"/>
          </w:tcPr>
          <w:p>
            <w:pPr>
              <w:jc w:val="right"/>
              <w:spacing w:after="0" w:line="129"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1"/>
                <w:szCs w:val="11"/>
                <w:color w:val="auto"/>
              </w:rPr>
            </w:pPr>
          </w:p>
        </w:tc>
        <w:tc>
          <w:tcPr>
            <w:tcW w:w="860" w:type="dxa"/>
            <w:vAlign w:val="bottom"/>
          </w:tcPr>
          <w:p>
            <w:pPr>
              <w:jc w:val="right"/>
              <w:spacing w:after="0" w:line="129"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1"/>
                <w:szCs w:val="11"/>
                <w:color w:val="auto"/>
              </w:rPr>
            </w:pPr>
          </w:p>
        </w:tc>
        <w:tc>
          <w:tcPr>
            <w:tcW w:w="820" w:type="dxa"/>
            <w:vAlign w:val="bottom"/>
          </w:tcPr>
          <w:p>
            <w:pPr>
              <w:jc w:val="right"/>
              <w:spacing w:after="0" w:line="129" w:lineRule="exact"/>
              <w:rPr>
                <w:sz w:val="20"/>
                <w:szCs w:val="20"/>
                <w:color w:val="auto"/>
              </w:rPr>
            </w:pPr>
            <w:r>
              <w:rPr>
                <w:rFonts w:ascii="Arial" w:cs="Arial" w:eastAsia="Arial" w:hAnsi="Arial"/>
                <w:sz w:val="12"/>
                <w:szCs w:val="12"/>
                <w:color w:val="auto"/>
              </w:rPr>
              <w:t>12,067</w:t>
            </w:r>
          </w:p>
        </w:tc>
        <w:tc>
          <w:tcPr>
            <w:tcW w:w="240" w:type="dxa"/>
            <w:vAlign w:val="bottom"/>
          </w:tcPr>
          <w:p>
            <w:pPr>
              <w:ind w:left="20"/>
              <w:spacing w:after="0"/>
              <w:rPr>
                <w:sz w:val="20"/>
                <w:szCs w:val="20"/>
                <w:color w:val="auto"/>
              </w:rPr>
            </w:pPr>
            <w:r>
              <w:rPr>
                <w:rFonts w:ascii="Arial" w:cs="Arial" w:eastAsia="Arial" w:hAnsi="Arial"/>
                <w:sz w:val="9"/>
                <w:szCs w:val="9"/>
                <w:color w:val="auto"/>
              </w:rPr>
              <w:t>(3)</w:t>
            </w:r>
          </w:p>
        </w:tc>
        <w:tc>
          <w:tcPr>
            <w:tcW w:w="820" w:type="dxa"/>
            <w:vAlign w:val="bottom"/>
          </w:tcPr>
          <w:p>
            <w:pPr>
              <w:jc w:val="right"/>
              <w:spacing w:after="0" w:line="129" w:lineRule="exact"/>
              <w:rPr>
                <w:sz w:val="20"/>
                <w:szCs w:val="20"/>
                <w:color w:val="auto"/>
              </w:rPr>
            </w:pPr>
            <w:r>
              <w:rPr>
                <w:rFonts w:ascii="Arial" w:cs="Arial" w:eastAsia="Arial" w:hAnsi="Arial"/>
                <w:sz w:val="12"/>
                <w:szCs w:val="12"/>
                <w:color w:val="auto"/>
              </w:rPr>
              <w:t>1,349,332</w:t>
            </w:r>
          </w:p>
        </w:tc>
        <w:tc>
          <w:tcPr>
            <w:tcW w:w="220" w:type="dxa"/>
            <w:vAlign w:val="bottom"/>
          </w:tcPr>
          <w:p>
            <w:pPr>
              <w:jc w:val="right"/>
              <w:ind w:right="55"/>
              <w:spacing w:after="0"/>
              <w:rPr>
                <w:sz w:val="20"/>
                <w:szCs w:val="20"/>
                <w:color w:val="auto"/>
              </w:rPr>
            </w:pPr>
            <w:r>
              <w:rPr>
                <w:rFonts w:ascii="Arial" w:cs="Arial" w:eastAsia="Arial" w:hAnsi="Arial"/>
                <w:sz w:val="9"/>
                <w:szCs w:val="9"/>
                <w:color w:val="auto"/>
                <w:w w:val="90"/>
              </w:rPr>
              <w:t>(6)</w:t>
            </w:r>
          </w:p>
        </w:tc>
        <w:tc>
          <w:tcPr>
            <w:tcW w:w="840" w:type="dxa"/>
            <w:vAlign w:val="bottom"/>
          </w:tcPr>
          <w:p>
            <w:pPr>
              <w:jc w:val="right"/>
              <w:spacing w:after="0" w:line="129"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820" w:type="dxa"/>
            <w:vAlign w:val="bottom"/>
          </w:tcPr>
          <w:p>
            <w:pPr>
              <w:jc w:val="right"/>
              <w:spacing w:after="0" w:line="129"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12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23,698</w:t>
            </w:r>
          </w:p>
        </w:tc>
        <w:tc>
          <w:tcPr>
            <w:tcW w:w="240" w:type="dxa"/>
            <w:vAlign w:val="bottom"/>
          </w:tcPr>
          <w:p>
            <w:pPr>
              <w:ind w:left="20"/>
              <w:spacing w:after="0"/>
              <w:rPr>
                <w:sz w:val="20"/>
                <w:szCs w:val="20"/>
                <w:color w:val="auto"/>
              </w:rPr>
            </w:pPr>
            <w:r>
              <w:rPr>
                <w:rFonts w:ascii="Arial" w:cs="Arial" w:eastAsia="Arial" w:hAnsi="Arial"/>
                <w:sz w:val="9"/>
                <w:szCs w:val="9"/>
                <w:color w:val="auto"/>
              </w:rPr>
              <w:t>(4)</w:t>
            </w:r>
          </w:p>
        </w:tc>
        <w:tc>
          <w:tcPr>
            <w:tcW w:w="820" w:type="dxa"/>
            <w:vAlign w:val="bottom"/>
          </w:tcPr>
          <w:p>
            <w:pPr>
              <w:jc w:val="right"/>
              <w:spacing w:after="0"/>
              <w:rPr>
                <w:sz w:val="20"/>
                <w:szCs w:val="20"/>
                <w:color w:val="auto"/>
              </w:rPr>
            </w:pPr>
            <w:r>
              <w:rPr>
                <w:rFonts w:ascii="Arial" w:cs="Arial" w:eastAsia="Arial" w:hAnsi="Arial"/>
                <w:sz w:val="12"/>
                <w:szCs w:val="12"/>
                <w:color w:val="auto"/>
              </w:rPr>
              <w:t>2,649,910</w:t>
            </w:r>
          </w:p>
        </w:tc>
        <w:tc>
          <w:tcPr>
            <w:tcW w:w="220" w:type="dxa"/>
            <w:vAlign w:val="bottom"/>
          </w:tcPr>
          <w:p>
            <w:pPr>
              <w:jc w:val="right"/>
              <w:ind w:right="55"/>
              <w:spacing w:after="0"/>
              <w:rPr>
                <w:sz w:val="20"/>
                <w:szCs w:val="20"/>
                <w:color w:val="auto"/>
              </w:rPr>
            </w:pPr>
            <w:r>
              <w:rPr>
                <w:rFonts w:ascii="Arial" w:cs="Arial" w:eastAsia="Arial" w:hAnsi="Arial"/>
                <w:sz w:val="9"/>
                <w:szCs w:val="9"/>
                <w:color w:val="auto"/>
                <w:w w:val="90"/>
              </w:rPr>
              <w:t>(6)</w:t>
            </w: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12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21,546</w:t>
            </w:r>
          </w:p>
        </w:tc>
        <w:tc>
          <w:tcPr>
            <w:tcW w:w="240" w:type="dxa"/>
            <w:vAlign w:val="bottom"/>
          </w:tcPr>
          <w:p>
            <w:pPr>
              <w:ind w:left="20"/>
              <w:spacing w:after="0"/>
              <w:rPr>
                <w:sz w:val="20"/>
                <w:szCs w:val="20"/>
                <w:color w:val="auto"/>
              </w:rPr>
            </w:pPr>
            <w:r>
              <w:rPr>
                <w:rFonts w:ascii="Arial" w:cs="Arial" w:eastAsia="Arial" w:hAnsi="Arial"/>
                <w:sz w:val="9"/>
                <w:szCs w:val="9"/>
                <w:color w:val="auto"/>
              </w:rPr>
              <w:t>(5)</w:t>
            </w:r>
          </w:p>
        </w:tc>
        <w:tc>
          <w:tcPr>
            <w:tcW w:w="820" w:type="dxa"/>
            <w:vAlign w:val="bottom"/>
          </w:tcPr>
          <w:p>
            <w:pPr>
              <w:jc w:val="right"/>
              <w:spacing w:after="0"/>
              <w:rPr>
                <w:sz w:val="20"/>
                <w:szCs w:val="20"/>
                <w:color w:val="auto"/>
              </w:rPr>
            </w:pPr>
            <w:r>
              <w:rPr>
                <w:rFonts w:ascii="Arial" w:cs="Arial" w:eastAsia="Arial" w:hAnsi="Arial"/>
                <w:sz w:val="12"/>
                <w:szCs w:val="12"/>
                <w:color w:val="auto"/>
              </w:rPr>
              <w:t>2,409,274</w:t>
            </w:r>
          </w:p>
        </w:tc>
        <w:tc>
          <w:tcPr>
            <w:tcW w:w="220" w:type="dxa"/>
            <w:vAlign w:val="bottom"/>
          </w:tcPr>
          <w:p>
            <w:pPr>
              <w:jc w:val="right"/>
              <w:ind w:right="55"/>
              <w:spacing w:after="0"/>
              <w:rPr>
                <w:sz w:val="20"/>
                <w:szCs w:val="20"/>
                <w:color w:val="auto"/>
              </w:rPr>
            </w:pPr>
            <w:r>
              <w:rPr>
                <w:rFonts w:ascii="Arial" w:cs="Arial" w:eastAsia="Arial" w:hAnsi="Arial"/>
                <w:sz w:val="9"/>
                <w:szCs w:val="9"/>
                <w:color w:val="auto"/>
                <w:w w:val="90"/>
              </w:rPr>
              <w:t>(6)</w:t>
            </w: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vMerge w:val="restart"/>
          </w:tcPr>
          <w:p>
            <w:pPr>
              <w:jc w:val="right"/>
              <w:ind w:right="55"/>
              <w:spacing w:after="0"/>
              <w:rPr>
                <w:sz w:val="20"/>
                <w:szCs w:val="20"/>
                <w:color w:val="auto"/>
              </w:rPr>
            </w:pPr>
            <w:r>
              <w:rPr>
                <w:rFonts w:ascii="Arial" w:cs="Arial" w:eastAsia="Arial" w:hAnsi="Arial"/>
                <w:sz w:val="9"/>
                <w:szCs w:val="9"/>
                <w:color w:val="auto"/>
                <w:w w:val="90"/>
              </w:rPr>
              <w:t>(7)</w:t>
            </w: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vMerge w:val="restart"/>
          </w:tcPr>
          <w:p>
            <w:pPr>
              <w:jc w:val="right"/>
              <w:spacing w:after="0"/>
              <w:rPr>
                <w:sz w:val="20"/>
                <w:szCs w:val="20"/>
                <w:color w:val="auto"/>
              </w:rPr>
            </w:pPr>
            <w:r>
              <w:rPr>
                <w:rFonts w:ascii="Arial" w:cs="Arial" w:eastAsia="Arial" w:hAnsi="Arial"/>
                <w:sz w:val="9"/>
                <w:szCs w:val="9"/>
                <w:color w:val="auto"/>
                <w:w w:val="99"/>
              </w:rPr>
              <w:t>(10)</w:t>
            </w:r>
          </w:p>
        </w:tc>
        <w:tc>
          <w:tcPr>
            <w:tcW w:w="0" w:type="dxa"/>
            <w:vAlign w:val="bottom"/>
          </w:tcPr>
          <w:p>
            <w:pPr>
              <w:spacing w:after="0"/>
              <w:rPr>
                <w:sz w:val="1"/>
                <w:szCs w:val="1"/>
                <w:color w:val="auto"/>
              </w:rPr>
            </w:pPr>
          </w:p>
        </w:tc>
      </w:tr>
      <w:tr>
        <w:trPr>
          <w:trHeight w:val="126"/>
        </w:trPr>
        <w:tc>
          <w:tcPr>
            <w:tcW w:w="1120" w:type="dxa"/>
            <w:vAlign w:val="bottom"/>
          </w:tcPr>
          <w:p>
            <w:pPr>
              <w:spacing w:after="0"/>
              <w:rPr>
                <w:sz w:val="10"/>
                <w:szCs w:val="10"/>
                <w:color w:val="auto"/>
              </w:rPr>
            </w:pPr>
          </w:p>
        </w:tc>
        <w:tc>
          <w:tcPr>
            <w:tcW w:w="1040" w:type="dxa"/>
            <w:vAlign w:val="bottom"/>
            <w:gridSpan w:val="2"/>
          </w:tcPr>
          <w:p>
            <w:pPr>
              <w:jc w:val="right"/>
              <w:spacing w:after="0" w:line="126"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0"/>
                <w:szCs w:val="10"/>
                <w:color w:val="auto"/>
              </w:rPr>
            </w:pPr>
          </w:p>
        </w:tc>
        <w:tc>
          <w:tcPr>
            <w:tcW w:w="840" w:type="dxa"/>
            <w:vAlign w:val="bottom"/>
          </w:tcPr>
          <w:p>
            <w:pPr>
              <w:jc w:val="right"/>
              <w:spacing w:after="0" w:line="126"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0"/>
                <w:szCs w:val="10"/>
                <w:color w:val="auto"/>
              </w:rPr>
            </w:pPr>
          </w:p>
        </w:tc>
        <w:tc>
          <w:tcPr>
            <w:tcW w:w="840" w:type="dxa"/>
            <w:vAlign w:val="bottom"/>
          </w:tcPr>
          <w:p>
            <w:pPr>
              <w:jc w:val="right"/>
              <w:spacing w:after="0" w:line="126"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0"/>
                <w:szCs w:val="10"/>
                <w:color w:val="auto"/>
              </w:rPr>
            </w:pPr>
          </w:p>
        </w:tc>
        <w:tc>
          <w:tcPr>
            <w:tcW w:w="860" w:type="dxa"/>
            <w:vAlign w:val="bottom"/>
          </w:tcPr>
          <w:p>
            <w:pPr>
              <w:jc w:val="right"/>
              <w:spacing w:after="0" w:line="126"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0"/>
                <w:szCs w:val="10"/>
                <w:color w:val="auto"/>
              </w:rPr>
            </w:pPr>
          </w:p>
        </w:tc>
        <w:tc>
          <w:tcPr>
            <w:tcW w:w="820" w:type="dxa"/>
            <w:vAlign w:val="bottom"/>
          </w:tcPr>
          <w:p>
            <w:pPr>
              <w:jc w:val="right"/>
              <w:spacing w:after="0" w:line="126" w:lineRule="exact"/>
              <w:rPr>
                <w:sz w:val="20"/>
                <w:szCs w:val="20"/>
                <w:color w:val="auto"/>
              </w:rPr>
            </w:pPr>
            <w:r>
              <w:rPr>
                <w:rFonts w:ascii="Arial" w:cs="Arial" w:eastAsia="Arial" w:hAnsi="Arial"/>
                <w:sz w:val="12"/>
                <w:szCs w:val="12"/>
                <w:color w:val="auto"/>
              </w:rPr>
              <w:t>-</w:t>
            </w:r>
          </w:p>
        </w:tc>
        <w:tc>
          <w:tcPr>
            <w:tcW w:w="240" w:type="dxa"/>
            <w:vAlign w:val="bottom"/>
          </w:tcPr>
          <w:p>
            <w:pPr>
              <w:spacing w:after="0"/>
              <w:rPr>
                <w:sz w:val="10"/>
                <w:szCs w:val="10"/>
                <w:color w:val="auto"/>
              </w:rPr>
            </w:pPr>
          </w:p>
        </w:tc>
        <w:tc>
          <w:tcPr>
            <w:tcW w:w="820" w:type="dxa"/>
            <w:vAlign w:val="bottom"/>
          </w:tcPr>
          <w:p>
            <w:pPr>
              <w:jc w:val="right"/>
              <w:spacing w:after="0" w:line="126"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0"/>
                <w:szCs w:val="10"/>
                <w:color w:val="auto"/>
              </w:rPr>
            </w:pPr>
          </w:p>
        </w:tc>
        <w:tc>
          <w:tcPr>
            <w:tcW w:w="840" w:type="dxa"/>
            <w:vAlign w:val="bottom"/>
          </w:tcPr>
          <w:p>
            <w:pPr>
              <w:jc w:val="right"/>
              <w:spacing w:after="0" w:line="126" w:lineRule="exact"/>
              <w:rPr>
                <w:sz w:val="20"/>
                <w:szCs w:val="20"/>
                <w:color w:val="auto"/>
              </w:rPr>
            </w:pPr>
            <w:r>
              <w:rPr>
                <w:rFonts w:ascii="Arial" w:cs="Arial" w:eastAsia="Arial" w:hAnsi="Arial"/>
                <w:sz w:val="12"/>
                <w:szCs w:val="12"/>
                <w:color w:val="auto"/>
              </w:rPr>
              <w:t>71,091</w:t>
            </w:r>
          </w:p>
        </w:tc>
        <w:tc>
          <w:tcPr>
            <w:tcW w:w="220" w:type="dxa"/>
            <w:vAlign w:val="bottom"/>
            <w:vMerge w:val="continue"/>
          </w:tcPr>
          <w:p>
            <w:pPr>
              <w:spacing w:after="0"/>
              <w:rPr>
                <w:sz w:val="10"/>
                <w:szCs w:val="10"/>
                <w:color w:val="auto"/>
              </w:rPr>
            </w:pPr>
          </w:p>
        </w:tc>
        <w:tc>
          <w:tcPr>
            <w:tcW w:w="820" w:type="dxa"/>
            <w:vAlign w:val="bottom"/>
          </w:tcPr>
          <w:p>
            <w:pPr>
              <w:jc w:val="right"/>
              <w:spacing w:after="0" w:line="126" w:lineRule="exact"/>
              <w:rPr>
                <w:sz w:val="20"/>
                <w:szCs w:val="20"/>
                <w:color w:val="auto"/>
              </w:rPr>
            </w:pPr>
            <w:r>
              <w:rPr>
                <w:rFonts w:ascii="Arial" w:cs="Arial" w:eastAsia="Arial" w:hAnsi="Arial"/>
                <w:sz w:val="12"/>
                <w:szCs w:val="12"/>
                <w:color w:val="auto"/>
              </w:rPr>
              <w:t>7,949,396</w:t>
            </w:r>
          </w:p>
        </w:tc>
        <w:tc>
          <w:tcPr>
            <w:tcW w:w="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12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14,364</w:t>
            </w:r>
          </w:p>
        </w:tc>
        <w:tc>
          <w:tcPr>
            <w:tcW w:w="220" w:type="dxa"/>
            <w:vAlign w:val="bottom"/>
          </w:tcPr>
          <w:p>
            <w:pPr>
              <w:jc w:val="right"/>
              <w:ind w:right="55"/>
              <w:spacing w:after="0"/>
              <w:rPr>
                <w:sz w:val="20"/>
                <w:szCs w:val="20"/>
                <w:color w:val="auto"/>
              </w:rPr>
            </w:pPr>
            <w:r>
              <w:rPr>
                <w:rFonts w:ascii="Arial" w:cs="Arial" w:eastAsia="Arial" w:hAnsi="Arial"/>
                <w:sz w:val="9"/>
                <w:szCs w:val="9"/>
                <w:color w:val="auto"/>
                <w:w w:val="90"/>
              </w:rPr>
              <w:t>(8)</w:t>
            </w:r>
          </w:p>
        </w:tc>
        <w:tc>
          <w:tcPr>
            <w:tcW w:w="820" w:type="dxa"/>
            <w:vAlign w:val="bottom"/>
          </w:tcPr>
          <w:p>
            <w:pPr>
              <w:jc w:val="right"/>
              <w:spacing w:after="0"/>
              <w:rPr>
                <w:sz w:val="20"/>
                <w:szCs w:val="20"/>
                <w:color w:val="auto"/>
              </w:rPr>
            </w:pPr>
            <w:r>
              <w:rPr>
                <w:rFonts w:ascii="Arial" w:cs="Arial" w:eastAsia="Arial" w:hAnsi="Arial"/>
                <w:sz w:val="12"/>
                <w:szCs w:val="12"/>
                <w:color w:val="auto"/>
              </w:rPr>
              <w:t>1,606,182</w:t>
            </w:r>
          </w:p>
        </w:tc>
        <w:tc>
          <w:tcPr>
            <w:tcW w:w="200" w:type="dxa"/>
            <w:vAlign w:val="bottom"/>
          </w:tcPr>
          <w:p>
            <w:pPr>
              <w:jc w:val="right"/>
              <w:spacing w:after="0"/>
              <w:rPr>
                <w:sz w:val="20"/>
                <w:szCs w:val="20"/>
                <w:color w:val="auto"/>
              </w:rPr>
            </w:pPr>
            <w:r>
              <w:rPr>
                <w:rFonts w:ascii="Arial" w:cs="Arial" w:eastAsia="Arial" w:hAnsi="Arial"/>
                <w:sz w:val="9"/>
                <w:szCs w:val="9"/>
                <w:color w:val="auto"/>
                <w:w w:val="99"/>
              </w:rPr>
              <w:t>(10)</w:t>
            </w:r>
          </w:p>
        </w:tc>
        <w:tc>
          <w:tcPr>
            <w:tcW w:w="0" w:type="dxa"/>
            <w:vAlign w:val="bottom"/>
          </w:tcPr>
          <w:p>
            <w:pPr>
              <w:spacing w:after="0"/>
              <w:rPr>
                <w:sz w:val="1"/>
                <w:szCs w:val="1"/>
                <w:color w:val="auto"/>
              </w:rPr>
            </w:pPr>
          </w:p>
        </w:tc>
      </w:tr>
      <w:tr>
        <w:trPr>
          <w:trHeight w:val="188"/>
        </w:trPr>
        <w:tc>
          <w:tcPr>
            <w:tcW w:w="1120" w:type="dxa"/>
            <w:vAlign w:val="bottom"/>
            <w:tcBorders>
              <w:bottom w:val="single" w:sz="8" w:color="808080"/>
            </w:tcBorders>
          </w:tcPr>
          <w:p>
            <w:pPr>
              <w:spacing w:after="0"/>
              <w:rPr>
                <w:sz w:val="16"/>
                <w:szCs w:val="16"/>
                <w:color w:val="auto"/>
              </w:rPr>
            </w:pPr>
          </w:p>
        </w:tc>
        <w:tc>
          <w:tcPr>
            <w:tcW w:w="1040" w:type="dxa"/>
            <w:vAlign w:val="bottom"/>
            <w:tcBorders>
              <w:bottom w:val="single" w:sz="8" w:color="808080"/>
            </w:tcBorders>
            <w:gridSpan w:val="2"/>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808080"/>
            </w:tcBorders>
          </w:tcPr>
          <w:p>
            <w:pPr>
              <w:spacing w:after="0"/>
              <w:rPr>
                <w:sz w:val="16"/>
                <w:szCs w:val="16"/>
                <w:color w:val="auto"/>
              </w:rPr>
            </w:pPr>
          </w:p>
        </w:tc>
        <w:tc>
          <w:tcPr>
            <w:tcW w:w="840" w:type="dxa"/>
            <w:vAlign w:val="bottom"/>
            <w:tcBorders>
              <w:bottom w:val="single" w:sz="8" w:color="808080"/>
            </w:tcBorders>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808080"/>
            </w:tcBorders>
          </w:tcPr>
          <w:p>
            <w:pPr>
              <w:spacing w:after="0"/>
              <w:rPr>
                <w:sz w:val="16"/>
                <w:szCs w:val="16"/>
                <w:color w:val="auto"/>
              </w:rPr>
            </w:pPr>
          </w:p>
        </w:tc>
        <w:tc>
          <w:tcPr>
            <w:tcW w:w="840" w:type="dxa"/>
            <w:vAlign w:val="bottom"/>
            <w:tcBorders>
              <w:bottom w:val="single" w:sz="8" w:color="808080"/>
            </w:tcBorders>
          </w:tcPr>
          <w:p>
            <w:pPr>
              <w:jc w:val="right"/>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808080"/>
            </w:tcBorders>
          </w:tcPr>
          <w:p>
            <w:pPr>
              <w:spacing w:after="0"/>
              <w:rPr>
                <w:sz w:val="16"/>
                <w:szCs w:val="16"/>
                <w:color w:val="auto"/>
              </w:rPr>
            </w:pPr>
          </w:p>
        </w:tc>
        <w:tc>
          <w:tcPr>
            <w:tcW w:w="860" w:type="dxa"/>
            <w:vAlign w:val="bottom"/>
            <w:tcBorders>
              <w:bottom w:val="single" w:sz="8" w:color="808080"/>
            </w:tcBorders>
          </w:tcPr>
          <w:p>
            <w:pPr>
              <w:jc w:val="right"/>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808080"/>
            </w:tcBorders>
          </w:tcPr>
          <w:p>
            <w:pPr>
              <w:spacing w:after="0"/>
              <w:rPr>
                <w:sz w:val="16"/>
                <w:szCs w:val="16"/>
                <w:color w:val="auto"/>
              </w:rPr>
            </w:pPr>
          </w:p>
        </w:tc>
        <w:tc>
          <w:tcPr>
            <w:tcW w:w="820" w:type="dxa"/>
            <w:vAlign w:val="bottom"/>
            <w:tcBorders>
              <w:bottom w:val="single" w:sz="8" w:color="808080"/>
            </w:tcBorders>
          </w:tcPr>
          <w:p>
            <w:pPr>
              <w:jc w:val="right"/>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808080"/>
            </w:tcBorders>
          </w:tcPr>
          <w:p>
            <w:pPr>
              <w:spacing w:after="0"/>
              <w:rPr>
                <w:sz w:val="16"/>
                <w:szCs w:val="16"/>
                <w:color w:val="auto"/>
              </w:rPr>
            </w:pPr>
          </w:p>
        </w:tc>
        <w:tc>
          <w:tcPr>
            <w:tcW w:w="820" w:type="dxa"/>
            <w:vAlign w:val="bottom"/>
            <w:tcBorders>
              <w:bottom w:val="single" w:sz="8" w:color="808080"/>
            </w:tcBorders>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808080"/>
            </w:tcBorders>
          </w:tcPr>
          <w:p>
            <w:pPr>
              <w:spacing w:after="0"/>
              <w:rPr>
                <w:sz w:val="16"/>
                <w:szCs w:val="16"/>
                <w:color w:val="auto"/>
              </w:rPr>
            </w:pPr>
          </w:p>
        </w:tc>
        <w:tc>
          <w:tcPr>
            <w:tcW w:w="840" w:type="dxa"/>
            <w:vAlign w:val="bottom"/>
            <w:tcBorders>
              <w:bottom w:val="single" w:sz="8" w:color="808080"/>
            </w:tcBorders>
          </w:tcPr>
          <w:p>
            <w:pPr>
              <w:jc w:val="right"/>
              <w:spacing w:after="0"/>
              <w:rPr>
                <w:sz w:val="20"/>
                <w:szCs w:val="20"/>
                <w:color w:val="auto"/>
              </w:rPr>
            </w:pPr>
            <w:r>
              <w:rPr>
                <w:rFonts w:ascii="Arial" w:cs="Arial" w:eastAsia="Arial" w:hAnsi="Arial"/>
                <w:sz w:val="12"/>
                <w:szCs w:val="12"/>
                <w:color w:val="auto"/>
              </w:rPr>
              <w:t>56,935</w:t>
            </w:r>
          </w:p>
        </w:tc>
        <w:tc>
          <w:tcPr>
            <w:tcW w:w="220" w:type="dxa"/>
            <w:vAlign w:val="bottom"/>
            <w:tcBorders>
              <w:bottom w:val="single" w:sz="8" w:color="808080"/>
            </w:tcBorders>
          </w:tcPr>
          <w:p>
            <w:pPr>
              <w:jc w:val="right"/>
              <w:ind w:right="55"/>
              <w:spacing w:after="0"/>
              <w:rPr>
                <w:sz w:val="20"/>
                <w:szCs w:val="20"/>
                <w:color w:val="auto"/>
              </w:rPr>
            </w:pPr>
            <w:r>
              <w:rPr>
                <w:rFonts w:ascii="Arial" w:cs="Arial" w:eastAsia="Arial" w:hAnsi="Arial"/>
                <w:sz w:val="9"/>
                <w:szCs w:val="9"/>
                <w:color w:val="auto"/>
                <w:w w:val="90"/>
              </w:rPr>
              <w:t>(9)</w:t>
            </w:r>
          </w:p>
        </w:tc>
        <w:tc>
          <w:tcPr>
            <w:tcW w:w="820" w:type="dxa"/>
            <w:vAlign w:val="bottom"/>
            <w:tcBorders>
              <w:bottom w:val="single" w:sz="8" w:color="808080"/>
            </w:tcBorders>
          </w:tcPr>
          <w:p>
            <w:pPr>
              <w:jc w:val="right"/>
              <w:spacing w:after="0"/>
              <w:rPr>
                <w:sz w:val="20"/>
                <w:szCs w:val="20"/>
                <w:color w:val="auto"/>
              </w:rPr>
            </w:pPr>
            <w:r>
              <w:rPr>
                <w:rFonts w:ascii="Arial" w:cs="Arial" w:eastAsia="Arial" w:hAnsi="Arial"/>
                <w:sz w:val="12"/>
                <w:szCs w:val="12"/>
                <w:color w:val="auto"/>
              </w:rPr>
              <w:t>6,366,472</w:t>
            </w:r>
          </w:p>
        </w:tc>
        <w:tc>
          <w:tcPr>
            <w:tcW w:w="200" w:type="dxa"/>
            <w:vAlign w:val="bottom"/>
            <w:tcBorders>
              <w:bottom w:val="single" w:sz="8" w:color="808080"/>
            </w:tcBorders>
          </w:tcPr>
          <w:p>
            <w:pPr>
              <w:jc w:val="right"/>
              <w:spacing w:after="0"/>
              <w:rPr>
                <w:sz w:val="20"/>
                <w:szCs w:val="20"/>
                <w:color w:val="auto"/>
              </w:rPr>
            </w:pPr>
            <w:r>
              <w:rPr>
                <w:rFonts w:ascii="Arial" w:cs="Arial" w:eastAsia="Arial" w:hAnsi="Arial"/>
                <w:sz w:val="9"/>
                <w:szCs w:val="9"/>
                <w:color w:val="auto"/>
                <w:w w:val="99"/>
              </w:rPr>
              <w:t>(10)</w:t>
            </w:r>
          </w:p>
        </w:tc>
        <w:tc>
          <w:tcPr>
            <w:tcW w:w="0" w:type="dxa"/>
            <w:vAlign w:val="bottom"/>
          </w:tcPr>
          <w:p>
            <w:pPr>
              <w:spacing w:after="0"/>
              <w:rPr>
                <w:sz w:val="1"/>
                <w:szCs w:val="1"/>
                <w:color w:val="auto"/>
              </w:rPr>
            </w:pPr>
          </w:p>
        </w:tc>
      </w:tr>
    </w:tbl>
    <w:p>
      <w:pPr>
        <w:spacing w:after="0" w:line="305" w:lineRule="exact"/>
        <w:rPr>
          <w:sz w:val="20"/>
          <w:szCs w:val="20"/>
          <w:color w:val="auto"/>
        </w:rPr>
      </w:pPr>
    </w:p>
    <w:p>
      <w:pPr>
        <w:ind w:left="320" w:right="40" w:hanging="316"/>
        <w:spacing w:after="0" w:line="214" w:lineRule="auto"/>
        <w:tabs>
          <w:tab w:leader="none" w:pos="320" w:val="left"/>
        </w:tabs>
        <w:numPr>
          <w:ilvl w:val="0"/>
          <w:numId w:val="136"/>
        </w:numPr>
        <w:rPr>
          <w:rFonts w:ascii="Arial" w:cs="Arial" w:eastAsia="Arial" w:hAnsi="Arial"/>
          <w:sz w:val="22"/>
          <w:szCs w:val="22"/>
          <w:color w:val="auto"/>
          <w:vertAlign w:val="superscript"/>
        </w:rPr>
      </w:pPr>
      <w:r>
        <w:rPr>
          <w:rFonts w:ascii="Arial" w:cs="Arial" w:eastAsia="Arial" w:hAnsi="Arial"/>
          <w:sz w:val="14"/>
          <w:szCs w:val="14"/>
          <w:color w:val="auto"/>
        </w:rPr>
        <w:t>Represents premium-priced stock options that Mr. Kirby was granted in connection with joining the Company, which have an exercise price that was set at 25% higher than the closing stock price on the date of grant.</w:t>
      </w:r>
    </w:p>
    <w:p>
      <w:pPr>
        <w:spacing w:after="0" w:line="184" w:lineRule="exact"/>
        <w:rPr>
          <w:rFonts w:ascii="Arial" w:cs="Arial" w:eastAsia="Arial" w:hAnsi="Arial"/>
          <w:sz w:val="22"/>
          <w:szCs w:val="22"/>
          <w:color w:val="auto"/>
          <w:vertAlign w:val="superscript"/>
        </w:rPr>
      </w:pPr>
    </w:p>
    <w:p>
      <w:pPr>
        <w:ind w:left="320" w:right="180" w:hanging="316"/>
        <w:spacing w:after="0"/>
        <w:tabs>
          <w:tab w:leader="none" w:pos="320" w:val="left"/>
        </w:tabs>
        <w:numPr>
          <w:ilvl w:val="0"/>
          <w:numId w:val="136"/>
        </w:numPr>
        <w:rPr>
          <w:rFonts w:ascii="Arial" w:cs="Arial" w:eastAsia="Arial" w:hAnsi="Arial"/>
          <w:sz w:val="22"/>
          <w:szCs w:val="22"/>
          <w:color w:val="auto"/>
          <w:vertAlign w:val="superscript"/>
        </w:rPr>
      </w:pPr>
      <w:r>
        <w:rPr>
          <w:rFonts w:ascii="Arial" w:cs="Arial" w:eastAsia="Arial" w:hAnsi="Arial"/>
          <w:sz w:val="14"/>
          <w:szCs w:val="14"/>
          <w:color w:val="auto"/>
        </w:rPr>
        <w:t>In connection with the CEO transition process, Mr. Kirby received an award in December 2019 of premium-priced stock options (with an exercise price that was set 25% higher than the closing stock price on the date of grant). The options have a ten-year term and vest in accordance with the following schedule: (i) 11% of the options vested on May 20, 2023; (ii) 22% of the options vested on May 20, 2024; (iii) 22% of the options vested on May 20, 2025; (iv) 22% of the options will vest on May 20, 2026; (v) 11% of the options will vest on May 20, 2027; and (vi) 12% of the options will vest on May 20, 2028, subject to continued employment through each vesting date or qualifying termination of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2026  Proxy  Statement</w:t>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1414D2"/>
        </w:rPr>
        <w:t>117</w:t>
      </w:r>
    </w:p>
    <w:p>
      <w:pPr>
        <w:sectPr>
          <w:pgSz w:w="11900" w:h="16838" w:orient="portrait"/>
          <w:cols w:equalWidth="0" w:num="1">
            <w:col w:w="9720"/>
          </w:cols>
          <w:pgMar w:left="1080" w:top="695" w:right="1099" w:bottom="1440" w:gutter="0" w:footer="0" w:header="0"/>
        </w:sectPr>
      </w:pPr>
    </w:p>
    <w:bookmarkStart w:id="128" w:name="page129"/>
    <w:bookmarkEnd w:id="128"/>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6D6F71"/>
        </w:rPr>
        <w:t>Executive  Compensation</w:t>
      </w:r>
    </w:p>
    <w:p>
      <w:pPr>
        <w:spacing w:after="0" w:line="231" w:lineRule="exact"/>
        <w:rPr>
          <w:sz w:val="20"/>
          <w:szCs w:val="20"/>
          <w:color w:val="auto"/>
        </w:rPr>
      </w:pPr>
    </w:p>
    <w:p>
      <w:pPr>
        <w:ind w:left="320" w:right="620" w:hanging="316"/>
        <w:spacing w:after="0" w:line="222" w:lineRule="auto"/>
        <w:tabs>
          <w:tab w:leader="none" w:pos="320" w:val="left"/>
        </w:tabs>
        <w:numPr>
          <w:ilvl w:val="0"/>
          <w:numId w:val="137"/>
        </w:numPr>
        <w:rPr>
          <w:rFonts w:ascii="Arial" w:cs="Arial" w:eastAsia="Arial" w:hAnsi="Arial"/>
          <w:sz w:val="22"/>
          <w:szCs w:val="22"/>
          <w:color w:val="auto"/>
          <w:vertAlign w:val="superscript"/>
        </w:rPr>
      </w:pPr>
      <w:r>
        <w:rPr>
          <w:rFonts w:ascii="Arial" w:cs="Arial" w:eastAsia="Arial" w:hAnsi="Arial"/>
          <w:sz w:val="14"/>
          <w:szCs w:val="14"/>
          <w:color w:val="auto"/>
        </w:rPr>
        <w:t>Represents RSUs granted in 2023 which vested in one-third increments on February 28, 2024, 2025 and 2026, subject to continued employment through each vesting date or qualifying termination of employment.</w:t>
      </w:r>
    </w:p>
    <w:p>
      <w:pPr>
        <w:spacing w:after="0" w:line="170" w:lineRule="exact"/>
        <w:rPr>
          <w:rFonts w:ascii="Arial" w:cs="Arial" w:eastAsia="Arial" w:hAnsi="Arial"/>
          <w:sz w:val="22"/>
          <w:szCs w:val="22"/>
          <w:color w:val="auto"/>
          <w:vertAlign w:val="superscript"/>
        </w:rPr>
      </w:pPr>
    </w:p>
    <w:p>
      <w:pPr>
        <w:ind w:left="320" w:right="580" w:hanging="316"/>
        <w:spacing w:after="0" w:line="222" w:lineRule="auto"/>
        <w:tabs>
          <w:tab w:leader="none" w:pos="320" w:val="left"/>
        </w:tabs>
        <w:numPr>
          <w:ilvl w:val="0"/>
          <w:numId w:val="137"/>
        </w:numPr>
        <w:rPr>
          <w:rFonts w:ascii="Arial" w:cs="Arial" w:eastAsia="Arial" w:hAnsi="Arial"/>
          <w:sz w:val="22"/>
          <w:szCs w:val="22"/>
          <w:color w:val="auto"/>
          <w:vertAlign w:val="superscript"/>
        </w:rPr>
      </w:pPr>
      <w:r>
        <w:rPr>
          <w:rFonts w:ascii="Arial" w:cs="Arial" w:eastAsia="Arial" w:hAnsi="Arial"/>
          <w:sz w:val="14"/>
          <w:szCs w:val="14"/>
          <w:color w:val="auto"/>
        </w:rPr>
        <w:t>Represents RSUs granted in 2024 which vested or will vest in one-third increments on February 28, 2025, 2026 and 2027, subject to continued employment through each vesting date or qualifying termination of employment.</w:t>
      </w:r>
    </w:p>
    <w:p>
      <w:pPr>
        <w:spacing w:after="0" w:line="170" w:lineRule="exact"/>
        <w:rPr>
          <w:rFonts w:ascii="Arial" w:cs="Arial" w:eastAsia="Arial" w:hAnsi="Arial"/>
          <w:sz w:val="22"/>
          <w:szCs w:val="22"/>
          <w:color w:val="auto"/>
          <w:vertAlign w:val="superscript"/>
        </w:rPr>
      </w:pPr>
    </w:p>
    <w:p>
      <w:pPr>
        <w:ind w:left="320" w:right="580" w:hanging="316"/>
        <w:spacing w:after="0" w:line="222" w:lineRule="auto"/>
        <w:tabs>
          <w:tab w:leader="none" w:pos="320" w:val="left"/>
        </w:tabs>
        <w:numPr>
          <w:ilvl w:val="0"/>
          <w:numId w:val="137"/>
        </w:numPr>
        <w:rPr>
          <w:rFonts w:ascii="Arial" w:cs="Arial" w:eastAsia="Arial" w:hAnsi="Arial"/>
          <w:sz w:val="22"/>
          <w:szCs w:val="22"/>
          <w:color w:val="auto"/>
          <w:vertAlign w:val="superscript"/>
        </w:rPr>
      </w:pPr>
      <w:r>
        <w:rPr>
          <w:rFonts w:ascii="Arial" w:cs="Arial" w:eastAsia="Arial" w:hAnsi="Arial"/>
          <w:sz w:val="14"/>
          <w:szCs w:val="14"/>
          <w:color w:val="auto"/>
        </w:rPr>
        <w:t>Represents RSUs granted in 2025 which vested or will vest in one-third increments on February 28, 2026, 2027 and 2028, subject to continued employment through each vesting date or qualifying termination of employment.</w:t>
      </w:r>
    </w:p>
    <w:p>
      <w:pPr>
        <w:spacing w:after="0" w:line="170" w:lineRule="exact"/>
        <w:rPr>
          <w:rFonts w:ascii="Arial" w:cs="Arial" w:eastAsia="Arial" w:hAnsi="Arial"/>
          <w:sz w:val="22"/>
          <w:szCs w:val="22"/>
          <w:color w:val="auto"/>
          <w:vertAlign w:val="superscript"/>
        </w:rPr>
      </w:pPr>
    </w:p>
    <w:p>
      <w:pPr>
        <w:ind w:left="320" w:right="140" w:hanging="316"/>
        <w:spacing w:after="0" w:line="222" w:lineRule="auto"/>
        <w:tabs>
          <w:tab w:leader="none" w:pos="320" w:val="left"/>
        </w:tabs>
        <w:numPr>
          <w:ilvl w:val="0"/>
          <w:numId w:val="137"/>
        </w:numPr>
        <w:rPr>
          <w:rFonts w:ascii="Arial" w:cs="Arial" w:eastAsia="Arial" w:hAnsi="Arial"/>
          <w:sz w:val="22"/>
          <w:szCs w:val="22"/>
          <w:color w:val="auto"/>
          <w:vertAlign w:val="superscript"/>
        </w:rPr>
      </w:pPr>
      <w:r>
        <w:rPr>
          <w:rFonts w:ascii="Arial" w:cs="Arial" w:eastAsia="Arial" w:hAnsi="Arial"/>
          <w:sz w:val="14"/>
          <w:szCs w:val="14"/>
          <w:color w:val="auto"/>
        </w:rPr>
        <w:t>The market value shown in the table was calculated based on the number of RSUs held as of December 31, 2025 multiplied by the closing price per share of Common Stock on December 31, 2025 ($111.82).</w:t>
      </w:r>
    </w:p>
    <w:p>
      <w:pPr>
        <w:spacing w:after="0" w:line="170" w:lineRule="exact"/>
        <w:rPr>
          <w:rFonts w:ascii="Arial" w:cs="Arial" w:eastAsia="Arial" w:hAnsi="Arial"/>
          <w:sz w:val="22"/>
          <w:szCs w:val="22"/>
          <w:color w:val="auto"/>
          <w:vertAlign w:val="superscript"/>
        </w:rPr>
      </w:pPr>
    </w:p>
    <w:p>
      <w:pPr>
        <w:ind w:left="320" w:right="120" w:hanging="316"/>
        <w:spacing w:after="0" w:line="245" w:lineRule="auto"/>
        <w:tabs>
          <w:tab w:leader="none" w:pos="320" w:val="left"/>
        </w:tabs>
        <w:numPr>
          <w:ilvl w:val="0"/>
          <w:numId w:val="137"/>
        </w:numPr>
        <w:rPr>
          <w:rFonts w:ascii="Arial" w:cs="Arial" w:eastAsia="Arial" w:hAnsi="Arial"/>
          <w:sz w:val="22"/>
          <w:szCs w:val="22"/>
          <w:color w:val="auto"/>
          <w:vertAlign w:val="superscript"/>
        </w:rPr>
      </w:pPr>
      <w:r>
        <w:rPr>
          <w:rFonts w:ascii="Arial" w:cs="Arial" w:eastAsia="Arial" w:hAnsi="Arial"/>
          <w:sz w:val="14"/>
          <w:szCs w:val="14"/>
          <w:color w:val="auto"/>
        </w:rPr>
        <w:t>Represents two-thirds of the 2024 Performance-Based RSU awards assuming that each one-third of the award achieves the “stretch” level of performance (300% of the target opportunity, assuming maximum application of the relative TSR modifer) with respect to the portions of the award with respect to which performance measures have been established. Vesting of each one-third of these awards is subject to the Committee’s certifcation of performance measures established and measured on an annual basis during the January 1, 2024 through December 31, 2026 performance period (and is also subject to the liquidity hurdle), with vesting of both tranches occurring on December 31, 2026, subject to continued employment or qualifying termination of employment. Additional details about performance measures for the 2024 Performance-Based RSU awards can be found on page 100 of United’s 2025 proxy statement fled with the SEC on April 10, 2025 (for the frst one-third) and under the heading “2025 Performance-Based RSUs” in the CD&amp;A (for the second one-third).</w:t>
      </w:r>
    </w:p>
    <w:p>
      <w:pPr>
        <w:spacing w:after="0" w:line="170" w:lineRule="exact"/>
        <w:rPr>
          <w:rFonts w:ascii="Arial" w:cs="Arial" w:eastAsia="Arial" w:hAnsi="Arial"/>
          <w:sz w:val="22"/>
          <w:szCs w:val="22"/>
          <w:color w:val="auto"/>
          <w:vertAlign w:val="superscript"/>
        </w:rPr>
      </w:pPr>
    </w:p>
    <w:p>
      <w:pPr>
        <w:ind w:left="320" w:right="20" w:hanging="316"/>
        <w:spacing w:after="0"/>
        <w:tabs>
          <w:tab w:leader="none" w:pos="320" w:val="left"/>
        </w:tabs>
        <w:numPr>
          <w:ilvl w:val="0"/>
          <w:numId w:val="137"/>
        </w:numPr>
        <w:rPr>
          <w:rFonts w:ascii="Arial" w:cs="Arial" w:eastAsia="Arial" w:hAnsi="Arial"/>
          <w:sz w:val="22"/>
          <w:szCs w:val="22"/>
          <w:color w:val="auto"/>
          <w:vertAlign w:val="superscript"/>
        </w:rPr>
      </w:pPr>
      <w:r>
        <w:rPr>
          <w:rFonts w:ascii="Arial" w:cs="Arial" w:eastAsia="Arial" w:hAnsi="Arial"/>
          <w:sz w:val="14"/>
          <w:szCs w:val="14"/>
          <w:color w:val="auto"/>
        </w:rPr>
        <w:t>Represents one-third of the 2025 Performance-Based RSU award assuming that the one-third achieves the “stretch” level of performance (200% of the target opportunity) with respect to the portion of the award with respect to which performance measures have been established. Vesting of this award is subject to the Committee’s certifcation of achievement of performance measures established and measured on an annual basis during the January 1, 2025 through December 31, 2027 performance period (and is also subject to the liquidity hurdle), with vesting occurring on December 31, 2027, subject to continued employment or qualifying termination of employment. Additional details about performance measures for tranche 1 of the 2025 Performance-Based RSU awards can be found under the heading “2025 Performance-Based RSUs” in the CD&amp;A.</w:t>
      </w:r>
    </w:p>
    <w:p>
      <w:pPr>
        <w:spacing w:after="0" w:line="359" w:lineRule="exact"/>
        <w:rPr>
          <w:rFonts w:ascii="Arial" w:cs="Arial" w:eastAsia="Arial" w:hAnsi="Arial"/>
          <w:sz w:val="22"/>
          <w:szCs w:val="22"/>
          <w:color w:val="auto"/>
          <w:vertAlign w:val="superscript"/>
        </w:rPr>
      </w:pPr>
    </w:p>
    <w:p>
      <w:pPr>
        <w:ind w:left="320" w:right="20" w:hanging="288"/>
        <w:spacing w:after="0"/>
        <w:tabs>
          <w:tab w:leader="none" w:pos="320" w:val="left"/>
        </w:tabs>
        <w:numPr>
          <w:ilvl w:val="1"/>
          <w:numId w:val="137"/>
        </w:numPr>
        <w:rPr>
          <w:rFonts w:ascii="Arial" w:cs="Arial" w:eastAsia="Arial" w:hAnsi="Arial"/>
          <w:sz w:val="22"/>
          <w:szCs w:val="22"/>
          <w:color w:val="auto"/>
          <w:vertAlign w:val="superscript"/>
        </w:rPr>
      </w:pPr>
      <w:r>
        <w:rPr>
          <w:rFonts w:ascii="Arial" w:cs="Arial" w:eastAsia="Arial" w:hAnsi="Arial"/>
          <w:sz w:val="14"/>
          <w:szCs w:val="14"/>
          <w:color w:val="auto"/>
        </w:rPr>
        <w:t>Represents the remaining two-thirds of the 2024 Retention LTI Awards assuming that the award achieves the “stretch” level of performance (133% of the target opportunity). Each one-third tranche of the Retention LTI Award vests or vested on July 25, 2025, 2026 and 2027, respectively, based on achievement of pre-established fnancial measures during each performance period ( July 1, 2024 through June 30, 2025 for the frst tranche, July 1, 2025 through June 30, 2026 for the second tranche and July 1, 2026 through June 30, 2027 for the third tranche).</w:t>
      </w:r>
    </w:p>
    <w:p>
      <w:pPr>
        <w:spacing w:after="0" w:line="331" w:lineRule="exact"/>
        <w:rPr>
          <w:sz w:val="20"/>
          <w:szCs w:val="20"/>
          <w:color w:val="auto"/>
        </w:rPr>
      </w:pPr>
    </w:p>
    <w:p>
      <w:pPr>
        <w:ind w:left="320" w:right="180" w:hanging="316"/>
        <w:spacing w:after="0"/>
        <w:tabs>
          <w:tab w:leader="none" w:pos="320" w:val="left"/>
        </w:tabs>
        <w:numPr>
          <w:ilvl w:val="0"/>
          <w:numId w:val="138"/>
        </w:numPr>
        <w:rPr>
          <w:rFonts w:ascii="Arial" w:cs="Arial" w:eastAsia="Arial" w:hAnsi="Arial"/>
          <w:sz w:val="22"/>
          <w:szCs w:val="22"/>
          <w:color w:val="auto"/>
          <w:vertAlign w:val="superscript"/>
        </w:rPr>
      </w:pPr>
      <w:r>
        <w:rPr>
          <w:rFonts w:ascii="Arial" w:cs="Arial" w:eastAsia="Arial" w:hAnsi="Arial"/>
          <w:sz w:val="14"/>
          <w:szCs w:val="14"/>
          <w:color w:val="auto"/>
        </w:rPr>
        <w:t>The market value of the unvested Performance-Based RSUs (including the 2024 Retention LTI Awards) shown in the table was calculated based on the number of unvested PBRSUs as of December 31, 2025 that represent the level of performance as refected in footnotes 7, 8 and 9 to this table, respectively, multiplied by the closing price per share of Common Stock on December 31, 2025 ($111.82). Subject to achievement of the specifed performance conditions, the Performance-Based RSUs (including the 2024 Retention LTI Awards) will be settled in shares of Common Stock.</w:t>
      </w:r>
    </w:p>
    <w:p>
      <w:pPr>
        <w:spacing w:after="0" w:line="330" w:lineRule="exact"/>
        <w:rPr>
          <w:rFonts w:ascii="Arial" w:cs="Arial" w:eastAsia="Arial" w:hAnsi="Arial"/>
          <w:sz w:val="22"/>
          <w:szCs w:val="22"/>
          <w:color w:val="auto"/>
          <w:vertAlign w:val="superscript"/>
        </w:rPr>
      </w:pPr>
    </w:p>
    <w:p>
      <w:pPr>
        <w:ind w:left="320" w:hanging="316"/>
        <w:spacing w:after="0" w:line="227" w:lineRule="auto"/>
        <w:tabs>
          <w:tab w:leader="none" w:pos="320" w:val="left"/>
        </w:tabs>
        <w:numPr>
          <w:ilvl w:val="0"/>
          <w:numId w:val="138"/>
        </w:numPr>
        <w:rPr>
          <w:rFonts w:ascii="Arial" w:cs="Arial" w:eastAsia="Arial" w:hAnsi="Arial"/>
          <w:sz w:val="22"/>
          <w:szCs w:val="22"/>
          <w:color w:val="auto"/>
          <w:vertAlign w:val="superscript"/>
        </w:rPr>
      </w:pPr>
      <w:r>
        <w:rPr>
          <w:rFonts w:ascii="Arial" w:cs="Arial" w:eastAsia="Arial" w:hAnsi="Arial"/>
          <w:sz w:val="14"/>
          <w:szCs w:val="14"/>
          <w:color w:val="auto"/>
        </w:rPr>
        <w:t>Represents an RSU award granted to Mr. Leskinen on September 25, 2023 in accordance with his promotion to Executive Vice President and Chief Financial Ofcer. This award vested or will vest in one-third increments on February 28, 2024, 2025 and 2026, subject to continued employment through each vesting date or qualifying termination of employment.</w:t>
      </w:r>
    </w:p>
    <w:p>
      <w:pPr>
        <w:spacing w:after="0" w:line="140" w:lineRule="exact"/>
        <w:rPr>
          <w:rFonts w:ascii="Arial" w:cs="Arial" w:eastAsia="Arial" w:hAnsi="Arial"/>
          <w:sz w:val="22"/>
          <w:szCs w:val="22"/>
          <w:color w:val="auto"/>
          <w:vertAlign w:val="superscript"/>
        </w:rPr>
      </w:pPr>
    </w:p>
    <w:p>
      <w:pPr>
        <w:ind w:left="320" w:hanging="316"/>
        <w:spacing w:after="0"/>
        <w:tabs>
          <w:tab w:leader="none" w:pos="320" w:val="left"/>
        </w:tabs>
        <w:numPr>
          <w:ilvl w:val="0"/>
          <w:numId w:val="138"/>
        </w:numPr>
        <w:rPr>
          <w:rFonts w:ascii="Arial" w:cs="Arial" w:eastAsia="Arial" w:hAnsi="Arial"/>
          <w:sz w:val="22"/>
          <w:szCs w:val="22"/>
          <w:color w:val="auto"/>
          <w:vertAlign w:val="superscript"/>
        </w:rPr>
      </w:pPr>
      <w:r>
        <w:rPr>
          <w:rFonts w:ascii="Arial" w:cs="Arial" w:eastAsia="Arial" w:hAnsi="Arial"/>
          <w:sz w:val="14"/>
          <w:szCs w:val="14"/>
          <w:color w:val="auto"/>
        </w:rPr>
        <w:t>Represents  a  special  stock  option  award  granted  to  Mr.  Hart  on  June  14,  2017.  This  award  is  fully  vested.</w:t>
      </w:r>
    </w:p>
    <w:p>
      <w:pPr>
        <w:sectPr>
          <w:pgSz w:w="11900" w:h="16838" w:orient="portrait"/>
          <w:cols w:equalWidth="0" w:num="1">
            <w:col w:w="9720"/>
          </w:cols>
          <w:pgMar w:left="1080" w:top="695"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ind w:right="7720"/>
        <w:spacing w:after="0"/>
        <w:rPr>
          <w:sz w:val="20"/>
          <w:szCs w:val="20"/>
          <w:color w:val="auto"/>
        </w:rPr>
      </w:pPr>
      <w:r>
        <w:rPr>
          <w:rFonts w:ascii="Arial" w:cs="Arial" w:eastAsia="Arial" w:hAnsi="Arial"/>
          <w:sz w:val="16"/>
          <w:szCs w:val="16"/>
          <w:color w:val="auto"/>
        </w:rPr>
        <w:t>​​2026​  Proxy</w:t>
      </w:r>
    </w:p>
    <w:p>
      <w:pPr>
        <w:spacing w:after="0" w:line="5" w:lineRule="exact"/>
        <w:rPr>
          <w:sz w:val="20"/>
          <w:szCs w:val="20"/>
          <w:color w:val="auto"/>
        </w:rPr>
      </w:pPr>
    </w:p>
    <w:p>
      <w:pPr>
        <w:ind w:left="660" w:hanging="656"/>
        <w:spacing w:after="0"/>
        <w:tabs>
          <w:tab w:leader="none" w:pos="660" w:val="left"/>
        </w:tabs>
        <w:numPr>
          <w:ilvl w:val="0"/>
          <w:numId w:val="139"/>
        </w:numPr>
        <w:rPr>
          <w:rFonts w:ascii="Arial" w:cs="Arial" w:eastAsia="Arial" w:hAnsi="Arial"/>
          <w:sz w:val="16"/>
          <w:szCs w:val="16"/>
          <w:b w:val="1"/>
          <w:bCs w:val="1"/>
          <w:color w:val="1414D2"/>
        </w:rPr>
      </w:pPr>
      <w:r>
        <w:rPr>
          <w:rFonts w:ascii="Arial" w:cs="Arial" w:eastAsia="Arial" w:hAnsi="Arial"/>
          <w:sz w:val="16"/>
          <w:szCs w:val="16"/>
          <w:color w:val="auto"/>
        </w:rPr>
        <w:t>Statement</w:t>
      </w:r>
    </w:p>
    <w:p>
      <w:pPr>
        <w:sectPr>
          <w:pgSz w:w="11900" w:h="16838" w:orient="portrait"/>
          <w:cols w:equalWidth="0" w:num="1">
            <w:col w:w="9720"/>
          </w:cols>
          <w:pgMar w:left="1080" w:top="695" w:right="1099" w:bottom="1440" w:gutter="0" w:footer="0" w:header="0"/>
          <w:type w:val="continuous"/>
        </w:sectPr>
      </w:pPr>
    </w:p>
    <w:bookmarkStart w:id="129" w:name="page130"/>
    <w:bookmarkEnd w:id="129"/>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27" w:lineRule="exact"/>
        <w:rPr>
          <w:sz w:val="20"/>
          <w:szCs w:val="20"/>
          <w:color w:val="auto"/>
        </w:rPr>
      </w:pPr>
    </w:p>
    <w:p>
      <w:pPr>
        <w:jc w:val="right"/>
        <w:spacing w:after="0"/>
        <w:rPr>
          <w:sz w:val="20"/>
          <w:szCs w:val="20"/>
          <w:color w:val="auto"/>
        </w:rPr>
      </w:pPr>
      <w:r>
        <w:rPr>
          <w:rFonts w:ascii="Arial" w:cs="Arial" w:eastAsia="Arial" w:hAnsi="Arial"/>
          <w:sz w:val="14"/>
          <w:szCs w:val="14"/>
          <w:color w:val="6D6F71"/>
        </w:rPr>
        <w:t>Executive  Compensation</w:t>
      </w:r>
    </w:p>
    <w:p>
      <w:pPr>
        <w:spacing w:after="0" w:line="223" w:lineRule="exact"/>
        <w:rPr>
          <w:sz w:val="20"/>
          <w:szCs w:val="20"/>
          <w:color w:val="auto"/>
        </w:rPr>
      </w:pPr>
    </w:p>
    <w:p>
      <w:pPr>
        <w:spacing w:after="0"/>
        <w:rPr>
          <w:sz w:val="20"/>
          <w:szCs w:val="20"/>
          <w:color w:val="auto"/>
        </w:rPr>
      </w:pPr>
      <w:r>
        <w:rPr>
          <w:rFonts w:ascii="Arial" w:cs="Arial" w:eastAsia="Arial" w:hAnsi="Arial"/>
          <w:sz w:val="25"/>
          <w:szCs w:val="25"/>
          <w:b w:val="1"/>
          <w:bCs w:val="1"/>
          <w:color w:val="1414D2"/>
        </w:rPr>
        <w:t>Option Exercises and Stock Vested for 2025</w:t>
      </w:r>
    </w:p>
    <w:p>
      <w:pPr>
        <w:spacing w:after="0" w:line="119" w:lineRule="exact"/>
        <w:rPr>
          <w:sz w:val="20"/>
          <w:szCs w:val="20"/>
          <w:color w:val="auto"/>
        </w:rPr>
      </w:pPr>
    </w:p>
    <w:p>
      <w:pPr>
        <w:ind w:right="100"/>
        <w:spacing w:after="0" w:line="330" w:lineRule="auto"/>
        <w:rPr>
          <w:sz w:val="20"/>
          <w:szCs w:val="20"/>
          <w:color w:val="auto"/>
        </w:rPr>
      </w:pPr>
      <w:r>
        <w:rPr>
          <w:rFonts w:ascii="Arial" w:cs="Arial" w:eastAsia="Arial" w:hAnsi="Arial"/>
          <w:sz w:val="16"/>
          <w:szCs w:val="16"/>
          <w:color w:val="auto"/>
        </w:rPr>
        <w:t>The following table presents information regarding the vesting of RSUs and Performance-Based RSUs during 2025. There were no option exercises by the NEOs during 2025.</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560" w:type="dxa"/>
            <w:vAlign w:val="bottom"/>
            <w:tcBorders>
              <w:top w:val="single" w:sz="8" w:color="1414D2"/>
            </w:tcBorders>
            <w:shd w:val="clear" w:color="auto" w:fill="F2F2F2"/>
          </w:tcPr>
          <w:p>
            <w:pPr>
              <w:spacing w:after="0"/>
              <w:rPr>
                <w:sz w:val="22"/>
                <w:szCs w:val="22"/>
                <w:color w:val="auto"/>
              </w:rPr>
            </w:pPr>
          </w:p>
        </w:tc>
        <w:tc>
          <w:tcPr>
            <w:tcW w:w="300" w:type="dxa"/>
            <w:vAlign w:val="bottom"/>
            <w:tcBorders>
              <w:top w:val="single" w:sz="8" w:color="1414D2"/>
            </w:tcBorders>
            <w:gridSpan w:val="2"/>
            <w:shd w:val="clear" w:color="auto" w:fill="F2F2F2"/>
          </w:tcPr>
          <w:p>
            <w:pPr>
              <w:ind w:left="100"/>
              <w:spacing w:after="0"/>
              <w:rPr>
                <w:sz w:val="20"/>
                <w:szCs w:val="20"/>
                <w:color w:val="auto"/>
              </w:rPr>
            </w:pPr>
            <w:r>
              <w:rPr>
                <w:rFonts w:ascii="Arial" w:cs="Arial" w:eastAsia="Arial" w:hAnsi="Arial"/>
                <w:sz w:val="20"/>
                <w:szCs w:val="20"/>
                <w:b w:val="1"/>
                <w:bCs w:val="1"/>
                <w:color w:val="auto"/>
              </w:rPr>
              <w:t>​​​</w:t>
            </w:r>
          </w:p>
        </w:tc>
        <w:tc>
          <w:tcPr>
            <w:tcW w:w="2440" w:type="dxa"/>
            <w:vAlign w:val="bottom"/>
            <w:tcBorders>
              <w:top w:val="single" w:sz="8" w:color="1414D2"/>
            </w:tcBorders>
            <w:gridSpan w:val="2"/>
            <w:shd w:val="clear" w:color="auto" w:fill="F2F2F2"/>
          </w:tcPr>
          <w:p>
            <w:pPr>
              <w:jc w:val="right"/>
              <w:ind w:right="139"/>
              <w:spacing w:after="0"/>
              <w:rPr>
                <w:sz w:val="20"/>
                <w:szCs w:val="20"/>
                <w:color w:val="auto"/>
              </w:rPr>
            </w:pPr>
            <w:r>
              <w:rPr>
                <w:rFonts w:ascii="Arial" w:cs="Arial" w:eastAsia="Arial" w:hAnsi="Arial"/>
                <w:sz w:val="14"/>
                <w:szCs w:val="14"/>
                <w:b w:val="1"/>
                <w:bCs w:val="1"/>
                <w:color w:val="auto"/>
              </w:rPr>
              <w:t>Stock Awards</w:t>
            </w:r>
          </w:p>
        </w:tc>
        <w:tc>
          <w:tcPr>
            <w:tcW w:w="1180" w:type="dxa"/>
            <w:vAlign w:val="bottom"/>
            <w:tcBorders>
              <w:top w:val="single" w:sz="8" w:color="1414D2"/>
            </w:tcBorders>
            <w:shd w:val="clear" w:color="auto" w:fill="F2F2F2"/>
          </w:tcPr>
          <w:p>
            <w:pPr>
              <w:spacing w:after="0"/>
              <w:rPr>
                <w:sz w:val="22"/>
                <w:szCs w:val="22"/>
                <w:color w:val="auto"/>
              </w:rPr>
            </w:pPr>
          </w:p>
        </w:tc>
        <w:tc>
          <w:tcPr>
            <w:tcW w:w="240" w:type="dxa"/>
            <w:vAlign w:val="bottom"/>
            <w:tcBorders>
              <w:top w:val="single" w:sz="8" w:color="1414D2"/>
            </w:tcBorders>
            <w:shd w:val="clear" w:color="auto" w:fill="F2F2F2"/>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560" w:type="dxa"/>
            <w:vAlign w:val="bottom"/>
            <w:shd w:val="clear" w:color="auto" w:fill="F2F2F2"/>
          </w:tcPr>
          <w:p>
            <w:pPr>
              <w:spacing w:after="0"/>
              <w:rPr>
                <w:sz w:val="2"/>
                <w:szCs w:val="2"/>
                <w:color w:val="auto"/>
              </w:rPr>
            </w:pPr>
          </w:p>
        </w:tc>
        <w:tc>
          <w:tcPr>
            <w:tcW w:w="200" w:type="dxa"/>
            <w:vAlign w:val="bottom"/>
            <w:shd w:val="clear" w:color="auto" w:fill="F2F2F2"/>
          </w:tcPr>
          <w:p>
            <w:pPr>
              <w:spacing w:after="0"/>
              <w:rPr>
                <w:sz w:val="2"/>
                <w:szCs w:val="2"/>
                <w:color w:val="auto"/>
              </w:rPr>
            </w:pPr>
          </w:p>
        </w:tc>
        <w:tc>
          <w:tcPr>
            <w:tcW w:w="100" w:type="dxa"/>
            <w:vAlign w:val="bottom"/>
            <w:shd w:val="clear" w:color="auto" w:fill="1414D2"/>
          </w:tcPr>
          <w:p>
            <w:pPr>
              <w:spacing w:after="0"/>
              <w:rPr>
                <w:sz w:val="2"/>
                <w:szCs w:val="2"/>
                <w:color w:val="auto"/>
              </w:rPr>
            </w:pPr>
          </w:p>
        </w:tc>
        <w:tc>
          <w:tcPr>
            <w:tcW w:w="1600" w:type="dxa"/>
            <w:vAlign w:val="bottom"/>
            <w:shd w:val="clear" w:color="auto" w:fill="1414D2"/>
          </w:tcPr>
          <w:p>
            <w:pPr>
              <w:spacing w:after="0"/>
              <w:rPr>
                <w:sz w:val="2"/>
                <w:szCs w:val="2"/>
                <w:color w:val="auto"/>
              </w:rPr>
            </w:pPr>
          </w:p>
        </w:tc>
        <w:tc>
          <w:tcPr>
            <w:tcW w:w="840" w:type="dxa"/>
            <w:vAlign w:val="bottom"/>
            <w:shd w:val="clear" w:color="auto" w:fill="1414D2"/>
          </w:tcPr>
          <w:p>
            <w:pPr>
              <w:spacing w:after="0"/>
              <w:rPr>
                <w:sz w:val="2"/>
                <w:szCs w:val="2"/>
                <w:color w:val="auto"/>
              </w:rPr>
            </w:pPr>
          </w:p>
        </w:tc>
        <w:tc>
          <w:tcPr>
            <w:tcW w:w="1180" w:type="dxa"/>
            <w:vAlign w:val="bottom"/>
            <w:shd w:val="clear" w:color="auto" w:fill="1414D2"/>
          </w:tcPr>
          <w:p>
            <w:pPr>
              <w:spacing w:after="0"/>
              <w:rPr>
                <w:sz w:val="2"/>
                <w:szCs w:val="2"/>
                <w:color w:val="auto"/>
              </w:rPr>
            </w:pPr>
          </w:p>
        </w:tc>
        <w:tc>
          <w:tcPr>
            <w:tcW w:w="240" w:type="dxa"/>
            <w:vAlign w:val="bottom"/>
            <w:shd w:val="clear" w:color="auto" w:fill="1414D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560" w:type="dxa"/>
            <w:vAlign w:val="bottom"/>
            <w:shd w:val="clear" w:color="auto" w:fill="F2F2F2"/>
          </w:tcPr>
          <w:p>
            <w:pPr>
              <w:spacing w:after="0"/>
              <w:rPr>
                <w:sz w:val="13"/>
                <w:szCs w:val="13"/>
                <w:color w:val="auto"/>
              </w:rPr>
            </w:pPr>
          </w:p>
        </w:tc>
        <w:tc>
          <w:tcPr>
            <w:tcW w:w="300" w:type="dxa"/>
            <w:vAlign w:val="bottom"/>
            <w:gridSpan w:val="2"/>
            <w:vMerge w:val="restart"/>
            <w:shd w:val="clear" w:color="auto" w:fill="F2F2F2"/>
          </w:tcPr>
          <w:p>
            <w:pPr>
              <w:ind w:left="100"/>
              <w:spacing w:after="0"/>
              <w:rPr>
                <w:sz w:val="20"/>
                <w:szCs w:val="20"/>
                <w:color w:val="auto"/>
              </w:rPr>
            </w:pPr>
            <w:r>
              <w:rPr>
                <w:rFonts w:ascii="Arial" w:cs="Arial" w:eastAsia="Arial" w:hAnsi="Arial"/>
                <w:sz w:val="20"/>
                <w:szCs w:val="20"/>
                <w:color w:val="auto"/>
              </w:rPr>
              <w:t>​​​</w:t>
            </w:r>
          </w:p>
        </w:tc>
        <w:tc>
          <w:tcPr>
            <w:tcW w:w="1600" w:type="dxa"/>
            <w:vAlign w:val="bottom"/>
            <w:shd w:val="clear" w:color="auto" w:fill="F2F2F2"/>
          </w:tcPr>
          <w:p>
            <w:pPr>
              <w:jc w:val="center"/>
              <w:ind w:right="20"/>
              <w:spacing w:after="0" w:line="157" w:lineRule="exact"/>
              <w:rPr>
                <w:sz w:val="20"/>
                <w:szCs w:val="20"/>
                <w:color w:val="auto"/>
              </w:rPr>
            </w:pPr>
            <w:r>
              <w:rPr>
                <w:rFonts w:ascii="Arial" w:cs="Arial" w:eastAsia="Arial" w:hAnsi="Arial"/>
                <w:sz w:val="14"/>
                <w:szCs w:val="14"/>
                <w:b w:val="1"/>
                <w:bCs w:val="1"/>
                <w:color w:val="auto"/>
              </w:rPr>
              <w:t>Number of Shares</w:t>
            </w:r>
          </w:p>
        </w:tc>
        <w:tc>
          <w:tcPr>
            <w:tcW w:w="2020" w:type="dxa"/>
            <w:vAlign w:val="bottom"/>
            <w:gridSpan w:val="2"/>
            <w:vMerge w:val="restart"/>
            <w:shd w:val="clear" w:color="auto" w:fill="F2F2F2"/>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Value Realized on Vesting</w:t>
            </w:r>
          </w:p>
        </w:tc>
        <w:tc>
          <w:tcPr>
            <w:tcW w:w="240" w:type="dxa"/>
            <w:vAlign w:val="bottom"/>
            <w:shd w:val="clear" w:color="auto" w:fill="F2F2F2"/>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5560" w:type="dxa"/>
            <w:vAlign w:val="bottom"/>
            <w:shd w:val="clear" w:color="auto" w:fill="F2F2F2"/>
          </w:tcPr>
          <w:p>
            <w:pPr>
              <w:spacing w:after="0"/>
              <w:rPr>
                <w:sz w:val="15"/>
                <w:szCs w:val="15"/>
                <w:color w:val="auto"/>
              </w:rPr>
            </w:pPr>
          </w:p>
        </w:tc>
        <w:tc>
          <w:tcPr>
            <w:tcW w:w="300" w:type="dxa"/>
            <w:vAlign w:val="bottom"/>
            <w:gridSpan w:val="2"/>
            <w:vMerge w:val="continue"/>
            <w:shd w:val="clear" w:color="auto" w:fill="F2F2F2"/>
          </w:tcPr>
          <w:p>
            <w:pPr>
              <w:spacing w:after="0"/>
              <w:rPr>
                <w:sz w:val="15"/>
                <w:szCs w:val="15"/>
                <w:color w:val="auto"/>
              </w:rPr>
            </w:pPr>
          </w:p>
        </w:tc>
        <w:tc>
          <w:tcPr>
            <w:tcW w:w="1600" w:type="dxa"/>
            <w:vAlign w:val="bottom"/>
            <w:shd w:val="clear" w:color="auto" w:fill="F2F2F2"/>
          </w:tcPr>
          <w:p>
            <w:pPr>
              <w:jc w:val="center"/>
              <w:spacing w:after="0"/>
              <w:rPr>
                <w:sz w:val="20"/>
                <w:szCs w:val="20"/>
                <w:color w:val="auto"/>
              </w:rPr>
            </w:pPr>
            <w:r>
              <w:rPr>
                <w:rFonts w:ascii="Arial" w:cs="Arial" w:eastAsia="Arial" w:hAnsi="Arial"/>
                <w:sz w:val="14"/>
                <w:szCs w:val="14"/>
                <w:b w:val="1"/>
                <w:bCs w:val="1"/>
                <w:color w:val="auto"/>
              </w:rPr>
              <w:t>Acquired on Vesting</w:t>
            </w:r>
          </w:p>
        </w:tc>
        <w:tc>
          <w:tcPr>
            <w:tcW w:w="2020" w:type="dxa"/>
            <w:vAlign w:val="bottom"/>
            <w:gridSpan w:val="2"/>
            <w:vMerge w:val="continue"/>
            <w:shd w:val="clear" w:color="auto" w:fill="F2F2F2"/>
          </w:tcPr>
          <w:p>
            <w:pPr>
              <w:spacing w:after="0"/>
              <w:rPr>
                <w:sz w:val="15"/>
                <w:szCs w:val="15"/>
                <w:color w:val="auto"/>
              </w:rPr>
            </w:pPr>
          </w:p>
        </w:tc>
        <w:tc>
          <w:tcPr>
            <w:tcW w:w="240" w:type="dxa"/>
            <w:vAlign w:val="bottom"/>
            <w:shd w:val="clear" w:color="auto" w:fill="F2F2F2"/>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5560" w:type="dxa"/>
            <w:vAlign w:val="bottom"/>
            <w:tcBorders>
              <w:bottom w:val="single" w:sz="8" w:color="F2F2F2"/>
            </w:tcBorders>
            <w:shd w:val="clear" w:color="auto" w:fill="F2F2F2"/>
          </w:tcPr>
          <w:p>
            <w:pPr>
              <w:ind w:left="120"/>
              <w:spacing w:after="0"/>
              <w:rPr>
                <w:sz w:val="20"/>
                <w:szCs w:val="20"/>
                <w:color w:val="auto"/>
              </w:rPr>
            </w:pPr>
            <w:r>
              <w:rPr>
                <w:rFonts w:ascii="Arial" w:cs="Arial" w:eastAsia="Arial" w:hAnsi="Arial"/>
                <w:sz w:val="14"/>
                <w:szCs w:val="14"/>
                <w:b w:val="1"/>
                <w:bCs w:val="1"/>
                <w:color w:val="auto"/>
              </w:rPr>
              <w:t>Name</w:t>
            </w:r>
          </w:p>
        </w:tc>
        <w:tc>
          <w:tcPr>
            <w:tcW w:w="200" w:type="dxa"/>
            <w:vAlign w:val="bottom"/>
          </w:tcPr>
          <w:p>
            <w:pPr>
              <w:spacing w:after="0"/>
              <w:rPr>
                <w:sz w:val="21"/>
                <w:szCs w:val="21"/>
                <w:color w:val="auto"/>
              </w:rPr>
            </w:pPr>
          </w:p>
        </w:tc>
        <w:tc>
          <w:tcPr>
            <w:tcW w:w="100" w:type="dxa"/>
            <w:vAlign w:val="bottom"/>
            <w:tcBorders>
              <w:bottom w:val="single" w:sz="8" w:color="F2F2F2"/>
            </w:tcBorders>
            <w:shd w:val="clear" w:color="auto" w:fill="F2F2F2"/>
          </w:tcPr>
          <w:p>
            <w:pPr>
              <w:spacing w:after="0"/>
              <w:rPr>
                <w:sz w:val="21"/>
                <w:szCs w:val="21"/>
                <w:color w:val="auto"/>
              </w:rPr>
            </w:pPr>
          </w:p>
        </w:tc>
        <w:tc>
          <w:tcPr>
            <w:tcW w:w="1600" w:type="dxa"/>
            <w:vAlign w:val="bottom"/>
            <w:tcBorders>
              <w:bottom w:val="single" w:sz="8" w:color="F2F2F2"/>
            </w:tcBorders>
            <w:shd w:val="clear" w:color="auto" w:fill="F2F2F2"/>
          </w:tcPr>
          <w:p>
            <w:pPr>
              <w:jc w:val="center"/>
              <w:ind w:right="20"/>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F2F2F2"/>
            </w:tcBorders>
            <w:shd w:val="clear" w:color="auto" w:fill="F2F2F2"/>
          </w:tcPr>
          <w:p>
            <w:pPr>
              <w:spacing w:after="0"/>
              <w:rPr>
                <w:sz w:val="21"/>
                <w:szCs w:val="21"/>
                <w:color w:val="auto"/>
              </w:rPr>
            </w:pPr>
          </w:p>
        </w:tc>
        <w:tc>
          <w:tcPr>
            <w:tcW w:w="1180" w:type="dxa"/>
            <w:vAlign w:val="bottom"/>
            <w:tcBorders>
              <w:bottom w:val="single" w:sz="8" w:color="F2F2F2"/>
            </w:tcBorders>
            <w:shd w:val="clear" w:color="auto" w:fill="F2F2F2"/>
          </w:tcPr>
          <w:p>
            <w:pPr>
              <w:jc w:val="right"/>
              <w:ind w:right="739"/>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F2F2F2"/>
            </w:tcBorders>
            <w:shd w:val="clear" w:color="auto" w:fill="F2F2F2"/>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5860" w:type="dxa"/>
            <w:vAlign w:val="bottom"/>
            <w:gridSpan w:val="3"/>
          </w:tcPr>
          <w:p>
            <w:pPr>
              <w:ind w:left="120"/>
              <w:spacing w:after="0"/>
              <w:rPr>
                <w:sz w:val="20"/>
                <w:szCs w:val="20"/>
                <w:color w:val="auto"/>
              </w:rPr>
            </w:pPr>
            <w:r>
              <w:rPr>
                <w:rFonts w:ascii="Arial" w:cs="Arial" w:eastAsia="Arial" w:hAnsi="Arial"/>
                <w:sz w:val="16"/>
                <w:szCs w:val="16"/>
                <w:b w:val="1"/>
                <w:bCs w:val="1"/>
                <w:color w:val="auto"/>
              </w:rPr>
              <w:t>Scott Kirby</w:t>
            </w:r>
          </w:p>
        </w:tc>
        <w:tc>
          <w:tcPr>
            <w:tcW w:w="1600" w:type="dxa"/>
            <w:vAlign w:val="bottom"/>
          </w:tcPr>
          <w:p>
            <w:pPr>
              <w:jc w:val="right"/>
              <w:spacing w:after="0"/>
              <w:rPr>
                <w:sz w:val="20"/>
                <w:szCs w:val="20"/>
                <w:color w:val="auto"/>
              </w:rPr>
            </w:pPr>
            <w:r>
              <w:rPr>
                <w:rFonts w:ascii="Arial" w:cs="Arial" w:eastAsia="Arial" w:hAnsi="Arial"/>
                <w:sz w:val="16"/>
                <w:szCs w:val="16"/>
                <w:color w:val="auto"/>
              </w:rPr>
              <w:t>53,419</w:t>
            </w:r>
          </w:p>
        </w:tc>
        <w:tc>
          <w:tcPr>
            <w:tcW w:w="840" w:type="dxa"/>
            <w:vAlign w:val="bottom"/>
          </w:tcPr>
          <w:p>
            <w:pPr>
              <w:jc w:val="right"/>
              <w:ind w:right="639"/>
              <w:spacing w:after="0"/>
              <w:rPr>
                <w:sz w:val="20"/>
                <w:szCs w:val="20"/>
                <w:color w:val="auto"/>
              </w:rPr>
            </w:pPr>
            <w:r>
              <w:rPr>
                <w:rFonts w:ascii="Arial" w:cs="Arial" w:eastAsia="Arial" w:hAnsi="Arial"/>
                <w:sz w:val="12"/>
                <w:szCs w:val="12"/>
                <w:color w:val="auto"/>
                <w:w w:val="81"/>
              </w:rPr>
              <w:t>(1)</w:t>
            </w:r>
          </w:p>
        </w:tc>
        <w:tc>
          <w:tcPr>
            <w:tcW w:w="1180" w:type="dxa"/>
            <w:vAlign w:val="bottom"/>
          </w:tcPr>
          <w:p>
            <w:pPr>
              <w:jc w:val="right"/>
              <w:spacing w:after="0"/>
              <w:rPr>
                <w:sz w:val="20"/>
                <w:szCs w:val="20"/>
                <w:color w:val="auto"/>
              </w:rPr>
            </w:pPr>
            <w:r>
              <w:rPr>
                <w:rFonts w:ascii="Arial" w:cs="Arial" w:eastAsia="Arial" w:hAnsi="Arial"/>
                <w:sz w:val="16"/>
                <w:szCs w:val="16"/>
                <w:color w:val="auto"/>
              </w:rPr>
              <w:t>5,011,236</w:t>
            </w:r>
          </w:p>
        </w:tc>
        <w:tc>
          <w:tcPr>
            <w:tcW w:w="240" w:type="dxa"/>
            <w:vAlign w:val="bottom"/>
          </w:tcPr>
          <w:p>
            <w:pPr>
              <w:jc w:val="right"/>
              <w:ind w:right="39"/>
              <w:spacing w:after="0"/>
              <w:rPr>
                <w:sz w:val="20"/>
                <w:szCs w:val="20"/>
                <w:color w:val="auto"/>
              </w:rPr>
            </w:pPr>
            <w:r>
              <w:rPr>
                <w:rFonts w:ascii="Arial" w:cs="Arial" w:eastAsia="Arial" w:hAnsi="Arial"/>
                <w:sz w:val="12"/>
                <w:szCs w:val="12"/>
                <w:color w:val="auto"/>
                <w:w w:val="81"/>
              </w:rPr>
              <w:t>(1)</w:t>
            </w:r>
          </w:p>
        </w:tc>
        <w:tc>
          <w:tcPr>
            <w:tcW w:w="0" w:type="dxa"/>
            <w:vAlign w:val="bottom"/>
          </w:tcPr>
          <w:p>
            <w:pPr>
              <w:spacing w:after="0"/>
              <w:rPr>
                <w:sz w:val="1"/>
                <w:szCs w:val="1"/>
                <w:color w:val="auto"/>
              </w:rPr>
            </w:pPr>
          </w:p>
        </w:tc>
      </w:tr>
      <w:tr>
        <w:trPr>
          <w:trHeight w:val="243"/>
        </w:trPr>
        <w:tc>
          <w:tcPr>
            <w:tcW w:w="5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49,561</w:t>
            </w:r>
          </w:p>
        </w:tc>
        <w:tc>
          <w:tcPr>
            <w:tcW w:w="840" w:type="dxa"/>
            <w:vAlign w:val="bottom"/>
          </w:tcPr>
          <w:p>
            <w:pPr>
              <w:jc w:val="right"/>
              <w:ind w:right="639"/>
              <w:spacing w:after="0"/>
              <w:rPr>
                <w:sz w:val="20"/>
                <w:szCs w:val="20"/>
                <w:color w:val="auto"/>
              </w:rPr>
            </w:pPr>
            <w:r>
              <w:rPr>
                <w:rFonts w:ascii="Arial" w:cs="Arial" w:eastAsia="Arial" w:hAnsi="Arial"/>
                <w:sz w:val="12"/>
                <w:szCs w:val="12"/>
                <w:color w:val="auto"/>
                <w:w w:val="81"/>
              </w:rPr>
              <w:t>(2)</w:t>
            </w:r>
          </w:p>
        </w:tc>
        <w:tc>
          <w:tcPr>
            <w:tcW w:w="1180" w:type="dxa"/>
            <w:vAlign w:val="bottom"/>
          </w:tcPr>
          <w:p>
            <w:pPr>
              <w:jc w:val="right"/>
              <w:spacing w:after="0"/>
              <w:rPr>
                <w:sz w:val="20"/>
                <w:szCs w:val="20"/>
                <w:color w:val="auto"/>
              </w:rPr>
            </w:pPr>
            <w:r>
              <w:rPr>
                <w:rFonts w:ascii="Arial" w:cs="Arial" w:eastAsia="Arial" w:hAnsi="Arial"/>
                <w:sz w:val="16"/>
                <w:szCs w:val="16"/>
                <w:color w:val="auto"/>
              </w:rPr>
              <w:t>4,649,317</w:t>
            </w:r>
          </w:p>
        </w:tc>
        <w:tc>
          <w:tcPr>
            <w:tcW w:w="240" w:type="dxa"/>
            <w:vAlign w:val="bottom"/>
          </w:tcPr>
          <w:p>
            <w:pPr>
              <w:jc w:val="right"/>
              <w:ind w:right="39"/>
              <w:spacing w:after="0"/>
              <w:rPr>
                <w:sz w:val="20"/>
                <w:szCs w:val="20"/>
                <w:color w:val="auto"/>
              </w:rPr>
            </w:pPr>
            <w:r>
              <w:rPr>
                <w:rFonts w:ascii="Arial" w:cs="Arial" w:eastAsia="Arial" w:hAnsi="Arial"/>
                <w:sz w:val="12"/>
                <w:szCs w:val="12"/>
                <w:color w:val="auto"/>
                <w:w w:val="81"/>
              </w:rPr>
              <w:t>(2)</w:t>
            </w:r>
          </w:p>
        </w:tc>
        <w:tc>
          <w:tcPr>
            <w:tcW w:w="0" w:type="dxa"/>
            <w:vAlign w:val="bottom"/>
          </w:tcPr>
          <w:p>
            <w:pPr>
              <w:spacing w:after="0"/>
              <w:rPr>
                <w:sz w:val="1"/>
                <w:szCs w:val="1"/>
                <w:color w:val="auto"/>
              </w:rPr>
            </w:pPr>
          </w:p>
        </w:tc>
      </w:tr>
      <w:tr>
        <w:trPr>
          <w:trHeight w:val="243"/>
        </w:trPr>
        <w:tc>
          <w:tcPr>
            <w:tcW w:w="5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50,560</w:t>
            </w:r>
          </w:p>
        </w:tc>
        <w:tc>
          <w:tcPr>
            <w:tcW w:w="840" w:type="dxa"/>
            <w:vAlign w:val="bottom"/>
          </w:tcPr>
          <w:p>
            <w:pPr>
              <w:jc w:val="right"/>
              <w:ind w:right="639"/>
              <w:spacing w:after="0"/>
              <w:rPr>
                <w:sz w:val="20"/>
                <w:szCs w:val="20"/>
                <w:color w:val="auto"/>
              </w:rPr>
            </w:pPr>
            <w:r>
              <w:rPr>
                <w:rFonts w:ascii="Arial" w:cs="Arial" w:eastAsia="Arial" w:hAnsi="Arial"/>
                <w:sz w:val="12"/>
                <w:szCs w:val="12"/>
                <w:color w:val="auto"/>
                <w:w w:val="81"/>
              </w:rPr>
              <w:t>(3)</w:t>
            </w:r>
          </w:p>
        </w:tc>
        <w:tc>
          <w:tcPr>
            <w:tcW w:w="1180" w:type="dxa"/>
            <w:vAlign w:val="bottom"/>
          </w:tcPr>
          <w:p>
            <w:pPr>
              <w:jc w:val="right"/>
              <w:spacing w:after="0"/>
              <w:rPr>
                <w:sz w:val="20"/>
                <w:szCs w:val="20"/>
                <w:color w:val="auto"/>
              </w:rPr>
            </w:pPr>
            <w:r>
              <w:rPr>
                <w:rFonts w:ascii="Arial" w:cs="Arial" w:eastAsia="Arial" w:hAnsi="Arial"/>
                <w:sz w:val="16"/>
                <w:szCs w:val="16"/>
                <w:color w:val="auto"/>
              </w:rPr>
              <w:t>4,743,034</w:t>
            </w:r>
          </w:p>
        </w:tc>
        <w:tc>
          <w:tcPr>
            <w:tcW w:w="240" w:type="dxa"/>
            <w:vAlign w:val="bottom"/>
          </w:tcPr>
          <w:p>
            <w:pPr>
              <w:jc w:val="right"/>
              <w:ind w:right="39"/>
              <w:spacing w:after="0"/>
              <w:rPr>
                <w:sz w:val="20"/>
                <w:szCs w:val="20"/>
                <w:color w:val="auto"/>
              </w:rPr>
            </w:pPr>
            <w:r>
              <w:rPr>
                <w:rFonts w:ascii="Arial" w:cs="Arial" w:eastAsia="Arial" w:hAnsi="Arial"/>
                <w:sz w:val="12"/>
                <w:szCs w:val="12"/>
                <w:color w:val="auto"/>
                <w:w w:val="81"/>
              </w:rPr>
              <w:t>(3)</w:t>
            </w:r>
          </w:p>
        </w:tc>
        <w:tc>
          <w:tcPr>
            <w:tcW w:w="0" w:type="dxa"/>
            <w:vAlign w:val="bottom"/>
          </w:tcPr>
          <w:p>
            <w:pPr>
              <w:spacing w:after="0"/>
              <w:rPr>
                <w:sz w:val="1"/>
                <w:szCs w:val="1"/>
                <w:color w:val="auto"/>
              </w:rPr>
            </w:pPr>
          </w:p>
        </w:tc>
      </w:tr>
      <w:tr>
        <w:trPr>
          <w:trHeight w:val="243"/>
        </w:trPr>
        <w:tc>
          <w:tcPr>
            <w:tcW w:w="5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71,347</w:t>
            </w:r>
          </w:p>
        </w:tc>
        <w:tc>
          <w:tcPr>
            <w:tcW w:w="840" w:type="dxa"/>
            <w:vAlign w:val="bottom"/>
          </w:tcPr>
          <w:p>
            <w:pPr>
              <w:jc w:val="right"/>
              <w:ind w:right="639"/>
              <w:spacing w:after="0"/>
              <w:rPr>
                <w:sz w:val="20"/>
                <w:szCs w:val="20"/>
                <w:color w:val="auto"/>
              </w:rPr>
            </w:pPr>
            <w:r>
              <w:rPr>
                <w:rFonts w:ascii="Arial" w:cs="Arial" w:eastAsia="Arial" w:hAnsi="Arial"/>
                <w:sz w:val="12"/>
                <w:szCs w:val="12"/>
                <w:color w:val="auto"/>
                <w:w w:val="81"/>
              </w:rPr>
              <w:t>(4)</w:t>
            </w:r>
          </w:p>
        </w:tc>
        <w:tc>
          <w:tcPr>
            <w:tcW w:w="1180" w:type="dxa"/>
            <w:vAlign w:val="bottom"/>
          </w:tcPr>
          <w:p>
            <w:pPr>
              <w:jc w:val="right"/>
              <w:spacing w:after="0"/>
              <w:rPr>
                <w:sz w:val="20"/>
                <w:szCs w:val="20"/>
                <w:color w:val="auto"/>
              </w:rPr>
            </w:pPr>
            <w:r>
              <w:rPr>
                <w:rFonts w:ascii="Arial" w:cs="Arial" w:eastAsia="Arial" w:hAnsi="Arial"/>
                <w:sz w:val="16"/>
                <w:szCs w:val="16"/>
                <w:color w:val="auto"/>
              </w:rPr>
              <w:t>6,500,425</w:t>
            </w:r>
          </w:p>
        </w:tc>
        <w:tc>
          <w:tcPr>
            <w:tcW w:w="240" w:type="dxa"/>
            <w:vAlign w:val="bottom"/>
          </w:tcPr>
          <w:p>
            <w:pPr>
              <w:jc w:val="right"/>
              <w:ind w:right="39"/>
              <w:spacing w:after="0"/>
              <w:rPr>
                <w:sz w:val="20"/>
                <w:szCs w:val="20"/>
                <w:color w:val="auto"/>
              </w:rPr>
            </w:pPr>
            <w:r>
              <w:rPr>
                <w:rFonts w:ascii="Arial" w:cs="Arial" w:eastAsia="Arial" w:hAnsi="Arial"/>
                <w:sz w:val="12"/>
                <w:szCs w:val="12"/>
                <w:color w:val="auto"/>
                <w:w w:val="81"/>
              </w:rPr>
              <w:t>(4)</w:t>
            </w:r>
          </w:p>
        </w:tc>
        <w:tc>
          <w:tcPr>
            <w:tcW w:w="0" w:type="dxa"/>
            <w:vAlign w:val="bottom"/>
          </w:tcPr>
          <w:p>
            <w:pPr>
              <w:spacing w:after="0"/>
              <w:rPr>
                <w:sz w:val="1"/>
                <w:szCs w:val="1"/>
                <w:color w:val="auto"/>
              </w:rPr>
            </w:pPr>
          </w:p>
        </w:tc>
      </w:tr>
      <w:tr>
        <w:trPr>
          <w:trHeight w:val="243"/>
        </w:trPr>
        <w:tc>
          <w:tcPr>
            <w:tcW w:w="5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76,633</w:t>
            </w:r>
          </w:p>
        </w:tc>
        <w:tc>
          <w:tcPr>
            <w:tcW w:w="840" w:type="dxa"/>
            <w:vAlign w:val="bottom"/>
          </w:tcPr>
          <w:p>
            <w:pPr>
              <w:jc w:val="right"/>
              <w:ind w:right="639"/>
              <w:spacing w:after="0"/>
              <w:rPr>
                <w:sz w:val="20"/>
                <w:szCs w:val="20"/>
                <w:color w:val="auto"/>
              </w:rPr>
            </w:pPr>
            <w:r>
              <w:rPr>
                <w:rFonts w:ascii="Arial" w:cs="Arial" w:eastAsia="Arial" w:hAnsi="Arial"/>
                <w:sz w:val="12"/>
                <w:szCs w:val="12"/>
                <w:color w:val="auto"/>
                <w:w w:val="81"/>
              </w:rPr>
              <w:t>(5)</w:t>
            </w:r>
          </w:p>
        </w:tc>
        <w:tc>
          <w:tcPr>
            <w:tcW w:w="1180" w:type="dxa"/>
            <w:vAlign w:val="bottom"/>
          </w:tcPr>
          <w:p>
            <w:pPr>
              <w:jc w:val="right"/>
              <w:spacing w:after="0"/>
              <w:rPr>
                <w:sz w:val="20"/>
                <w:szCs w:val="20"/>
                <w:color w:val="auto"/>
              </w:rPr>
            </w:pPr>
            <w:r>
              <w:rPr>
                <w:rFonts w:ascii="Arial" w:cs="Arial" w:eastAsia="Arial" w:hAnsi="Arial"/>
                <w:sz w:val="16"/>
                <w:szCs w:val="16"/>
                <w:color w:val="auto"/>
              </w:rPr>
              <w:t>7,983,626</w:t>
            </w:r>
          </w:p>
        </w:tc>
        <w:tc>
          <w:tcPr>
            <w:tcW w:w="240" w:type="dxa"/>
            <w:vAlign w:val="bottom"/>
          </w:tcPr>
          <w:p>
            <w:pPr>
              <w:jc w:val="right"/>
              <w:ind w:right="39"/>
              <w:spacing w:after="0"/>
              <w:rPr>
                <w:sz w:val="20"/>
                <w:szCs w:val="20"/>
                <w:color w:val="auto"/>
              </w:rPr>
            </w:pPr>
            <w:r>
              <w:rPr>
                <w:rFonts w:ascii="Arial" w:cs="Arial" w:eastAsia="Arial" w:hAnsi="Arial"/>
                <w:sz w:val="12"/>
                <w:szCs w:val="12"/>
                <w:color w:val="auto"/>
                <w:w w:val="81"/>
              </w:rPr>
              <w:t>(5)</w:t>
            </w:r>
          </w:p>
        </w:tc>
        <w:tc>
          <w:tcPr>
            <w:tcW w:w="0" w:type="dxa"/>
            <w:vAlign w:val="bottom"/>
          </w:tcPr>
          <w:p>
            <w:pPr>
              <w:spacing w:after="0"/>
              <w:rPr>
                <w:sz w:val="1"/>
                <w:szCs w:val="1"/>
                <w:color w:val="auto"/>
              </w:rPr>
            </w:pPr>
          </w:p>
        </w:tc>
      </w:tr>
      <w:tr>
        <w:trPr>
          <w:trHeight w:val="265"/>
        </w:trPr>
        <w:tc>
          <w:tcPr>
            <w:tcW w:w="5560" w:type="dxa"/>
            <w:vAlign w:val="bottom"/>
            <w:tcBorders>
              <w:bottom w:val="single" w:sz="8" w:color="808080"/>
            </w:tcBorders>
          </w:tcPr>
          <w:p>
            <w:pPr>
              <w:spacing w:after="0"/>
              <w:rPr>
                <w:sz w:val="23"/>
                <w:szCs w:val="23"/>
                <w:color w:val="auto"/>
              </w:rPr>
            </w:pPr>
          </w:p>
        </w:tc>
        <w:tc>
          <w:tcPr>
            <w:tcW w:w="200" w:type="dxa"/>
            <w:vAlign w:val="bottom"/>
            <w:tcBorders>
              <w:bottom w:val="single" w:sz="8" w:color="808080"/>
            </w:tcBorders>
          </w:tcPr>
          <w:p>
            <w:pPr>
              <w:spacing w:after="0"/>
              <w:rPr>
                <w:sz w:val="23"/>
                <w:szCs w:val="23"/>
                <w:color w:val="auto"/>
              </w:rPr>
            </w:pPr>
          </w:p>
        </w:tc>
        <w:tc>
          <w:tcPr>
            <w:tcW w:w="100" w:type="dxa"/>
            <w:vAlign w:val="bottom"/>
            <w:tcBorders>
              <w:bottom w:val="single" w:sz="8" w:color="808080"/>
            </w:tcBorders>
          </w:tcPr>
          <w:p>
            <w:pPr>
              <w:spacing w:after="0"/>
              <w:rPr>
                <w:sz w:val="23"/>
                <w:szCs w:val="23"/>
                <w:color w:val="auto"/>
              </w:rPr>
            </w:pPr>
          </w:p>
        </w:tc>
        <w:tc>
          <w:tcPr>
            <w:tcW w:w="1600" w:type="dxa"/>
            <w:vAlign w:val="bottom"/>
            <w:tcBorders>
              <w:bottom w:val="single" w:sz="8" w:color="808080"/>
            </w:tcBorders>
          </w:tcPr>
          <w:p>
            <w:pPr>
              <w:jc w:val="right"/>
              <w:spacing w:after="0"/>
              <w:rPr>
                <w:sz w:val="20"/>
                <w:szCs w:val="20"/>
                <w:color w:val="auto"/>
              </w:rPr>
            </w:pPr>
            <w:r>
              <w:rPr>
                <w:rFonts w:ascii="Arial" w:cs="Arial" w:eastAsia="Arial" w:hAnsi="Arial"/>
                <w:sz w:val="16"/>
                <w:szCs w:val="16"/>
                <w:color w:val="auto"/>
              </w:rPr>
              <w:t>199,235</w:t>
            </w:r>
          </w:p>
        </w:tc>
        <w:tc>
          <w:tcPr>
            <w:tcW w:w="840" w:type="dxa"/>
            <w:vAlign w:val="bottom"/>
            <w:tcBorders>
              <w:bottom w:val="single" w:sz="8" w:color="808080"/>
            </w:tcBorders>
          </w:tcPr>
          <w:p>
            <w:pPr>
              <w:jc w:val="right"/>
              <w:ind w:right="639"/>
              <w:spacing w:after="0"/>
              <w:rPr>
                <w:sz w:val="20"/>
                <w:szCs w:val="20"/>
                <w:color w:val="auto"/>
              </w:rPr>
            </w:pPr>
            <w:r>
              <w:rPr>
                <w:rFonts w:ascii="Arial" w:cs="Arial" w:eastAsia="Arial" w:hAnsi="Arial"/>
                <w:sz w:val="12"/>
                <w:szCs w:val="12"/>
                <w:color w:val="auto"/>
                <w:w w:val="81"/>
              </w:rPr>
              <w:t>(6)</w:t>
            </w:r>
          </w:p>
        </w:tc>
        <w:tc>
          <w:tcPr>
            <w:tcW w:w="1180" w:type="dxa"/>
            <w:vAlign w:val="bottom"/>
            <w:tcBorders>
              <w:bottom w:val="single" w:sz="8" w:color="808080"/>
            </w:tcBorders>
          </w:tcPr>
          <w:p>
            <w:pPr>
              <w:jc w:val="right"/>
              <w:spacing w:after="0"/>
              <w:rPr>
                <w:sz w:val="20"/>
                <w:szCs w:val="20"/>
                <w:color w:val="auto"/>
              </w:rPr>
            </w:pPr>
            <w:r>
              <w:rPr>
                <w:rFonts w:ascii="Arial" w:cs="Arial" w:eastAsia="Arial" w:hAnsi="Arial"/>
                <w:sz w:val="16"/>
                <w:szCs w:val="16"/>
                <w:color w:val="auto"/>
              </w:rPr>
              <w:t>22,278,458</w:t>
            </w:r>
          </w:p>
        </w:tc>
        <w:tc>
          <w:tcPr>
            <w:tcW w:w="240" w:type="dxa"/>
            <w:vAlign w:val="bottom"/>
            <w:tcBorders>
              <w:bottom w:val="single" w:sz="8" w:color="808080"/>
            </w:tcBorders>
          </w:tcPr>
          <w:p>
            <w:pPr>
              <w:jc w:val="right"/>
              <w:ind w:right="39"/>
              <w:spacing w:after="0"/>
              <w:rPr>
                <w:sz w:val="20"/>
                <w:szCs w:val="20"/>
                <w:color w:val="auto"/>
              </w:rPr>
            </w:pPr>
            <w:r>
              <w:rPr>
                <w:rFonts w:ascii="Arial" w:cs="Arial" w:eastAsia="Arial" w:hAnsi="Arial"/>
                <w:sz w:val="12"/>
                <w:szCs w:val="12"/>
                <w:color w:val="auto"/>
                <w:w w:val="81"/>
              </w:rPr>
              <w:t>(6)</w:t>
            </w:r>
          </w:p>
        </w:tc>
        <w:tc>
          <w:tcPr>
            <w:tcW w:w="0" w:type="dxa"/>
            <w:vAlign w:val="bottom"/>
          </w:tcPr>
          <w:p>
            <w:pPr>
              <w:spacing w:after="0"/>
              <w:rPr>
                <w:sz w:val="1"/>
                <w:szCs w:val="1"/>
                <w:color w:val="auto"/>
              </w:rPr>
            </w:pPr>
          </w:p>
        </w:tc>
      </w:tr>
      <w:tr>
        <w:trPr>
          <w:trHeight w:val="215"/>
        </w:trPr>
        <w:tc>
          <w:tcPr>
            <w:tcW w:w="5860" w:type="dxa"/>
            <w:vAlign w:val="bottom"/>
            <w:gridSpan w:val="3"/>
          </w:tcPr>
          <w:p>
            <w:pPr>
              <w:ind w:left="120"/>
              <w:spacing w:after="0"/>
              <w:rPr>
                <w:sz w:val="20"/>
                <w:szCs w:val="20"/>
                <w:color w:val="auto"/>
              </w:rPr>
            </w:pPr>
            <w:r>
              <w:rPr>
                <w:rFonts w:ascii="Arial" w:cs="Arial" w:eastAsia="Arial" w:hAnsi="Arial"/>
                <w:sz w:val="16"/>
                <w:szCs w:val="16"/>
                <w:b w:val="1"/>
                <w:bCs w:val="1"/>
                <w:color w:val="auto"/>
              </w:rPr>
              <w:t>Michael Leskinen</w:t>
            </w:r>
          </w:p>
        </w:tc>
        <w:tc>
          <w:tcPr>
            <w:tcW w:w="2440" w:type="dxa"/>
            <w:vAlign w:val="bottom"/>
            <w:gridSpan w:val="2"/>
          </w:tcPr>
          <w:p>
            <w:pPr>
              <w:jc w:val="right"/>
              <w:ind w:right="639"/>
              <w:spacing w:after="0" w:line="214" w:lineRule="exact"/>
              <w:rPr>
                <w:sz w:val="20"/>
                <w:szCs w:val="20"/>
                <w:color w:val="auto"/>
              </w:rPr>
            </w:pPr>
            <w:r>
              <w:rPr>
                <w:rFonts w:ascii="Arial" w:cs="Arial" w:eastAsia="Arial" w:hAnsi="Arial"/>
                <w:sz w:val="16"/>
                <w:szCs w:val="16"/>
                <w:color w:val="auto"/>
              </w:rPr>
              <w:t xml:space="preserve">1,094  </w:t>
            </w:r>
            <w:r>
              <w:rPr>
                <w:rFonts w:ascii="Arial" w:cs="Arial" w:eastAsia="Arial" w:hAnsi="Arial"/>
                <w:sz w:val="24"/>
                <w:szCs w:val="24"/>
                <w:color w:val="auto"/>
                <w:vertAlign w:val="superscript"/>
              </w:rPr>
              <w:t>(1)</w:t>
            </w:r>
          </w:p>
        </w:tc>
        <w:tc>
          <w:tcPr>
            <w:tcW w:w="1180" w:type="dxa"/>
            <w:vAlign w:val="bottom"/>
          </w:tcPr>
          <w:p>
            <w:pPr>
              <w:jc w:val="right"/>
              <w:spacing w:after="0"/>
              <w:rPr>
                <w:sz w:val="20"/>
                <w:szCs w:val="20"/>
                <w:color w:val="auto"/>
              </w:rPr>
            </w:pPr>
            <w:r>
              <w:rPr>
                <w:rFonts w:ascii="Arial" w:cs="Arial" w:eastAsia="Arial" w:hAnsi="Arial"/>
                <w:sz w:val="16"/>
                <w:szCs w:val="16"/>
                <w:color w:val="auto"/>
              </w:rPr>
              <w:t>102,628</w:t>
            </w:r>
          </w:p>
        </w:tc>
        <w:tc>
          <w:tcPr>
            <w:tcW w:w="240" w:type="dxa"/>
            <w:vAlign w:val="bottom"/>
          </w:tcPr>
          <w:p>
            <w:pPr>
              <w:jc w:val="right"/>
              <w:ind w:right="39"/>
              <w:spacing w:after="0"/>
              <w:rPr>
                <w:sz w:val="20"/>
                <w:szCs w:val="20"/>
                <w:color w:val="auto"/>
              </w:rPr>
            </w:pPr>
            <w:r>
              <w:rPr>
                <w:rFonts w:ascii="Arial" w:cs="Arial" w:eastAsia="Arial" w:hAnsi="Arial"/>
                <w:sz w:val="12"/>
                <w:szCs w:val="12"/>
                <w:color w:val="auto"/>
                <w:w w:val="81"/>
              </w:rPr>
              <w:t>(1)</w:t>
            </w:r>
          </w:p>
        </w:tc>
        <w:tc>
          <w:tcPr>
            <w:tcW w:w="0" w:type="dxa"/>
            <w:vAlign w:val="bottom"/>
          </w:tcPr>
          <w:p>
            <w:pPr>
              <w:spacing w:after="0"/>
              <w:rPr>
                <w:sz w:val="1"/>
                <w:szCs w:val="1"/>
                <w:color w:val="auto"/>
              </w:rPr>
            </w:pPr>
          </w:p>
        </w:tc>
      </w:tr>
      <w:tr>
        <w:trPr>
          <w:trHeight w:val="243"/>
        </w:trPr>
        <w:tc>
          <w:tcPr>
            <w:tcW w:w="5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838</w:t>
            </w:r>
          </w:p>
        </w:tc>
        <w:tc>
          <w:tcPr>
            <w:tcW w:w="840" w:type="dxa"/>
            <w:vAlign w:val="bottom"/>
          </w:tcPr>
          <w:p>
            <w:pPr>
              <w:jc w:val="right"/>
              <w:ind w:right="639"/>
              <w:spacing w:after="0"/>
              <w:rPr>
                <w:sz w:val="20"/>
                <w:szCs w:val="20"/>
                <w:color w:val="auto"/>
              </w:rPr>
            </w:pPr>
            <w:r>
              <w:rPr>
                <w:rFonts w:ascii="Arial" w:cs="Arial" w:eastAsia="Arial" w:hAnsi="Arial"/>
                <w:sz w:val="12"/>
                <w:szCs w:val="12"/>
                <w:color w:val="auto"/>
                <w:w w:val="81"/>
              </w:rPr>
              <w:t>(2)</w:t>
            </w:r>
          </w:p>
        </w:tc>
        <w:tc>
          <w:tcPr>
            <w:tcW w:w="1180" w:type="dxa"/>
            <w:vAlign w:val="bottom"/>
          </w:tcPr>
          <w:p>
            <w:pPr>
              <w:jc w:val="right"/>
              <w:spacing w:after="0"/>
              <w:rPr>
                <w:sz w:val="20"/>
                <w:szCs w:val="20"/>
                <w:color w:val="auto"/>
              </w:rPr>
            </w:pPr>
            <w:r>
              <w:rPr>
                <w:rFonts w:ascii="Arial" w:cs="Arial" w:eastAsia="Arial" w:hAnsi="Arial"/>
                <w:sz w:val="16"/>
                <w:szCs w:val="16"/>
                <w:color w:val="auto"/>
              </w:rPr>
              <w:t>78,613</w:t>
            </w:r>
          </w:p>
        </w:tc>
        <w:tc>
          <w:tcPr>
            <w:tcW w:w="240" w:type="dxa"/>
            <w:vAlign w:val="bottom"/>
          </w:tcPr>
          <w:p>
            <w:pPr>
              <w:jc w:val="right"/>
              <w:ind w:right="39"/>
              <w:spacing w:after="0"/>
              <w:rPr>
                <w:sz w:val="20"/>
                <w:szCs w:val="20"/>
                <w:color w:val="auto"/>
              </w:rPr>
            </w:pPr>
            <w:r>
              <w:rPr>
                <w:rFonts w:ascii="Arial" w:cs="Arial" w:eastAsia="Arial" w:hAnsi="Arial"/>
                <w:sz w:val="12"/>
                <w:szCs w:val="12"/>
                <w:color w:val="auto"/>
                <w:w w:val="81"/>
              </w:rPr>
              <w:t>(2)</w:t>
            </w:r>
          </w:p>
        </w:tc>
        <w:tc>
          <w:tcPr>
            <w:tcW w:w="0" w:type="dxa"/>
            <w:vAlign w:val="bottom"/>
          </w:tcPr>
          <w:p>
            <w:pPr>
              <w:spacing w:after="0"/>
              <w:rPr>
                <w:sz w:val="1"/>
                <w:szCs w:val="1"/>
                <w:color w:val="auto"/>
              </w:rPr>
            </w:pPr>
          </w:p>
        </w:tc>
      </w:tr>
      <w:tr>
        <w:trPr>
          <w:trHeight w:val="243"/>
        </w:trPr>
        <w:tc>
          <w:tcPr>
            <w:tcW w:w="5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10,579</w:t>
            </w:r>
          </w:p>
        </w:tc>
        <w:tc>
          <w:tcPr>
            <w:tcW w:w="840" w:type="dxa"/>
            <w:vAlign w:val="bottom"/>
          </w:tcPr>
          <w:p>
            <w:pPr>
              <w:jc w:val="right"/>
              <w:ind w:right="639"/>
              <w:spacing w:after="0"/>
              <w:rPr>
                <w:sz w:val="20"/>
                <w:szCs w:val="20"/>
                <w:color w:val="auto"/>
              </w:rPr>
            </w:pPr>
            <w:r>
              <w:rPr>
                <w:rFonts w:ascii="Arial" w:cs="Arial" w:eastAsia="Arial" w:hAnsi="Arial"/>
                <w:sz w:val="12"/>
                <w:szCs w:val="12"/>
                <w:color w:val="auto"/>
                <w:w w:val="81"/>
              </w:rPr>
              <w:t>(3)</w:t>
            </w:r>
          </w:p>
        </w:tc>
        <w:tc>
          <w:tcPr>
            <w:tcW w:w="1180" w:type="dxa"/>
            <w:vAlign w:val="bottom"/>
          </w:tcPr>
          <w:p>
            <w:pPr>
              <w:jc w:val="right"/>
              <w:spacing w:after="0"/>
              <w:rPr>
                <w:sz w:val="20"/>
                <w:szCs w:val="20"/>
                <w:color w:val="auto"/>
              </w:rPr>
            </w:pPr>
            <w:r>
              <w:rPr>
                <w:rFonts w:ascii="Arial" w:cs="Arial" w:eastAsia="Arial" w:hAnsi="Arial"/>
                <w:sz w:val="16"/>
                <w:szCs w:val="16"/>
                <w:color w:val="auto"/>
              </w:rPr>
              <w:t>992,416</w:t>
            </w:r>
          </w:p>
        </w:tc>
        <w:tc>
          <w:tcPr>
            <w:tcW w:w="240" w:type="dxa"/>
            <w:vAlign w:val="bottom"/>
          </w:tcPr>
          <w:p>
            <w:pPr>
              <w:jc w:val="right"/>
              <w:ind w:right="39"/>
              <w:spacing w:after="0"/>
              <w:rPr>
                <w:sz w:val="20"/>
                <w:szCs w:val="20"/>
                <w:color w:val="auto"/>
              </w:rPr>
            </w:pPr>
            <w:r>
              <w:rPr>
                <w:rFonts w:ascii="Arial" w:cs="Arial" w:eastAsia="Arial" w:hAnsi="Arial"/>
                <w:sz w:val="12"/>
                <w:szCs w:val="12"/>
                <w:color w:val="auto"/>
                <w:w w:val="81"/>
              </w:rPr>
              <w:t>(3)</w:t>
            </w:r>
          </w:p>
        </w:tc>
        <w:tc>
          <w:tcPr>
            <w:tcW w:w="0" w:type="dxa"/>
            <w:vAlign w:val="bottom"/>
          </w:tcPr>
          <w:p>
            <w:pPr>
              <w:spacing w:after="0"/>
              <w:rPr>
                <w:sz w:val="1"/>
                <w:szCs w:val="1"/>
                <w:color w:val="auto"/>
              </w:rPr>
            </w:pPr>
          </w:p>
        </w:tc>
      </w:tr>
      <w:tr>
        <w:trPr>
          <w:trHeight w:val="243"/>
        </w:trPr>
        <w:tc>
          <w:tcPr>
            <w:tcW w:w="5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17,836</w:t>
            </w:r>
          </w:p>
        </w:tc>
        <w:tc>
          <w:tcPr>
            <w:tcW w:w="840" w:type="dxa"/>
            <w:vAlign w:val="bottom"/>
          </w:tcPr>
          <w:p>
            <w:pPr>
              <w:jc w:val="right"/>
              <w:ind w:right="639"/>
              <w:spacing w:after="0"/>
              <w:rPr>
                <w:sz w:val="20"/>
                <w:szCs w:val="20"/>
                <w:color w:val="auto"/>
              </w:rPr>
            </w:pPr>
            <w:r>
              <w:rPr>
                <w:rFonts w:ascii="Arial" w:cs="Arial" w:eastAsia="Arial" w:hAnsi="Arial"/>
                <w:sz w:val="12"/>
                <w:szCs w:val="12"/>
                <w:color w:val="auto"/>
                <w:w w:val="81"/>
              </w:rPr>
              <w:t>(4)</w:t>
            </w:r>
          </w:p>
        </w:tc>
        <w:tc>
          <w:tcPr>
            <w:tcW w:w="1180" w:type="dxa"/>
            <w:vAlign w:val="bottom"/>
          </w:tcPr>
          <w:p>
            <w:pPr>
              <w:jc w:val="right"/>
              <w:spacing w:after="0"/>
              <w:rPr>
                <w:sz w:val="20"/>
                <w:szCs w:val="20"/>
                <w:color w:val="auto"/>
              </w:rPr>
            </w:pPr>
            <w:r>
              <w:rPr>
                <w:rFonts w:ascii="Arial" w:cs="Arial" w:eastAsia="Arial" w:hAnsi="Arial"/>
                <w:sz w:val="16"/>
                <w:szCs w:val="16"/>
                <w:color w:val="auto"/>
              </w:rPr>
              <w:t>1,625,038</w:t>
            </w:r>
          </w:p>
        </w:tc>
        <w:tc>
          <w:tcPr>
            <w:tcW w:w="240" w:type="dxa"/>
            <w:vAlign w:val="bottom"/>
          </w:tcPr>
          <w:p>
            <w:pPr>
              <w:jc w:val="right"/>
              <w:ind w:right="39"/>
              <w:spacing w:after="0"/>
              <w:rPr>
                <w:sz w:val="20"/>
                <w:szCs w:val="20"/>
                <w:color w:val="auto"/>
              </w:rPr>
            </w:pPr>
            <w:r>
              <w:rPr>
                <w:rFonts w:ascii="Arial" w:cs="Arial" w:eastAsia="Arial" w:hAnsi="Arial"/>
                <w:sz w:val="12"/>
                <w:szCs w:val="12"/>
                <w:color w:val="auto"/>
                <w:w w:val="81"/>
              </w:rPr>
              <w:t>(4)</w:t>
            </w:r>
          </w:p>
        </w:tc>
        <w:tc>
          <w:tcPr>
            <w:tcW w:w="0" w:type="dxa"/>
            <w:vAlign w:val="bottom"/>
          </w:tcPr>
          <w:p>
            <w:pPr>
              <w:spacing w:after="0"/>
              <w:rPr>
                <w:sz w:val="1"/>
                <w:szCs w:val="1"/>
                <w:color w:val="auto"/>
              </w:rPr>
            </w:pPr>
          </w:p>
        </w:tc>
      </w:tr>
      <w:tr>
        <w:trPr>
          <w:trHeight w:val="243"/>
        </w:trPr>
        <w:tc>
          <w:tcPr>
            <w:tcW w:w="5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3,367</w:t>
            </w:r>
          </w:p>
        </w:tc>
        <w:tc>
          <w:tcPr>
            <w:tcW w:w="840" w:type="dxa"/>
            <w:vAlign w:val="bottom"/>
          </w:tcPr>
          <w:p>
            <w:pPr>
              <w:jc w:val="right"/>
              <w:ind w:right="639"/>
              <w:spacing w:after="0"/>
              <w:rPr>
                <w:sz w:val="20"/>
                <w:szCs w:val="20"/>
                <w:color w:val="auto"/>
              </w:rPr>
            </w:pPr>
            <w:r>
              <w:rPr>
                <w:rFonts w:ascii="Arial" w:cs="Arial" w:eastAsia="Arial" w:hAnsi="Arial"/>
                <w:sz w:val="12"/>
                <w:szCs w:val="12"/>
                <w:color w:val="auto"/>
                <w:w w:val="81"/>
              </w:rPr>
              <w:t>(6)</w:t>
            </w:r>
          </w:p>
        </w:tc>
        <w:tc>
          <w:tcPr>
            <w:tcW w:w="1180" w:type="dxa"/>
            <w:vAlign w:val="bottom"/>
          </w:tcPr>
          <w:p>
            <w:pPr>
              <w:jc w:val="right"/>
              <w:spacing w:after="0"/>
              <w:rPr>
                <w:sz w:val="20"/>
                <w:szCs w:val="20"/>
                <w:color w:val="auto"/>
              </w:rPr>
            </w:pPr>
            <w:r>
              <w:rPr>
                <w:rFonts w:ascii="Arial" w:cs="Arial" w:eastAsia="Arial" w:hAnsi="Arial"/>
                <w:sz w:val="16"/>
                <w:szCs w:val="16"/>
                <w:color w:val="auto"/>
              </w:rPr>
              <w:t>376,498</w:t>
            </w:r>
          </w:p>
        </w:tc>
        <w:tc>
          <w:tcPr>
            <w:tcW w:w="240" w:type="dxa"/>
            <w:vAlign w:val="bottom"/>
          </w:tcPr>
          <w:p>
            <w:pPr>
              <w:jc w:val="right"/>
              <w:ind w:right="39"/>
              <w:spacing w:after="0"/>
              <w:rPr>
                <w:sz w:val="20"/>
                <w:szCs w:val="20"/>
                <w:color w:val="auto"/>
              </w:rPr>
            </w:pPr>
            <w:r>
              <w:rPr>
                <w:rFonts w:ascii="Arial" w:cs="Arial" w:eastAsia="Arial" w:hAnsi="Arial"/>
                <w:sz w:val="12"/>
                <w:szCs w:val="12"/>
                <w:color w:val="auto"/>
                <w:w w:val="81"/>
              </w:rPr>
              <w:t>(6)</w:t>
            </w:r>
          </w:p>
        </w:tc>
        <w:tc>
          <w:tcPr>
            <w:tcW w:w="0" w:type="dxa"/>
            <w:vAlign w:val="bottom"/>
          </w:tcPr>
          <w:p>
            <w:pPr>
              <w:spacing w:after="0"/>
              <w:rPr>
                <w:sz w:val="1"/>
                <w:szCs w:val="1"/>
                <w:color w:val="auto"/>
              </w:rPr>
            </w:pPr>
          </w:p>
        </w:tc>
      </w:tr>
      <w:tr>
        <w:trPr>
          <w:trHeight w:val="243"/>
        </w:trPr>
        <w:tc>
          <w:tcPr>
            <w:tcW w:w="5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24,970</w:t>
            </w:r>
          </w:p>
        </w:tc>
        <w:tc>
          <w:tcPr>
            <w:tcW w:w="840" w:type="dxa"/>
            <w:vAlign w:val="bottom"/>
          </w:tcPr>
          <w:p>
            <w:pPr>
              <w:jc w:val="right"/>
              <w:ind w:right="639"/>
              <w:spacing w:after="0"/>
              <w:rPr>
                <w:sz w:val="20"/>
                <w:szCs w:val="20"/>
                <w:color w:val="auto"/>
              </w:rPr>
            </w:pPr>
            <w:r>
              <w:rPr>
                <w:rFonts w:ascii="Arial" w:cs="Arial" w:eastAsia="Arial" w:hAnsi="Arial"/>
                <w:sz w:val="12"/>
                <w:szCs w:val="12"/>
                <w:color w:val="auto"/>
                <w:w w:val="81"/>
              </w:rPr>
              <w:t>(7)</w:t>
            </w:r>
          </w:p>
        </w:tc>
        <w:tc>
          <w:tcPr>
            <w:tcW w:w="1180" w:type="dxa"/>
            <w:vAlign w:val="bottom"/>
          </w:tcPr>
          <w:p>
            <w:pPr>
              <w:jc w:val="right"/>
              <w:spacing w:after="0"/>
              <w:rPr>
                <w:sz w:val="20"/>
                <w:szCs w:val="20"/>
                <w:color w:val="auto"/>
              </w:rPr>
            </w:pPr>
            <w:r>
              <w:rPr>
                <w:rFonts w:ascii="Arial" w:cs="Arial" w:eastAsia="Arial" w:hAnsi="Arial"/>
                <w:sz w:val="16"/>
                <w:szCs w:val="16"/>
                <w:color w:val="auto"/>
              </w:rPr>
              <w:t>2,792,145</w:t>
            </w:r>
          </w:p>
        </w:tc>
        <w:tc>
          <w:tcPr>
            <w:tcW w:w="240" w:type="dxa"/>
            <w:vAlign w:val="bottom"/>
          </w:tcPr>
          <w:p>
            <w:pPr>
              <w:jc w:val="right"/>
              <w:ind w:right="39"/>
              <w:spacing w:after="0"/>
              <w:rPr>
                <w:sz w:val="20"/>
                <w:szCs w:val="20"/>
                <w:color w:val="auto"/>
              </w:rPr>
            </w:pPr>
            <w:r>
              <w:rPr>
                <w:rFonts w:ascii="Arial" w:cs="Arial" w:eastAsia="Arial" w:hAnsi="Arial"/>
                <w:sz w:val="12"/>
                <w:szCs w:val="12"/>
                <w:color w:val="auto"/>
                <w:w w:val="81"/>
              </w:rPr>
              <w:t>(7)</w:t>
            </w:r>
          </w:p>
        </w:tc>
        <w:tc>
          <w:tcPr>
            <w:tcW w:w="0" w:type="dxa"/>
            <w:vAlign w:val="bottom"/>
          </w:tcPr>
          <w:p>
            <w:pPr>
              <w:spacing w:after="0"/>
              <w:rPr>
                <w:sz w:val="1"/>
                <w:szCs w:val="1"/>
                <w:color w:val="auto"/>
              </w:rPr>
            </w:pPr>
          </w:p>
        </w:tc>
      </w:tr>
      <w:tr>
        <w:trPr>
          <w:trHeight w:val="265"/>
        </w:trPr>
        <w:tc>
          <w:tcPr>
            <w:tcW w:w="5560" w:type="dxa"/>
            <w:vAlign w:val="bottom"/>
            <w:tcBorders>
              <w:bottom w:val="single" w:sz="8" w:color="808080"/>
            </w:tcBorders>
          </w:tcPr>
          <w:p>
            <w:pPr>
              <w:spacing w:after="0"/>
              <w:rPr>
                <w:sz w:val="23"/>
                <w:szCs w:val="23"/>
                <w:color w:val="auto"/>
              </w:rPr>
            </w:pPr>
          </w:p>
        </w:tc>
        <w:tc>
          <w:tcPr>
            <w:tcW w:w="200" w:type="dxa"/>
            <w:vAlign w:val="bottom"/>
            <w:tcBorders>
              <w:bottom w:val="single" w:sz="8" w:color="808080"/>
            </w:tcBorders>
          </w:tcPr>
          <w:p>
            <w:pPr>
              <w:spacing w:after="0"/>
              <w:rPr>
                <w:sz w:val="23"/>
                <w:szCs w:val="23"/>
                <w:color w:val="auto"/>
              </w:rPr>
            </w:pPr>
          </w:p>
        </w:tc>
        <w:tc>
          <w:tcPr>
            <w:tcW w:w="100" w:type="dxa"/>
            <w:vAlign w:val="bottom"/>
            <w:tcBorders>
              <w:bottom w:val="single" w:sz="8" w:color="808080"/>
            </w:tcBorders>
          </w:tcPr>
          <w:p>
            <w:pPr>
              <w:spacing w:after="0"/>
              <w:rPr>
                <w:sz w:val="23"/>
                <w:szCs w:val="23"/>
                <w:color w:val="auto"/>
              </w:rPr>
            </w:pPr>
          </w:p>
        </w:tc>
        <w:tc>
          <w:tcPr>
            <w:tcW w:w="1600" w:type="dxa"/>
            <w:vAlign w:val="bottom"/>
            <w:tcBorders>
              <w:bottom w:val="single" w:sz="8" w:color="808080"/>
            </w:tcBorders>
          </w:tcPr>
          <w:p>
            <w:pPr>
              <w:jc w:val="right"/>
              <w:spacing w:after="0"/>
              <w:rPr>
                <w:sz w:val="20"/>
                <w:szCs w:val="20"/>
                <w:color w:val="auto"/>
              </w:rPr>
            </w:pPr>
            <w:r>
              <w:rPr>
                <w:rFonts w:ascii="Arial" w:cs="Arial" w:eastAsia="Arial" w:hAnsi="Arial"/>
                <w:sz w:val="16"/>
                <w:szCs w:val="16"/>
                <w:color w:val="auto"/>
              </w:rPr>
              <w:t>6,211</w:t>
            </w:r>
          </w:p>
        </w:tc>
        <w:tc>
          <w:tcPr>
            <w:tcW w:w="840" w:type="dxa"/>
            <w:vAlign w:val="bottom"/>
            <w:tcBorders>
              <w:bottom w:val="single" w:sz="8" w:color="808080"/>
            </w:tcBorders>
          </w:tcPr>
          <w:p>
            <w:pPr>
              <w:jc w:val="right"/>
              <w:ind w:right="639"/>
              <w:spacing w:after="0"/>
              <w:rPr>
                <w:sz w:val="20"/>
                <w:szCs w:val="20"/>
                <w:color w:val="auto"/>
              </w:rPr>
            </w:pPr>
            <w:r>
              <w:rPr>
                <w:rFonts w:ascii="Arial" w:cs="Arial" w:eastAsia="Arial" w:hAnsi="Arial"/>
                <w:sz w:val="12"/>
                <w:szCs w:val="12"/>
                <w:color w:val="auto"/>
                <w:w w:val="81"/>
              </w:rPr>
              <w:t>(8)</w:t>
            </w:r>
          </w:p>
        </w:tc>
        <w:tc>
          <w:tcPr>
            <w:tcW w:w="1180" w:type="dxa"/>
            <w:vAlign w:val="bottom"/>
            <w:tcBorders>
              <w:bottom w:val="single" w:sz="8" w:color="808080"/>
            </w:tcBorders>
          </w:tcPr>
          <w:p>
            <w:pPr>
              <w:jc w:val="right"/>
              <w:spacing w:after="0"/>
              <w:rPr>
                <w:sz w:val="20"/>
                <w:szCs w:val="20"/>
                <w:color w:val="auto"/>
              </w:rPr>
            </w:pPr>
            <w:r>
              <w:rPr>
                <w:rFonts w:ascii="Arial" w:cs="Arial" w:eastAsia="Arial" w:hAnsi="Arial"/>
                <w:sz w:val="16"/>
                <w:szCs w:val="16"/>
                <w:color w:val="auto"/>
              </w:rPr>
              <w:t>582,654</w:t>
            </w:r>
          </w:p>
        </w:tc>
        <w:tc>
          <w:tcPr>
            <w:tcW w:w="240" w:type="dxa"/>
            <w:vAlign w:val="bottom"/>
            <w:tcBorders>
              <w:bottom w:val="single" w:sz="8" w:color="808080"/>
            </w:tcBorders>
          </w:tcPr>
          <w:p>
            <w:pPr>
              <w:jc w:val="right"/>
              <w:ind w:right="39"/>
              <w:spacing w:after="0"/>
              <w:rPr>
                <w:sz w:val="20"/>
                <w:szCs w:val="20"/>
                <w:color w:val="auto"/>
              </w:rPr>
            </w:pPr>
            <w:r>
              <w:rPr>
                <w:rFonts w:ascii="Arial" w:cs="Arial" w:eastAsia="Arial" w:hAnsi="Arial"/>
                <w:sz w:val="12"/>
                <w:szCs w:val="12"/>
                <w:color w:val="auto"/>
                <w:w w:val="81"/>
              </w:rPr>
              <w:t>(8)</w:t>
            </w:r>
          </w:p>
        </w:tc>
        <w:tc>
          <w:tcPr>
            <w:tcW w:w="0" w:type="dxa"/>
            <w:vAlign w:val="bottom"/>
          </w:tcPr>
          <w:p>
            <w:pPr>
              <w:spacing w:after="0"/>
              <w:rPr>
                <w:sz w:val="1"/>
                <w:szCs w:val="1"/>
                <w:color w:val="auto"/>
              </w:rPr>
            </w:pPr>
          </w:p>
        </w:tc>
      </w:tr>
      <w:tr>
        <w:trPr>
          <w:trHeight w:val="215"/>
        </w:trPr>
        <w:tc>
          <w:tcPr>
            <w:tcW w:w="5860" w:type="dxa"/>
            <w:vAlign w:val="bottom"/>
            <w:gridSpan w:val="3"/>
          </w:tcPr>
          <w:p>
            <w:pPr>
              <w:ind w:left="120"/>
              <w:spacing w:after="0"/>
              <w:rPr>
                <w:sz w:val="20"/>
                <w:szCs w:val="20"/>
                <w:color w:val="auto"/>
              </w:rPr>
            </w:pPr>
            <w:r>
              <w:rPr>
                <w:rFonts w:ascii="Arial" w:cs="Arial" w:eastAsia="Arial" w:hAnsi="Arial"/>
                <w:sz w:val="16"/>
                <w:szCs w:val="16"/>
                <w:b w:val="1"/>
                <w:bCs w:val="1"/>
                <w:color w:val="auto"/>
              </w:rPr>
              <w:t>Brett Hart</w:t>
            </w:r>
          </w:p>
        </w:tc>
        <w:tc>
          <w:tcPr>
            <w:tcW w:w="2440" w:type="dxa"/>
            <w:vAlign w:val="bottom"/>
            <w:gridSpan w:val="2"/>
          </w:tcPr>
          <w:p>
            <w:pPr>
              <w:jc w:val="right"/>
              <w:ind w:right="639"/>
              <w:spacing w:after="0" w:line="214" w:lineRule="exact"/>
              <w:rPr>
                <w:sz w:val="20"/>
                <w:szCs w:val="20"/>
                <w:color w:val="auto"/>
              </w:rPr>
            </w:pPr>
            <w:r>
              <w:rPr>
                <w:rFonts w:ascii="Arial" w:cs="Arial" w:eastAsia="Arial" w:hAnsi="Arial"/>
                <w:sz w:val="16"/>
                <w:szCs w:val="16"/>
                <w:color w:val="auto"/>
              </w:rPr>
              <w:t xml:space="preserve">13,756  </w:t>
            </w:r>
            <w:r>
              <w:rPr>
                <w:rFonts w:ascii="Arial" w:cs="Arial" w:eastAsia="Arial" w:hAnsi="Arial"/>
                <w:sz w:val="24"/>
                <w:szCs w:val="24"/>
                <w:color w:val="auto"/>
                <w:vertAlign w:val="superscript"/>
              </w:rPr>
              <w:t>(1)</w:t>
            </w:r>
          </w:p>
        </w:tc>
        <w:tc>
          <w:tcPr>
            <w:tcW w:w="1180" w:type="dxa"/>
            <w:vAlign w:val="bottom"/>
          </w:tcPr>
          <w:p>
            <w:pPr>
              <w:jc w:val="right"/>
              <w:spacing w:after="0"/>
              <w:rPr>
                <w:sz w:val="20"/>
                <w:szCs w:val="20"/>
                <w:color w:val="auto"/>
              </w:rPr>
            </w:pPr>
            <w:r>
              <w:rPr>
                <w:rFonts w:ascii="Arial" w:cs="Arial" w:eastAsia="Arial" w:hAnsi="Arial"/>
                <w:sz w:val="16"/>
                <w:szCs w:val="16"/>
                <w:color w:val="auto"/>
              </w:rPr>
              <w:t>1,290,450</w:t>
            </w:r>
          </w:p>
        </w:tc>
        <w:tc>
          <w:tcPr>
            <w:tcW w:w="240" w:type="dxa"/>
            <w:vAlign w:val="bottom"/>
          </w:tcPr>
          <w:p>
            <w:pPr>
              <w:jc w:val="right"/>
              <w:ind w:right="39"/>
              <w:spacing w:after="0"/>
              <w:rPr>
                <w:sz w:val="20"/>
                <w:szCs w:val="20"/>
                <w:color w:val="auto"/>
              </w:rPr>
            </w:pPr>
            <w:r>
              <w:rPr>
                <w:rFonts w:ascii="Arial" w:cs="Arial" w:eastAsia="Arial" w:hAnsi="Arial"/>
                <w:sz w:val="12"/>
                <w:szCs w:val="12"/>
                <w:color w:val="auto"/>
                <w:w w:val="81"/>
              </w:rPr>
              <w:t>(1)</w:t>
            </w:r>
          </w:p>
        </w:tc>
        <w:tc>
          <w:tcPr>
            <w:tcW w:w="0" w:type="dxa"/>
            <w:vAlign w:val="bottom"/>
          </w:tcPr>
          <w:p>
            <w:pPr>
              <w:spacing w:after="0"/>
              <w:rPr>
                <w:sz w:val="1"/>
                <w:szCs w:val="1"/>
                <w:color w:val="auto"/>
              </w:rPr>
            </w:pPr>
          </w:p>
        </w:tc>
      </w:tr>
      <w:tr>
        <w:trPr>
          <w:trHeight w:val="243"/>
        </w:trPr>
        <w:tc>
          <w:tcPr>
            <w:tcW w:w="5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29,972</w:t>
            </w:r>
          </w:p>
        </w:tc>
        <w:tc>
          <w:tcPr>
            <w:tcW w:w="840" w:type="dxa"/>
            <w:vAlign w:val="bottom"/>
          </w:tcPr>
          <w:p>
            <w:pPr>
              <w:jc w:val="right"/>
              <w:ind w:right="639"/>
              <w:spacing w:after="0"/>
              <w:rPr>
                <w:sz w:val="20"/>
                <w:szCs w:val="20"/>
                <w:color w:val="auto"/>
              </w:rPr>
            </w:pPr>
            <w:r>
              <w:rPr>
                <w:rFonts w:ascii="Arial" w:cs="Arial" w:eastAsia="Arial" w:hAnsi="Arial"/>
                <w:sz w:val="12"/>
                <w:szCs w:val="12"/>
                <w:color w:val="auto"/>
                <w:w w:val="81"/>
              </w:rPr>
              <w:t>(2)</w:t>
            </w:r>
          </w:p>
        </w:tc>
        <w:tc>
          <w:tcPr>
            <w:tcW w:w="1180" w:type="dxa"/>
            <w:vAlign w:val="bottom"/>
          </w:tcPr>
          <w:p>
            <w:pPr>
              <w:jc w:val="right"/>
              <w:spacing w:after="0"/>
              <w:rPr>
                <w:sz w:val="20"/>
                <w:szCs w:val="20"/>
                <w:color w:val="auto"/>
              </w:rPr>
            </w:pPr>
            <w:r>
              <w:rPr>
                <w:rFonts w:ascii="Arial" w:cs="Arial" w:eastAsia="Arial" w:hAnsi="Arial"/>
                <w:sz w:val="16"/>
                <w:szCs w:val="16"/>
                <w:color w:val="auto"/>
              </w:rPr>
              <w:t>2,811,673</w:t>
            </w:r>
          </w:p>
        </w:tc>
        <w:tc>
          <w:tcPr>
            <w:tcW w:w="240" w:type="dxa"/>
            <w:vAlign w:val="bottom"/>
          </w:tcPr>
          <w:p>
            <w:pPr>
              <w:jc w:val="right"/>
              <w:ind w:right="39"/>
              <w:spacing w:after="0"/>
              <w:rPr>
                <w:sz w:val="20"/>
                <w:szCs w:val="20"/>
                <w:color w:val="auto"/>
              </w:rPr>
            </w:pPr>
            <w:r>
              <w:rPr>
                <w:rFonts w:ascii="Arial" w:cs="Arial" w:eastAsia="Arial" w:hAnsi="Arial"/>
                <w:sz w:val="12"/>
                <w:szCs w:val="12"/>
                <w:color w:val="auto"/>
                <w:w w:val="81"/>
              </w:rPr>
              <w:t>(2)</w:t>
            </w:r>
          </w:p>
        </w:tc>
        <w:tc>
          <w:tcPr>
            <w:tcW w:w="0" w:type="dxa"/>
            <w:vAlign w:val="bottom"/>
          </w:tcPr>
          <w:p>
            <w:pPr>
              <w:spacing w:after="0"/>
              <w:rPr>
                <w:sz w:val="1"/>
                <w:szCs w:val="1"/>
                <w:color w:val="auto"/>
              </w:rPr>
            </w:pPr>
          </w:p>
        </w:tc>
      </w:tr>
      <w:tr>
        <w:trPr>
          <w:trHeight w:val="243"/>
        </w:trPr>
        <w:tc>
          <w:tcPr>
            <w:tcW w:w="5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31,142</w:t>
            </w:r>
          </w:p>
        </w:tc>
        <w:tc>
          <w:tcPr>
            <w:tcW w:w="840" w:type="dxa"/>
            <w:vAlign w:val="bottom"/>
          </w:tcPr>
          <w:p>
            <w:pPr>
              <w:jc w:val="right"/>
              <w:ind w:right="639"/>
              <w:spacing w:after="0"/>
              <w:rPr>
                <w:sz w:val="20"/>
                <w:szCs w:val="20"/>
                <w:color w:val="auto"/>
              </w:rPr>
            </w:pPr>
            <w:r>
              <w:rPr>
                <w:rFonts w:ascii="Arial" w:cs="Arial" w:eastAsia="Arial" w:hAnsi="Arial"/>
                <w:sz w:val="12"/>
                <w:szCs w:val="12"/>
                <w:color w:val="auto"/>
                <w:w w:val="81"/>
              </w:rPr>
              <w:t>(3)</w:t>
            </w:r>
          </w:p>
        </w:tc>
        <w:tc>
          <w:tcPr>
            <w:tcW w:w="1180" w:type="dxa"/>
            <w:vAlign w:val="bottom"/>
          </w:tcPr>
          <w:p>
            <w:pPr>
              <w:jc w:val="right"/>
              <w:spacing w:after="0"/>
              <w:rPr>
                <w:sz w:val="20"/>
                <w:szCs w:val="20"/>
                <w:color w:val="auto"/>
              </w:rPr>
            </w:pPr>
            <w:r>
              <w:rPr>
                <w:rFonts w:ascii="Arial" w:cs="Arial" w:eastAsia="Arial" w:hAnsi="Arial"/>
                <w:sz w:val="16"/>
                <w:szCs w:val="16"/>
                <w:color w:val="auto"/>
              </w:rPr>
              <w:t>2,921,431</w:t>
            </w:r>
          </w:p>
        </w:tc>
        <w:tc>
          <w:tcPr>
            <w:tcW w:w="240" w:type="dxa"/>
            <w:vAlign w:val="bottom"/>
          </w:tcPr>
          <w:p>
            <w:pPr>
              <w:jc w:val="right"/>
              <w:ind w:right="39"/>
              <w:spacing w:after="0"/>
              <w:rPr>
                <w:sz w:val="20"/>
                <w:szCs w:val="20"/>
                <w:color w:val="auto"/>
              </w:rPr>
            </w:pPr>
            <w:r>
              <w:rPr>
                <w:rFonts w:ascii="Arial" w:cs="Arial" w:eastAsia="Arial" w:hAnsi="Arial"/>
                <w:sz w:val="12"/>
                <w:szCs w:val="12"/>
                <w:color w:val="auto"/>
                <w:w w:val="81"/>
              </w:rPr>
              <w:t>(3)</w:t>
            </w:r>
          </w:p>
        </w:tc>
        <w:tc>
          <w:tcPr>
            <w:tcW w:w="0" w:type="dxa"/>
            <w:vAlign w:val="bottom"/>
          </w:tcPr>
          <w:p>
            <w:pPr>
              <w:spacing w:after="0"/>
              <w:rPr>
                <w:sz w:val="1"/>
                <w:szCs w:val="1"/>
                <w:color w:val="auto"/>
              </w:rPr>
            </w:pPr>
          </w:p>
        </w:tc>
      </w:tr>
      <w:tr>
        <w:trPr>
          <w:trHeight w:val="243"/>
        </w:trPr>
        <w:tc>
          <w:tcPr>
            <w:tcW w:w="5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46,375</w:t>
            </w:r>
          </w:p>
        </w:tc>
        <w:tc>
          <w:tcPr>
            <w:tcW w:w="840" w:type="dxa"/>
            <w:vAlign w:val="bottom"/>
          </w:tcPr>
          <w:p>
            <w:pPr>
              <w:jc w:val="right"/>
              <w:ind w:right="639"/>
              <w:spacing w:after="0"/>
              <w:rPr>
                <w:sz w:val="20"/>
                <w:szCs w:val="20"/>
                <w:color w:val="auto"/>
              </w:rPr>
            </w:pPr>
            <w:r>
              <w:rPr>
                <w:rFonts w:ascii="Arial" w:cs="Arial" w:eastAsia="Arial" w:hAnsi="Arial"/>
                <w:sz w:val="12"/>
                <w:szCs w:val="12"/>
                <w:color w:val="auto"/>
                <w:w w:val="81"/>
              </w:rPr>
              <w:t>(4)</w:t>
            </w:r>
          </w:p>
        </w:tc>
        <w:tc>
          <w:tcPr>
            <w:tcW w:w="1180" w:type="dxa"/>
            <w:vAlign w:val="bottom"/>
          </w:tcPr>
          <w:p>
            <w:pPr>
              <w:jc w:val="right"/>
              <w:spacing w:after="0"/>
              <w:rPr>
                <w:sz w:val="20"/>
                <w:szCs w:val="20"/>
                <w:color w:val="auto"/>
              </w:rPr>
            </w:pPr>
            <w:r>
              <w:rPr>
                <w:rFonts w:ascii="Arial" w:cs="Arial" w:eastAsia="Arial" w:hAnsi="Arial"/>
                <w:sz w:val="16"/>
                <w:szCs w:val="16"/>
                <w:color w:val="auto"/>
              </w:rPr>
              <w:t>4,225,226</w:t>
            </w:r>
          </w:p>
        </w:tc>
        <w:tc>
          <w:tcPr>
            <w:tcW w:w="240" w:type="dxa"/>
            <w:vAlign w:val="bottom"/>
          </w:tcPr>
          <w:p>
            <w:pPr>
              <w:jc w:val="right"/>
              <w:ind w:right="39"/>
              <w:spacing w:after="0"/>
              <w:rPr>
                <w:sz w:val="20"/>
                <w:szCs w:val="20"/>
                <w:color w:val="auto"/>
              </w:rPr>
            </w:pPr>
            <w:r>
              <w:rPr>
                <w:rFonts w:ascii="Arial" w:cs="Arial" w:eastAsia="Arial" w:hAnsi="Arial"/>
                <w:sz w:val="12"/>
                <w:szCs w:val="12"/>
                <w:color w:val="auto"/>
                <w:w w:val="81"/>
              </w:rPr>
              <w:t>(4)</w:t>
            </w:r>
          </w:p>
        </w:tc>
        <w:tc>
          <w:tcPr>
            <w:tcW w:w="0" w:type="dxa"/>
            <w:vAlign w:val="bottom"/>
          </w:tcPr>
          <w:p>
            <w:pPr>
              <w:spacing w:after="0"/>
              <w:rPr>
                <w:sz w:val="1"/>
                <w:szCs w:val="1"/>
                <w:color w:val="auto"/>
              </w:rPr>
            </w:pPr>
          </w:p>
        </w:tc>
      </w:tr>
      <w:tr>
        <w:trPr>
          <w:trHeight w:val="265"/>
        </w:trPr>
        <w:tc>
          <w:tcPr>
            <w:tcW w:w="5560" w:type="dxa"/>
            <w:vAlign w:val="bottom"/>
            <w:tcBorders>
              <w:bottom w:val="single" w:sz="8" w:color="808080"/>
            </w:tcBorders>
          </w:tcPr>
          <w:p>
            <w:pPr>
              <w:spacing w:after="0"/>
              <w:rPr>
                <w:sz w:val="23"/>
                <w:szCs w:val="23"/>
                <w:color w:val="auto"/>
              </w:rPr>
            </w:pPr>
          </w:p>
        </w:tc>
        <w:tc>
          <w:tcPr>
            <w:tcW w:w="200" w:type="dxa"/>
            <w:vAlign w:val="bottom"/>
            <w:tcBorders>
              <w:bottom w:val="single" w:sz="8" w:color="808080"/>
            </w:tcBorders>
          </w:tcPr>
          <w:p>
            <w:pPr>
              <w:spacing w:after="0"/>
              <w:rPr>
                <w:sz w:val="23"/>
                <w:szCs w:val="23"/>
                <w:color w:val="auto"/>
              </w:rPr>
            </w:pPr>
          </w:p>
        </w:tc>
        <w:tc>
          <w:tcPr>
            <w:tcW w:w="100" w:type="dxa"/>
            <w:vAlign w:val="bottom"/>
            <w:tcBorders>
              <w:bottom w:val="single" w:sz="8" w:color="808080"/>
            </w:tcBorders>
          </w:tcPr>
          <w:p>
            <w:pPr>
              <w:spacing w:after="0"/>
              <w:rPr>
                <w:sz w:val="23"/>
                <w:szCs w:val="23"/>
                <w:color w:val="auto"/>
              </w:rPr>
            </w:pPr>
          </w:p>
        </w:tc>
        <w:tc>
          <w:tcPr>
            <w:tcW w:w="1600" w:type="dxa"/>
            <w:vAlign w:val="bottom"/>
            <w:tcBorders>
              <w:bottom w:val="single" w:sz="8" w:color="808080"/>
            </w:tcBorders>
          </w:tcPr>
          <w:p>
            <w:pPr>
              <w:jc w:val="right"/>
              <w:spacing w:after="0"/>
              <w:rPr>
                <w:sz w:val="20"/>
                <w:szCs w:val="20"/>
                <w:color w:val="auto"/>
              </w:rPr>
            </w:pPr>
            <w:r>
              <w:rPr>
                <w:rFonts w:ascii="Arial" w:cs="Arial" w:eastAsia="Arial" w:hAnsi="Arial"/>
                <w:sz w:val="16"/>
                <w:szCs w:val="16"/>
                <w:color w:val="auto"/>
              </w:rPr>
              <w:t>120,486</w:t>
            </w:r>
          </w:p>
        </w:tc>
        <w:tc>
          <w:tcPr>
            <w:tcW w:w="840" w:type="dxa"/>
            <w:vAlign w:val="bottom"/>
            <w:tcBorders>
              <w:bottom w:val="single" w:sz="8" w:color="808080"/>
            </w:tcBorders>
          </w:tcPr>
          <w:p>
            <w:pPr>
              <w:jc w:val="right"/>
              <w:ind w:right="639"/>
              <w:spacing w:after="0"/>
              <w:rPr>
                <w:sz w:val="20"/>
                <w:szCs w:val="20"/>
                <w:color w:val="auto"/>
              </w:rPr>
            </w:pPr>
            <w:r>
              <w:rPr>
                <w:rFonts w:ascii="Arial" w:cs="Arial" w:eastAsia="Arial" w:hAnsi="Arial"/>
                <w:sz w:val="12"/>
                <w:szCs w:val="12"/>
                <w:color w:val="auto"/>
                <w:w w:val="81"/>
              </w:rPr>
              <w:t>(6)</w:t>
            </w:r>
          </w:p>
        </w:tc>
        <w:tc>
          <w:tcPr>
            <w:tcW w:w="1180" w:type="dxa"/>
            <w:vAlign w:val="bottom"/>
            <w:tcBorders>
              <w:bottom w:val="single" w:sz="8" w:color="808080"/>
            </w:tcBorders>
          </w:tcPr>
          <w:p>
            <w:pPr>
              <w:jc w:val="right"/>
              <w:spacing w:after="0"/>
              <w:rPr>
                <w:sz w:val="20"/>
                <w:szCs w:val="20"/>
                <w:color w:val="auto"/>
              </w:rPr>
            </w:pPr>
            <w:r>
              <w:rPr>
                <w:rFonts w:ascii="Arial" w:cs="Arial" w:eastAsia="Arial" w:hAnsi="Arial"/>
                <w:sz w:val="16"/>
                <w:szCs w:val="16"/>
                <w:color w:val="auto"/>
              </w:rPr>
              <w:t>13,472,745</w:t>
            </w:r>
          </w:p>
        </w:tc>
        <w:tc>
          <w:tcPr>
            <w:tcW w:w="240" w:type="dxa"/>
            <w:vAlign w:val="bottom"/>
            <w:tcBorders>
              <w:bottom w:val="single" w:sz="8" w:color="808080"/>
            </w:tcBorders>
          </w:tcPr>
          <w:p>
            <w:pPr>
              <w:jc w:val="right"/>
              <w:ind w:right="39"/>
              <w:spacing w:after="0"/>
              <w:rPr>
                <w:sz w:val="20"/>
                <w:szCs w:val="20"/>
                <w:color w:val="auto"/>
              </w:rPr>
            </w:pPr>
            <w:r>
              <w:rPr>
                <w:rFonts w:ascii="Arial" w:cs="Arial" w:eastAsia="Arial" w:hAnsi="Arial"/>
                <w:sz w:val="12"/>
                <w:szCs w:val="12"/>
                <w:color w:val="auto"/>
                <w:w w:val="81"/>
              </w:rPr>
              <w:t>(6)</w:t>
            </w:r>
          </w:p>
        </w:tc>
        <w:tc>
          <w:tcPr>
            <w:tcW w:w="0" w:type="dxa"/>
            <w:vAlign w:val="bottom"/>
          </w:tcPr>
          <w:p>
            <w:pPr>
              <w:spacing w:after="0"/>
              <w:rPr>
                <w:sz w:val="1"/>
                <w:szCs w:val="1"/>
                <w:color w:val="auto"/>
              </w:rPr>
            </w:pPr>
          </w:p>
        </w:tc>
      </w:tr>
      <w:tr>
        <w:trPr>
          <w:trHeight w:val="215"/>
        </w:trPr>
        <w:tc>
          <w:tcPr>
            <w:tcW w:w="5860" w:type="dxa"/>
            <w:vAlign w:val="bottom"/>
            <w:gridSpan w:val="3"/>
          </w:tcPr>
          <w:p>
            <w:pPr>
              <w:ind w:left="120"/>
              <w:spacing w:after="0"/>
              <w:rPr>
                <w:sz w:val="20"/>
                <w:szCs w:val="20"/>
                <w:color w:val="auto"/>
              </w:rPr>
            </w:pPr>
            <w:r>
              <w:rPr>
                <w:rFonts w:ascii="Arial" w:cs="Arial" w:eastAsia="Arial" w:hAnsi="Arial"/>
                <w:sz w:val="16"/>
                <w:szCs w:val="16"/>
                <w:b w:val="1"/>
                <w:bCs w:val="1"/>
                <w:color w:val="auto"/>
              </w:rPr>
              <w:t>Torbjorn Enqvist</w:t>
            </w:r>
          </w:p>
        </w:tc>
        <w:tc>
          <w:tcPr>
            <w:tcW w:w="2440" w:type="dxa"/>
            <w:vAlign w:val="bottom"/>
            <w:gridSpan w:val="2"/>
          </w:tcPr>
          <w:p>
            <w:pPr>
              <w:jc w:val="right"/>
              <w:ind w:right="639"/>
              <w:spacing w:after="0" w:line="214" w:lineRule="exact"/>
              <w:rPr>
                <w:sz w:val="20"/>
                <w:szCs w:val="20"/>
                <w:color w:val="auto"/>
              </w:rPr>
            </w:pPr>
            <w:r>
              <w:rPr>
                <w:rFonts w:ascii="Arial" w:cs="Arial" w:eastAsia="Arial" w:hAnsi="Arial"/>
                <w:sz w:val="16"/>
                <w:szCs w:val="16"/>
                <w:color w:val="auto"/>
              </w:rPr>
              <w:t xml:space="preserve">4,487  </w:t>
            </w:r>
            <w:r>
              <w:rPr>
                <w:rFonts w:ascii="Arial" w:cs="Arial" w:eastAsia="Arial" w:hAnsi="Arial"/>
                <w:sz w:val="24"/>
                <w:szCs w:val="24"/>
                <w:color w:val="auto"/>
                <w:vertAlign w:val="superscript"/>
              </w:rPr>
              <w:t>(1)</w:t>
            </w:r>
          </w:p>
        </w:tc>
        <w:tc>
          <w:tcPr>
            <w:tcW w:w="1180" w:type="dxa"/>
            <w:vAlign w:val="bottom"/>
          </w:tcPr>
          <w:p>
            <w:pPr>
              <w:jc w:val="right"/>
              <w:spacing w:after="0"/>
              <w:rPr>
                <w:sz w:val="20"/>
                <w:szCs w:val="20"/>
                <w:color w:val="auto"/>
              </w:rPr>
            </w:pPr>
            <w:r>
              <w:rPr>
                <w:rFonts w:ascii="Arial" w:cs="Arial" w:eastAsia="Arial" w:hAnsi="Arial"/>
                <w:sz w:val="16"/>
                <w:szCs w:val="16"/>
                <w:color w:val="auto"/>
              </w:rPr>
              <w:t>420,925</w:t>
            </w:r>
          </w:p>
        </w:tc>
        <w:tc>
          <w:tcPr>
            <w:tcW w:w="240" w:type="dxa"/>
            <w:vAlign w:val="bottom"/>
          </w:tcPr>
          <w:p>
            <w:pPr>
              <w:jc w:val="right"/>
              <w:ind w:right="39"/>
              <w:spacing w:after="0"/>
              <w:rPr>
                <w:sz w:val="20"/>
                <w:szCs w:val="20"/>
                <w:color w:val="auto"/>
              </w:rPr>
            </w:pPr>
            <w:r>
              <w:rPr>
                <w:rFonts w:ascii="Arial" w:cs="Arial" w:eastAsia="Arial" w:hAnsi="Arial"/>
                <w:sz w:val="12"/>
                <w:szCs w:val="12"/>
                <w:color w:val="auto"/>
                <w:w w:val="81"/>
              </w:rPr>
              <w:t>(1)</w:t>
            </w:r>
          </w:p>
        </w:tc>
        <w:tc>
          <w:tcPr>
            <w:tcW w:w="0" w:type="dxa"/>
            <w:vAlign w:val="bottom"/>
          </w:tcPr>
          <w:p>
            <w:pPr>
              <w:spacing w:after="0"/>
              <w:rPr>
                <w:sz w:val="1"/>
                <w:szCs w:val="1"/>
                <w:color w:val="auto"/>
              </w:rPr>
            </w:pPr>
          </w:p>
        </w:tc>
      </w:tr>
      <w:tr>
        <w:trPr>
          <w:trHeight w:val="243"/>
        </w:trPr>
        <w:tc>
          <w:tcPr>
            <w:tcW w:w="5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14,104</w:t>
            </w:r>
          </w:p>
        </w:tc>
        <w:tc>
          <w:tcPr>
            <w:tcW w:w="840" w:type="dxa"/>
            <w:vAlign w:val="bottom"/>
          </w:tcPr>
          <w:p>
            <w:pPr>
              <w:jc w:val="right"/>
              <w:ind w:right="639"/>
              <w:spacing w:after="0"/>
              <w:rPr>
                <w:sz w:val="20"/>
                <w:szCs w:val="20"/>
                <w:color w:val="auto"/>
              </w:rPr>
            </w:pPr>
            <w:r>
              <w:rPr>
                <w:rFonts w:ascii="Arial" w:cs="Arial" w:eastAsia="Arial" w:hAnsi="Arial"/>
                <w:sz w:val="12"/>
                <w:szCs w:val="12"/>
                <w:color w:val="auto"/>
                <w:w w:val="81"/>
              </w:rPr>
              <w:t>(2)</w:t>
            </w:r>
          </w:p>
        </w:tc>
        <w:tc>
          <w:tcPr>
            <w:tcW w:w="1180" w:type="dxa"/>
            <w:vAlign w:val="bottom"/>
          </w:tcPr>
          <w:p>
            <w:pPr>
              <w:jc w:val="right"/>
              <w:spacing w:after="0"/>
              <w:rPr>
                <w:sz w:val="20"/>
                <w:szCs w:val="20"/>
                <w:color w:val="auto"/>
              </w:rPr>
            </w:pPr>
            <w:r>
              <w:rPr>
                <w:rFonts w:ascii="Arial" w:cs="Arial" w:eastAsia="Arial" w:hAnsi="Arial"/>
                <w:sz w:val="16"/>
                <w:szCs w:val="16"/>
                <w:color w:val="auto"/>
              </w:rPr>
              <w:t>1,323,096</w:t>
            </w:r>
          </w:p>
        </w:tc>
        <w:tc>
          <w:tcPr>
            <w:tcW w:w="240" w:type="dxa"/>
            <w:vAlign w:val="bottom"/>
          </w:tcPr>
          <w:p>
            <w:pPr>
              <w:jc w:val="right"/>
              <w:ind w:right="39"/>
              <w:spacing w:after="0"/>
              <w:rPr>
                <w:sz w:val="20"/>
                <w:szCs w:val="20"/>
                <w:color w:val="auto"/>
              </w:rPr>
            </w:pPr>
            <w:r>
              <w:rPr>
                <w:rFonts w:ascii="Arial" w:cs="Arial" w:eastAsia="Arial" w:hAnsi="Arial"/>
                <w:sz w:val="12"/>
                <w:szCs w:val="12"/>
                <w:color w:val="auto"/>
                <w:w w:val="81"/>
              </w:rPr>
              <w:t>(2)</w:t>
            </w:r>
          </w:p>
        </w:tc>
        <w:tc>
          <w:tcPr>
            <w:tcW w:w="0" w:type="dxa"/>
            <w:vAlign w:val="bottom"/>
          </w:tcPr>
          <w:p>
            <w:pPr>
              <w:spacing w:after="0"/>
              <w:rPr>
                <w:sz w:val="1"/>
                <w:szCs w:val="1"/>
                <w:color w:val="auto"/>
              </w:rPr>
            </w:pPr>
          </w:p>
        </w:tc>
      </w:tr>
      <w:tr>
        <w:trPr>
          <w:trHeight w:val="243"/>
        </w:trPr>
        <w:tc>
          <w:tcPr>
            <w:tcW w:w="5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14,508</w:t>
            </w:r>
          </w:p>
        </w:tc>
        <w:tc>
          <w:tcPr>
            <w:tcW w:w="840" w:type="dxa"/>
            <w:vAlign w:val="bottom"/>
          </w:tcPr>
          <w:p>
            <w:pPr>
              <w:jc w:val="right"/>
              <w:ind w:right="639"/>
              <w:spacing w:after="0"/>
              <w:rPr>
                <w:sz w:val="20"/>
                <w:szCs w:val="20"/>
                <w:color w:val="auto"/>
              </w:rPr>
            </w:pPr>
            <w:r>
              <w:rPr>
                <w:rFonts w:ascii="Arial" w:cs="Arial" w:eastAsia="Arial" w:hAnsi="Arial"/>
                <w:sz w:val="12"/>
                <w:szCs w:val="12"/>
                <w:color w:val="auto"/>
                <w:w w:val="81"/>
              </w:rPr>
              <w:t>(3)</w:t>
            </w:r>
          </w:p>
        </w:tc>
        <w:tc>
          <w:tcPr>
            <w:tcW w:w="1180" w:type="dxa"/>
            <w:vAlign w:val="bottom"/>
          </w:tcPr>
          <w:p>
            <w:pPr>
              <w:jc w:val="right"/>
              <w:spacing w:after="0"/>
              <w:rPr>
                <w:sz w:val="20"/>
                <w:szCs w:val="20"/>
                <w:color w:val="auto"/>
              </w:rPr>
            </w:pPr>
            <w:r>
              <w:rPr>
                <w:rFonts w:ascii="Arial" w:cs="Arial" w:eastAsia="Arial" w:hAnsi="Arial"/>
                <w:sz w:val="16"/>
                <w:szCs w:val="16"/>
                <w:color w:val="auto"/>
              </w:rPr>
              <w:t>1,360,995</w:t>
            </w:r>
          </w:p>
        </w:tc>
        <w:tc>
          <w:tcPr>
            <w:tcW w:w="240" w:type="dxa"/>
            <w:vAlign w:val="bottom"/>
          </w:tcPr>
          <w:p>
            <w:pPr>
              <w:jc w:val="right"/>
              <w:ind w:right="39"/>
              <w:spacing w:after="0"/>
              <w:rPr>
                <w:sz w:val="20"/>
                <w:szCs w:val="20"/>
                <w:color w:val="auto"/>
              </w:rPr>
            </w:pPr>
            <w:r>
              <w:rPr>
                <w:rFonts w:ascii="Arial" w:cs="Arial" w:eastAsia="Arial" w:hAnsi="Arial"/>
                <w:sz w:val="12"/>
                <w:szCs w:val="12"/>
                <w:color w:val="auto"/>
                <w:w w:val="81"/>
              </w:rPr>
              <w:t>(3)</w:t>
            </w:r>
          </w:p>
        </w:tc>
        <w:tc>
          <w:tcPr>
            <w:tcW w:w="0" w:type="dxa"/>
            <w:vAlign w:val="bottom"/>
          </w:tcPr>
          <w:p>
            <w:pPr>
              <w:spacing w:after="0"/>
              <w:rPr>
                <w:sz w:val="1"/>
                <w:szCs w:val="1"/>
                <w:color w:val="auto"/>
              </w:rPr>
            </w:pPr>
          </w:p>
        </w:tc>
      </w:tr>
      <w:tr>
        <w:trPr>
          <w:trHeight w:val="243"/>
        </w:trPr>
        <w:tc>
          <w:tcPr>
            <w:tcW w:w="5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24,971</w:t>
            </w:r>
          </w:p>
        </w:tc>
        <w:tc>
          <w:tcPr>
            <w:tcW w:w="840" w:type="dxa"/>
            <w:vAlign w:val="bottom"/>
          </w:tcPr>
          <w:p>
            <w:pPr>
              <w:jc w:val="right"/>
              <w:ind w:right="639"/>
              <w:spacing w:after="0"/>
              <w:rPr>
                <w:sz w:val="20"/>
                <w:szCs w:val="20"/>
                <w:color w:val="auto"/>
              </w:rPr>
            </w:pPr>
            <w:r>
              <w:rPr>
                <w:rFonts w:ascii="Arial" w:cs="Arial" w:eastAsia="Arial" w:hAnsi="Arial"/>
                <w:sz w:val="12"/>
                <w:szCs w:val="12"/>
                <w:color w:val="auto"/>
                <w:w w:val="81"/>
              </w:rPr>
              <w:t>(4)</w:t>
            </w:r>
          </w:p>
        </w:tc>
        <w:tc>
          <w:tcPr>
            <w:tcW w:w="1180" w:type="dxa"/>
            <w:vAlign w:val="bottom"/>
          </w:tcPr>
          <w:p>
            <w:pPr>
              <w:jc w:val="right"/>
              <w:spacing w:after="0"/>
              <w:rPr>
                <w:sz w:val="20"/>
                <w:szCs w:val="20"/>
                <w:color w:val="auto"/>
              </w:rPr>
            </w:pPr>
            <w:r>
              <w:rPr>
                <w:rFonts w:ascii="Arial" w:cs="Arial" w:eastAsia="Arial" w:hAnsi="Arial"/>
                <w:sz w:val="16"/>
                <w:szCs w:val="16"/>
                <w:color w:val="auto"/>
              </w:rPr>
              <w:t>2,275,108</w:t>
            </w:r>
          </w:p>
        </w:tc>
        <w:tc>
          <w:tcPr>
            <w:tcW w:w="240" w:type="dxa"/>
            <w:vAlign w:val="bottom"/>
          </w:tcPr>
          <w:p>
            <w:pPr>
              <w:jc w:val="right"/>
              <w:ind w:right="39"/>
              <w:spacing w:after="0"/>
              <w:rPr>
                <w:sz w:val="20"/>
                <w:szCs w:val="20"/>
                <w:color w:val="auto"/>
              </w:rPr>
            </w:pPr>
            <w:r>
              <w:rPr>
                <w:rFonts w:ascii="Arial" w:cs="Arial" w:eastAsia="Arial" w:hAnsi="Arial"/>
                <w:sz w:val="12"/>
                <w:szCs w:val="12"/>
                <w:color w:val="auto"/>
                <w:w w:val="81"/>
              </w:rPr>
              <w:t>(4)</w:t>
            </w:r>
          </w:p>
        </w:tc>
        <w:tc>
          <w:tcPr>
            <w:tcW w:w="0" w:type="dxa"/>
            <w:vAlign w:val="bottom"/>
          </w:tcPr>
          <w:p>
            <w:pPr>
              <w:spacing w:after="0"/>
              <w:rPr>
                <w:sz w:val="1"/>
                <w:szCs w:val="1"/>
                <w:color w:val="auto"/>
              </w:rPr>
            </w:pPr>
          </w:p>
        </w:tc>
      </w:tr>
      <w:tr>
        <w:trPr>
          <w:trHeight w:val="265"/>
        </w:trPr>
        <w:tc>
          <w:tcPr>
            <w:tcW w:w="5560" w:type="dxa"/>
            <w:vAlign w:val="bottom"/>
            <w:tcBorders>
              <w:bottom w:val="single" w:sz="8" w:color="808080"/>
            </w:tcBorders>
          </w:tcPr>
          <w:p>
            <w:pPr>
              <w:spacing w:after="0"/>
              <w:rPr>
                <w:sz w:val="23"/>
                <w:szCs w:val="23"/>
                <w:color w:val="auto"/>
              </w:rPr>
            </w:pPr>
          </w:p>
        </w:tc>
        <w:tc>
          <w:tcPr>
            <w:tcW w:w="200" w:type="dxa"/>
            <w:vAlign w:val="bottom"/>
            <w:tcBorders>
              <w:bottom w:val="single" w:sz="8" w:color="808080"/>
            </w:tcBorders>
          </w:tcPr>
          <w:p>
            <w:pPr>
              <w:spacing w:after="0"/>
              <w:rPr>
                <w:sz w:val="23"/>
                <w:szCs w:val="23"/>
                <w:color w:val="auto"/>
              </w:rPr>
            </w:pPr>
          </w:p>
        </w:tc>
        <w:tc>
          <w:tcPr>
            <w:tcW w:w="100" w:type="dxa"/>
            <w:vAlign w:val="bottom"/>
            <w:tcBorders>
              <w:bottom w:val="single" w:sz="8" w:color="808080"/>
            </w:tcBorders>
          </w:tcPr>
          <w:p>
            <w:pPr>
              <w:spacing w:after="0"/>
              <w:rPr>
                <w:sz w:val="23"/>
                <w:szCs w:val="23"/>
                <w:color w:val="auto"/>
              </w:rPr>
            </w:pPr>
          </w:p>
        </w:tc>
        <w:tc>
          <w:tcPr>
            <w:tcW w:w="1600" w:type="dxa"/>
            <w:vAlign w:val="bottom"/>
            <w:tcBorders>
              <w:bottom w:val="single" w:sz="8" w:color="808080"/>
            </w:tcBorders>
          </w:tcPr>
          <w:p>
            <w:pPr>
              <w:jc w:val="right"/>
              <w:spacing w:after="0"/>
              <w:rPr>
                <w:sz w:val="20"/>
                <w:szCs w:val="20"/>
                <w:color w:val="auto"/>
              </w:rPr>
            </w:pPr>
            <w:r>
              <w:rPr>
                <w:rFonts w:ascii="Arial" w:cs="Arial" w:eastAsia="Arial" w:hAnsi="Arial"/>
                <w:sz w:val="16"/>
                <w:szCs w:val="16"/>
                <w:color w:val="auto"/>
              </w:rPr>
              <w:t>56,699</w:t>
            </w:r>
          </w:p>
        </w:tc>
        <w:tc>
          <w:tcPr>
            <w:tcW w:w="840" w:type="dxa"/>
            <w:vAlign w:val="bottom"/>
            <w:tcBorders>
              <w:bottom w:val="single" w:sz="8" w:color="808080"/>
            </w:tcBorders>
          </w:tcPr>
          <w:p>
            <w:pPr>
              <w:jc w:val="right"/>
              <w:ind w:right="639"/>
              <w:spacing w:after="0"/>
              <w:rPr>
                <w:sz w:val="20"/>
                <w:szCs w:val="20"/>
                <w:color w:val="auto"/>
              </w:rPr>
            </w:pPr>
            <w:r>
              <w:rPr>
                <w:rFonts w:ascii="Arial" w:cs="Arial" w:eastAsia="Arial" w:hAnsi="Arial"/>
                <w:sz w:val="12"/>
                <w:szCs w:val="12"/>
                <w:color w:val="auto"/>
                <w:w w:val="81"/>
              </w:rPr>
              <w:t>(6)</w:t>
            </w:r>
          </w:p>
        </w:tc>
        <w:tc>
          <w:tcPr>
            <w:tcW w:w="1180" w:type="dxa"/>
            <w:vAlign w:val="bottom"/>
            <w:tcBorders>
              <w:bottom w:val="single" w:sz="8" w:color="808080"/>
            </w:tcBorders>
          </w:tcPr>
          <w:p>
            <w:pPr>
              <w:jc w:val="right"/>
              <w:spacing w:after="0"/>
              <w:rPr>
                <w:sz w:val="20"/>
                <w:szCs w:val="20"/>
                <w:color w:val="auto"/>
              </w:rPr>
            </w:pPr>
            <w:r>
              <w:rPr>
                <w:rFonts w:ascii="Arial" w:cs="Arial" w:eastAsia="Arial" w:hAnsi="Arial"/>
                <w:sz w:val="16"/>
                <w:szCs w:val="16"/>
                <w:color w:val="auto"/>
              </w:rPr>
              <w:t>6,340,082</w:t>
            </w:r>
          </w:p>
        </w:tc>
        <w:tc>
          <w:tcPr>
            <w:tcW w:w="240" w:type="dxa"/>
            <w:vAlign w:val="bottom"/>
            <w:tcBorders>
              <w:bottom w:val="single" w:sz="8" w:color="808080"/>
            </w:tcBorders>
          </w:tcPr>
          <w:p>
            <w:pPr>
              <w:jc w:val="right"/>
              <w:ind w:right="39"/>
              <w:spacing w:after="0"/>
              <w:rPr>
                <w:sz w:val="20"/>
                <w:szCs w:val="20"/>
                <w:color w:val="auto"/>
              </w:rPr>
            </w:pPr>
            <w:r>
              <w:rPr>
                <w:rFonts w:ascii="Arial" w:cs="Arial" w:eastAsia="Arial" w:hAnsi="Arial"/>
                <w:sz w:val="12"/>
                <w:szCs w:val="12"/>
                <w:color w:val="auto"/>
                <w:w w:val="81"/>
              </w:rPr>
              <w:t>(6)</w:t>
            </w:r>
          </w:p>
        </w:tc>
        <w:tc>
          <w:tcPr>
            <w:tcW w:w="0" w:type="dxa"/>
            <w:vAlign w:val="bottom"/>
          </w:tcPr>
          <w:p>
            <w:pPr>
              <w:spacing w:after="0"/>
              <w:rPr>
                <w:sz w:val="1"/>
                <w:szCs w:val="1"/>
                <w:color w:val="auto"/>
              </w:rPr>
            </w:pPr>
          </w:p>
        </w:tc>
      </w:tr>
      <w:tr>
        <w:trPr>
          <w:trHeight w:val="215"/>
        </w:trPr>
        <w:tc>
          <w:tcPr>
            <w:tcW w:w="5860" w:type="dxa"/>
            <w:vAlign w:val="bottom"/>
            <w:gridSpan w:val="3"/>
          </w:tcPr>
          <w:p>
            <w:pPr>
              <w:ind w:left="120"/>
              <w:spacing w:after="0"/>
              <w:rPr>
                <w:sz w:val="20"/>
                <w:szCs w:val="20"/>
                <w:color w:val="auto"/>
              </w:rPr>
            </w:pPr>
            <w:r>
              <w:rPr>
                <w:rFonts w:ascii="Arial" w:cs="Arial" w:eastAsia="Arial" w:hAnsi="Arial"/>
                <w:sz w:val="16"/>
                <w:szCs w:val="16"/>
                <w:b w:val="1"/>
                <w:bCs w:val="1"/>
                <w:color w:val="auto"/>
              </w:rPr>
              <w:t>Andrew Nocella</w:t>
            </w:r>
          </w:p>
        </w:tc>
        <w:tc>
          <w:tcPr>
            <w:tcW w:w="2440" w:type="dxa"/>
            <w:vAlign w:val="bottom"/>
            <w:gridSpan w:val="2"/>
          </w:tcPr>
          <w:p>
            <w:pPr>
              <w:jc w:val="right"/>
              <w:ind w:right="639"/>
              <w:spacing w:after="0" w:line="214" w:lineRule="exact"/>
              <w:rPr>
                <w:sz w:val="20"/>
                <w:szCs w:val="20"/>
                <w:color w:val="auto"/>
              </w:rPr>
            </w:pPr>
            <w:r>
              <w:rPr>
                <w:rFonts w:ascii="Arial" w:cs="Arial" w:eastAsia="Arial" w:hAnsi="Arial"/>
                <w:sz w:val="16"/>
                <w:szCs w:val="16"/>
                <w:color w:val="auto"/>
              </w:rPr>
              <w:t xml:space="preserve">14,023  </w:t>
            </w:r>
            <w:r>
              <w:rPr>
                <w:rFonts w:ascii="Arial" w:cs="Arial" w:eastAsia="Arial" w:hAnsi="Arial"/>
                <w:sz w:val="24"/>
                <w:szCs w:val="24"/>
                <w:color w:val="auto"/>
                <w:vertAlign w:val="superscript"/>
              </w:rPr>
              <w:t>(1)</w:t>
            </w:r>
          </w:p>
        </w:tc>
        <w:tc>
          <w:tcPr>
            <w:tcW w:w="1180" w:type="dxa"/>
            <w:vAlign w:val="bottom"/>
          </w:tcPr>
          <w:p>
            <w:pPr>
              <w:jc w:val="right"/>
              <w:spacing w:after="0"/>
              <w:rPr>
                <w:sz w:val="20"/>
                <w:szCs w:val="20"/>
                <w:color w:val="auto"/>
              </w:rPr>
            </w:pPr>
            <w:r>
              <w:rPr>
                <w:rFonts w:ascii="Arial" w:cs="Arial" w:eastAsia="Arial" w:hAnsi="Arial"/>
                <w:sz w:val="16"/>
                <w:szCs w:val="16"/>
                <w:color w:val="auto"/>
              </w:rPr>
              <w:t>1,315,498</w:t>
            </w:r>
          </w:p>
        </w:tc>
        <w:tc>
          <w:tcPr>
            <w:tcW w:w="240" w:type="dxa"/>
            <w:vAlign w:val="bottom"/>
          </w:tcPr>
          <w:p>
            <w:pPr>
              <w:jc w:val="right"/>
              <w:ind w:right="39"/>
              <w:spacing w:after="0"/>
              <w:rPr>
                <w:sz w:val="20"/>
                <w:szCs w:val="20"/>
                <w:color w:val="auto"/>
              </w:rPr>
            </w:pPr>
            <w:r>
              <w:rPr>
                <w:rFonts w:ascii="Arial" w:cs="Arial" w:eastAsia="Arial" w:hAnsi="Arial"/>
                <w:sz w:val="12"/>
                <w:szCs w:val="12"/>
                <w:color w:val="auto"/>
                <w:w w:val="81"/>
              </w:rPr>
              <w:t>(1)</w:t>
            </w:r>
          </w:p>
        </w:tc>
        <w:tc>
          <w:tcPr>
            <w:tcW w:w="0" w:type="dxa"/>
            <w:vAlign w:val="bottom"/>
          </w:tcPr>
          <w:p>
            <w:pPr>
              <w:spacing w:after="0"/>
              <w:rPr>
                <w:sz w:val="1"/>
                <w:szCs w:val="1"/>
                <w:color w:val="auto"/>
              </w:rPr>
            </w:pPr>
          </w:p>
        </w:tc>
      </w:tr>
      <w:tr>
        <w:trPr>
          <w:trHeight w:val="243"/>
        </w:trPr>
        <w:tc>
          <w:tcPr>
            <w:tcW w:w="5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12,067</w:t>
            </w:r>
          </w:p>
        </w:tc>
        <w:tc>
          <w:tcPr>
            <w:tcW w:w="840" w:type="dxa"/>
            <w:vAlign w:val="bottom"/>
          </w:tcPr>
          <w:p>
            <w:pPr>
              <w:jc w:val="right"/>
              <w:ind w:right="639"/>
              <w:spacing w:after="0"/>
              <w:rPr>
                <w:sz w:val="20"/>
                <w:szCs w:val="20"/>
                <w:color w:val="auto"/>
              </w:rPr>
            </w:pPr>
            <w:r>
              <w:rPr>
                <w:rFonts w:ascii="Arial" w:cs="Arial" w:eastAsia="Arial" w:hAnsi="Arial"/>
                <w:sz w:val="12"/>
                <w:szCs w:val="12"/>
                <w:color w:val="auto"/>
                <w:w w:val="81"/>
              </w:rPr>
              <w:t>(2)</w:t>
            </w:r>
          </w:p>
        </w:tc>
        <w:tc>
          <w:tcPr>
            <w:tcW w:w="1180" w:type="dxa"/>
            <w:vAlign w:val="bottom"/>
          </w:tcPr>
          <w:p>
            <w:pPr>
              <w:jc w:val="right"/>
              <w:spacing w:after="0"/>
              <w:rPr>
                <w:sz w:val="20"/>
                <w:szCs w:val="20"/>
                <w:color w:val="auto"/>
              </w:rPr>
            </w:pPr>
            <w:r>
              <w:rPr>
                <w:rFonts w:ascii="Arial" w:cs="Arial" w:eastAsia="Arial" w:hAnsi="Arial"/>
                <w:sz w:val="16"/>
                <w:szCs w:val="16"/>
                <w:color w:val="auto"/>
              </w:rPr>
              <w:t>1,132,005</w:t>
            </w:r>
          </w:p>
        </w:tc>
        <w:tc>
          <w:tcPr>
            <w:tcW w:w="240" w:type="dxa"/>
            <w:vAlign w:val="bottom"/>
          </w:tcPr>
          <w:p>
            <w:pPr>
              <w:jc w:val="right"/>
              <w:ind w:right="39"/>
              <w:spacing w:after="0"/>
              <w:rPr>
                <w:sz w:val="20"/>
                <w:szCs w:val="20"/>
                <w:color w:val="auto"/>
              </w:rPr>
            </w:pPr>
            <w:r>
              <w:rPr>
                <w:rFonts w:ascii="Arial" w:cs="Arial" w:eastAsia="Arial" w:hAnsi="Arial"/>
                <w:sz w:val="12"/>
                <w:szCs w:val="12"/>
                <w:color w:val="auto"/>
                <w:w w:val="81"/>
              </w:rPr>
              <w:t>(2)</w:t>
            </w:r>
          </w:p>
        </w:tc>
        <w:tc>
          <w:tcPr>
            <w:tcW w:w="0" w:type="dxa"/>
            <w:vAlign w:val="bottom"/>
          </w:tcPr>
          <w:p>
            <w:pPr>
              <w:spacing w:after="0"/>
              <w:rPr>
                <w:sz w:val="1"/>
                <w:szCs w:val="1"/>
                <w:color w:val="auto"/>
              </w:rPr>
            </w:pPr>
          </w:p>
        </w:tc>
      </w:tr>
      <w:tr>
        <w:trPr>
          <w:trHeight w:val="243"/>
        </w:trPr>
        <w:tc>
          <w:tcPr>
            <w:tcW w:w="5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11,848</w:t>
            </w:r>
          </w:p>
        </w:tc>
        <w:tc>
          <w:tcPr>
            <w:tcW w:w="840" w:type="dxa"/>
            <w:vAlign w:val="bottom"/>
          </w:tcPr>
          <w:p>
            <w:pPr>
              <w:jc w:val="right"/>
              <w:ind w:right="639"/>
              <w:spacing w:after="0"/>
              <w:rPr>
                <w:sz w:val="20"/>
                <w:szCs w:val="20"/>
                <w:color w:val="auto"/>
              </w:rPr>
            </w:pPr>
            <w:r>
              <w:rPr>
                <w:rFonts w:ascii="Arial" w:cs="Arial" w:eastAsia="Arial" w:hAnsi="Arial"/>
                <w:sz w:val="12"/>
                <w:szCs w:val="12"/>
                <w:color w:val="auto"/>
                <w:w w:val="81"/>
              </w:rPr>
              <w:t>(3)</w:t>
            </w:r>
          </w:p>
        </w:tc>
        <w:tc>
          <w:tcPr>
            <w:tcW w:w="1180" w:type="dxa"/>
            <w:vAlign w:val="bottom"/>
          </w:tcPr>
          <w:p>
            <w:pPr>
              <w:jc w:val="right"/>
              <w:spacing w:after="0"/>
              <w:rPr>
                <w:sz w:val="20"/>
                <w:szCs w:val="20"/>
                <w:color w:val="auto"/>
              </w:rPr>
            </w:pPr>
            <w:r>
              <w:rPr>
                <w:rFonts w:ascii="Arial" w:cs="Arial" w:eastAsia="Arial" w:hAnsi="Arial"/>
                <w:sz w:val="16"/>
                <w:szCs w:val="16"/>
                <w:color w:val="auto"/>
              </w:rPr>
              <w:t>1,111,461</w:t>
            </w:r>
          </w:p>
        </w:tc>
        <w:tc>
          <w:tcPr>
            <w:tcW w:w="240" w:type="dxa"/>
            <w:vAlign w:val="bottom"/>
          </w:tcPr>
          <w:p>
            <w:pPr>
              <w:jc w:val="right"/>
              <w:ind w:right="39"/>
              <w:spacing w:after="0"/>
              <w:rPr>
                <w:sz w:val="20"/>
                <w:szCs w:val="20"/>
                <w:color w:val="auto"/>
              </w:rPr>
            </w:pPr>
            <w:r>
              <w:rPr>
                <w:rFonts w:ascii="Arial" w:cs="Arial" w:eastAsia="Arial" w:hAnsi="Arial"/>
                <w:sz w:val="12"/>
                <w:szCs w:val="12"/>
                <w:color w:val="auto"/>
                <w:w w:val="81"/>
              </w:rPr>
              <w:t>(3)</w:t>
            </w:r>
          </w:p>
        </w:tc>
        <w:tc>
          <w:tcPr>
            <w:tcW w:w="0" w:type="dxa"/>
            <w:vAlign w:val="bottom"/>
          </w:tcPr>
          <w:p>
            <w:pPr>
              <w:spacing w:after="0"/>
              <w:rPr>
                <w:sz w:val="1"/>
                <w:szCs w:val="1"/>
                <w:color w:val="auto"/>
              </w:rPr>
            </w:pPr>
          </w:p>
        </w:tc>
      </w:tr>
      <w:tr>
        <w:trPr>
          <w:trHeight w:val="243"/>
        </w:trPr>
        <w:tc>
          <w:tcPr>
            <w:tcW w:w="5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21,404</w:t>
            </w:r>
          </w:p>
        </w:tc>
        <w:tc>
          <w:tcPr>
            <w:tcW w:w="840" w:type="dxa"/>
            <w:vAlign w:val="bottom"/>
          </w:tcPr>
          <w:p>
            <w:pPr>
              <w:jc w:val="right"/>
              <w:ind w:right="639"/>
              <w:spacing w:after="0"/>
              <w:rPr>
                <w:sz w:val="20"/>
                <w:szCs w:val="20"/>
                <w:color w:val="auto"/>
              </w:rPr>
            </w:pPr>
            <w:r>
              <w:rPr>
                <w:rFonts w:ascii="Arial" w:cs="Arial" w:eastAsia="Arial" w:hAnsi="Arial"/>
                <w:sz w:val="12"/>
                <w:szCs w:val="12"/>
                <w:color w:val="auto"/>
                <w:w w:val="81"/>
              </w:rPr>
              <w:t>(4)</w:t>
            </w:r>
          </w:p>
        </w:tc>
        <w:tc>
          <w:tcPr>
            <w:tcW w:w="1180" w:type="dxa"/>
            <w:vAlign w:val="bottom"/>
          </w:tcPr>
          <w:p>
            <w:pPr>
              <w:jc w:val="right"/>
              <w:spacing w:after="0"/>
              <w:rPr>
                <w:sz w:val="20"/>
                <w:szCs w:val="20"/>
                <w:color w:val="auto"/>
              </w:rPr>
            </w:pPr>
            <w:r>
              <w:rPr>
                <w:rFonts w:ascii="Arial" w:cs="Arial" w:eastAsia="Arial" w:hAnsi="Arial"/>
                <w:sz w:val="16"/>
                <w:szCs w:val="16"/>
                <w:color w:val="auto"/>
              </w:rPr>
              <w:t>1,950,118</w:t>
            </w:r>
          </w:p>
        </w:tc>
        <w:tc>
          <w:tcPr>
            <w:tcW w:w="240" w:type="dxa"/>
            <w:vAlign w:val="bottom"/>
          </w:tcPr>
          <w:p>
            <w:pPr>
              <w:jc w:val="right"/>
              <w:ind w:right="39"/>
              <w:spacing w:after="0"/>
              <w:rPr>
                <w:sz w:val="20"/>
                <w:szCs w:val="20"/>
                <w:color w:val="auto"/>
              </w:rPr>
            </w:pPr>
            <w:r>
              <w:rPr>
                <w:rFonts w:ascii="Arial" w:cs="Arial" w:eastAsia="Arial" w:hAnsi="Arial"/>
                <w:sz w:val="12"/>
                <w:szCs w:val="12"/>
                <w:color w:val="auto"/>
                <w:w w:val="81"/>
              </w:rPr>
              <w:t>(4)</w:t>
            </w:r>
          </w:p>
        </w:tc>
        <w:tc>
          <w:tcPr>
            <w:tcW w:w="0" w:type="dxa"/>
            <w:vAlign w:val="bottom"/>
          </w:tcPr>
          <w:p>
            <w:pPr>
              <w:spacing w:after="0"/>
              <w:rPr>
                <w:sz w:val="1"/>
                <w:szCs w:val="1"/>
                <w:color w:val="auto"/>
              </w:rPr>
            </w:pPr>
          </w:p>
        </w:tc>
      </w:tr>
      <w:tr>
        <w:trPr>
          <w:trHeight w:val="243"/>
        </w:trPr>
        <w:tc>
          <w:tcPr>
            <w:tcW w:w="5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48,509</w:t>
            </w:r>
          </w:p>
        </w:tc>
        <w:tc>
          <w:tcPr>
            <w:tcW w:w="840" w:type="dxa"/>
            <w:vAlign w:val="bottom"/>
          </w:tcPr>
          <w:p>
            <w:pPr>
              <w:jc w:val="right"/>
              <w:ind w:right="639"/>
              <w:spacing w:after="0"/>
              <w:rPr>
                <w:sz w:val="20"/>
                <w:szCs w:val="20"/>
                <w:color w:val="auto"/>
              </w:rPr>
            </w:pPr>
            <w:r>
              <w:rPr>
                <w:rFonts w:ascii="Arial" w:cs="Arial" w:eastAsia="Arial" w:hAnsi="Arial"/>
                <w:sz w:val="12"/>
                <w:szCs w:val="12"/>
                <w:color w:val="auto"/>
                <w:w w:val="81"/>
              </w:rPr>
              <w:t>(6)</w:t>
            </w:r>
          </w:p>
        </w:tc>
        <w:tc>
          <w:tcPr>
            <w:tcW w:w="1180" w:type="dxa"/>
            <w:vAlign w:val="bottom"/>
          </w:tcPr>
          <w:p>
            <w:pPr>
              <w:jc w:val="right"/>
              <w:spacing w:after="0"/>
              <w:rPr>
                <w:sz w:val="20"/>
                <w:szCs w:val="20"/>
                <w:color w:val="auto"/>
              </w:rPr>
            </w:pPr>
            <w:r>
              <w:rPr>
                <w:rFonts w:ascii="Arial" w:cs="Arial" w:eastAsia="Arial" w:hAnsi="Arial"/>
                <w:sz w:val="16"/>
                <w:szCs w:val="16"/>
                <w:color w:val="auto"/>
              </w:rPr>
              <w:t>5,424,276</w:t>
            </w:r>
          </w:p>
        </w:tc>
        <w:tc>
          <w:tcPr>
            <w:tcW w:w="240" w:type="dxa"/>
            <w:vAlign w:val="bottom"/>
          </w:tcPr>
          <w:p>
            <w:pPr>
              <w:jc w:val="right"/>
              <w:ind w:right="39"/>
              <w:spacing w:after="0"/>
              <w:rPr>
                <w:sz w:val="20"/>
                <w:szCs w:val="20"/>
                <w:color w:val="auto"/>
              </w:rPr>
            </w:pPr>
            <w:r>
              <w:rPr>
                <w:rFonts w:ascii="Arial" w:cs="Arial" w:eastAsia="Arial" w:hAnsi="Arial"/>
                <w:sz w:val="12"/>
                <w:szCs w:val="12"/>
                <w:color w:val="auto"/>
                <w:w w:val="81"/>
              </w:rPr>
              <w:t>(6)</w:t>
            </w:r>
          </w:p>
        </w:tc>
        <w:tc>
          <w:tcPr>
            <w:tcW w:w="0" w:type="dxa"/>
            <w:vAlign w:val="bottom"/>
          </w:tcPr>
          <w:p>
            <w:pPr>
              <w:spacing w:after="0"/>
              <w:rPr>
                <w:sz w:val="1"/>
                <w:szCs w:val="1"/>
                <w:color w:val="auto"/>
              </w:rPr>
            </w:pPr>
          </w:p>
        </w:tc>
      </w:tr>
      <w:tr>
        <w:trPr>
          <w:trHeight w:val="265"/>
        </w:trPr>
        <w:tc>
          <w:tcPr>
            <w:tcW w:w="5560" w:type="dxa"/>
            <w:vAlign w:val="bottom"/>
            <w:tcBorders>
              <w:bottom w:val="single" w:sz="8" w:color="808080"/>
            </w:tcBorders>
          </w:tcPr>
          <w:p>
            <w:pPr>
              <w:spacing w:after="0"/>
              <w:rPr>
                <w:sz w:val="23"/>
                <w:szCs w:val="23"/>
                <w:color w:val="auto"/>
              </w:rPr>
            </w:pPr>
          </w:p>
        </w:tc>
        <w:tc>
          <w:tcPr>
            <w:tcW w:w="200" w:type="dxa"/>
            <w:vAlign w:val="bottom"/>
            <w:tcBorders>
              <w:bottom w:val="single" w:sz="8" w:color="808080"/>
            </w:tcBorders>
          </w:tcPr>
          <w:p>
            <w:pPr>
              <w:spacing w:after="0"/>
              <w:rPr>
                <w:sz w:val="23"/>
                <w:szCs w:val="23"/>
                <w:color w:val="auto"/>
              </w:rPr>
            </w:pPr>
          </w:p>
        </w:tc>
        <w:tc>
          <w:tcPr>
            <w:tcW w:w="100" w:type="dxa"/>
            <w:vAlign w:val="bottom"/>
            <w:tcBorders>
              <w:bottom w:val="single" w:sz="8" w:color="808080"/>
            </w:tcBorders>
          </w:tcPr>
          <w:p>
            <w:pPr>
              <w:spacing w:after="0"/>
              <w:rPr>
                <w:sz w:val="23"/>
                <w:szCs w:val="23"/>
                <w:color w:val="auto"/>
              </w:rPr>
            </w:pPr>
          </w:p>
        </w:tc>
        <w:tc>
          <w:tcPr>
            <w:tcW w:w="1600" w:type="dxa"/>
            <w:vAlign w:val="bottom"/>
            <w:tcBorders>
              <w:bottom w:val="single" w:sz="8" w:color="808080"/>
            </w:tcBorders>
          </w:tcPr>
          <w:p>
            <w:pPr>
              <w:jc w:val="right"/>
              <w:spacing w:after="0"/>
              <w:rPr>
                <w:sz w:val="20"/>
                <w:szCs w:val="20"/>
                <w:color w:val="auto"/>
              </w:rPr>
            </w:pPr>
            <w:r>
              <w:rPr>
                <w:rFonts w:ascii="Arial" w:cs="Arial" w:eastAsia="Arial" w:hAnsi="Arial"/>
                <w:sz w:val="16"/>
                <w:szCs w:val="16"/>
                <w:color w:val="auto"/>
              </w:rPr>
              <w:t>8,546</w:t>
            </w:r>
          </w:p>
        </w:tc>
        <w:tc>
          <w:tcPr>
            <w:tcW w:w="840" w:type="dxa"/>
            <w:vAlign w:val="bottom"/>
            <w:tcBorders>
              <w:bottom w:val="single" w:sz="8" w:color="808080"/>
            </w:tcBorders>
          </w:tcPr>
          <w:p>
            <w:pPr>
              <w:jc w:val="right"/>
              <w:ind w:right="639"/>
              <w:spacing w:after="0"/>
              <w:rPr>
                <w:sz w:val="20"/>
                <w:szCs w:val="20"/>
                <w:color w:val="auto"/>
              </w:rPr>
            </w:pPr>
            <w:r>
              <w:rPr>
                <w:rFonts w:ascii="Arial" w:cs="Arial" w:eastAsia="Arial" w:hAnsi="Arial"/>
                <w:sz w:val="12"/>
                <w:szCs w:val="12"/>
                <w:color w:val="auto"/>
                <w:w w:val="81"/>
              </w:rPr>
              <w:t>(9)</w:t>
            </w:r>
          </w:p>
        </w:tc>
        <w:tc>
          <w:tcPr>
            <w:tcW w:w="1180" w:type="dxa"/>
            <w:vAlign w:val="bottom"/>
            <w:tcBorders>
              <w:bottom w:val="single" w:sz="8" w:color="808080"/>
            </w:tcBorders>
          </w:tcPr>
          <w:p>
            <w:pPr>
              <w:jc w:val="right"/>
              <w:spacing w:after="0"/>
              <w:rPr>
                <w:sz w:val="20"/>
                <w:szCs w:val="20"/>
                <w:color w:val="auto"/>
              </w:rPr>
            </w:pPr>
            <w:r>
              <w:rPr>
                <w:rFonts w:ascii="Arial" w:cs="Arial" w:eastAsia="Arial" w:hAnsi="Arial"/>
                <w:sz w:val="16"/>
                <w:szCs w:val="16"/>
                <w:color w:val="auto"/>
              </w:rPr>
              <w:t>819,476</w:t>
            </w:r>
          </w:p>
        </w:tc>
        <w:tc>
          <w:tcPr>
            <w:tcW w:w="240" w:type="dxa"/>
            <w:vAlign w:val="bottom"/>
            <w:tcBorders>
              <w:bottom w:val="single" w:sz="8" w:color="808080"/>
            </w:tcBorders>
          </w:tcPr>
          <w:p>
            <w:pPr>
              <w:jc w:val="right"/>
              <w:ind w:right="39"/>
              <w:spacing w:after="0"/>
              <w:rPr>
                <w:sz w:val="20"/>
                <w:szCs w:val="20"/>
                <w:color w:val="auto"/>
              </w:rPr>
            </w:pPr>
            <w:r>
              <w:rPr>
                <w:rFonts w:ascii="Arial" w:cs="Arial" w:eastAsia="Arial" w:hAnsi="Arial"/>
                <w:sz w:val="12"/>
                <w:szCs w:val="12"/>
                <w:color w:val="auto"/>
                <w:w w:val="81"/>
              </w:rPr>
              <w:t>(9)</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320" w:right="220" w:hanging="316"/>
        <w:spacing w:after="0" w:line="214" w:lineRule="auto"/>
        <w:tabs>
          <w:tab w:leader="none" w:pos="320" w:val="left"/>
        </w:tabs>
        <w:numPr>
          <w:ilvl w:val="0"/>
          <w:numId w:val="140"/>
        </w:numPr>
        <w:rPr>
          <w:rFonts w:ascii="Arial" w:cs="Arial" w:eastAsia="Arial" w:hAnsi="Arial"/>
          <w:sz w:val="22"/>
          <w:szCs w:val="22"/>
          <w:color w:val="auto"/>
          <w:vertAlign w:val="superscript"/>
        </w:rPr>
      </w:pPr>
      <w:r>
        <w:rPr>
          <w:rFonts w:ascii="Arial" w:cs="Arial" w:eastAsia="Arial" w:hAnsi="Arial"/>
          <w:sz w:val="14"/>
          <w:szCs w:val="14"/>
          <w:color w:val="auto"/>
        </w:rPr>
        <w:t>Represents the vesting on February 28, 2025 of one-third of the time-vested RSUs granted in 2022 and valued based on the closing price per share of Common Stock on the vesting date ($93.81).</w:t>
      </w:r>
    </w:p>
    <w:p>
      <w:pPr>
        <w:spacing w:after="0" w:line="184" w:lineRule="exact"/>
        <w:rPr>
          <w:rFonts w:ascii="Arial" w:cs="Arial" w:eastAsia="Arial" w:hAnsi="Arial"/>
          <w:sz w:val="22"/>
          <w:szCs w:val="22"/>
          <w:color w:val="auto"/>
          <w:vertAlign w:val="superscript"/>
        </w:rPr>
      </w:pPr>
    </w:p>
    <w:p>
      <w:pPr>
        <w:ind w:left="320" w:right="220" w:hanging="316"/>
        <w:spacing w:after="0" w:line="214" w:lineRule="auto"/>
        <w:tabs>
          <w:tab w:leader="none" w:pos="320" w:val="left"/>
        </w:tabs>
        <w:numPr>
          <w:ilvl w:val="0"/>
          <w:numId w:val="140"/>
        </w:numPr>
        <w:rPr>
          <w:rFonts w:ascii="Arial" w:cs="Arial" w:eastAsia="Arial" w:hAnsi="Arial"/>
          <w:sz w:val="22"/>
          <w:szCs w:val="22"/>
          <w:color w:val="auto"/>
          <w:vertAlign w:val="superscript"/>
        </w:rPr>
      </w:pPr>
      <w:r>
        <w:rPr>
          <w:rFonts w:ascii="Arial" w:cs="Arial" w:eastAsia="Arial" w:hAnsi="Arial"/>
          <w:sz w:val="14"/>
          <w:szCs w:val="14"/>
          <w:color w:val="auto"/>
        </w:rPr>
        <w:t>Represents the vesting on February 28, 2025 of one-third of the time-vested RSUs granted in 2023 and valued based on the closing price per share of Common Stock on the vesting date ($93.81).</w:t>
      </w:r>
    </w:p>
    <w:p>
      <w:pPr>
        <w:spacing w:after="0" w:line="184" w:lineRule="exact"/>
        <w:rPr>
          <w:rFonts w:ascii="Arial" w:cs="Arial" w:eastAsia="Arial" w:hAnsi="Arial"/>
          <w:sz w:val="22"/>
          <w:szCs w:val="22"/>
          <w:color w:val="auto"/>
          <w:vertAlign w:val="superscript"/>
        </w:rPr>
      </w:pPr>
    </w:p>
    <w:p>
      <w:pPr>
        <w:ind w:left="320" w:right="220" w:hanging="316"/>
        <w:spacing w:after="0" w:line="214" w:lineRule="auto"/>
        <w:tabs>
          <w:tab w:leader="none" w:pos="320" w:val="left"/>
        </w:tabs>
        <w:numPr>
          <w:ilvl w:val="0"/>
          <w:numId w:val="140"/>
        </w:numPr>
        <w:rPr>
          <w:rFonts w:ascii="Arial" w:cs="Arial" w:eastAsia="Arial" w:hAnsi="Arial"/>
          <w:sz w:val="22"/>
          <w:szCs w:val="22"/>
          <w:color w:val="auto"/>
          <w:vertAlign w:val="superscript"/>
        </w:rPr>
      </w:pPr>
      <w:r>
        <w:rPr>
          <w:rFonts w:ascii="Arial" w:cs="Arial" w:eastAsia="Arial" w:hAnsi="Arial"/>
          <w:sz w:val="14"/>
          <w:szCs w:val="14"/>
          <w:color w:val="auto"/>
        </w:rPr>
        <w:t>Represents the vesting on February 28, 2025 of one-third of the time-vested RSUs granted in 2024 and valued based on the closing price per share of Common Stock on the vesting date ($93.81).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2026  Proxy  Statement</w:t>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1414D2"/>
        </w:rPr>
        <w:t>119</w:t>
      </w:r>
    </w:p>
    <w:p>
      <w:pPr>
        <w:sectPr>
          <w:pgSz w:w="11900" w:h="16838" w:orient="portrait"/>
          <w:cols w:equalWidth="0" w:num="1">
            <w:col w:w="9720"/>
          </w:cols>
          <w:pgMar w:left="1080" w:top="695" w:right="1099" w:bottom="1440" w:gutter="0" w:footer="0" w:header="0"/>
        </w:sectPr>
      </w:pPr>
    </w:p>
    <w:bookmarkStart w:id="130" w:name="page131"/>
    <w:bookmarkEnd w:id="130"/>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6D6F71"/>
        </w:rPr>
        <w:t>Executive  Compensation</w:t>
      </w:r>
    </w:p>
    <w:p>
      <w:pPr>
        <w:spacing w:after="0" w:line="231" w:lineRule="exact"/>
        <w:rPr>
          <w:sz w:val="20"/>
          <w:szCs w:val="20"/>
          <w:color w:val="auto"/>
        </w:rPr>
      </w:pPr>
    </w:p>
    <w:p>
      <w:pPr>
        <w:ind w:left="320" w:right="80" w:hanging="316"/>
        <w:spacing w:after="0" w:line="239" w:lineRule="auto"/>
        <w:tabs>
          <w:tab w:leader="none" w:pos="320" w:val="left"/>
        </w:tabs>
        <w:numPr>
          <w:ilvl w:val="0"/>
          <w:numId w:val="141"/>
        </w:numPr>
        <w:rPr>
          <w:rFonts w:ascii="Arial" w:cs="Arial" w:eastAsia="Arial" w:hAnsi="Arial"/>
          <w:sz w:val="22"/>
          <w:szCs w:val="22"/>
          <w:color w:val="auto"/>
          <w:vertAlign w:val="superscript"/>
        </w:rPr>
      </w:pPr>
      <w:r>
        <w:rPr>
          <w:rFonts w:ascii="Arial" w:cs="Arial" w:eastAsia="Arial" w:hAnsi="Arial"/>
          <w:sz w:val="14"/>
          <w:szCs w:val="14"/>
          <w:color w:val="auto"/>
        </w:rPr>
        <w:t>Represents the frst tranche of the 2024 Retention LTI Awards that vested based on the Company’s achievement with respect to an Adjusted EPS performance metric. Pursuant to the terms of the award agreements, the frst tranche of the 2024 Retention LTI Awards were settled in stock following the July 25, 2025 vesting date. The Committee certifed performance achieved for the frst tranche of the 2024 Retention LTI Awards in July 2025 at 100% of target. The value realized on vesting as shown in the table is based on the closing price per share of Common Stock on the vesting date ($91.11 per share).</w:t>
      </w:r>
    </w:p>
    <w:p>
      <w:pPr>
        <w:spacing w:after="0" w:line="173" w:lineRule="exact"/>
        <w:rPr>
          <w:rFonts w:ascii="Arial" w:cs="Arial" w:eastAsia="Arial" w:hAnsi="Arial"/>
          <w:sz w:val="22"/>
          <w:szCs w:val="22"/>
          <w:color w:val="auto"/>
          <w:vertAlign w:val="superscript"/>
        </w:rPr>
      </w:pPr>
    </w:p>
    <w:p>
      <w:pPr>
        <w:ind w:left="320" w:hanging="316"/>
        <w:spacing w:after="0"/>
        <w:tabs>
          <w:tab w:leader="none" w:pos="320" w:val="left"/>
        </w:tabs>
        <w:numPr>
          <w:ilvl w:val="0"/>
          <w:numId w:val="141"/>
        </w:numPr>
        <w:rPr>
          <w:rFonts w:ascii="Arial" w:cs="Arial" w:eastAsia="Arial" w:hAnsi="Arial"/>
          <w:sz w:val="22"/>
          <w:szCs w:val="22"/>
          <w:color w:val="auto"/>
          <w:vertAlign w:val="superscript"/>
        </w:rPr>
      </w:pPr>
      <w:r>
        <w:rPr>
          <w:rFonts w:ascii="Arial" w:cs="Arial" w:eastAsia="Arial" w:hAnsi="Arial"/>
          <w:sz w:val="14"/>
          <w:szCs w:val="14"/>
          <w:color w:val="auto"/>
        </w:rPr>
        <w:t>Represents Mr. Kirby’s Transformation Incentive Award that vested based on the Company’s achievement with respect to a pre-established human capital performance measure. Pursuant to the terms of the award agreement, Mr. Kirby’s award was settled in stock following the September 22, 2025 vesting date. The Committee certifed performance achieved for the Transformation Incentive Awards in September 2025 at 132% of target. The value realized on vesting as shown in the table is based on the closing price per share of Common Stock on the vesting date ($104.18 per share).</w:t>
      </w:r>
    </w:p>
    <w:p>
      <w:pPr>
        <w:spacing w:after="0" w:line="330" w:lineRule="exact"/>
        <w:rPr>
          <w:rFonts w:ascii="Arial" w:cs="Arial" w:eastAsia="Arial" w:hAnsi="Arial"/>
          <w:sz w:val="22"/>
          <w:szCs w:val="22"/>
          <w:color w:val="auto"/>
          <w:vertAlign w:val="superscript"/>
        </w:rPr>
      </w:pPr>
    </w:p>
    <w:p>
      <w:pPr>
        <w:ind w:left="320" w:right="40" w:hanging="316"/>
        <w:spacing w:after="0" w:line="239" w:lineRule="auto"/>
        <w:tabs>
          <w:tab w:leader="none" w:pos="320" w:val="left"/>
        </w:tabs>
        <w:numPr>
          <w:ilvl w:val="0"/>
          <w:numId w:val="141"/>
        </w:numPr>
        <w:rPr>
          <w:rFonts w:ascii="Arial" w:cs="Arial" w:eastAsia="Arial" w:hAnsi="Arial"/>
          <w:sz w:val="22"/>
          <w:szCs w:val="22"/>
          <w:color w:val="auto"/>
          <w:vertAlign w:val="superscript"/>
        </w:rPr>
      </w:pPr>
      <w:r>
        <w:rPr>
          <w:rFonts w:ascii="Arial" w:cs="Arial" w:eastAsia="Arial" w:hAnsi="Arial"/>
          <w:sz w:val="14"/>
          <w:szCs w:val="14"/>
          <w:color w:val="auto"/>
        </w:rPr>
        <w:t>Represents the 2023 Performance-Based RSU awards that vested based on the Company’s achievement with respect to performance measures for each of the three tranches as discussed in the CD&amp;A on page 103. Pursuant to the terms of the award agreements, the 2023 Performance-Based RSU awards were settled in stock in February 2026 upon certifcation by the Committee of performance achieved (134% of target). The value realized on vesting as shown in the table is based on the closing price per share of Common Stock at the end of the performance period ($111.82 per share on December 31, 2025).</w:t>
      </w:r>
    </w:p>
    <w:p>
      <w:pPr>
        <w:spacing w:after="0" w:line="132" w:lineRule="exact"/>
        <w:rPr>
          <w:rFonts w:ascii="Arial" w:cs="Arial" w:eastAsia="Arial" w:hAnsi="Arial"/>
          <w:sz w:val="22"/>
          <w:szCs w:val="22"/>
          <w:color w:val="auto"/>
          <w:vertAlign w:val="superscript"/>
        </w:rPr>
      </w:pPr>
    </w:p>
    <w:p>
      <w:pPr>
        <w:ind w:left="320" w:right="20" w:hanging="316"/>
        <w:spacing w:after="0" w:line="239" w:lineRule="auto"/>
        <w:tabs>
          <w:tab w:leader="none" w:pos="320" w:val="left"/>
        </w:tabs>
        <w:numPr>
          <w:ilvl w:val="0"/>
          <w:numId w:val="141"/>
        </w:numPr>
        <w:rPr>
          <w:rFonts w:ascii="Arial" w:cs="Arial" w:eastAsia="Arial" w:hAnsi="Arial"/>
          <w:sz w:val="22"/>
          <w:szCs w:val="22"/>
          <w:color w:val="auto"/>
          <w:vertAlign w:val="superscript"/>
        </w:rPr>
      </w:pPr>
      <w:r>
        <w:rPr>
          <w:rFonts w:ascii="Arial" w:cs="Arial" w:eastAsia="Arial" w:hAnsi="Arial"/>
          <w:sz w:val="14"/>
          <w:szCs w:val="14"/>
          <w:color w:val="auto"/>
        </w:rPr>
        <w:t>Represents Mr. Leskinen’s 2023 promotional PBRSU award that vested 50% based on performance measures established in 2024 and 50% based on performance measures established in 2025, consistent with performance measures and results described in the CD&amp;A on page 104. Pursuant to the terms of the award agreements, Mr. Leskinen’s 2023 promotional PBRSU award was settled in stock in February 2026 upon certifcation by the Committee of performance achieved (134% of target). The value realized on vesting as shown in the table is based on the closing price per share of Common Stock at the end of the performance period ($111.82 per share on December 31, 2025).</w:t>
      </w:r>
    </w:p>
    <w:p>
      <w:pPr>
        <w:spacing w:after="0" w:line="105" w:lineRule="exact"/>
        <w:rPr>
          <w:rFonts w:ascii="Arial" w:cs="Arial" w:eastAsia="Arial" w:hAnsi="Arial"/>
          <w:sz w:val="22"/>
          <w:szCs w:val="22"/>
          <w:color w:val="auto"/>
          <w:vertAlign w:val="superscript"/>
        </w:rPr>
      </w:pPr>
    </w:p>
    <w:p>
      <w:pPr>
        <w:ind w:left="320" w:right="160" w:hanging="316"/>
        <w:spacing w:after="0" w:line="222" w:lineRule="auto"/>
        <w:tabs>
          <w:tab w:leader="none" w:pos="320" w:val="left"/>
        </w:tabs>
        <w:numPr>
          <w:ilvl w:val="0"/>
          <w:numId w:val="141"/>
        </w:numPr>
        <w:rPr>
          <w:rFonts w:ascii="Arial" w:cs="Arial" w:eastAsia="Arial" w:hAnsi="Arial"/>
          <w:sz w:val="22"/>
          <w:szCs w:val="22"/>
          <w:color w:val="auto"/>
          <w:vertAlign w:val="superscript"/>
        </w:rPr>
      </w:pPr>
      <w:r>
        <w:rPr>
          <w:rFonts w:ascii="Arial" w:cs="Arial" w:eastAsia="Arial" w:hAnsi="Arial"/>
          <w:sz w:val="14"/>
          <w:szCs w:val="14"/>
          <w:color w:val="auto"/>
        </w:rPr>
        <w:t>Represents the vesting on February 28, 2025 of one-third of the time-vested RSUs granted to Mr. Leskinen in September 2023 and valued based on the closing price per share of Common Stock on the vesting date ($93.81).</w:t>
      </w:r>
    </w:p>
    <w:p>
      <w:pPr>
        <w:spacing w:after="0" w:line="103" w:lineRule="exact"/>
        <w:rPr>
          <w:rFonts w:ascii="Arial" w:cs="Arial" w:eastAsia="Arial" w:hAnsi="Arial"/>
          <w:sz w:val="22"/>
          <w:szCs w:val="22"/>
          <w:color w:val="auto"/>
          <w:vertAlign w:val="superscript"/>
        </w:rPr>
      </w:pPr>
    </w:p>
    <w:p>
      <w:pPr>
        <w:ind w:left="320" w:right="120" w:hanging="316"/>
        <w:spacing w:after="0" w:line="222" w:lineRule="auto"/>
        <w:tabs>
          <w:tab w:leader="none" w:pos="320" w:val="left"/>
        </w:tabs>
        <w:numPr>
          <w:ilvl w:val="0"/>
          <w:numId w:val="141"/>
        </w:numPr>
        <w:rPr>
          <w:rFonts w:ascii="Arial" w:cs="Arial" w:eastAsia="Arial" w:hAnsi="Arial"/>
          <w:sz w:val="22"/>
          <w:szCs w:val="22"/>
          <w:color w:val="auto"/>
          <w:vertAlign w:val="superscript"/>
        </w:rPr>
      </w:pPr>
      <w:r>
        <w:rPr>
          <w:rFonts w:ascii="Arial" w:cs="Arial" w:eastAsia="Arial" w:hAnsi="Arial"/>
          <w:sz w:val="14"/>
          <w:szCs w:val="14"/>
          <w:color w:val="auto"/>
        </w:rPr>
        <w:t>Represents the vesting on February 21, 2025 of one-third of a special award granted to Mr. Nocella in the form of time-vested RSU awards and valued based on the closing price per share of Common Stock on the vesting date ($95.89).</w:t>
      </w:r>
    </w:p>
    <w:p>
      <w:pPr>
        <w:sectPr>
          <w:pgSz w:w="11900" w:h="16838" w:orient="portrait"/>
          <w:cols w:equalWidth="0" w:num="1">
            <w:col w:w="9700"/>
          </w:cols>
          <w:pgMar w:left="1080" w:top="695" w:right="11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right"/>
        <w:ind w:right="7700"/>
        <w:spacing w:after="0"/>
        <w:rPr>
          <w:sz w:val="20"/>
          <w:szCs w:val="20"/>
          <w:color w:val="auto"/>
        </w:rPr>
      </w:pPr>
      <w:r>
        <w:rPr>
          <w:rFonts w:ascii="Arial" w:cs="Arial" w:eastAsia="Arial" w:hAnsi="Arial"/>
          <w:sz w:val="16"/>
          <w:szCs w:val="16"/>
          <w:color w:val="auto"/>
        </w:rPr>
        <w:t>​​2026​  Proxy</w:t>
      </w:r>
    </w:p>
    <w:p>
      <w:pPr>
        <w:spacing w:after="0" w:line="5" w:lineRule="exact"/>
        <w:rPr>
          <w:sz w:val="20"/>
          <w:szCs w:val="20"/>
          <w:color w:val="auto"/>
        </w:rPr>
      </w:pPr>
    </w:p>
    <w:p>
      <w:pPr>
        <w:ind w:left="660" w:hanging="656"/>
        <w:spacing w:after="0"/>
        <w:tabs>
          <w:tab w:leader="none" w:pos="660" w:val="left"/>
        </w:tabs>
        <w:numPr>
          <w:ilvl w:val="0"/>
          <w:numId w:val="142"/>
        </w:numPr>
        <w:rPr>
          <w:rFonts w:ascii="Arial" w:cs="Arial" w:eastAsia="Arial" w:hAnsi="Arial"/>
          <w:sz w:val="16"/>
          <w:szCs w:val="16"/>
          <w:b w:val="1"/>
          <w:bCs w:val="1"/>
          <w:color w:val="1414D2"/>
        </w:rPr>
      </w:pPr>
      <w:r>
        <w:rPr>
          <w:rFonts w:ascii="Arial" w:cs="Arial" w:eastAsia="Arial" w:hAnsi="Arial"/>
          <w:sz w:val="16"/>
          <w:szCs w:val="16"/>
          <w:color w:val="auto"/>
        </w:rPr>
        <w:t>Statement</w:t>
      </w:r>
    </w:p>
    <w:p>
      <w:pPr>
        <w:sectPr>
          <w:pgSz w:w="11900" w:h="16838" w:orient="portrait"/>
          <w:cols w:equalWidth="0" w:num="1">
            <w:col w:w="9700"/>
          </w:cols>
          <w:pgMar w:left="1080" w:top="695" w:right="1119" w:bottom="1440" w:gutter="0" w:footer="0" w:header="0"/>
          <w:type w:val="continuous"/>
        </w:sectPr>
      </w:pPr>
    </w:p>
    <w:bookmarkStart w:id="131" w:name="page132"/>
    <w:bookmarkEnd w:id="131"/>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27"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6D6F71"/>
        </w:rPr>
        <w:t>Executive  Compensation</w:t>
      </w:r>
    </w:p>
    <w:p>
      <w:pPr>
        <w:spacing w:after="0" w:line="223" w:lineRule="exact"/>
        <w:rPr>
          <w:sz w:val="20"/>
          <w:szCs w:val="20"/>
          <w:color w:val="auto"/>
        </w:rPr>
      </w:pPr>
    </w:p>
    <w:p>
      <w:pPr>
        <w:spacing w:after="0"/>
        <w:rPr>
          <w:sz w:val="20"/>
          <w:szCs w:val="20"/>
          <w:color w:val="auto"/>
        </w:rPr>
      </w:pPr>
      <w:r>
        <w:rPr>
          <w:rFonts w:ascii="Arial" w:cs="Arial" w:eastAsia="Arial" w:hAnsi="Arial"/>
          <w:sz w:val="25"/>
          <w:szCs w:val="25"/>
          <w:b w:val="1"/>
          <w:bCs w:val="1"/>
          <w:color w:val="1414D2"/>
        </w:rPr>
        <w:t>2025 Pension Benefts Table</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information  as  of  December  31,  2025  for  Mr.  Enqvist  concerning  the  present  value  of  his</w:t>
      </w:r>
    </w:p>
    <w:p>
      <w:pPr>
        <w:spacing w:after="0" w:line="19" w:lineRule="exact"/>
        <w:rPr>
          <w:sz w:val="20"/>
          <w:szCs w:val="20"/>
          <w:color w:val="auto"/>
        </w:rPr>
      </w:pPr>
    </w:p>
    <w:p>
      <w:pPr>
        <w:ind w:right="680"/>
        <w:spacing w:after="0" w:line="313" w:lineRule="auto"/>
        <w:rPr>
          <w:sz w:val="20"/>
          <w:szCs w:val="20"/>
          <w:color w:val="auto"/>
        </w:rPr>
      </w:pPr>
      <w:r>
        <w:rPr>
          <w:rFonts w:ascii="Arial" w:cs="Arial" w:eastAsia="Arial" w:hAnsi="Arial"/>
          <w:sz w:val="16"/>
          <w:szCs w:val="16"/>
          <w:color w:val="auto"/>
        </w:rPr>
        <w:t>accumulated benefts under the CARP, which was frozen with respect to all management and administrative employees, including ofcers, as of December 31, 2013.</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400" w:type="dxa"/>
            <w:vAlign w:val="bottom"/>
            <w:tcBorders>
              <w:top w:val="single" w:sz="8" w:color="1414D2"/>
            </w:tcBorders>
            <w:shd w:val="clear" w:color="auto" w:fill="F2F2F2"/>
          </w:tcPr>
          <w:p>
            <w:pPr>
              <w:spacing w:after="0"/>
              <w:rPr>
                <w:sz w:val="16"/>
                <w:szCs w:val="16"/>
                <w:color w:val="auto"/>
              </w:rPr>
            </w:pPr>
          </w:p>
        </w:tc>
        <w:tc>
          <w:tcPr>
            <w:tcW w:w="1040" w:type="dxa"/>
            <w:vAlign w:val="bottom"/>
            <w:tcBorders>
              <w:top w:val="single" w:sz="8" w:color="1414D2"/>
            </w:tcBorders>
            <w:vMerge w:val="restart"/>
            <w:shd w:val="clear" w:color="auto" w:fill="F2F2F2"/>
          </w:tcPr>
          <w:p>
            <w:pPr>
              <w:ind w:left="100"/>
              <w:spacing w:after="0"/>
              <w:rPr>
                <w:sz w:val="20"/>
                <w:szCs w:val="20"/>
                <w:color w:val="auto"/>
              </w:rPr>
            </w:pPr>
            <w:r>
              <w:rPr>
                <w:rFonts w:ascii="Arial" w:cs="Arial" w:eastAsia="Arial" w:hAnsi="Arial"/>
                <w:sz w:val="20"/>
                <w:szCs w:val="20"/>
                <w:b w:val="1"/>
                <w:bCs w:val="1"/>
                <w:color w:val="auto"/>
              </w:rPr>
              <w:t>​​​</w:t>
            </w:r>
          </w:p>
        </w:tc>
        <w:tc>
          <w:tcPr>
            <w:tcW w:w="1540" w:type="dxa"/>
            <w:vAlign w:val="bottom"/>
            <w:tcBorders>
              <w:top w:val="single" w:sz="8" w:color="1414D2"/>
            </w:tcBorders>
            <w:shd w:val="clear" w:color="auto" w:fill="F2F2F2"/>
          </w:tcPr>
          <w:p>
            <w:pPr>
              <w:ind w:left="80"/>
              <w:spacing w:after="0"/>
              <w:rPr>
                <w:sz w:val="20"/>
                <w:szCs w:val="20"/>
                <w:color w:val="auto"/>
              </w:rPr>
            </w:pPr>
            <w:r>
              <w:rPr>
                <w:rFonts w:ascii="Arial" w:cs="Arial" w:eastAsia="Arial" w:hAnsi="Arial"/>
                <w:sz w:val="14"/>
                <w:szCs w:val="14"/>
                <w:b w:val="1"/>
                <w:bCs w:val="1"/>
                <w:color w:val="auto"/>
              </w:rPr>
              <w:t>​​​</w:t>
            </w:r>
          </w:p>
        </w:tc>
        <w:tc>
          <w:tcPr>
            <w:tcW w:w="1320" w:type="dxa"/>
            <w:vAlign w:val="bottom"/>
            <w:tcBorders>
              <w:top w:val="single" w:sz="8" w:color="1414D2"/>
            </w:tcBorders>
            <w:shd w:val="clear" w:color="auto" w:fill="F2F2F2"/>
          </w:tcPr>
          <w:p>
            <w:pPr>
              <w:ind w:left="40"/>
              <w:spacing w:after="0"/>
              <w:rPr>
                <w:sz w:val="20"/>
                <w:szCs w:val="20"/>
                <w:color w:val="auto"/>
              </w:rPr>
            </w:pPr>
            <w:r>
              <w:rPr>
                <w:rFonts w:ascii="Arial" w:cs="Arial" w:eastAsia="Arial" w:hAnsi="Arial"/>
                <w:sz w:val="14"/>
                <w:szCs w:val="14"/>
                <w:b w:val="1"/>
                <w:bCs w:val="1"/>
                <w:color w:val="auto"/>
              </w:rPr>
              <w:t>​​​</w:t>
            </w:r>
          </w:p>
        </w:tc>
        <w:tc>
          <w:tcPr>
            <w:tcW w:w="1420" w:type="dxa"/>
            <w:vAlign w:val="bottom"/>
            <w:tcBorders>
              <w:top w:val="single" w:sz="8" w:color="1414D2"/>
            </w:tcBorders>
            <w:shd w:val="clear" w:color="auto" w:fill="F2F2F2"/>
          </w:tcPr>
          <w:p>
            <w:pPr>
              <w:ind w:left="40"/>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ind w:left="20"/>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rPr>
                <w:sz w:val="1"/>
                <w:szCs w:val="1"/>
                <w:color w:val="auto"/>
              </w:rPr>
            </w:pPr>
          </w:p>
        </w:tc>
      </w:tr>
      <w:tr>
        <w:trPr>
          <w:trHeight w:val="62"/>
        </w:trPr>
        <w:tc>
          <w:tcPr>
            <w:tcW w:w="4400" w:type="dxa"/>
            <w:vAlign w:val="bottom"/>
            <w:shd w:val="clear" w:color="auto" w:fill="F2F2F2"/>
          </w:tcPr>
          <w:p>
            <w:pPr>
              <w:spacing w:after="0"/>
              <w:rPr>
                <w:sz w:val="5"/>
                <w:szCs w:val="5"/>
                <w:color w:val="auto"/>
              </w:rPr>
            </w:pPr>
          </w:p>
        </w:tc>
        <w:tc>
          <w:tcPr>
            <w:tcW w:w="1040" w:type="dxa"/>
            <w:vAlign w:val="bottom"/>
            <w:vMerge w:val="continue"/>
            <w:shd w:val="clear" w:color="auto" w:fill="F2F2F2"/>
          </w:tcPr>
          <w:p>
            <w:pPr>
              <w:spacing w:after="0"/>
              <w:rPr>
                <w:sz w:val="5"/>
                <w:szCs w:val="5"/>
                <w:color w:val="auto"/>
              </w:rPr>
            </w:pPr>
          </w:p>
        </w:tc>
        <w:tc>
          <w:tcPr>
            <w:tcW w:w="1540" w:type="dxa"/>
            <w:vAlign w:val="bottom"/>
            <w:shd w:val="clear" w:color="auto" w:fill="F2F2F2"/>
          </w:tcPr>
          <w:p>
            <w:pPr>
              <w:spacing w:after="0"/>
              <w:rPr>
                <w:sz w:val="5"/>
                <w:szCs w:val="5"/>
                <w:color w:val="auto"/>
              </w:rPr>
            </w:pPr>
          </w:p>
        </w:tc>
        <w:tc>
          <w:tcPr>
            <w:tcW w:w="1320" w:type="dxa"/>
            <w:vAlign w:val="bottom"/>
            <w:shd w:val="clear" w:color="auto" w:fill="F2F2F2"/>
          </w:tcPr>
          <w:p>
            <w:pPr>
              <w:jc w:val="center"/>
              <w:ind w:left="13"/>
              <w:spacing w:after="0" w:line="63" w:lineRule="exact"/>
              <w:rPr>
                <w:sz w:val="20"/>
                <w:szCs w:val="20"/>
                <w:color w:val="auto"/>
              </w:rPr>
            </w:pPr>
            <w:r>
              <w:rPr>
                <w:rFonts w:ascii="Arial" w:cs="Arial" w:eastAsia="Arial" w:hAnsi="Arial"/>
                <w:sz w:val="7"/>
                <w:szCs w:val="7"/>
                <w:b w:val="1"/>
                <w:bCs w:val="1"/>
                <w:color w:val="auto"/>
              </w:rPr>
              <w:t>Present Value of</w:t>
            </w:r>
          </w:p>
        </w:tc>
        <w:tc>
          <w:tcPr>
            <w:tcW w:w="1420" w:type="dxa"/>
            <w:vAlign w:val="bottom"/>
            <w:shd w:val="clear" w:color="auto" w:fill="F2F2F2"/>
          </w:tcPr>
          <w:p>
            <w:pPr>
              <w:jc w:val="center"/>
              <w:spacing w:after="0" w:line="63" w:lineRule="exact"/>
              <w:rPr>
                <w:sz w:val="20"/>
                <w:szCs w:val="20"/>
                <w:color w:val="auto"/>
              </w:rPr>
            </w:pPr>
            <w:r>
              <w:rPr>
                <w:rFonts w:ascii="Arial" w:cs="Arial" w:eastAsia="Arial" w:hAnsi="Arial"/>
                <w:sz w:val="7"/>
                <w:szCs w:val="7"/>
                <w:b w:val="1"/>
                <w:bCs w:val="1"/>
                <w:color w:val="auto"/>
              </w:rPr>
              <w:t>Payments During</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4400" w:type="dxa"/>
            <w:vAlign w:val="bottom"/>
            <w:shd w:val="clear" w:color="auto" w:fill="F2F2F2"/>
          </w:tcPr>
          <w:p>
            <w:pPr>
              <w:spacing w:after="0"/>
              <w:rPr>
                <w:sz w:val="15"/>
                <w:szCs w:val="15"/>
                <w:color w:val="auto"/>
              </w:rPr>
            </w:pPr>
          </w:p>
        </w:tc>
        <w:tc>
          <w:tcPr>
            <w:tcW w:w="1040" w:type="dxa"/>
            <w:vAlign w:val="bottom"/>
            <w:shd w:val="clear" w:color="auto" w:fill="F2F2F2"/>
          </w:tcPr>
          <w:p>
            <w:pPr>
              <w:spacing w:after="0"/>
              <w:rPr>
                <w:sz w:val="15"/>
                <w:szCs w:val="15"/>
                <w:color w:val="auto"/>
              </w:rPr>
            </w:pPr>
          </w:p>
        </w:tc>
        <w:tc>
          <w:tcPr>
            <w:tcW w:w="1540" w:type="dxa"/>
            <w:vAlign w:val="bottom"/>
            <w:shd w:val="clear" w:color="auto" w:fill="F2F2F2"/>
          </w:tcPr>
          <w:p>
            <w:pPr>
              <w:jc w:val="center"/>
              <w:ind w:left="46"/>
              <w:spacing w:after="0"/>
              <w:rPr>
                <w:sz w:val="20"/>
                <w:szCs w:val="20"/>
                <w:color w:val="auto"/>
              </w:rPr>
            </w:pPr>
            <w:r>
              <w:rPr>
                <w:rFonts w:ascii="Arial" w:cs="Arial" w:eastAsia="Arial" w:hAnsi="Arial"/>
                <w:sz w:val="14"/>
                <w:szCs w:val="14"/>
                <w:b w:val="1"/>
                <w:bCs w:val="1"/>
                <w:color w:val="auto"/>
              </w:rPr>
              <w:t>Number of Years</w:t>
            </w:r>
          </w:p>
        </w:tc>
        <w:tc>
          <w:tcPr>
            <w:tcW w:w="1320" w:type="dxa"/>
            <w:vAlign w:val="bottom"/>
            <w:shd w:val="clear" w:color="auto" w:fill="F2F2F2"/>
          </w:tcPr>
          <w:p>
            <w:pPr>
              <w:jc w:val="center"/>
              <w:ind w:left="13"/>
              <w:spacing w:after="0"/>
              <w:rPr>
                <w:sz w:val="20"/>
                <w:szCs w:val="20"/>
                <w:color w:val="auto"/>
              </w:rPr>
            </w:pPr>
            <w:r>
              <w:rPr>
                <w:rFonts w:ascii="Arial" w:cs="Arial" w:eastAsia="Arial" w:hAnsi="Arial"/>
                <w:sz w:val="14"/>
                <w:szCs w:val="14"/>
                <w:b w:val="1"/>
                <w:bCs w:val="1"/>
                <w:color w:val="auto"/>
              </w:rPr>
              <w:t>Accumulated</w:t>
            </w:r>
          </w:p>
        </w:tc>
        <w:tc>
          <w:tcPr>
            <w:tcW w:w="1420" w:type="dxa"/>
            <w:vAlign w:val="bottom"/>
            <w:shd w:val="clear" w:color="auto" w:fill="F2F2F2"/>
          </w:tcPr>
          <w:p>
            <w:pPr>
              <w:jc w:val="center"/>
              <w:spacing w:after="0"/>
              <w:rPr>
                <w:sz w:val="20"/>
                <w:szCs w:val="20"/>
                <w:color w:val="auto"/>
              </w:rPr>
            </w:pPr>
            <w:r>
              <w:rPr>
                <w:rFonts w:ascii="Arial" w:cs="Arial" w:eastAsia="Arial" w:hAnsi="Arial"/>
                <w:sz w:val="14"/>
                <w:szCs w:val="14"/>
                <w:b w:val="1"/>
                <w:bCs w:val="1"/>
                <w:color w:val="auto"/>
              </w:rPr>
              <w:t>Last Fiscal</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400" w:type="dxa"/>
            <w:vAlign w:val="bottom"/>
            <w:shd w:val="clear" w:color="auto" w:fill="F2F2F2"/>
          </w:tcPr>
          <w:p>
            <w:pPr>
              <w:spacing w:after="0"/>
              <w:rPr>
                <w:sz w:val="15"/>
                <w:szCs w:val="15"/>
                <w:color w:val="auto"/>
              </w:rPr>
            </w:pPr>
          </w:p>
        </w:tc>
        <w:tc>
          <w:tcPr>
            <w:tcW w:w="1040" w:type="dxa"/>
            <w:vAlign w:val="bottom"/>
            <w:shd w:val="clear" w:color="auto" w:fill="F2F2F2"/>
          </w:tcPr>
          <w:p>
            <w:pPr>
              <w:spacing w:after="0"/>
              <w:rPr>
                <w:sz w:val="15"/>
                <w:szCs w:val="15"/>
                <w:color w:val="auto"/>
              </w:rPr>
            </w:pPr>
          </w:p>
        </w:tc>
        <w:tc>
          <w:tcPr>
            <w:tcW w:w="1540" w:type="dxa"/>
            <w:vAlign w:val="bottom"/>
            <w:shd w:val="clear" w:color="auto" w:fill="F2F2F2"/>
          </w:tcPr>
          <w:p>
            <w:pPr>
              <w:jc w:val="center"/>
              <w:ind w:left="46"/>
              <w:spacing w:after="0"/>
              <w:rPr>
                <w:sz w:val="20"/>
                <w:szCs w:val="20"/>
                <w:color w:val="auto"/>
              </w:rPr>
            </w:pPr>
            <w:r>
              <w:rPr>
                <w:rFonts w:ascii="Arial" w:cs="Arial" w:eastAsia="Arial" w:hAnsi="Arial"/>
                <w:sz w:val="14"/>
                <w:szCs w:val="14"/>
                <w:b w:val="1"/>
                <w:bCs w:val="1"/>
                <w:color w:val="auto"/>
              </w:rPr>
              <w:t>of Credited Service</w:t>
            </w:r>
          </w:p>
        </w:tc>
        <w:tc>
          <w:tcPr>
            <w:tcW w:w="1320" w:type="dxa"/>
            <w:vAlign w:val="bottom"/>
            <w:shd w:val="clear" w:color="auto" w:fill="F2F2F2"/>
          </w:tcPr>
          <w:p>
            <w:pPr>
              <w:jc w:val="center"/>
              <w:ind w:left="13"/>
              <w:spacing w:after="0"/>
              <w:rPr>
                <w:sz w:val="20"/>
                <w:szCs w:val="20"/>
                <w:color w:val="auto"/>
              </w:rPr>
            </w:pPr>
            <w:r>
              <w:rPr>
                <w:rFonts w:ascii="Arial" w:cs="Arial" w:eastAsia="Arial" w:hAnsi="Arial"/>
                <w:sz w:val="14"/>
                <w:szCs w:val="14"/>
                <w:b w:val="1"/>
                <w:bCs w:val="1"/>
                <w:color w:val="auto"/>
              </w:rPr>
              <w:t>Beneft</w:t>
            </w:r>
          </w:p>
        </w:tc>
        <w:tc>
          <w:tcPr>
            <w:tcW w:w="1420" w:type="dxa"/>
            <w:vAlign w:val="bottom"/>
            <w:shd w:val="clear" w:color="auto" w:fill="F2F2F2"/>
          </w:tcPr>
          <w:p>
            <w:pPr>
              <w:jc w:val="center"/>
              <w:spacing w:after="0"/>
              <w:rPr>
                <w:sz w:val="20"/>
                <w:szCs w:val="20"/>
                <w:color w:val="auto"/>
              </w:rPr>
            </w:pPr>
            <w:r>
              <w:rPr>
                <w:rFonts w:ascii="Arial" w:cs="Arial" w:eastAsia="Arial" w:hAnsi="Arial"/>
                <w:sz w:val="14"/>
                <w:szCs w:val="14"/>
                <w:b w:val="1"/>
                <w:bCs w:val="1"/>
                <w:color w:val="auto"/>
              </w:rPr>
              <w:t>Year</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400" w:type="dxa"/>
            <w:vAlign w:val="bottom"/>
            <w:tcBorders>
              <w:bottom w:val="single" w:sz="8" w:color="F2F2F2"/>
            </w:tcBorders>
            <w:shd w:val="clear" w:color="auto" w:fill="F2F2F2"/>
          </w:tcPr>
          <w:p>
            <w:pPr>
              <w:ind w:left="120"/>
              <w:spacing w:after="0"/>
              <w:rPr>
                <w:sz w:val="20"/>
                <w:szCs w:val="20"/>
                <w:color w:val="auto"/>
              </w:rPr>
            </w:pPr>
            <w:r>
              <w:rPr>
                <w:rFonts w:ascii="Arial" w:cs="Arial" w:eastAsia="Arial" w:hAnsi="Arial"/>
                <w:sz w:val="14"/>
                <w:szCs w:val="14"/>
                <w:b w:val="1"/>
                <w:bCs w:val="1"/>
                <w:color w:val="auto"/>
              </w:rPr>
              <w:t>Name</w:t>
            </w:r>
          </w:p>
        </w:tc>
        <w:tc>
          <w:tcPr>
            <w:tcW w:w="1040" w:type="dxa"/>
            <w:vAlign w:val="bottom"/>
            <w:tcBorders>
              <w:bottom w:val="single" w:sz="8" w:color="F2F2F2"/>
            </w:tcBorders>
            <w:shd w:val="clear" w:color="auto" w:fill="F2F2F2"/>
          </w:tcPr>
          <w:p>
            <w:pPr>
              <w:jc w:val="center"/>
              <w:ind w:left="136"/>
              <w:spacing w:after="0"/>
              <w:rPr>
                <w:sz w:val="20"/>
                <w:szCs w:val="20"/>
                <w:color w:val="auto"/>
              </w:rPr>
            </w:pPr>
            <w:r>
              <w:rPr>
                <w:rFonts w:ascii="Arial" w:cs="Arial" w:eastAsia="Arial" w:hAnsi="Arial"/>
                <w:sz w:val="14"/>
                <w:szCs w:val="14"/>
                <w:b w:val="1"/>
                <w:bCs w:val="1"/>
                <w:color w:val="auto"/>
              </w:rPr>
              <w:t>Plan Name</w:t>
            </w:r>
          </w:p>
        </w:tc>
        <w:tc>
          <w:tcPr>
            <w:tcW w:w="1540" w:type="dxa"/>
            <w:vAlign w:val="bottom"/>
            <w:tcBorders>
              <w:bottom w:val="single" w:sz="8" w:color="F2F2F2"/>
            </w:tcBorders>
            <w:shd w:val="clear" w:color="auto" w:fill="F2F2F2"/>
          </w:tcPr>
          <w:p>
            <w:pPr>
              <w:jc w:val="center"/>
              <w:ind w:left="46"/>
              <w:spacing w:after="0" w:line="210" w:lineRule="exact"/>
              <w:rPr>
                <w:sz w:val="20"/>
                <w:szCs w:val="20"/>
                <w:color w:val="auto"/>
              </w:rPr>
            </w:pPr>
            <w:r>
              <w:rPr>
                <w:rFonts w:ascii="Arial" w:cs="Arial" w:eastAsia="Arial" w:hAnsi="Arial"/>
                <w:sz w:val="14"/>
                <w:szCs w:val="14"/>
                <w:b w:val="1"/>
                <w:bCs w:val="1"/>
                <w:color w:val="auto"/>
                <w:w w:val="99"/>
              </w:rPr>
              <w:t>(#)</w:t>
            </w:r>
            <w:r>
              <w:rPr>
                <w:rFonts w:ascii="Arial" w:cs="Arial" w:eastAsia="Arial" w:hAnsi="Arial"/>
                <w:sz w:val="21"/>
                <w:szCs w:val="21"/>
                <w:b w:val="1"/>
                <w:bCs w:val="1"/>
                <w:color w:val="auto"/>
                <w:w w:val="99"/>
                <w:vertAlign w:val="superscript"/>
              </w:rPr>
              <w:t>(1)</w:t>
            </w:r>
          </w:p>
        </w:tc>
        <w:tc>
          <w:tcPr>
            <w:tcW w:w="1320" w:type="dxa"/>
            <w:vAlign w:val="bottom"/>
            <w:tcBorders>
              <w:bottom w:val="single" w:sz="8" w:color="F2F2F2"/>
            </w:tcBorders>
            <w:shd w:val="clear" w:color="auto" w:fill="F2F2F2"/>
          </w:tcPr>
          <w:p>
            <w:pPr>
              <w:jc w:val="center"/>
              <w:ind w:right="373"/>
              <w:spacing w:after="0" w:line="210"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21"/>
                <w:szCs w:val="21"/>
                <w:b w:val="1"/>
                <w:bCs w:val="1"/>
                <w:color w:val="auto"/>
                <w:vertAlign w:val="superscript"/>
              </w:rPr>
              <w:t>(2)</w:t>
            </w:r>
          </w:p>
        </w:tc>
        <w:tc>
          <w:tcPr>
            <w:tcW w:w="1420" w:type="dxa"/>
            <w:vAlign w:val="bottom"/>
            <w:tcBorders>
              <w:bottom w:val="single" w:sz="8" w:color="F2F2F2"/>
            </w:tcBorders>
            <w:shd w:val="clear" w:color="auto" w:fill="F2F2F2"/>
          </w:tcPr>
          <w:p>
            <w:pPr>
              <w:jc w:val="right"/>
              <w:ind w:right="533"/>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4400" w:type="dxa"/>
            <w:vAlign w:val="bottom"/>
            <w:tcBorders>
              <w:bottom w:val="single" w:sz="8" w:color="808080"/>
            </w:tcBorders>
          </w:tcPr>
          <w:p>
            <w:pPr>
              <w:ind w:left="120"/>
              <w:spacing w:after="0"/>
              <w:rPr>
                <w:sz w:val="20"/>
                <w:szCs w:val="20"/>
                <w:color w:val="auto"/>
              </w:rPr>
            </w:pPr>
            <w:r>
              <w:rPr>
                <w:rFonts w:ascii="Arial" w:cs="Arial" w:eastAsia="Arial" w:hAnsi="Arial"/>
                <w:sz w:val="16"/>
                <w:szCs w:val="16"/>
                <w:b w:val="1"/>
                <w:bCs w:val="1"/>
                <w:color w:val="auto"/>
              </w:rPr>
              <w:t>Torbjorn Enqvist</w:t>
            </w:r>
          </w:p>
        </w:tc>
        <w:tc>
          <w:tcPr>
            <w:tcW w:w="1040" w:type="dxa"/>
            <w:vAlign w:val="bottom"/>
            <w:tcBorders>
              <w:bottom w:val="single" w:sz="8" w:color="808080"/>
            </w:tcBorders>
          </w:tcPr>
          <w:p>
            <w:pPr>
              <w:jc w:val="center"/>
              <w:ind w:left="116"/>
              <w:spacing w:after="0"/>
              <w:rPr>
                <w:sz w:val="20"/>
                <w:szCs w:val="20"/>
                <w:color w:val="auto"/>
              </w:rPr>
            </w:pPr>
            <w:r>
              <w:rPr>
                <w:rFonts w:ascii="Arial" w:cs="Arial" w:eastAsia="Arial" w:hAnsi="Arial"/>
                <w:sz w:val="16"/>
                <w:szCs w:val="16"/>
                <w:color w:val="auto"/>
                <w:w w:val="89"/>
              </w:rPr>
              <w:t>CARP</w:t>
            </w:r>
          </w:p>
        </w:tc>
        <w:tc>
          <w:tcPr>
            <w:tcW w:w="1540" w:type="dxa"/>
            <w:vAlign w:val="bottom"/>
            <w:tcBorders>
              <w:bottom w:val="single" w:sz="8" w:color="808080"/>
            </w:tcBorders>
          </w:tcPr>
          <w:p>
            <w:pPr>
              <w:jc w:val="center"/>
              <w:ind w:left="66"/>
              <w:spacing w:after="0"/>
              <w:rPr>
                <w:sz w:val="20"/>
                <w:szCs w:val="20"/>
                <w:color w:val="auto"/>
              </w:rPr>
            </w:pPr>
            <w:r>
              <w:rPr>
                <w:rFonts w:ascii="Arial" w:cs="Arial" w:eastAsia="Arial" w:hAnsi="Arial"/>
                <w:sz w:val="16"/>
                <w:szCs w:val="16"/>
                <w:color w:val="auto"/>
              </w:rPr>
              <w:t>17.4</w:t>
            </w:r>
          </w:p>
        </w:tc>
        <w:tc>
          <w:tcPr>
            <w:tcW w:w="1320" w:type="dxa"/>
            <w:vAlign w:val="bottom"/>
            <w:tcBorders>
              <w:bottom w:val="single" w:sz="8" w:color="808080"/>
            </w:tcBorders>
          </w:tcPr>
          <w:p>
            <w:pPr>
              <w:jc w:val="right"/>
              <w:ind w:right="253"/>
              <w:spacing w:after="0"/>
              <w:rPr>
                <w:sz w:val="20"/>
                <w:szCs w:val="20"/>
                <w:color w:val="auto"/>
              </w:rPr>
            </w:pPr>
            <w:r>
              <w:rPr>
                <w:rFonts w:ascii="Arial" w:cs="Arial" w:eastAsia="Arial" w:hAnsi="Arial"/>
                <w:sz w:val="16"/>
                <w:szCs w:val="16"/>
                <w:color w:val="auto"/>
              </w:rPr>
              <w:t>269,478</w:t>
            </w:r>
          </w:p>
        </w:tc>
        <w:tc>
          <w:tcPr>
            <w:tcW w:w="1420" w:type="dxa"/>
            <w:vAlign w:val="bottom"/>
            <w:tcBorders>
              <w:bottom w:val="single" w:sz="8" w:color="808080"/>
            </w:tcBorders>
          </w:tcPr>
          <w:p>
            <w:pPr>
              <w:jc w:val="right"/>
              <w:ind w:right="593"/>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320" w:hanging="316"/>
        <w:spacing w:after="0"/>
        <w:tabs>
          <w:tab w:leader="none" w:pos="320" w:val="left"/>
        </w:tabs>
        <w:numPr>
          <w:ilvl w:val="0"/>
          <w:numId w:val="143"/>
        </w:numPr>
        <w:rPr>
          <w:rFonts w:ascii="Arial" w:cs="Arial" w:eastAsia="Arial" w:hAnsi="Arial"/>
          <w:sz w:val="22"/>
          <w:szCs w:val="22"/>
          <w:color w:val="auto"/>
          <w:vertAlign w:val="superscript"/>
        </w:rPr>
      </w:pPr>
      <w:r>
        <w:rPr>
          <w:rFonts w:ascii="Arial" w:cs="Arial" w:eastAsia="Arial" w:hAnsi="Arial"/>
          <w:sz w:val="14"/>
          <w:szCs w:val="14"/>
          <w:color w:val="auto"/>
        </w:rPr>
        <w:t>Actual  Company  service  (including  Continental  service)  through  December  31,  2013  is  shown.</w:t>
      </w:r>
    </w:p>
    <w:p>
      <w:pPr>
        <w:spacing w:after="0" w:line="183" w:lineRule="exact"/>
        <w:rPr>
          <w:rFonts w:ascii="Arial" w:cs="Arial" w:eastAsia="Arial" w:hAnsi="Arial"/>
          <w:sz w:val="22"/>
          <w:szCs w:val="22"/>
          <w:color w:val="auto"/>
          <w:vertAlign w:val="superscript"/>
        </w:rPr>
      </w:pPr>
    </w:p>
    <w:p>
      <w:pPr>
        <w:ind w:left="320" w:right="80" w:hanging="316"/>
        <w:spacing w:after="0" w:line="235" w:lineRule="auto"/>
        <w:tabs>
          <w:tab w:leader="none" w:pos="320" w:val="left"/>
        </w:tabs>
        <w:numPr>
          <w:ilvl w:val="0"/>
          <w:numId w:val="143"/>
        </w:numPr>
        <w:rPr>
          <w:rFonts w:ascii="Arial" w:cs="Arial" w:eastAsia="Arial" w:hAnsi="Arial"/>
          <w:sz w:val="22"/>
          <w:szCs w:val="22"/>
          <w:color w:val="auto"/>
          <w:vertAlign w:val="superscript"/>
        </w:rPr>
      </w:pPr>
      <w:r>
        <w:rPr>
          <w:rFonts w:ascii="Arial" w:cs="Arial" w:eastAsia="Arial" w:hAnsi="Arial"/>
          <w:sz w:val="14"/>
          <w:szCs w:val="14"/>
          <w:color w:val="auto"/>
        </w:rPr>
        <w:t>The assumptions used to calculate the present value of accumulated benefts under CARP, including those shown in the 2025 Summary Compensation Table, are set forth in the table below. These assumptions are primarily the same as those used for pension plan accounting under FASB ASC Topic 715-20 “Compensation—Retirement Benefts—Defned Beneft Plans—General”, as of each measurement date with three exceptions: pre-retirement mortality; pre-retirement turnover; and the age at which participants are assumed to retire.</w:t>
      </w:r>
    </w:p>
    <w:p>
      <w:pPr>
        <w:spacing w:after="0" w:line="176" w:lineRule="exact"/>
        <w:rPr>
          <w:sz w:val="20"/>
          <w:szCs w:val="20"/>
          <w:color w:val="auto"/>
        </w:rPr>
      </w:pPr>
    </w:p>
    <w:p>
      <w:pPr>
        <w:spacing w:after="0"/>
        <w:rPr>
          <w:sz w:val="20"/>
          <w:szCs w:val="20"/>
          <w:color w:val="auto"/>
        </w:rPr>
      </w:pPr>
      <w:r>
        <w:rPr>
          <w:rFonts w:ascii="Arial" w:cs="Arial" w:eastAsia="Arial" w:hAnsi="Arial"/>
          <w:sz w:val="25"/>
          <w:szCs w:val="25"/>
          <w:b w:val="1"/>
          <w:bCs w:val="1"/>
          <w:color w:val="1414D2"/>
        </w:rPr>
        <w:t>Narrative to Pension Benefts Table</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60" w:type="dxa"/>
            <w:vAlign w:val="bottom"/>
            <w:tcBorders>
              <w:top w:val="single" w:sz="8" w:color="1414D2"/>
            </w:tcBorders>
            <w:gridSpan w:val="2"/>
            <w:vMerge w:val="restart"/>
            <w:shd w:val="clear" w:color="auto" w:fill="F2F2F2"/>
          </w:tcPr>
          <w:p>
            <w:pPr>
              <w:spacing w:after="0"/>
              <w:rPr>
                <w:sz w:val="20"/>
                <w:szCs w:val="20"/>
                <w:color w:val="auto"/>
              </w:rPr>
            </w:pPr>
            <w:r>
              <w:rPr>
                <w:rFonts w:ascii="Arial" w:cs="Arial" w:eastAsia="Arial" w:hAnsi="Arial"/>
                <w:sz w:val="14"/>
                <w:szCs w:val="14"/>
                <w:b w:val="1"/>
                <w:bCs w:val="1"/>
                <w:color w:val="auto"/>
              </w:rPr>
              <w:t>Assumption</w:t>
            </w:r>
          </w:p>
        </w:tc>
        <w:tc>
          <w:tcPr>
            <w:tcW w:w="2080" w:type="dxa"/>
            <w:vAlign w:val="bottom"/>
            <w:tcBorders>
              <w:top w:val="single" w:sz="8" w:color="1414D2"/>
            </w:tcBorders>
            <w:gridSpan w:val="2"/>
            <w:shd w:val="clear" w:color="auto" w:fill="F2F2F2"/>
          </w:tcPr>
          <w:p>
            <w:pPr>
              <w:ind w:left="80"/>
              <w:spacing w:after="0"/>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1414D2"/>
            </w:tcBorders>
            <w:shd w:val="clear" w:color="auto" w:fill="F2F2F2"/>
          </w:tcPr>
          <w:p>
            <w:pPr>
              <w:spacing w:after="0"/>
              <w:rPr>
                <w:sz w:val="18"/>
                <w:szCs w:val="18"/>
                <w:color w:val="auto"/>
              </w:rPr>
            </w:pPr>
          </w:p>
        </w:tc>
        <w:tc>
          <w:tcPr>
            <w:tcW w:w="1800" w:type="dxa"/>
            <w:vAlign w:val="bottom"/>
            <w:tcBorders>
              <w:top w:val="single" w:sz="8" w:color="1414D2"/>
            </w:tcBorders>
            <w:shd w:val="clear" w:color="auto" w:fill="F2F2F2"/>
          </w:tcPr>
          <w:p>
            <w:pPr>
              <w:jc w:val="center"/>
              <w:spacing w:after="0"/>
              <w:rPr>
                <w:sz w:val="20"/>
                <w:szCs w:val="20"/>
                <w:color w:val="auto"/>
              </w:rPr>
            </w:pPr>
            <w:r>
              <w:rPr>
                <w:rFonts w:ascii="Arial" w:cs="Arial" w:eastAsia="Arial" w:hAnsi="Arial"/>
                <w:sz w:val="14"/>
                <w:szCs w:val="14"/>
                <w:b w:val="1"/>
                <w:bCs w:val="1"/>
                <w:color w:val="auto"/>
              </w:rPr>
              <w:t>Measurement Date</w:t>
            </w:r>
          </w:p>
        </w:tc>
        <w:tc>
          <w:tcPr>
            <w:tcW w:w="220" w:type="dxa"/>
            <w:vAlign w:val="bottom"/>
            <w:tcBorders>
              <w:top w:val="single" w:sz="8" w:color="1414D2"/>
            </w:tcBorders>
            <w:shd w:val="clear" w:color="auto" w:fill="F2F2F2"/>
          </w:tcPr>
          <w:p>
            <w:pPr>
              <w:spacing w:after="0"/>
              <w:rPr>
                <w:sz w:val="18"/>
                <w:szCs w:val="18"/>
                <w:color w:val="auto"/>
              </w:rPr>
            </w:pPr>
          </w:p>
        </w:tc>
        <w:tc>
          <w:tcPr>
            <w:tcW w:w="1760" w:type="dxa"/>
            <w:vAlign w:val="bottom"/>
            <w:tcBorders>
              <w:top w:val="single" w:sz="8" w:color="1414D2"/>
            </w:tcBorders>
            <w:shd w:val="clear" w:color="auto" w:fill="F2F2F2"/>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660" w:type="dxa"/>
            <w:vAlign w:val="bottom"/>
            <w:tcBorders>
              <w:top w:val="single" w:sz="8" w:color="1414D2"/>
            </w:tcBorders>
            <w:gridSpan w:val="2"/>
            <w:vMerge w:val="continue"/>
            <w:shd w:val="clear" w:color="auto" w:fill="F2F2F2"/>
          </w:tcPr>
          <w:p>
            <w:pPr>
              <w:spacing w:after="0"/>
              <w:rPr>
                <w:sz w:val="15"/>
                <w:szCs w:val="15"/>
                <w:color w:val="auto"/>
              </w:rPr>
            </w:pPr>
          </w:p>
        </w:tc>
        <w:tc>
          <w:tcPr>
            <w:tcW w:w="300" w:type="dxa"/>
            <w:vAlign w:val="bottom"/>
            <w:tcBorders>
              <w:top w:val="single" w:sz="8" w:color="F2F2F2"/>
            </w:tcBorders>
            <w:shd w:val="clear" w:color="auto" w:fill="F2F2F2"/>
          </w:tcPr>
          <w:p>
            <w:pPr>
              <w:spacing w:after="0"/>
              <w:rPr>
                <w:sz w:val="15"/>
                <w:szCs w:val="15"/>
                <w:color w:val="auto"/>
              </w:rPr>
            </w:pPr>
          </w:p>
        </w:tc>
        <w:tc>
          <w:tcPr>
            <w:tcW w:w="1780" w:type="dxa"/>
            <w:vAlign w:val="bottom"/>
            <w:tcBorders>
              <w:top w:val="single" w:sz="8" w:color="1414D2"/>
            </w:tcBorders>
            <w:shd w:val="clear" w:color="auto" w:fill="F2F2F2"/>
          </w:tcPr>
          <w:p>
            <w:pPr>
              <w:jc w:val="center"/>
              <w:spacing w:after="0"/>
              <w:rPr>
                <w:sz w:val="20"/>
                <w:szCs w:val="20"/>
                <w:color w:val="auto"/>
              </w:rPr>
            </w:pPr>
            <w:r>
              <w:rPr>
                <w:rFonts w:ascii="Arial" w:cs="Arial" w:eastAsia="Arial" w:hAnsi="Arial"/>
                <w:sz w:val="14"/>
                <w:szCs w:val="14"/>
                <w:b w:val="1"/>
                <w:bCs w:val="1"/>
                <w:color w:val="auto"/>
              </w:rPr>
              <w:t>12/31/2023</w:t>
            </w:r>
          </w:p>
        </w:tc>
        <w:tc>
          <w:tcPr>
            <w:tcW w:w="200" w:type="dxa"/>
            <w:vAlign w:val="bottom"/>
            <w:tcBorders>
              <w:top w:val="single" w:sz="8" w:color="1414D2"/>
            </w:tcBorders>
            <w:shd w:val="clear" w:color="auto" w:fill="F2F2F2"/>
          </w:tcPr>
          <w:p>
            <w:pPr>
              <w:ind w:left="40"/>
              <w:spacing w:after="0"/>
              <w:rPr>
                <w:sz w:val="20"/>
                <w:szCs w:val="20"/>
                <w:color w:val="auto"/>
              </w:rPr>
            </w:pPr>
            <w:r>
              <w:rPr>
                <w:rFonts w:ascii="Arial" w:cs="Arial" w:eastAsia="Arial" w:hAnsi="Arial"/>
                <w:sz w:val="14"/>
                <w:szCs w:val="14"/>
                <w:b w:val="1"/>
                <w:bCs w:val="1"/>
                <w:color w:val="auto"/>
              </w:rPr>
              <w:t>​​​</w:t>
            </w:r>
          </w:p>
        </w:tc>
        <w:tc>
          <w:tcPr>
            <w:tcW w:w="1800" w:type="dxa"/>
            <w:vAlign w:val="bottom"/>
            <w:tcBorders>
              <w:top w:val="single" w:sz="8" w:color="1414D2"/>
            </w:tcBorders>
            <w:shd w:val="clear" w:color="auto" w:fill="F2F2F2"/>
          </w:tcPr>
          <w:p>
            <w:pPr>
              <w:jc w:val="center"/>
              <w:spacing w:after="0"/>
              <w:rPr>
                <w:sz w:val="20"/>
                <w:szCs w:val="20"/>
                <w:color w:val="auto"/>
              </w:rPr>
            </w:pPr>
            <w:r>
              <w:rPr>
                <w:rFonts w:ascii="Arial" w:cs="Arial" w:eastAsia="Arial" w:hAnsi="Arial"/>
                <w:sz w:val="14"/>
                <w:szCs w:val="14"/>
                <w:b w:val="1"/>
                <w:bCs w:val="1"/>
                <w:color w:val="auto"/>
              </w:rPr>
              <w:t>12/31/2024</w:t>
            </w:r>
          </w:p>
        </w:tc>
        <w:tc>
          <w:tcPr>
            <w:tcW w:w="220" w:type="dxa"/>
            <w:vAlign w:val="bottom"/>
            <w:tcBorders>
              <w:top w:val="single" w:sz="8" w:color="1414D2"/>
            </w:tcBorders>
            <w:shd w:val="clear" w:color="auto" w:fill="F2F2F2"/>
          </w:tcPr>
          <w:p>
            <w:pPr>
              <w:ind w:left="40"/>
              <w:spacing w:after="0"/>
              <w:rPr>
                <w:sz w:val="20"/>
                <w:szCs w:val="20"/>
                <w:color w:val="auto"/>
              </w:rPr>
            </w:pPr>
            <w:r>
              <w:rPr>
                <w:rFonts w:ascii="Arial" w:cs="Arial" w:eastAsia="Arial" w:hAnsi="Arial"/>
                <w:sz w:val="14"/>
                <w:szCs w:val="14"/>
                <w:b w:val="1"/>
                <w:bCs w:val="1"/>
                <w:color w:val="auto"/>
              </w:rPr>
              <w:t>​​​</w:t>
            </w:r>
          </w:p>
        </w:tc>
        <w:tc>
          <w:tcPr>
            <w:tcW w:w="1760" w:type="dxa"/>
            <w:vAlign w:val="bottom"/>
            <w:tcBorders>
              <w:top w:val="single" w:sz="8" w:color="1414D2"/>
            </w:tcBorders>
            <w:shd w:val="clear" w:color="auto" w:fill="F2F2F2"/>
          </w:tcPr>
          <w:p>
            <w:pPr>
              <w:jc w:val="center"/>
              <w:spacing w:after="0"/>
              <w:rPr>
                <w:sz w:val="20"/>
                <w:szCs w:val="20"/>
                <w:color w:val="auto"/>
              </w:rPr>
            </w:pPr>
            <w:r>
              <w:rPr>
                <w:rFonts w:ascii="Arial" w:cs="Arial" w:eastAsia="Arial" w:hAnsi="Arial"/>
                <w:sz w:val="14"/>
                <w:szCs w:val="14"/>
                <w:b w:val="1"/>
                <w:bCs w:val="1"/>
                <w:color w:val="auto"/>
              </w:rPr>
              <w:t>12/31/2025</w:t>
            </w:r>
          </w:p>
        </w:tc>
        <w:tc>
          <w:tcPr>
            <w:tcW w:w="0" w:type="dxa"/>
            <w:vAlign w:val="bottom"/>
          </w:tcPr>
          <w:p>
            <w:pPr>
              <w:spacing w:after="0"/>
              <w:rPr>
                <w:sz w:val="1"/>
                <w:szCs w:val="1"/>
                <w:color w:val="auto"/>
              </w:rPr>
            </w:pPr>
          </w:p>
        </w:tc>
      </w:tr>
      <w:tr>
        <w:trPr>
          <w:trHeight w:val="251"/>
        </w:trPr>
        <w:tc>
          <w:tcPr>
            <w:tcW w:w="3660" w:type="dxa"/>
            <w:vAlign w:val="bottom"/>
            <w:gridSpan w:val="2"/>
          </w:tcPr>
          <w:p>
            <w:pPr>
              <w:spacing w:after="0"/>
              <w:rPr>
                <w:sz w:val="20"/>
                <w:szCs w:val="20"/>
                <w:color w:val="auto"/>
              </w:rPr>
            </w:pPr>
            <w:r>
              <w:rPr>
                <w:rFonts w:ascii="Arial" w:cs="Arial" w:eastAsia="Arial" w:hAnsi="Arial"/>
                <w:sz w:val="16"/>
                <w:szCs w:val="16"/>
                <w:color w:val="auto"/>
              </w:rPr>
              <w:t>Discount  Rate  and  Lump  Sum  Interest  Rate:</w:t>
            </w:r>
          </w:p>
        </w:tc>
        <w:tc>
          <w:tcPr>
            <w:tcW w:w="30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6"/>
                <w:szCs w:val="16"/>
                <w:color w:val="auto"/>
              </w:rPr>
              <w:t>·</w:t>
            </w:r>
          </w:p>
        </w:tc>
        <w:tc>
          <w:tcPr>
            <w:tcW w:w="3580" w:type="dxa"/>
            <w:vAlign w:val="bottom"/>
            <w:tcBorders>
              <w:bottom w:val="single" w:sz="8" w:color="808080"/>
            </w:tcBorders>
          </w:tcPr>
          <w:p>
            <w:pPr>
              <w:ind w:left="180"/>
              <w:spacing w:after="0"/>
              <w:rPr>
                <w:sz w:val="20"/>
                <w:szCs w:val="20"/>
                <w:color w:val="auto"/>
              </w:rPr>
            </w:pPr>
            <w:r>
              <w:rPr>
                <w:rFonts w:ascii="Arial" w:cs="Arial" w:eastAsia="Arial" w:hAnsi="Arial"/>
                <w:sz w:val="16"/>
                <w:szCs w:val="16"/>
                <w:color w:val="auto"/>
              </w:rPr>
              <w:t>CARP</w:t>
            </w:r>
          </w:p>
        </w:tc>
        <w:tc>
          <w:tcPr>
            <w:tcW w:w="2080" w:type="dxa"/>
            <w:vAlign w:val="bottom"/>
            <w:tcBorders>
              <w:bottom w:val="single" w:sz="8" w:color="808080"/>
            </w:tcBorders>
            <w:gridSpan w:val="2"/>
          </w:tcPr>
          <w:p>
            <w:pPr>
              <w:jc w:val="center"/>
              <w:ind w:left="182"/>
              <w:spacing w:after="0"/>
              <w:rPr>
                <w:sz w:val="20"/>
                <w:szCs w:val="20"/>
                <w:color w:val="auto"/>
              </w:rPr>
            </w:pPr>
            <w:r>
              <w:rPr>
                <w:rFonts w:ascii="Arial" w:cs="Arial" w:eastAsia="Arial" w:hAnsi="Arial"/>
                <w:sz w:val="16"/>
                <w:szCs w:val="16"/>
                <w:color w:val="auto"/>
              </w:rPr>
              <w:t>5.08%</w:t>
            </w:r>
          </w:p>
        </w:tc>
        <w:tc>
          <w:tcPr>
            <w:tcW w:w="200" w:type="dxa"/>
            <w:vAlign w:val="bottom"/>
            <w:tcBorders>
              <w:bottom w:val="single" w:sz="8" w:color="808080"/>
            </w:tcBorders>
          </w:tcPr>
          <w:p>
            <w:pPr>
              <w:spacing w:after="0"/>
              <w:rPr>
                <w:sz w:val="24"/>
                <w:szCs w:val="24"/>
                <w:color w:val="auto"/>
              </w:rPr>
            </w:pPr>
          </w:p>
        </w:tc>
        <w:tc>
          <w:tcPr>
            <w:tcW w:w="1800" w:type="dxa"/>
            <w:vAlign w:val="bottom"/>
            <w:tcBorders>
              <w:bottom w:val="single" w:sz="8" w:color="808080"/>
            </w:tcBorders>
          </w:tcPr>
          <w:p>
            <w:pPr>
              <w:jc w:val="center"/>
              <w:spacing w:after="0"/>
              <w:rPr>
                <w:sz w:val="20"/>
                <w:szCs w:val="20"/>
                <w:color w:val="auto"/>
              </w:rPr>
            </w:pPr>
            <w:r>
              <w:rPr>
                <w:rFonts w:ascii="Arial" w:cs="Arial" w:eastAsia="Arial" w:hAnsi="Arial"/>
                <w:sz w:val="16"/>
                <w:szCs w:val="16"/>
                <w:color w:val="auto"/>
              </w:rPr>
              <w:t>5.74%</w:t>
            </w:r>
          </w:p>
        </w:tc>
        <w:tc>
          <w:tcPr>
            <w:tcW w:w="22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jc w:val="center"/>
              <w:spacing w:after="0"/>
              <w:rPr>
                <w:sz w:val="20"/>
                <w:szCs w:val="20"/>
                <w:color w:val="auto"/>
              </w:rPr>
            </w:pPr>
            <w:r>
              <w:rPr>
                <w:rFonts w:ascii="Arial" w:cs="Arial" w:eastAsia="Arial" w:hAnsi="Arial"/>
                <w:sz w:val="16"/>
                <w:szCs w:val="16"/>
                <w:color w:val="auto"/>
                <w:w w:val="96"/>
              </w:rPr>
              <w:t>5.67%</w:t>
            </w:r>
          </w:p>
        </w:tc>
        <w:tc>
          <w:tcPr>
            <w:tcW w:w="0" w:type="dxa"/>
            <w:vAlign w:val="bottom"/>
          </w:tcPr>
          <w:p>
            <w:pPr>
              <w:spacing w:after="0"/>
              <w:rPr>
                <w:sz w:val="1"/>
                <w:szCs w:val="1"/>
                <w:color w:val="auto"/>
              </w:rPr>
            </w:pPr>
          </w:p>
        </w:tc>
      </w:tr>
      <w:tr>
        <w:trPr>
          <w:trHeight w:val="264"/>
        </w:trPr>
        <w:tc>
          <w:tcPr>
            <w:tcW w:w="3660" w:type="dxa"/>
            <w:vAlign w:val="bottom"/>
            <w:tcBorders>
              <w:bottom w:val="single" w:sz="8" w:color="808080"/>
            </w:tcBorders>
            <w:gridSpan w:val="2"/>
          </w:tcPr>
          <w:p>
            <w:pPr>
              <w:spacing w:after="0"/>
              <w:rPr>
                <w:sz w:val="20"/>
                <w:szCs w:val="20"/>
                <w:color w:val="auto"/>
              </w:rPr>
            </w:pPr>
            <w:r>
              <w:rPr>
                <w:rFonts w:ascii="Arial" w:cs="Arial" w:eastAsia="Arial" w:hAnsi="Arial"/>
                <w:sz w:val="16"/>
                <w:szCs w:val="16"/>
                <w:color w:val="auto"/>
              </w:rPr>
              <w:t>Lump  Sum  Election</w:t>
            </w:r>
          </w:p>
        </w:tc>
        <w:tc>
          <w:tcPr>
            <w:tcW w:w="2080" w:type="dxa"/>
            <w:vAlign w:val="bottom"/>
            <w:tcBorders>
              <w:bottom w:val="single" w:sz="8" w:color="808080"/>
            </w:tcBorders>
            <w:gridSpan w:val="2"/>
          </w:tcPr>
          <w:p>
            <w:pPr>
              <w:jc w:val="center"/>
              <w:ind w:left="182"/>
              <w:spacing w:after="0"/>
              <w:rPr>
                <w:sz w:val="20"/>
                <w:szCs w:val="20"/>
                <w:color w:val="auto"/>
              </w:rPr>
            </w:pPr>
            <w:r>
              <w:rPr>
                <w:rFonts w:ascii="Arial" w:cs="Arial" w:eastAsia="Arial" w:hAnsi="Arial"/>
                <w:sz w:val="16"/>
                <w:szCs w:val="16"/>
                <w:color w:val="auto"/>
              </w:rPr>
              <w:t>100%</w:t>
            </w:r>
          </w:p>
        </w:tc>
        <w:tc>
          <w:tcPr>
            <w:tcW w:w="200" w:type="dxa"/>
            <w:vAlign w:val="bottom"/>
            <w:tcBorders>
              <w:bottom w:val="single" w:sz="8" w:color="808080"/>
            </w:tcBorders>
          </w:tcPr>
          <w:p>
            <w:pPr>
              <w:spacing w:after="0"/>
              <w:rPr>
                <w:sz w:val="22"/>
                <w:szCs w:val="22"/>
                <w:color w:val="auto"/>
              </w:rPr>
            </w:pPr>
          </w:p>
        </w:tc>
        <w:tc>
          <w:tcPr>
            <w:tcW w:w="1800" w:type="dxa"/>
            <w:vAlign w:val="bottom"/>
            <w:tcBorders>
              <w:bottom w:val="single" w:sz="8" w:color="808080"/>
            </w:tcBorders>
          </w:tcPr>
          <w:p>
            <w:pPr>
              <w:jc w:val="center"/>
              <w:spacing w:after="0"/>
              <w:rPr>
                <w:sz w:val="20"/>
                <w:szCs w:val="20"/>
                <w:color w:val="auto"/>
              </w:rPr>
            </w:pPr>
            <w:r>
              <w:rPr>
                <w:rFonts w:ascii="Arial" w:cs="Arial" w:eastAsia="Arial" w:hAnsi="Arial"/>
                <w:sz w:val="16"/>
                <w:szCs w:val="16"/>
                <w:color w:val="auto"/>
              </w:rPr>
              <w:t>100%</w:t>
            </w:r>
          </w:p>
        </w:tc>
        <w:tc>
          <w:tcPr>
            <w:tcW w:w="220" w:type="dxa"/>
            <w:vAlign w:val="bottom"/>
            <w:tcBorders>
              <w:bottom w:val="single" w:sz="8" w:color="808080"/>
            </w:tcBorders>
          </w:tcPr>
          <w:p>
            <w:pPr>
              <w:spacing w:after="0"/>
              <w:rPr>
                <w:sz w:val="22"/>
                <w:szCs w:val="22"/>
                <w:color w:val="auto"/>
              </w:rPr>
            </w:pPr>
          </w:p>
        </w:tc>
        <w:tc>
          <w:tcPr>
            <w:tcW w:w="1760" w:type="dxa"/>
            <w:vAlign w:val="bottom"/>
            <w:tcBorders>
              <w:bottom w:val="single" w:sz="8" w:color="808080"/>
            </w:tcBorders>
          </w:tcPr>
          <w:p>
            <w:pPr>
              <w:jc w:val="center"/>
              <w:spacing w:after="0"/>
              <w:rPr>
                <w:sz w:val="20"/>
                <w:szCs w:val="20"/>
                <w:color w:val="auto"/>
              </w:rPr>
            </w:pPr>
            <w:r>
              <w:rPr>
                <w:rFonts w:ascii="Arial" w:cs="Arial" w:eastAsia="Arial" w:hAnsi="Arial"/>
                <w:sz w:val="16"/>
                <w:szCs w:val="16"/>
                <w:color w:val="auto"/>
                <w:w w:val="97"/>
              </w:rPr>
              <w:t>100%</w:t>
            </w:r>
          </w:p>
        </w:tc>
        <w:tc>
          <w:tcPr>
            <w:tcW w:w="0" w:type="dxa"/>
            <w:vAlign w:val="bottom"/>
          </w:tcPr>
          <w:p>
            <w:pPr>
              <w:spacing w:after="0"/>
              <w:rPr>
                <w:sz w:val="1"/>
                <w:szCs w:val="1"/>
                <w:color w:val="auto"/>
              </w:rPr>
            </w:pPr>
          </w:p>
        </w:tc>
      </w:tr>
      <w:tr>
        <w:trPr>
          <w:trHeight w:val="263"/>
        </w:trPr>
        <w:tc>
          <w:tcPr>
            <w:tcW w:w="3660" w:type="dxa"/>
            <w:vAlign w:val="bottom"/>
            <w:tcBorders>
              <w:bottom w:val="single" w:sz="8" w:color="808080"/>
            </w:tcBorders>
            <w:gridSpan w:val="2"/>
          </w:tcPr>
          <w:p>
            <w:pPr>
              <w:spacing w:after="0"/>
              <w:rPr>
                <w:sz w:val="20"/>
                <w:szCs w:val="20"/>
                <w:color w:val="auto"/>
              </w:rPr>
            </w:pPr>
            <w:r>
              <w:rPr>
                <w:rFonts w:ascii="Arial" w:cs="Arial" w:eastAsia="Arial" w:hAnsi="Arial"/>
                <w:sz w:val="16"/>
                <w:szCs w:val="16"/>
                <w:color w:val="auto"/>
              </w:rPr>
              <w:t>Pre-retirement  Turnover</w:t>
            </w:r>
          </w:p>
        </w:tc>
        <w:tc>
          <w:tcPr>
            <w:tcW w:w="300" w:type="dxa"/>
            <w:vAlign w:val="bottom"/>
            <w:tcBorders>
              <w:bottom w:val="single" w:sz="8" w:color="808080"/>
            </w:tcBorders>
          </w:tcPr>
          <w:p>
            <w:pPr>
              <w:spacing w:after="0"/>
              <w:rPr>
                <w:sz w:val="22"/>
                <w:szCs w:val="22"/>
                <w:color w:val="auto"/>
              </w:rPr>
            </w:pPr>
          </w:p>
        </w:tc>
        <w:tc>
          <w:tcPr>
            <w:tcW w:w="1780" w:type="dxa"/>
            <w:vAlign w:val="bottom"/>
            <w:tcBorders>
              <w:bottom w:val="single" w:sz="8" w:color="808080"/>
            </w:tcBorders>
          </w:tcPr>
          <w:p>
            <w:pPr>
              <w:jc w:val="center"/>
              <w:spacing w:after="0"/>
              <w:rPr>
                <w:sz w:val="20"/>
                <w:szCs w:val="20"/>
                <w:color w:val="auto"/>
              </w:rPr>
            </w:pPr>
            <w:r>
              <w:rPr>
                <w:rFonts w:ascii="Arial" w:cs="Arial" w:eastAsia="Arial" w:hAnsi="Arial"/>
                <w:sz w:val="16"/>
                <w:szCs w:val="16"/>
                <w:color w:val="auto"/>
              </w:rPr>
              <w:t>None</w:t>
            </w:r>
          </w:p>
        </w:tc>
        <w:tc>
          <w:tcPr>
            <w:tcW w:w="200" w:type="dxa"/>
            <w:vAlign w:val="bottom"/>
            <w:tcBorders>
              <w:bottom w:val="single" w:sz="8" w:color="808080"/>
            </w:tcBorders>
          </w:tcPr>
          <w:p>
            <w:pPr>
              <w:spacing w:after="0"/>
              <w:rPr>
                <w:sz w:val="22"/>
                <w:szCs w:val="22"/>
                <w:color w:val="auto"/>
              </w:rPr>
            </w:pPr>
          </w:p>
        </w:tc>
        <w:tc>
          <w:tcPr>
            <w:tcW w:w="1800" w:type="dxa"/>
            <w:vAlign w:val="bottom"/>
            <w:tcBorders>
              <w:bottom w:val="single" w:sz="8" w:color="808080"/>
            </w:tcBorders>
          </w:tcPr>
          <w:p>
            <w:pPr>
              <w:jc w:val="center"/>
              <w:spacing w:after="0"/>
              <w:rPr>
                <w:sz w:val="20"/>
                <w:szCs w:val="20"/>
                <w:color w:val="auto"/>
              </w:rPr>
            </w:pPr>
            <w:r>
              <w:rPr>
                <w:rFonts w:ascii="Arial" w:cs="Arial" w:eastAsia="Arial" w:hAnsi="Arial"/>
                <w:sz w:val="16"/>
                <w:szCs w:val="16"/>
                <w:color w:val="auto"/>
              </w:rPr>
              <w:t>None</w:t>
            </w:r>
          </w:p>
        </w:tc>
        <w:tc>
          <w:tcPr>
            <w:tcW w:w="220" w:type="dxa"/>
            <w:vAlign w:val="bottom"/>
            <w:tcBorders>
              <w:bottom w:val="single" w:sz="8" w:color="808080"/>
            </w:tcBorders>
          </w:tcPr>
          <w:p>
            <w:pPr>
              <w:spacing w:after="0"/>
              <w:rPr>
                <w:sz w:val="22"/>
                <w:szCs w:val="22"/>
                <w:color w:val="auto"/>
              </w:rPr>
            </w:pPr>
          </w:p>
        </w:tc>
        <w:tc>
          <w:tcPr>
            <w:tcW w:w="1760" w:type="dxa"/>
            <w:vAlign w:val="bottom"/>
            <w:tcBorders>
              <w:bottom w:val="single" w:sz="8" w:color="808080"/>
            </w:tcBorders>
          </w:tcPr>
          <w:p>
            <w:pPr>
              <w:jc w:val="center"/>
              <w:spacing w:after="0"/>
              <w:rPr>
                <w:sz w:val="20"/>
                <w:szCs w:val="20"/>
                <w:color w:val="auto"/>
              </w:rPr>
            </w:pPr>
            <w:r>
              <w:rPr>
                <w:rFonts w:ascii="Arial" w:cs="Arial" w:eastAsia="Arial" w:hAnsi="Arial"/>
                <w:sz w:val="16"/>
                <w:szCs w:val="16"/>
                <w:color w:val="auto"/>
              </w:rPr>
              <w:t>None</w:t>
            </w:r>
          </w:p>
        </w:tc>
        <w:tc>
          <w:tcPr>
            <w:tcW w:w="0" w:type="dxa"/>
            <w:vAlign w:val="bottom"/>
          </w:tcPr>
          <w:p>
            <w:pPr>
              <w:spacing w:after="0"/>
              <w:rPr>
                <w:sz w:val="1"/>
                <w:szCs w:val="1"/>
                <w:color w:val="auto"/>
              </w:rPr>
            </w:pPr>
          </w:p>
        </w:tc>
      </w:tr>
      <w:tr>
        <w:trPr>
          <w:trHeight w:val="251"/>
        </w:trPr>
        <w:tc>
          <w:tcPr>
            <w:tcW w:w="3660" w:type="dxa"/>
            <w:vAlign w:val="bottom"/>
            <w:gridSpan w:val="2"/>
          </w:tcPr>
          <w:p>
            <w:pPr>
              <w:spacing w:after="0"/>
              <w:rPr>
                <w:sz w:val="20"/>
                <w:szCs w:val="20"/>
                <w:color w:val="auto"/>
              </w:rPr>
            </w:pPr>
            <w:r>
              <w:rPr>
                <w:rFonts w:ascii="Arial" w:cs="Arial" w:eastAsia="Arial" w:hAnsi="Arial"/>
                <w:sz w:val="16"/>
                <w:szCs w:val="16"/>
                <w:color w:val="auto"/>
              </w:rPr>
              <w:t>Mortality  Assumption:</w:t>
            </w:r>
          </w:p>
        </w:tc>
        <w:tc>
          <w:tcPr>
            <w:tcW w:w="30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6"/>
                <w:szCs w:val="16"/>
                <w:color w:val="auto"/>
              </w:rPr>
              <w:t>·</w:t>
            </w:r>
          </w:p>
        </w:tc>
        <w:tc>
          <w:tcPr>
            <w:tcW w:w="3580" w:type="dxa"/>
            <w:vAlign w:val="bottom"/>
            <w:tcBorders>
              <w:bottom w:val="single" w:sz="8" w:color="808080"/>
            </w:tcBorders>
          </w:tcPr>
          <w:p>
            <w:pPr>
              <w:ind w:left="180"/>
              <w:spacing w:after="0"/>
              <w:rPr>
                <w:sz w:val="20"/>
                <w:szCs w:val="20"/>
                <w:color w:val="auto"/>
              </w:rPr>
            </w:pPr>
            <w:r>
              <w:rPr>
                <w:rFonts w:ascii="Arial" w:cs="Arial" w:eastAsia="Arial" w:hAnsi="Arial"/>
                <w:sz w:val="16"/>
                <w:szCs w:val="16"/>
                <w:color w:val="auto"/>
              </w:rPr>
              <w:t>Pre-retirement</w:t>
            </w:r>
          </w:p>
        </w:tc>
        <w:tc>
          <w:tcPr>
            <w:tcW w:w="300" w:type="dxa"/>
            <w:vAlign w:val="bottom"/>
            <w:tcBorders>
              <w:bottom w:val="single" w:sz="8" w:color="808080"/>
            </w:tcBorders>
          </w:tcPr>
          <w:p>
            <w:pPr>
              <w:spacing w:after="0"/>
              <w:rPr>
                <w:sz w:val="24"/>
                <w:szCs w:val="24"/>
                <w:color w:val="auto"/>
              </w:rPr>
            </w:pPr>
          </w:p>
        </w:tc>
        <w:tc>
          <w:tcPr>
            <w:tcW w:w="1780" w:type="dxa"/>
            <w:vAlign w:val="bottom"/>
            <w:tcBorders>
              <w:bottom w:val="single" w:sz="8" w:color="808080"/>
            </w:tcBorders>
          </w:tcPr>
          <w:p>
            <w:pPr>
              <w:jc w:val="center"/>
              <w:spacing w:after="0"/>
              <w:rPr>
                <w:sz w:val="20"/>
                <w:szCs w:val="20"/>
                <w:color w:val="auto"/>
              </w:rPr>
            </w:pPr>
            <w:r>
              <w:rPr>
                <w:rFonts w:ascii="Arial" w:cs="Arial" w:eastAsia="Arial" w:hAnsi="Arial"/>
                <w:sz w:val="16"/>
                <w:szCs w:val="16"/>
                <w:color w:val="auto"/>
              </w:rPr>
              <w:t>None</w:t>
            </w:r>
          </w:p>
        </w:tc>
        <w:tc>
          <w:tcPr>
            <w:tcW w:w="200" w:type="dxa"/>
            <w:vAlign w:val="bottom"/>
            <w:tcBorders>
              <w:bottom w:val="single" w:sz="8" w:color="808080"/>
            </w:tcBorders>
          </w:tcPr>
          <w:p>
            <w:pPr>
              <w:spacing w:after="0"/>
              <w:rPr>
                <w:sz w:val="24"/>
                <w:szCs w:val="24"/>
                <w:color w:val="auto"/>
              </w:rPr>
            </w:pPr>
          </w:p>
        </w:tc>
        <w:tc>
          <w:tcPr>
            <w:tcW w:w="1800" w:type="dxa"/>
            <w:vAlign w:val="bottom"/>
            <w:tcBorders>
              <w:bottom w:val="single" w:sz="8" w:color="808080"/>
            </w:tcBorders>
          </w:tcPr>
          <w:p>
            <w:pPr>
              <w:jc w:val="center"/>
              <w:spacing w:after="0"/>
              <w:rPr>
                <w:sz w:val="20"/>
                <w:szCs w:val="20"/>
                <w:color w:val="auto"/>
              </w:rPr>
            </w:pPr>
            <w:r>
              <w:rPr>
                <w:rFonts w:ascii="Arial" w:cs="Arial" w:eastAsia="Arial" w:hAnsi="Arial"/>
                <w:sz w:val="16"/>
                <w:szCs w:val="16"/>
                <w:color w:val="auto"/>
              </w:rPr>
              <w:t>None</w:t>
            </w:r>
          </w:p>
        </w:tc>
        <w:tc>
          <w:tcPr>
            <w:tcW w:w="22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jc w:val="center"/>
              <w:spacing w:after="0"/>
              <w:rPr>
                <w:sz w:val="20"/>
                <w:szCs w:val="20"/>
                <w:color w:val="auto"/>
              </w:rPr>
            </w:pPr>
            <w:r>
              <w:rPr>
                <w:rFonts w:ascii="Arial" w:cs="Arial" w:eastAsia="Arial" w:hAnsi="Arial"/>
                <w:sz w:val="16"/>
                <w:szCs w:val="16"/>
                <w:color w:val="auto"/>
              </w:rPr>
              <w:t>None</w:t>
            </w:r>
          </w:p>
        </w:tc>
        <w:tc>
          <w:tcPr>
            <w:tcW w:w="0" w:type="dxa"/>
            <w:vAlign w:val="bottom"/>
          </w:tcPr>
          <w:p>
            <w:pPr>
              <w:spacing w:after="0"/>
              <w:rPr>
                <w:sz w:val="1"/>
                <w:szCs w:val="1"/>
                <w:color w:val="auto"/>
              </w:rPr>
            </w:pPr>
          </w:p>
        </w:tc>
      </w:tr>
      <w:tr>
        <w:trPr>
          <w:trHeight w:val="205"/>
        </w:trPr>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3580" w:type="dxa"/>
            <w:vAlign w:val="bottom"/>
          </w:tcPr>
          <w:p>
            <w:pPr>
              <w:ind w:left="180"/>
              <w:spacing w:after="0"/>
              <w:rPr>
                <w:sz w:val="20"/>
                <w:szCs w:val="20"/>
                <w:color w:val="auto"/>
              </w:rPr>
            </w:pPr>
            <w:r>
              <w:rPr>
                <w:rFonts w:ascii="Arial" w:cs="Arial" w:eastAsia="Arial" w:hAnsi="Arial"/>
                <w:sz w:val="16"/>
                <w:szCs w:val="16"/>
                <w:color w:val="auto"/>
              </w:rPr>
              <w:t>Lump  Sum—CARP</w:t>
            </w:r>
          </w:p>
        </w:tc>
        <w:tc>
          <w:tcPr>
            <w:tcW w:w="300" w:type="dxa"/>
            <w:vAlign w:val="bottom"/>
          </w:tcPr>
          <w:p>
            <w:pPr>
              <w:spacing w:after="0"/>
              <w:rPr>
                <w:sz w:val="17"/>
                <w:szCs w:val="17"/>
                <w:color w:val="auto"/>
              </w:rPr>
            </w:pPr>
          </w:p>
        </w:tc>
        <w:tc>
          <w:tcPr>
            <w:tcW w:w="1780" w:type="dxa"/>
            <w:vAlign w:val="bottom"/>
          </w:tcPr>
          <w:p>
            <w:pPr>
              <w:jc w:val="center"/>
              <w:spacing w:after="0"/>
              <w:rPr>
                <w:sz w:val="20"/>
                <w:szCs w:val="20"/>
                <w:color w:val="auto"/>
              </w:rPr>
            </w:pPr>
            <w:r>
              <w:rPr>
                <w:rFonts w:ascii="Arial" w:cs="Arial" w:eastAsia="Arial" w:hAnsi="Arial"/>
                <w:sz w:val="16"/>
                <w:szCs w:val="16"/>
                <w:color w:val="auto"/>
                <w:w w:val="92"/>
              </w:rPr>
              <w:t>2025  IRS</w:t>
            </w:r>
          </w:p>
        </w:tc>
        <w:tc>
          <w:tcPr>
            <w:tcW w:w="200" w:type="dxa"/>
            <w:vAlign w:val="bottom"/>
          </w:tcPr>
          <w:p>
            <w:pPr>
              <w:spacing w:after="0"/>
              <w:rPr>
                <w:sz w:val="17"/>
                <w:szCs w:val="17"/>
                <w:color w:val="auto"/>
              </w:rPr>
            </w:pPr>
          </w:p>
        </w:tc>
        <w:tc>
          <w:tcPr>
            <w:tcW w:w="1800" w:type="dxa"/>
            <w:vAlign w:val="bottom"/>
          </w:tcPr>
          <w:p>
            <w:pPr>
              <w:jc w:val="center"/>
              <w:spacing w:after="0"/>
              <w:rPr>
                <w:sz w:val="20"/>
                <w:szCs w:val="20"/>
                <w:color w:val="auto"/>
              </w:rPr>
            </w:pPr>
            <w:r>
              <w:rPr>
                <w:rFonts w:ascii="Arial" w:cs="Arial" w:eastAsia="Arial" w:hAnsi="Arial"/>
                <w:sz w:val="16"/>
                <w:szCs w:val="16"/>
                <w:color w:val="auto"/>
                <w:w w:val="92"/>
              </w:rPr>
              <w:t>2025  IRS</w:t>
            </w:r>
          </w:p>
        </w:tc>
        <w:tc>
          <w:tcPr>
            <w:tcW w:w="220" w:type="dxa"/>
            <w:vAlign w:val="bottom"/>
          </w:tcPr>
          <w:p>
            <w:pPr>
              <w:spacing w:after="0"/>
              <w:rPr>
                <w:sz w:val="17"/>
                <w:szCs w:val="17"/>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89"/>
              </w:rPr>
              <w:t>2025  IRS</w:t>
            </w: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80" w:type="dxa"/>
            <w:vAlign w:val="bottom"/>
          </w:tcPr>
          <w:p>
            <w:pPr>
              <w:jc w:val="center"/>
              <w:spacing w:after="0"/>
              <w:rPr>
                <w:sz w:val="20"/>
                <w:szCs w:val="20"/>
                <w:color w:val="auto"/>
              </w:rPr>
            </w:pPr>
            <w:r>
              <w:rPr>
                <w:rFonts w:ascii="Arial" w:cs="Arial" w:eastAsia="Arial" w:hAnsi="Arial"/>
                <w:sz w:val="16"/>
                <w:szCs w:val="16"/>
                <w:color w:val="auto"/>
                <w:w w:val="94"/>
              </w:rPr>
              <w:t>417(e)  Table</w:t>
            </w:r>
          </w:p>
        </w:tc>
        <w:tc>
          <w:tcPr>
            <w:tcW w:w="200" w:type="dxa"/>
            <w:vAlign w:val="bottom"/>
          </w:tcPr>
          <w:p>
            <w:pPr>
              <w:spacing w:after="0"/>
              <w:rPr>
                <w:sz w:val="16"/>
                <w:szCs w:val="16"/>
                <w:color w:val="auto"/>
              </w:rPr>
            </w:pPr>
          </w:p>
        </w:tc>
        <w:tc>
          <w:tcPr>
            <w:tcW w:w="1800" w:type="dxa"/>
            <w:vAlign w:val="bottom"/>
          </w:tcPr>
          <w:p>
            <w:pPr>
              <w:jc w:val="center"/>
              <w:spacing w:after="0"/>
              <w:rPr>
                <w:sz w:val="20"/>
                <w:szCs w:val="20"/>
                <w:color w:val="auto"/>
              </w:rPr>
            </w:pPr>
            <w:r>
              <w:rPr>
                <w:rFonts w:ascii="Arial" w:cs="Arial" w:eastAsia="Arial" w:hAnsi="Arial"/>
                <w:sz w:val="16"/>
                <w:szCs w:val="16"/>
                <w:color w:val="auto"/>
                <w:w w:val="94"/>
              </w:rPr>
              <w:t>417(e)  Table</w:t>
            </w:r>
          </w:p>
        </w:tc>
        <w:tc>
          <w:tcPr>
            <w:tcW w:w="220" w:type="dxa"/>
            <w:vAlign w:val="bottom"/>
          </w:tcPr>
          <w:p>
            <w:pPr>
              <w:spacing w:after="0"/>
              <w:rPr>
                <w:sz w:val="16"/>
                <w:szCs w:val="16"/>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6"/>
              </w:rPr>
              <w:t>417(e)  Table</w:t>
            </w: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80" w:type="dxa"/>
            <w:vAlign w:val="bottom"/>
          </w:tcPr>
          <w:p>
            <w:pPr>
              <w:jc w:val="center"/>
              <w:spacing w:after="0"/>
              <w:rPr>
                <w:sz w:val="20"/>
                <w:szCs w:val="20"/>
                <w:color w:val="auto"/>
              </w:rPr>
            </w:pPr>
            <w:r>
              <w:rPr>
                <w:rFonts w:ascii="Arial" w:cs="Arial" w:eastAsia="Arial" w:hAnsi="Arial"/>
                <w:sz w:val="16"/>
                <w:szCs w:val="16"/>
                <w:color w:val="auto"/>
              </w:rPr>
              <w:t>projected  with</w:t>
            </w:r>
          </w:p>
        </w:tc>
        <w:tc>
          <w:tcPr>
            <w:tcW w:w="200" w:type="dxa"/>
            <w:vAlign w:val="bottom"/>
          </w:tcPr>
          <w:p>
            <w:pPr>
              <w:spacing w:after="0"/>
              <w:rPr>
                <w:sz w:val="16"/>
                <w:szCs w:val="16"/>
                <w:color w:val="auto"/>
              </w:rPr>
            </w:pPr>
          </w:p>
        </w:tc>
        <w:tc>
          <w:tcPr>
            <w:tcW w:w="1800" w:type="dxa"/>
            <w:vAlign w:val="bottom"/>
          </w:tcPr>
          <w:p>
            <w:pPr>
              <w:jc w:val="center"/>
              <w:spacing w:after="0"/>
              <w:rPr>
                <w:sz w:val="20"/>
                <w:szCs w:val="20"/>
                <w:color w:val="auto"/>
              </w:rPr>
            </w:pPr>
            <w:r>
              <w:rPr>
                <w:rFonts w:ascii="Arial" w:cs="Arial" w:eastAsia="Arial" w:hAnsi="Arial"/>
                <w:sz w:val="16"/>
                <w:szCs w:val="16"/>
                <w:color w:val="auto"/>
              </w:rPr>
              <w:t>projected  with</w:t>
            </w:r>
          </w:p>
        </w:tc>
        <w:tc>
          <w:tcPr>
            <w:tcW w:w="220" w:type="dxa"/>
            <w:vAlign w:val="bottom"/>
          </w:tcPr>
          <w:p>
            <w:pPr>
              <w:spacing w:after="0"/>
              <w:rPr>
                <w:sz w:val="16"/>
                <w:szCs w:val="16"/>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rPr>
              <w:t>projected  with</w:t>
            </w: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80" w:type="dxa"/>
            <w:vAlign w:val="bottom"/>
          </w:tcPr>
          <w:p>
            <w:pPr>
              <w:jc w:val="center"/>
              <w:spacing w:after="0"/>
              <w:rPr>
                <w:sz w:val="20"/>
                <w:szCs w:val="20"/>
                <w:color w:val="auto"/>
              </w:rPr>
            </w:pPr>
            <w:r>
              <w:rPr>
                <w:rFonts w:ascii="Arial" w:cs="Arial" w:eastAsia="Arial" w:hAnsi="Arial"/>
                <w:sz w:val="16"/>
                <w:szCs w:val="16"/>
                <w:color w:val="auto"/>
              </w:rPr>
              <w:t>IRS-modifed  mortality</w:t>
            </w:r>
          </w:p>
        </w:tc>
        <w:tc>
          <w:tcPr>
            <w:tcW w:w="200" w:type="dxa"/>
            <w:vAlign w:val="bottom"/>
          </w:tcPr>
          <w:p>
            <w:pPr>
              <w:spacing w:after="0"/>
              <w:rPr>
                <w:sz w:val="16"/>
                <w:szCs w:val="16"/>
                <w:color w:val="auto"/>
              </w:rPr>
            </w:pPr>
          </w:p>
        </w:tc>
        <w:tc>
          <w:tcPr>
            <w:tcW w:w="1800" w:type="dxa"/>
            <w:vAlign w:val="bottom"/>
          </w:tcPr>
          <w:p>
            <w:pPr>
              <w:jc w:val="center"/>
              <w:spacing w:after="0"/>
              <w:rPr>
                <w:sz w:val="20"/>
                <w:szCs w:val="20"/>
                <w:color w:val="auto"/>
              </w:rPr>
            </w:pPr>
            <w:r>
              <w:rPr>
                <w:rFonts w:ascii="Arial" w:cs="Arial" w:eastAsia="Arial" w:hAnsi="Arial"/>
                <w:sz w:val="16"/>
                <w:szCs w:val="16"/>
                <w:color w:val="auto"/>
              </w:rPr>
              <w:t>IRS-modifed  mortality</w:t>
            </w:r>
          </w:p>
        </w:tc>
        <w:tc>
          <w:tcPr>
            <w:tcW w:w="220" w:type="dxa"/>
            <w:vAlign w:val="bottom"/>
          </w:tcPr>
          <w:p>
            <w:pPr>
              <w:spacing w:after="0"/>
              <w:rPr>
                <w:sz w:val="16"/>
                <w:szCs w:val="16"/>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rPr>
              <w:t>IRS-modifed  mortality</w:t>
            </w: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80" w:type="dxa"/>
            <w:vAlign w:val="bottom"/>
          </w:tcPr>
          <w:p>
            <w:pPr>
              <w:jc w:val="center"/>
              <w:spacing w:after="0"/>
              <w:rPr>
                <w:sz w:val="20"/>
                <w:szCs w:val="20"/>
                <w:color w:val="auto"/>
              </w:rPr>
            </w:pPr>
            <w:r>
              <w:rPr>
                <w:rFonts w:ascii="Arial" w:cs="Arial" w:eastAsia="Arial" w:hAnsi="Arial"/>
                <w:sz w:val="16"/>
                <w:szCs w:val="16"/>
                <w:color w:val="auto"/>
              </w:rPr>
              <w:t>improvement  scale</w:t>
            </w:r>
          </w:p>
        </w:tc>
        <w:tc>
          <w:tcPr>
            <w:tcW w:w="200" w:type="dxa"/>
            <w:vAlign w:val="bottom"/>
          </w:tcPr>
          <w:p>
            <w:pPr>
              <w:spacing w:after="0"/>
              <w:rPr>
                <w:sz w:val="16"/>
                <w:szCs w:val="16"/>
                <w:color w:val="auto"/>
              </w:rPr>
            </w:pPr>
          </w:p>
        </w:tc>
        <w:tc>
          <w:tcPr>
            <w:tcW w:w="1800" w:type="dxa"/>
            <w:vAlign w:val="bottom"/>
          </w:tcPr>
          <w:p>
            <w:pPr>
              <w:jc w:val="center"/>
              <w:spacing w:after="0"/>
              <w:rPr>
                <w:sz w:val="20"/>
                <w:szCs w:val="20"/>
                <w:color w:val="auto"/>
              </w:rPr>
            </w:pPr>
            <w:r>
              <w:rPr>
                <w:rFonts w:ascii="Arial" w:cs="Arial" w:eastAsia="Arial" w:hAnsi="Arial"/>
                <w:sz w:val="16"/>
                <w:szCs w:val="16"/>
                <w:color w:val="auto"/>
              </w:rPr>
              <w:t>improvement  scale</w:t>
            </w:r>
          </w:p>
        </w:tc>
        <w:tc>
          <w:tcPr>
            <w:tcW w:w="220" w:type="dxa"/>
            <w:vAlign w:val="bottom"/>
          </w:tcPr>
          <w:p>
            <w:pPr>
              <w:spacing w:after="0"/>
              <w:rPr>
                <w:sz w:val="16"/>
                <w:szCs w:val="16"/>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rPr>
              <w:t>improvement  scale</w:t>
            </w: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80" w:type="dxa"/>
            <w:vAlign w:val="bottom"/>
          </w:tcPr>
          <w:p>
            <w:pPr>
              <w:jc w:val="center"/>
              <w:spacing w:after="0"/>
              <w:rPr>
                <w:sz w:val="20"/>
                <w:szCs w:val="20"/>
                <w:color w:val="auto"/>
              </w:rPr>
            </w:pPr>
            <w:r>
              <w:rPr>
                <w:rFonts w:ascii="Arial" w:cs="Arial" w:eastAsia="Arial" w:hAnsi="Arial"/>
                <w:sz w:val="16"/>
                <w:szCs w:val="16"/>
                <w:color w:val="auto"/>
              </w:rPr>
              <w:t>MP-2021  through  the</w:t>
            </w:r>
          </w:p>
        </w:tc>
        <w:tc>
          <w:tcPr>
            <w:tcW w:w="200" w:type="dxa"/>
            <w:vAlign w:val="bottom"/>
          </w:tcPr>
          <w:p>
            <w:pPr>
              <w:spacing w:after="0"/>
              <w:rPr>
                <w:sz w:val="16"/>
                <w:szCs w:val="16"/>
                <w:color w:val="auto"/>
              </w:rPr>
            </w:pPr>
          </w:p>
        </w:tc>
        <w:tc>
          <w:tcPr>
            <w:tcW w:w="1800" w:type="dxa"/>
            <w:vAlign w:val="bottom"/>
          </w:tcPr>
          <w:p>
            <w:pPr>
              <w:jc w:val="center"/>
              <w:spacing w:after="0"/>
              <w:rPr>
                <w:sz w:val="20"/>
                <w:szCs w:val="20"/>
                <w:color w:val="auto"/>
              </w:rPr>
            </w:pPr>
            <w:r>
              <w:rPr>
                <w:rFonts w:ascii="Arial" w:cs="Arial" w:eastAsia="Arial" w:hAnsi="Arial"/>
                <w:sz w:val="16"/>
                <w:szCs w:val="16"/>
                <w:color w:val="auto"/>
              </w:rPr>
              <w:t>MP-2021  through  the</w:t>
            </w:r>
          </w:p>
        </w:tc>
        <w:tc>
          <w:tcPr>
            <w:tcW w:w="220" w:type="dxa"/>
            <w:vAlign w:val="bottom"/>
          </w:tcPr>
          <w:p>
            <w:pPr>
              <w:spacing w:after="0"/>
              <w:rPr>
                <w:sz w:val="16"/>
                <w:szCs w:val="16"/>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rPr>
              <w:t>MP-2021  through  the</w:t>
            </w: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80" w:type="dxa"/>
            <w:vAlign w:val="bottom"/>
          </w:tcPr>
          <w:p>
            <w:pPr>
              <w:jc w:val="center"/>
              <w:spacing w:after="0"/>
              <w:rPr>
                <w:sz w:val="20"/>
                <w:szCs w:val="20"/>
                <w:color w:val="auto"/>
              </w:rPr>
            </w:pPr>
            <w:r>
              <w:rPr>
                <w:rFonts w:ascii="Arial" w:cs="Arial" w:eastAsia="Arial" w:hAnsi="Arial"/>
                <w:sz w:val="16"/>
                <w:szCs w:val="16"/>
                <w:color w:val="auto"/>
              </w:rPr>
              <w:t>year  of</w:t>
            </w:r>
          </w:p>
        </w:tc>
        <w:tc>
          <w:tcPr>
            <w:tcW w:w="200" w:type="dxa"/>
            <w:vAlign w:val="bottom"/>
          </w:tcPr>
          <w:p>
            <w:pPr>
              <w:spacing w:after="0"/>
              <w:rPr>
                <w:sz w:val="16"/>
                <w:szCs w:val="16"/>
                <w:color w:val="auto"/>
              </w:rPr>
            </w:pPr>
          </w:p>
        </w:tc>
        <w:tc>
          <w:tcPr>
            <w:tcW w:w="1800" w:type="dxa"/>
            <w:vAlign w:val="bottom"/>
          </w:tcPr>
          <w:p>
            <w:pPr>
              <w:jc w:val="center"/>
              <w:spacing w:after="0"/>
              <w:rPr>
                <w:sz w:val="20"/>
                <w:szCs w:val="20"/>
                <w:color w:val="auto"/>
              </w:rPr>
            </w:pPr>
            <w:r>
              <w:rPr>
                <w:rFonts w:ascii="Arial" w:cs="Arial" w:eastAsia="Arial" w:hAnsi="Arial"/>
                <w:sz w:val="16"/>
                <w:szCs w:val="16"/>
                <w:color w:val="auto"/>
              </w:rPr>
              <w:t>year  of</w:t>
            </w:r>
          </w:p>
        </w:tc>
        <w:tc>
          <w:tcPr>
            <w:tcW w:w="220" w:type="dxa"/>
            <w:vAlign w:val="bottom"/>
          </w:tcPr>
          <w:p>
            <w:pPr>
              <w:spacing w:after="0"/>
              <w:rPr>
                <w:sz w:val="16"/>
                <w:szCs w:val="16"/>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7"/>
              </w:rPr>
              <w:t>year  of</w:t>
            </w:r>
          </w:p>
        </w:tc>
        <w:tc>
          <w:tcPr>
            <w:tcW w:w="0" w:type="dxa"/>
            <w:vAlign w:val="bottom"/>
          </w:tcPr>
          <w:p>
            <w:pPr>
              <w:spacing w:after="0"/>
              <w:rPr>
                <w:sz w:val="1"/>
                <w:szCs w:val="1"/>
                <w:color w:val="auto"/>
              </w:rPr>
            </w:pPr>
          </w:p>
        </w:tc>
      </w:tr>
      <w:tr>
        <w:trPr>
          <w:trHeight w:val="214"/>
        </w:trPr>
        <w:tc>
          <w:tcPr>
            <w:tcW w:w="80" w:type="dxa"/>
            <w:vAlign w:val="bottom"/>
            <w:tcBorders>
              <w:bottom w:val="single" w:sz="8" w:color="808080"/>
            </w:tcBorders>
          </w:tcPr>
          <w:p>
            <w:pPr>
              <w:spacing w:after="0"/>
              <w:rPr>
                <w:sz w:val="18"/>
                <w:szCs w:val="18"/>
                <w:color w:val="auto"/>
              </w:rPr>
            </w:pPr>
          </w:p>
        </w:tc>
        <w:tc>
          <w:tcPr>
            <w:tcW w:w="358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1780" w:type="dxa"/>
            <w:vAlign w:val="bottom"/>
            <w:tcBorders>
              <w:bottom w:val="single" w:sz="8" w:color="808080"/>
            </w:tcBorders>
          </w:tcPr>
          <w:p>
            <w:pPr>
              <w:jc w:val="center"/>
              <w:spacing w:after="0"/>
              <w:rPr>
                <w:sz w:val="20"/>
                <w:szCs w:val="20"/>
                <w:color w:val="auto"/>
              </w:rPr>
            </w:pPr>
            <w:r>
              <w:rPr>
                <w:rFonts w:ascii="Arial" w:cs="Arial" w:eastAsia="Arial" w:hAnsi="Arial"/>
                <w:sz w:val="16"/>
                <w:szCs w:val="16"/>
                <w:color w:val="auto"/>
              </w:rPr>
              <w:t>commencement</w:t>
            </w:r>
          </w:p>
        </w:tc>
        <w:tc>
          <w:tcPr>
            <w:tcW w:w="200" w:type="dxa"/>
            <w:vAlign w:val="bottom"/>
            <w:tcBorders>
              <w:bottom w:val="single" w:sz="8" w:color="808080"/>
            </w:tcBorders>
          </w:tcPr>
          <w:p>
            <w:pPr>
              <w:spacing w:after="0"/>
              <w:rPr>
                <w:sz w:val="18"/>
                <w:szCs w:val="18"/>
                <w:color w:val="auto"/>
              </w:rPr>
            </w:pPr>
          </w:p>
        </w:tc>
        <w:tc>
          <w:tcPr>
            <w:tcW w:w="1800" w:type="dxa"/>
            <w:vAlign w:val="bottom"/>
            <w:tcBorders>
              <w:bottom w:val="single" w:sz="8" w:color="808080"/>
            </w:tcBorders>
          </w:tcPr>
          <w:p>
            <w:pPr>
              <w:jc w:val="center"/>
              <w:spacing w:after="0"/>
              <w:rPr>
                <w:sz w:val="20"/>
                <w:szCs w:val="20"/>
                <w:color w:val="auto"/>
              </w:rPr>
            </w:pPr>
            <w:r>
              <w:rPr>
                <w:rFonts w:ascii="Arial" w:cs="Arial" w:eastAsia="Arial" w:hAnsi="Arial"/>
                <w:sz w:val="16"/>
                <w:szCs w:val="16"/>
                <w:color w:val="auto"/>
              </w:rPr>
              <w:t>commencement</w:t>
            </w:r>
          </w:p>
        </w:tc>
        <w:tc>
          <w:tcPr>
            <w:tcW w:w="220" w:type="dxa"/>
            <w:vAlign w:val="bottom"/>
            <w:tcBorders>
              <w:bottom w:val="single" w:sz="8" w:color="808080"/>
            </w:tcBorders>
          </w:tcPr>
          <w:p>
            <w:pPr>
              <w:spacing w:after="0"/>
              <w:rPr>
                <w:sz w:val="18"/>
                <w:szCs w:val="18"/>
                <w:color w:val="auto"/>
              </w:rPr>
            </w:pPr>
          </w:p>
        </w:tc>
        <w:tc>
          <w:tcPr>
            <w:tcW w:w="1760" w:type="dxa"/>
            <w:vAlign w:val="bottom"/>
            <w:tcBorders>
              <w:bottom w:val="single" w:sz="8" w:color="808080"/>
            </w:tcBorders>
          </w:tcPr>
          <w:p>
            <w:pPr>
              <w:jc w:val="center"/>
              <w:spacing w:after="0"/>
              <w:rPr>
                <w:sz w:val="20"/>
                <w:szCs w:val="20"/>
                <w:color w:val="auto"/>
              </w:rPr>
            </w:pPr>
            <w:r>
              <w:rPr>
                <w:rFonts w:ascii="Arial" w:cs="Arial" w:eastAsia="Arial" w:hAnsi="Arial"/>
                <w:sz w:val="16"/>
                <w:szCs w:val="16"/>
                <w:color w:val="auto"/>
              </w:rPr>
              <w:t>commencement</w:t>
            </w:r>
          </w:p>
        </w:tc>
        <w:tc>
          <w:tcPr>
            <w:tcW w:w="0" w:type="dxa"/>
            <w:vAlign w:val="bottom"/>
          </w:tcPr>
          <w:p>
            <w:pPr>
              <w:spacing w:after="0"/>
              <w:rPr>
                <w:sz w:val="1"/>
                <w:szCs w:val="1"/>
                <w:color w:val="auto"/>
              </w:rPr>
            </w:pPr>
          </w:p>
        </w:tc>
      </w:tr>
      <w:tr>
        <w:trPr>
          <w:trHeight w:val="252"/>
        </w:trPr>
        <w:tc>
          <w:tcPr>
            <w:tcW w:w="3660" w:type="dxa"/>
            <w:vAlign w:val="bottom"/>
            <w:gridSpan w:val="2"/>
          </w:tcPr>
          <w:p>
            <w:pPr>
              <w:spacing w:after="0"/>
              <w:rPr>
                <w:sz w:val="20"/>
                <w:szCs w:val="20"/>
                <w:color w:val="auto"/>
              </w:rPr>
            </w:pPr>
            <w:r>
              <w:rPr>
                <w:rFonts w:ascii="Arial" w:cs="Arial" w:eastAsia="Arial" w:hAnsi="Arial"/>
                <w:sz w:val="16"/>
                <w:szCs w:val="16"/>
                <w:color w:val="auto"/>
              </w:rPr>
              <w:t>Assumed  Retirement  Age</w:t>
            </w:r>
          </w:p>
        </w:tc>
        <w:tc>
          <w:tcPr>
            <w:tcW w:w="30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80" w:type="dxa"/>
            <w:vAlign w:val="bottom"/>
          </w:tcPr>
          <w:p>
            <w:pPr>
              <w:spacing w:after="0"/>
              <w:rPr>
                <w:sz w:val="20"/>
                <w:szCs w:val="20"/>
                <w:color w:val="auto"/>
              </w:rPr>
            </w:pPr>
          </w:p>
        </w:tc>
        <w:tc>
          <w:tcPr>
            <w:tcW w:w="3580" w:type="dxa"/>
            <w:vAlign w:val="bottom"/>
          </w:tcPr>
          <w:p>
            <w:pPr>
              <w:ind w:left="20"/>
              <w:spacing w:after="0"/>
              <w:rPr>
                <w:sz w:val="20"/>
                <w:szCs w:val="20"/>
                <w:color w:val="auto"/>
              </w:rPr>
            </w:pPr>
            <w:r>
              <w:rPr>
                <w:rFonts w:ascii="Arial" w:cs="Arial" w:eastAsia="Arial" w:hAnsi="Arial"/>
                <w:sz w:val="16"/>
                <w:szCs w:val="16"/>
                <w:color w:val="auto"/>
              </w:rPr>
              <w:t>(earliest  unreduced  age):</w:t>
            </w:r>
          </w:p>
        </w:tc>
        <w:tc>
          <w:tcPr>
            <w:tcW w:w="3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3580" w:type="dxa"/>
            <w:vAlign w:val="bottom"/>
          </w:tcPr>
          <w:p>
            <w:pPr>
              <w:ind w:left="180"/>
              <w:spacing w:after="0"/>
              <w:rPr>
                <w:sz w:val="20"/>
                <w:szCs w:val="20"/>
                <w:color w:val="auto"/>
              </w:rPr>
            </w:pPr>
            <w:r>
              <w:rPr>
                <w:rFonts w:ascii="Arial" w:cs="Arial" w:eastAsia="Arial" w:hAnsi="Arial"/>
                <w:sz w:val="16"/>
                <w:szCs w:val="16"/>
                <w:color w:val="auto"/>
              </w:rPr>
              <w:t>CARP</w:t>
            </w:r>
          </w:p>
        </w:tc>
        <w:tc>
          <w:tcPr>
            <w:tcW w:w="300" w:type="dxa"/>
            <w:vAlign w:val="bottom"/>
          </w:tcPr>
          <w:p>
            <w:pPr>
              <w:spacing w:after="0"/>
              <w:rPr>
                <w:sz w:val="19"/>
                <w:szCs w:val="19"/>
                <w:color w:val="auto"/>
              </w:rPr>
            </w:pPr>
          </w:p>
        </w:tc>
        <w:tc>
          <w:tcPr>
            <w:tcW w:w="1780" w:type="dxa"/>
            <w:vAlign w:val="bottom"/>
          </w:tcPr>
          <w:p>
            <w:pPr>
              <w:jc w:val="center"/>
              <w:spacing w:after="0"/>
              <w:rPr>
                <w:sz w:val="20"/>
                <w:szCs w:val="20"/>
                <w:color w:val="auto"/>
              </w:rPr>
            </w:pPr>
            <w:r>
              <w:rPr>
                <w:rFonts w:ascii="Arial" w:cs="Arial" w:eastAsia="Arial" w:hAnsi="Arial"/>
                <w:sz w:val="16"/>
                <w:szCs w:val="16"/>
                <w:color w:val="auto"/>
                <w:w w:val="97"/>
              </w:rPr>
              <w:t>Age  65</w:t>
            </w:r>
          </w:p>
        </w:tc>
        <w:tc>
          <w:tcPr>
            <w:tcW w:w="200" w:type="dxa"/>
            <w:vAlign w:val="bottom"/>
          </w:tcPr>
          <w:p>
            <w:pPr>
              <w:spacing w:after="0"/>
              <w:rPr>
                <w:sz w:val="19"/>
                <w:szCs w:val="19"/>
                <w:color w:val="auto"/>
              </w:rPr>
            </w:pPr>
          </w:p>
        </w:tc>
        <w:tc>
          <w:tcPr>
            <w:tcW w:w="1800" w:type="dxa"/>
            <w:vAlign w:val="bottom"/>
          </w:tcPr>
          <w:p>
            <w:pPr>
              <w:jc w:val="center"/>
              <w:spacing w:after="0"/>
              <w:rPr>
                <w:sz w:val="20"/>
                <w:szCs w:val="20"/>
                <w:color w:val="auto"/>
              </w:rPr>
            </w:pPr>
            <w:r>
              <w:rPr>
                <w:rFonts w:ascii="Arial" w:cs="Arial" w:eastAsia="Arial" w:hAnsi="Arial"/>
                <w:sz w:val="16"/>
                <w:szCs w:val="16"/>
                <w:color w:val="auto"/>
                <w:w w:val="94"/>
              </w:rPr>
              <w:t>Age  65</w:t>
            </w:r>
          </w:p>
        </w:tc>
        <w:tc>
          <w:tcPr>
            <w:tcW w:w="22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4"/>
              </w:rPr>
              <w:t>Age  65</w:t>
            </w: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80" w:type="dxa"/>
            <w:vAlign w:val="bottom"/>
          </w:tcPr>
          <w:p>
            <w:pPr>
              <w:jc w:val="center"/>
              <w:spacing w:after="0"/>
              <w:rPr>
                <w:sz w:val="20"/>
                <w:szCs w:val="20"/>
                <w:color w:val="auto"/>
              </w:rPr>
            </w:pPr>
            <w:r>
              <w:rPr>
                <w:rFonts w:ascii="Arial" w:cs="Arial" w:eastAsia="Arial" w:hAnsi="Arial"/>
                <w:sz w:val="16"/>
                <w:szCs w:val="16"/>
                <w:color w:val="auto"/>
                <w:w w:val="96"/>
              </w:rPr>
              <w:t>(or  current  age  if</w:t>
            </w:r>
          </w:p>
        </w:tc>
        <w:tc>
          <w:tcPr>
            <w:tcW w:w="200" w:type="dxa"/>
            <w:vAlign w:val="bottom"/>
          </w:tcPr>
          <w:p>
            <w:pPr>
              <w:spacing w:after="0"/>
              <w:rPr>
                <w:sz w:val="16"/>
                <w:szCs w:val="16"/>
                <w:color w:val="auto"/>
              </w:rPr>
            </w:pPr>
          </w:p>
        </w:tc>
        <w:tc>
          <w:tcPr>
            <w:tcW w:w="1800" w:type="dxa"/>
            <w:vAlign w:val="bottom"/>
          </w:tcPr>
          <w:p>
            <w:pPr>
              <w:jc w:val="center"/>
              <w:spacing w:after="0"/>
              <w:rPr>
                <w:sz w:val="20"/>
                <w:szCs w:val="20"/>
                <w:color w:val="auto"/>
              </w:rPr>
            </w:pPr>
            <w:r>
              <w:rPr>
                <w:rFonts w:ascii="Arial" w:cs="Arial" w:eastAsia="Arial" w:hAnsi="Arial"/>
                <w:sz w:val="16"/>
                <w:szCs w:val="16"/>
                <w:color w:val="auto"/>
                <w:w w:val="97"/>
              </w:rPr>
              <w:t>(or  current  age  if</w:t>
            </w:r>
          </w:p>
        </w:tc>
        <w:tc>
          <w:tcPr>
            <w:tcW w:w="220" w:type="dxa"/>
            <w:vAlign w:val="bottom"/>
          </w:tcPr>
          <w:p>
            <w:pPr>
              <w:spacing w:after="0"/>
              <w:rPr>
                <w:sz w:val="16"/>
                <w:szCs w:val="16"/>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7"/>
              </w:rPr>
              <w:t>(or  current  age  if</w:t>
            </w:r>
          </w:p>
        </w:tc>
        <w:tc>
          <w:tcPr>
            <w:tcW w:w="0" w:type="dxa"/>
            <w:vAlign w:val="bottom"/>
          </w:tcPr>
          <w:p>
            <w:pPr>
              <w:spacing w:after="0"/>
              <w:rPr>
                <w:sz w:val="1"/>
                <w:szCs w:val="1"/>
                <w:color w:val="auto"/>
              </w:rPr>
            </w:pPr>
          </w:p>
        </w:tc>
      </w:tr>
      <w:tr>
        <w:trPr>
          <w:trHeight w:val="214"/>
        </w:trPr>
        <w:tc>
          <w:tcPr>
            <w:tcW w:w="80" w:type="dxa"/>
            <w:vAlign w:val="bottom"/>
            <w:tcBorders>
              <w:bottom w:val="single" w:sz="8" w:color="808080"/>
            </w:tcBorders>
          </w:tcPr>
          <w:p>
            <w:pPr>
              <w:spacing w:after="0"/>
              <w:rPr>
                <w:sz w:val="18"/>
                <w:szCs w:val="18"/>
                <w:color w:val="auto"/>
              </w:rPr>
            </w:pPr>
          </w:p>
        </w:tc>
        <w:tc>
          <w:tcPr>
            <w:tcW w:w="358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1780" w:type="dxa"/>
            <w:vAlign w:val="bottom"/>
            <w:tcBorders>
              <w:bottom w:val="single" w:sz="8" w:color="808080"/>
            </w:tcBorders>
          </w:tcPr>
          <w:p>
            <w:pPr>
              <w:jc w:val="center"/>
              <w:spacing w:after="0"/>
              <w:rPr>
                <w:sz w:val="20"/>
                <w:szCs w:val="20"/>
                <w:color w:val="auto"/>
              </w:rPr>
            </w:pPr>
            <w:r>
              <w:rPr>
                <w:rFonts w:ascii="Arial" w:cs="Arial" w:eastAsia="Arial" w:hAnsi="Arial"/>
                <w:sz w:val="16"/>
                <w:szCs w:val="16"/>
                <w:color w:val="auto"/>
              </w:rPr>
              <w:t>older)</w:t>
            </w:r>
          </w:p>
        </w:tc>
        <w:tc>
          <w:tcPr>
            <w:tcW w:w="200" w:type="dxa"/>
            <w:vAlign w:val="bottom"/>
            <w:tcBorders>
              <w:bottom w:val="single" w:sz="8" w:color="808080"/>
            </w:tcBorders>
          </w:tcPr>
          <w:p>
            <w:pPr>
              <w:spacing w:after="0"/>
              <w:rPr>
                <w:sz w:val="18"/>
                <w:szCs w:val="18"/>
                <w:color w:val="auto"/>
              </w:rPr>
            </w:pPr>
          </w:p>
        </w:tc>
        <w:tc>
          <w:tcPr>
            <w:tcW w:w="1800" w:type="dxa"/>
            <w:vAlign w:val="bottom"/>
            <w:tcBorders>
              <w:bottom w:val="single" w:sz="8" w:color="808080"/>
            </w:tcBorders>
          </w:tcPr>
          <w:p>
            <w:pPr>
              <w:jc w:val="center"/>
              <w:spacing w:after="0"/>
              <w:rPr>
                <w:sz w:val="20"/>
                <w:szCs w:val="20"/>
                <w:color w:val="auto"/>
              </w:rPr>
            </w:pPr>
            <w:r>
              <w:rPr>
                <w:rFonts w:ascii="Arial" w:cs="Arial" w:eastAsia="Arial" w:hAnsi="Arial"/>
                <w:sz w:val="16"/>
                <w:szCs w:val="16"/>
                <w:color w:val="auto"/>
              </w:rPr>
              <w:t>older)</w:t>
            </w:r>
          </w:p>
        </w:tc>
        <w:tc>
          <w:tcPr>
            <w:tcW w:w="220" w:type="dxa"/>
            <w:vAlign w:val="bottom"/>
            <w:tcBorders>
              <w:bottom w:val="single" w:sz="8" w:color="808080"/>
            </w:tcBorders>
          </w:tcPr>
          <w:p>
            <w:pPr>
              <w:spacing w:after="0"/>
              <w:rPr>
                <w:sz w:val="18"/>
                <w:szCs w:val="18"/>
                <w:color w:val="auto"/>
              </w:rPr>
            </w:pPr>
          </w:p>
        </w:tc>
        <w:tc>
          <w:tcPr>
            <w:tcW w:w="1760" w:type="dxa"/>
            <w:vAlign w:val="bottom"/>
            <w:tcBorders>
              <w:bottom w:val="single" w:sz="8" w:color="808080"/>
            </w:tcBorders>
          </w:tcPr>
          <w:p>
            <w:pPr>
              <w:jc w:val="center"/>
              <w:spacing w:after="0"/>
              <w:rPr>
                <w:sz w:val="20"/>
                <w:szCs w:val="20"/>
                <w:color w:val="auto"/>
              </w:rPr>
            </w:pPr>
            <w:r>
              <w:rPr>
                <w:rFonts w:ascii="Arial" w:cs="Arial" w:eastAsia="Arial" w:hAnsi="Arial"/>
                <w:sz w:val="16"/>
                <w:szCs w:val="16"/>
                <w:color w:val="auto"/>
              </w:rPr>
              <w:t>older)</w:t>
            </w:r>
          </w:p>
        </w:tc>
        <w:tc>
          <w:tcPr>
            <w:tcW w:w="0" w:type="dxa"/>
            <w:vAlign w:val="bottom"/>
          </w:tcPr>
          <w:p>
            <w:pPr>
              <w:spacing w:after="0"/>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CARP</w:t>
      </w:r>
      <w:r>
        <w:rPr>
          <w:rFonts w:ascii="Arial" w:cs="Arial" w:eastAsia="Arial" w:hAnsi="Arial"/>
          <w:sz w:val="16"/>
          <w:szCs w:val="16"/>
          <w:color w:val="auto"/>
        </w:rPr>
        <w:t>. The  CARP  is  a  non-contributory,  defned  beneft  pension  plan  in  which  substantially  all  of  Continental’s  non-pilot</w:t>
      </w:r>
    </w:p>
    <w:p>
      <w:pPr>
        <w:spacing w:after="0" w:line="19" w:lineRule="exact"/>
        <w:rPr>
          <w:sz w:val="20"/>
          <w:szCs w:val="20"/>
          <w:color w:val="auto"/>
        </w:rPr>
      </w:pPr>
    </w:p>
    <w:p>
      <w:pPr>
        <w:ind w:right="360"/>
        <w:spacing w:after="0" w:line="276" w:lineRule="auto"/>
        <w:rPr>
          <w:sz w:val="20"/>
          <w:szCs w:val="20"/>
          <w:color w:val="auto"/>
        </w:rPr>
      </w:pPr>
      <w:r>
        <w:rPr>
          <w:rFonts w:ascii="Arial" w:cs="Arial" w:eastAsia="Arial" w:hAnsi="Arial"/>
          <w:sz w:val="16"/>
          <w:szCs w:val="16"/>
          <w:color w:val="auto"/>
        </w:rPr>
        <w:t>domestic employees (including Mr. Enqvist) were entitled to participate. During 2025, the Company did not contribute to the CARP.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2026  Proxy  Statement</w:t>
      </w:r>
    </w:p>
    <w:p>
      <w:pPr>
        <w:spacing w:after="0" w:line="167" w:lineRule="exact"/>
        <w:rPr>
          <w:sz w:val="20"/>
          <w:szCs w:val="20"/>
          <w:color w:val="auto"/>
        </w:rPr>
      </w:pPr>
    </w:p>
    <w:p>
      <w:pPr>
        <w:jc w:val="right"/>
        <w:ind w:right="40"/>
        <w:spacing w:after="0"/>
        <w:rPr>
          <w:sz w:val="20"/>
          <w:szCs w:val="20"/>
          <w:color w:val="auto"/>
        </w:rPr>
      </w:pPr>
      <w:r>
        <w:rPr>
          <w:rFonts w:ascii="Arial" w:cs="Arial" w:eastAsia="Arial" w:hAnsi="Arial"/>
          <w:sz w:val="16"/>
          <w:szCs w:val="16"/>
          <w:b w:val="1"/>
          <w:bCs w:val="1"/>
          <w:color w:val="1414D2"/>
        </w:rPr>
        <w:t>121</w:t>
      </w:r>
    </w:p>
    <w:p>
      <w:pPr>
        <w:sectPr>
          <w:pgSz w:w="11900" w:h="16838" w:orient="portrait"/>
          <w:cols w:equalWidth="0" w:num="1">
            <w:col w:w="9760"/>
          </w:cols>
          <w:pgMar w:left="1080" w:top="695" w:right="1059" w:bottom="1440" w:gutter="0" w:footer="0" w:header="0"/>
        </w:sectPr>
      </w:pPr>
    </w:p>
    <w:bookmarkStart w:id="132" w:name="page133"/>
    <w:bookmarkEnd w:id="132"/>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6D6F71"/>
        </w:rPr>
        <w:t>Executive  Compensation</w:t>
      </w:r>
    </w:p>
    <w:p>
      <w:pPr>
        <w:spacing w:after="0" w:line="225" w:lineRule="exact"/>
        <w:rPr>
          <w:sz w:val="20"/>
          <w:szCs w:val="20"/>
          <w:color w:val="auto"/>
        </w:rPr>
      </w:pPr>
    </w:p>
    <w:p>
      <w:pPr>
        <w:ind w:right="340"/>
        <w:spacing w:after="0" w:line="255" w:lineRule="auto"/>
        <w:rPr>
          <w:sz w:val="20"/>
          <w:szCs w:val="20"/>
          <w:color w:val="auto"/>
        </w:rPr>
      </w:pPr>
      <w:r>
        <w:rPr>
          <w:rFonts w:ascii="Arial" w:cs="Arial" w:eastAsia="Arial" w:hAnsi="Arial"/>
          <w:sz w:val="16"/>
          <w:szCs w:val="16"/>
          <w:color w:val="auto"/>
        </w:rPr>
        <w:t>Efective December 31, 2013, the Company froze beneft accruals under the CARP for all management and administrative employees, including Mr. Enqvist. Efective January 1, 2014, all management and administrative employees of the Company,</w:t>
      </w:r>
    </w:p>
    <w:p>
      <w:pPr>
        <w:spacing w:after="0" w:line="1"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including the NEOs, participate in defned contribution plans. In addition, management employees with compensation greater than the tax-qualifed plan limit, including ofcers, participate in the United Airlines, Inc. Management Cash Direct &amp; Cash Match Program. The Company’s decision to freeze the CARP was part of the Company’s eforts to standardize management and administrative employee benefts following the 2010 merger with Continental.</w:t>
      </w:r>
    </w:p>
    <w:p>
      <w:pPr>
        <w:spacing w:after="0" w:line="56"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The CARP beneft is based on a formula that utilizes fnal average compensation and service while the participant was an eligible employee of Continental. Compensation used to determine benefts is regular pay, which includes salary deferral elections under broad-based employee programs (such as United’s 401(k) plan), but excludes bonuses, taxable income derived from group term life insurance, payments pursuant to proft sharing plans and any form of non-cash or incentive</w:t>
      </w:r>
    </w:p>
    <w:p>
      <w:pPr>
        <w:spacing w:after="0" w:line="3"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compensation. A limit of $170,000 is applied to each year of compensation. Final average compensation is based on the highest fve consecutive calendar years of compensation of the ten most recent calendar years of employment. The fnal average compensation used to calculate the frozen accrued CARP beneft for Mr. Enqvist is $170,000.</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color w:val="auto"/>
        </w:rPr>
        <w:t>The  beneft  under  the  CARP  is  calculated  as  (A)  times  (B),  where:</w:t>
      </w:r>
    </w:p>
    <w:p>
      <w:pPr>
        <w:spacing w:after="0" w:line="221" w:lineRule="exact"/>
        <w:rPr>
          <w:sz w:val="20"/>
          <w:szCs w:val="20"/>
          <w:color w:val="auto"/>
        </w:rPr>
      </w:pPr>
    </w:p>
    <w:p>
      <w:pPr>
        <w:ind w:left="1300" w:right="720" w:hanging="648"/>
        <w:spacing w:after="0" w:line="313" w:lineRule="auto"/>
        <w:tabs>
          <w:tab w:leader="none" w:pos="130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is 1.19% of fnal average compensation plus 0.45% of the fnal average compensation in excess of the participant’s average Social Security wage base; and</w:t>
      </w:r>
    </w:p>
    <w:p>
      <w:pPr>
        <w:spacing w:after="0" w:line="127" w:lineRule="exact"/>
        <w:rPr>
          <w:rFonts w:ascii="Arial" w:cs="Arial" w:eastAsia="Arial" w:hAnsi="Arial"/>
          <w:sz w:val="16"/>
          <w:szCs w:val="16"/>
          <w:color w:val="auto"/>
        </w:rPr>
      </w:pPr>
    </w:p>
    <w:p>
      <w:pPr>
        <w:ind w:left="1300" w:hanging="648"/>
        <w:spacing w:after="0"/>
        <w:tabs>
          <w:tab w:leader="none" w:pos="130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is  credited  service,  limited  to  30  years.</w:t>
      </w:r>
    </w:p>
    <w:p>
      <w:pPr>
        <w:spacing w:after="0" w:line="113"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Normal retirement under the CARP is age 65, but a participant is entitled to receive a reduced beneft after attaining either age 55 with 10 years of service or age 50 with 20 years of service. The early retirement beneft is the same as the normal retirement beneft, but actuarially reduced from age 65 to the early retirement age. Mr. Enqvist was eligible for early retirement as of</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2025.</w:t>
      </w:r>
    </w:p>
    <w:p>
      <w:pPr>
        <w:spacing w:after="0" w:line="113"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The CARP beneft can be received as a single life annuity or an actuarially equivalent contingent annuity with 50%, 66-2∕3%, 75%, or 100% of the participant’s payments continuing for the life of the surviving spouse following the participant’s death, or as an actuarially equivalent lump sum. The lump sum payment option is not available if the participant terminates their employment</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before  being  eligible  for  either  normal  or  early  retirement.</w:t>
      </w:r>
    </w:p>
    <w:p>
      <w:pPr>
        <w:sectPr>
          <w:pgSz w:w="11900" w:h="16838" w:orient="portrait"/>
          <w:cols w:equalWidth="0" w:num="1">
            <w:col w:w="9700"/>
          </w:cols>
          <w:pgMar w:left="1080" w:top="695" w:right="11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ind w:right="7700"/>
        <w:spacing w:after="0"/>
        <w:rPr>
          <w:sz w:val="20"/>
          <w:szCs w:val="20"/>
          <w:color w:val="auto"/>
        </w:rPr>
      </w:pPr>
      <w:r>
        <w:rPr>
          <w:rFonts w:ascii="Arial" w:cs="Arial" w:eastAsia="Arial" w:hAnsi="Arial"/>
          <w:sz w:val="16"/>
          <w:szCs w:val="16"/>
          <w:color w:val="auto"/>
        </w:rPr>
        <w:t>​​2026​  Proxy</w:t>
      </w:r>
    </w:p>
    <w:p>
      <w:pPr>
        <w:spacing w:after="0" w:line="5" w:lineRule="exact"/>
        <w:rPr>
          <w:sz w:val="20"/>
          <w:szCs w:val="20"/>
          <w:color w:val="auto"/>
        </w:rPr>
      </w:pPr>
    </w:p>
    <w:p>
      <w:pPr>
        <w:ind w:left="660" w:hanging="656"/>
        <w:spacing w:after="0"/>
        <w:tabs>
          <w:tab w:leader="none" w:pos="660" w:val="left"/>
        </w:tabs>
        <w:numPr>
          <w:ilvl w:val="0"/>
          <w:numId w:val="145"/>
        </w:numPr>
        <w:rPr>
          <w:rFonts w:ascii="Arial" w:cs="Arial" w:eastAsia="Arial" w:hAnsi="Arial"/>
          <w:sz w:val="16"/>
          <w:szCs w:val="16"/>
          <w:b w:val="1"/>
          <w:bCs w:val="1"/>
          <w:color w:val="1414D2"/>
        </w:rPr>
      </w:pPr>
      <w:r>
        <w:rPr>
          <w:rFonts w:ascii="Arial" w:cs="Arial" w:eastAsia="Arial" w:hAnsi="Arial"/>
          <w:sz w:val="16"/>
          <w:szCs w:val="16"/>
          <w:color w:val="auto"/>
        </w:rPr>
        <w:t>Statement</w:t>
      </w:r>
    </w:p>
    <w:p>
      <w:pPr>
        <w:sectPr>
          <w:pgSz w:w="11900" w:h="16838" w:orient="portrait"/>
          <w:cols w:equalWidth="0" w:num="1">
            <w:col w:w="9700"/>
          </w:cols>
          <w:pgMar w:left="1080" w:top="695" w:right="1119" w:bottom="1440" w:gutter="0" w:footer="0" w:header="0"/>
          <w:type w:val="continuous"/>
        </w:sectPr>
      </w:pPr>
    </w:p>
    <w:bookmarkStart w:id="133" w:name="page134"/>
    <w:bookmarkEnd w:id="133"/>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27" w:lineRule="exact"/>
        <w:rPr>
          <w:sz w:val="20"/>
          <w:szCs w:val="20"/>
          <w:color w:val="auto"/>
        </w:rPr>
      </w:pPr>
    </w:p>
    <w:p>
      <w:pPr>
        <w:jc w:val="right"/>
        <w:spacing w:after="0"/>
        <w:rPr>
          <w:sz w:val="20"/>
          <w:szCs w:val="20"/>
          <w:color w:val="auto"/>
        </w:rPr>
      </w:pPr>
      <w:r>
        <w:rPr>
          <w:rFonts w:ascii="Arial" w:cs="Arial" w:eastAsia="Arial" w:hAnsi="Arial"/>
          <w:sz w:val="14"/>
          <w:szCs w:val="14"/>
          <w:color w:val="6D6F71"/>
        </w:rPr>
        <w:t>Executive  Compensation</w:t>
      </w:r>
    </w:p>
    <w:p>
      <w:pPr>
        <w:spacing w:after="0" w:line="223" w:lineRule="exact"/>
        <w:rPr>
          <w:sz w:val="20"/>
          <w:szCs w:val="20"/>
          <w:color w:val="auto"/>
        </w:rPr>
      </w:pPr>
    </w:p>
    <w:p>
      <w:pPr>
        <w:spacing w:after="0"/>
        <w:rPr>
          <w:sz w:val="20"/>
          <w:szCs w:val="20"/>
          <w:color w:val="auto"/>
        </w:rPr>
      </w:pPr>
      <w:r>
        <w:rPr>
          <w:rFonts w:ascii="Arial" w:cs="Arial" w:eastAsia="Arial" w:hAnsi="Arial"/>
          <w:sz w:val="25"/>
          <w:szCs w:val="25"/>
          <w:b w:val="1"/>
          <w:bCs w:val="1"/>
          <w:color w:val="1414D2"/>
        </w:rPr>
        <w:t>Potential Payments upon Termination or Change in Control</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auto"/>
        </w:rPr>
        <w:t>This  section  quantifes  and  describes  the  potential  payments  and  benefts  that  the  NEOs  may  become  entitled  to  upon</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termination  of  employment  and/or  upon  a  change  in  control  of  the  Company,  assuming  that  such  event  had  occurred  on</w:t>
      </w:r>
    </w:p>
    <w:p>
      <w:pPr>
        <w:spacing w:after="0" w:line="5" w:lineRule="exact"/>
        <w:rPr>
          <w:sz w:val="20"/>
          <w:szCs w:val="20"/>
          <w:color w:val="auto"/>
        </w:rPr>
      </w:pPr>
    </w:p>
    <w:p>
      <w:pPr>
        <w:spacing w:after="0"/>
        <w:tabs>
          <w:tab w:leader="none" w:pos="1580" w:val="left"/>
        </w:tabs>
        <w:rPr>
          <w:sz w:val="20"/>
          <w:szCs w:val="20"/>
          <w:color w:val="auto"/>
        </w:rPr>
      </w:pPr>
      <w:r>
        <w:rPr>
          <w:rFonts w:ascii="Arial" w:cs="Arial" w:eastAsia="Arial" w:hAnsi="Arial"/>
          <w:sz w:val="16"/>
          <w:szCs w:val="16"/>
          <w:color w:val="auto"/>
        </w:rPr>
        <w:t>December  31,  2025.</w:t>
      </w:r>
      <w:r>
        <w:rPr>
          <w:sz w:val="20"/>
          <w:szCs w:val="20"/>
          <w:color w:val="auto"/>
        </w:rPr>
        <w:tab/>
      </w:r>
      <w:r>
        <w:rPr>
          <w:rFonts w:ascii="Arial" w:cs="Arial" w:eastAsia="Arial" w:hAnsi="Arial"/>
          <w:sz w:val="15"/>
          <w:szCs w:val="15"/>
          <w:color w:val="auto"/>
        </w:rPr>
        <w:t>The  types  and  amounts  of  these  potential  payments  vary  depending  on  the  following  circumstances:</w:t>
      </w:r>
    </w:p>
    <w:p>
      <w:pPr>
        <w:spacing w:after="0" w:line="5" w:lineRule="exact"/>
        <w:rPr>
          <w:sz w:val="20"/>
          <w:szCs w:val="20"/>
          <w:color w:val="auto"/>
        </w:rPr>
      </w:pPr>
    </w:p>
    <w:p>
      <w:pPr>
        <w:ind w:left="180" w:hanging="176"/>
        <w:spacing w:after="0"/>
        <w:tabs>
          <w:tab w:leader="none" w:pos="18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retirement  (only  Messrs.  Enqvist  and  Hart  were  eligible  as  of  December  31,  2025)  or  resignation  without  “good  reason”;</w:t>
      </w:r>
    </w:p>
    <w:p>
      <w:pPr>
        <w:spacing w:after="0" w:line="5" w:lineRule="exact"/>
        <w:rPr>
          <w:rFonts w:ascii="Arial" w:cs="Arial" w:eastAsia="Arial" w:hAnsi="Arial"/>
          <w:sz w:val="16"/>
          <w:szCs w:val="16"/>
          <w:color w:val="auto"/>
        </w:rPr>
      </w:pPr>
    </w:p>
    <w:p>
      <w:pPr>
        <w:ind w:left="220" w:hanging="216"/>
        <w:spacing w:after="0"/>
        <w:tabs>
          <w:tab w:leader="none" w:pos="22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termination  due  to  death  or  disability;  (iii)  involuntary  termination  without  “cause”  or  voluntary  termination  for  “good</w:t>
      </w:r>
    </w:p>
    <w:p>
      <w:pPr>
        <w:spacing w:after="0" w:line="19" w:lineRule="exact"/>
        <w:rPr>
          <w:sz w:val="20"/>
          <w:szCs w:val="20"/>
          <w:color w:val="auto"/>
        </w:rPr>
      </w:pPr>
    </w:p>
    <w:p>
      <w:pPr>
        <w:ind w:right="20"/>
        <w:spacing w:after="0" w:line="313" w:lineRule="auto"/>
        <w:rPr>
          <w:sz w:val="20"/>
          <w:szCs w:val="20"/>
          <w:color w:val="auto"/>
        </w:rPr>
      </w:pPr>
      <w:r>
        <w:rPr>
          <w:rFonts w:ascii="Arial" w:cs="Arial" w:eastAsia="Arial" w:hAnsi="Arial"/>
          <w:sz w:val="16"/>
          <w:szCs w:val="16"/>
          <w:color w:val="auto"/>
        </w:rPr>
        <w:t>reason;” and (iv) a change in control. The terms “cause” and “good reason” are defned under the Executive Severance Plan. The term “change in control” is defned the 2021 Plan.</w:t>
      </w:r>
    </w:p>
    <w:p>
      <w:pPr>
        <w:spacing w:after="0" w:line="6" w:lineRule="exact"/>
        <w:rPr>
          <w:sz w:val="20"/>
          <w:szCs w:val="20"/>
          <w:color w:val="auto"/>
        </w:rPr>
      </w:pPr>
    </w:p>
    <w:p>
      <w:pPr>
        <w:ind w:right="160"/>
        <w:spacing w:after="0" w:line="255" w:lineRule="auto"/>
        <w:rPr>
          <w:sz w:val="20"/>
          <w:szCs w:val="20"/>
          <w:color w:val="auto"/>
        </w:rPr>
      </w:pPr>
      <w:r>
        <w:rPr>
          <w:rFonts w:ascii="Arial" w:cs="Arial" w:eastAsia="Arial" w:hAnsi="Arial"/>
          <w:sz w:val="16"/>
          <w:szCs w:val="16"/>
          <w:color w:val="auto"/>
        </w:rPr>
        <w:t>The termination benefts described in this section are as provided under the terms of the Company’s Executive Severance Plan and, as applicable, outstanding incentive compensation awards. A table quantifying the estimated payments and benefts for</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each  of  the  applicable  NEOs  is  set  forth  below  for  each  of  these  scenarios.</w:t>
      </w:r>
    </w:p>
    <w:p>
      <w:pPr>
        <w:spacing w:after="0" w:line="113" w:lineRule="exact"/>
        <w:rPr>
          <w:sz w:val="20"/>
          <w:szCs w:val="20"/>
          <w:color w:val="auto"/>
        </w:rPr>
      </w:pPr>
    </w:p>
    <w:p>
      <w:pPr>
        <w:ind w:right="440"/>
        <w:spacing w:after="0" w:line="279" w:lineRule="auto"/>
        <w:rPr>
          <w:sz w:val="20"/>
          <w:szCs w:val="20"/>
          <w:color w:val="auto"/>
        </w:rPr>
      </w:pPr>
      <w:r>
        <w:rPr>
          <w:rFonts w:ascii="Arial" w:cs="Arial" w:eastAsia="Arial" w:hAnsi="Arial"/>
          <w:sz w:val="16"/>
          <w:szCs w:val="16"/>
          <w:color w:val="auto"/>
        </w:rPr>
        <w:t>The narrative descriptions and table below do not describe or quantify payments that already were earned or vested as of December 31, 2025, such as each NEO’s accrued but unpaid base salary, accrued but unpaid 2025 STI award, or vested but unpaid LTI awards.</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RETIREMENT OR RESIGNATION WITHOUT “GOOD REASON”</w:t>
      </w:r>
    </w:p>
    <w:p>
      <w:pPr>
        <w:spacing w:after="0" w:line="100" w:lineRule="exact"/>
        <w:rPr>
          <w:sz w:val="20"/>
          <w:szCs w:val="20"/>
          <w:color w:val="auto"/>
        </w:rPr>
      </w:pPr>
    </w:p>
    <w:p>
      <w:pPr>
        <w:ind w:right="500"/>
        <w:spacing w:after="0" w:line="313" w:lineRule="auto"/>
        <w:rPr>
          <w:sz w:val="20"/>
          <w:szCs w:val="20"/>
          <w:color w:val="auto"/>
        </w:rPr>
      </w:pPr>
      <w:r>
        <w:rPr>
          <w:rFonts w:ascii="Arial" w:cs="Arial" w:eastAsia="Arial" w:hAnsi="Arial"/>
          <w:sz w:val="16"/>
          <w:szCs w:val="16"/>
          <w:color w:val="auto"/>
        </w:rPr>
        <w:t>Messrs. Enqvist and Hart were retirement eligible as of December 31, 2025. The description below outlines the retirement benefts that Messrs. Enqvist and Hart could have received in connection with a retirement.</w:t>
      </w:r>
    </w:p>
    <w:p>
      <w:pPr>
        <w:spacing w:after="0" w:line="6" w:lineRule="exact"/>
        <w:rPr>
          <w:sz w:val="20"/>
          <w:szCs w:val="20"/>
          <w:color w:val="auto"/>
        </w:rPr>
      </w:pPr>
    </w:p>
    <w:p>
      <w:pPr>
        <w:ind w:right="420"/>
        <w:spacing w:after="0" w:line="255" w:lineRule="auto"/>
        <w:rPr>
          <w:sz w:val="20"/>
          <w:szCs w:val="20"/>
          <w:color w:val="auto"/>
        </w:rPr>
      </w:pPr>
      <w:r>
        <w:rPr>
          <w:rFonts w:ascii="Arial" w:cs="Arial" w:eastAsia="Arial" w:hAnsi="Arial"/>
          <w:sz w:val="16"/>
          <w:szCs w:val="16"/>
          <w:color w:val="auto"/>
        </w:rPr>
        <w:t>The remaining NEOs were not retirement eligible as of December 31, 2025 and therefore a voluntary separation would be treated as resignation without “good reason.” In this scenario, the only separation beneft would be lifetime fight benefts,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which  each  of  Messrs.  Kirby  and  Nocella  were  eligible  for  as  of  December  31,  2025.</w:t>
      </w:r>
    </w:p>
    <w:p>
      <w:pPr>
        <w:spacing w:after="0" w:line="113" w:lineRule="exact"/>
        <w:rPr>
          <w:sz w:val="20"/>
          <w:szCs w:val="20"/>
          <w:color w:val="auto"/>
        </w:rPr>
      </w:pPr>
    </w:p>
    <w:p>
      <w:pPr>
        <w:ind w:left="320" w:right="140" w:hanging="316"/>
        <w:spacing w:after="0" w:line="267" w:lineRule="auto"/>
        <w:tabs>
          <w:tab w:leader="none" w:pos="320" w:val="left"/>
        </w:tabs>
        <w:numPr>
          <w:ilvl w:val="0"/>
          <w:numId w:val="147"/>
        </w:numPr>
        <w:rPr>
          <w:rFonts w:ascii="Times New Roman" w:cs="Times New Roman" w:eastAsia="Times New Roman" w:hAnsi="Times New Roman"/>
          <w:sz w:val="16"/>
          <w:szCs w:val="16"/>
          <w:color w:val="auto"/>
        </w:rPr>
      </w:pPr>
      <w:r>
        <w:rPr>
          <w:rFonts w:ascii="Arial" w:cs="Arial" w:eastAsia="Arial" w:hAnsi="Arial"/>
          <w:sz w:val="16"/>
          <w:szCs w:val="16"/>
          <w:b w:val="1"/>
          <w:bCs w:val="1"/>
          <w:i w:val="1"/>
          <w:iCs w:val="1"/>
          <w:color w:val="auto"/>
        </w:rPr>
        <w:t>Performance-Based RSUs.</w:t>
      </w:r>
      <w:r>
        <w:rPr>
          <w:rFonts w:ascii="Arial" w:cs="Arial" w:eastAsia="Arial" w:hAnsi="Arial"/>
          <w:sz w:val="16"/>
          <w:szCs w:val="16"/>
          <w:color w:val="auto"/>
        </w:rPr>
        <w:t> Retirement eligible participants would be eligible for payments (pro-rata through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retirement date) under the Performance-Based RSUs (including the 2024 Retention LTI Awards; provided that, for the Retention LTI Awards, pro-ration only applies to the tranche for which vesting is in progress at the time of termination of employment and any other unearned tranches are forfeited) if and when actively employed participants receive payments based on the Company’s actual performance results through the end of the performance period.</w:t>
      </w:r>
    </w:p>
    <w:p>
      <w:pPr>
        <w:spacing w:after="0" w:line="42" w:lineRule="exact"/>
        <w:rPr>
          <w:rFonts w:ascii="Times New Roman" w:cs="Times New Roman" w:eastAsia="Times New Roman" w:hAnsi="Times New Roman"/>
          <w:sz w:val="16"/>
          <w:szCs w:val="16"/>
          <w:color w:val="auto"/>
        </w:rPr>
      </w:pPr>
    </w:p>
    <w:p>
      <w:pPr>
        <w:ind w:left="320" w:right="100"/>
        <w:spacing w:after="0" w:line="313" w:lineRule="auto"/>
        <w:rPr>
          <w:rFonts w:ascii="Times New Roman" w:cs="Times New Roman" w:eastAsia="Times New Roman" w:hAnsi="Times New Roman"/>
          <w:sz w:val="16"/>
          <w:szCs w:val="16"/>
          <w:color w:val="auto"/>
        </w:rPr>
      </w:pPr>
      <w:r>
        <w:rPr>
          <w:rFonts w:ascii="Arial" w:cs="Arial" w:eastAsia="Arial" w:hAnsi="Arial"/>
          <w:sz w:val="16"/>
          <w:szCs w:val="16"/>
          <w:color w:val="auto"/>
        </w:rPr>
        <w:t xml:space="preserve">No amounts would be payable under the Performance-Based RSU awards (including </w:t>
      </w:r>
      <w:r>
        <w:rPr>
          <w:rFonts w:ascii="Arial" w:cs="Arial" w:eastAsia="Arial" w:hAnsi="Arial"/>
          <w:sz w:val="16"/>
          <w:szCs w:val="16"/>
          <w:color w:val="auto"/>
          <w:highlight w:val="white"/>
        </w:rPr>
        <w:t>the 2024 Retention LTI Award)</w:t>
      </w:r>
      <w:r>
        <w:rPr>
          <w:rFonts w:ascii="Arial" w:cs="Arial" w:eastAsia="Arial" w:hAnsi="Arial"/>
          <w:sz w:val="16"/>
          <w:szCs w:val="16"/>
          <w:color w:val="auto"/>
        </w:rPr>
        <w:t xml:space="preserve"> upon a voluntary resignation without “good reason” for individuals who were not retirement eligible as of December 31, 2025.</w:t>
      </w:r>
    </w:p>
    <w:p>
      <w:pPr>
        <w:spacing w:after="0" w:line="6" w:lineRule="exact"/>
        <w:rPr>
          <w:rFonts w:ascii="Times New Roman" w:cs="Times New Roman" w:eastAsia="Times New Roman" w:hAnsi="Times New Roman"/>
          <w:sz w:val="16"/>
          <w:szCs w:val="16"/>
          <w:color w:val="auto"/>
        </w:rPr>
      </w:pPr>
    </w:p>
    <w:p>
      <w:pPr>
        <w:ind w:left="320" w:right="60" w:hanging="316"/>
        <w:spacing w:after="0" w:line="325" w:lineRule="auto"/>
        <w:tabs>
          <w:tab w:leader="none" w:pos="320" w:val="left"/>
        </w:tabs>
        <w:numPr>
          <w:ilvl w:val="0"/>
          <w:numId w:val="147"/>
        </w:numPr>
        <w:rPr>
          <w:rFonts w:ascii="Times New Roman" w:cs="Times New Roman" w:eastAsia="Times New Roman" w:hAnsi="Times New Roman"/>
          <w:sz w:val="16"/>
          <w:szCs w:val="16"/>
          <w:color w:val="auto"/>
        </w:rPr>
      </w:pPr>
      <w:r>
        <w:rPr>
          <w:rFonts w:ascii="Arial" w:cs="Arial" w:eastAsia="Arial" w:hAnsi="Arial"/>
          <w:sz w:val="16"/>
          <w:szCs w:val="16"/>
          <w:b w:val="1"/>
          <w:bCs w:val="1"/>
          <w:i w:val="1"/>
          <w:iCs w:val="1"/>
          <w:color w:val="auto"/>
        </w:rPr>
        <w:t>Time-vested RSUs.</w:t>
      </w:r>
      <w:r>
        <w:rPr>
          <w:rFonts w:ascii="Arial" w:cs="Arial" w:eastAsia="Arial" w:hAnsi="Arial"/>
          <w:sz w:val="16"/>
          <w:szCs w:val="16"/>
          <w:color w:val="auto"/>
        </w:rPr>
        <w:t> Retirement eligible participants would vest on a pro-rata basis with respect to the portion of the award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scheduled to vest on the next vesting date and the remainder of the time-vested RSUs would be forfeited.</w:t>
      </w:r>
    </w:p>
    <w:p>
      <w:pPr>
        <w:ind w:left="320" w:right="160"/>
        <w:spacing w:after="0" w:line="325" w:lineRule="auto"/>
        <w:rPr>
          <w:rFonts w:ascii="Times New Roman" w:cs="Times New Roman" w:eastAsia="Times New Roman" w:hAnsi="Times New Roman"/>
          <w:sz w:val="16"/>
          <w:szCs w:val="16"/>
          <w:color w:val="auto"/>
        </w:rPr>
      </w:pPr>
      <w:r>
        <w:rPr>
          <w:rFonts w:ascii="Arial" w:cs="Arial" w:eastAsia="Arial" w:hAnsi="Arial"/>
          <w:sz w:val="16"/>
          <w:szCs w:val="16"/>
          <w:color w:val="auto"/>
        </w:rPr>
        <w:t>No amounts would be payable under the time-vested RSU awards upon a voluntary resignation without “good reason” for individuals who were not retirement eligible as of December 31, 2025.</w:t>
      </w:r>
    </w:p>
    <w:p>
      <w:pPr>
        <w:spacing w:after="0" w:line="1" w:lineRule="exact"/>
        <w:rPr>
          <w:rFonts w:ascii="Times New Roman" w:cs="Times New Roman" w:eastAsia="Times New Roman" w:hAnsi="Times New Roman"/>
          <w:sz w:val="16"/>
          <w:szCs w:val="16"/>
          <w:color w:val="auto"/>
        </w:rPr>
      </w:pPr>
    </w:p>
    <w:p>
      <w:pPr>
        <w:ind w:left="320" w:right="580" w:hanging="316"/>
        <w:spacing w:after="0" w:line="312" w:lineRule="auto"/>
        <w:tabs>
          <w:tab w:leader="none" w:pos="320" w:val="left"/>
        </w:tabs>
        <w:numPr>
          <w:ilvl w:val="0"/>
          <w:numId w:val="147"/>
        </w:numPr>
        <w:rPr>
          <w:rFonts w:ascii="Times New Roman" w:cs="Times New Roman" w:eastAsia="Times New Roman" w:hAnsi="Times New Roman"/>
          <w:sz w:val="16"/>
          <w:szCs w:val="16"/>
          <w:color w:val="auto"/>
        </w:rPr>
      </w:pPr>
      <w:r>
        <w:rPr>
          <w:rFonts w:ascii="Arial" w:cs="Arial" w:eastAsia="Arial" w:hAnsi="Arial"/>
          <w:sz w:val="16"/>
          <w:szCs w:val="16"/>
          <w:b w:val="1"/>
          <w:bCs w:val="1"/>
          <w:i w:val="1"/>
          <w:iCs w:val="1"/>
          <w:color w:val="auto"/>
        </w:rPr>
        <w:t>Stock Options.</w:t>
      </w:r>
      <w:r>
        <w:rPr>
          <w:rFonts w:ascii="Arial" w:cs="Arial" w:eastAsia="Arial" w:hAnsi="Arial"/>
          <w:sz w:val="16"/>
          <w:szCs w:val="16"/>
          <w:color w:val="auto"/>
        </w:rPr>
        <w:t> The unvested stock options held by Mr. Kirby would be forfeited upon his resignation without “good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reason.” Mr. Kirby is the only named executive ofcer who held unvested stock options on December 31, 2025.</w:t>
      </w:r>
    </w:p>
    <w:p>
      <w:pPr>
        <w:spacing w:after="0" w:line="20" w:lineRule="exact"/>
        <w:rPr>
          <w:rFonts w:ascii="Times New Roman" w:cs="Times New Roman" w:eastAsia="Times New Roman" w:hAnsi="Times New Roman"/>
          <w:sz w:val="16"/>
          <w:szCs w:val="16"/>
          <w:color w:val="auto"/>
        </w:rPr>
      </w:pPr>
    </w:p>
    <w:p>
      <w:pPr>
        <w:ind w:left="320" w:right="540" w:hanging="316"/>
        <w:spacing w:after="0" w:line="254" w:lineRule="auto"/>
        <w:tabs>
          <w:tab w:leader="none" w:pos="320" w:val="left"/>
        </w:tabs>
        <w:numPr>
          <w:ilvl w:val="0"/>
          <w:numId w:val="147"/>
        </w:numPr>
        <w:rPr>
          <w:rFonts w:ascii="Times New Roman" w:cs="Times New Roman" w:eastAsia="Times New Roman" w:hAnsi="Times New Roman"/>
          <w:sz w:val="16"/>
          <w:szCs w:val="16"/>
          <w:color w:val="auto"/>
        </w:rPr>
      </w:pPr>
      <w:r>
        <w:rPr>
          <w:rFonts w:ascii="Arial" w:cs="Arial" w:eastAsia="Arial" w:hAnsi="Arial"/>
          <w:sz w:val="16"/>
          <w:szCs w:val="16"/>
          <w:b w:val="1"/>
          <w:bCs w:val="1"/>
          <w:i w:val="1"/>
          <w:iCs w:val="1"/>
          <w:color w:val="auto"/>
        </w:rPr>
        <w:t>Flight Benefts.</w:t>
      </w:r>
      <w:r>
        <w:rPr>
          <w:rFonts w:ascii="Arial" w:cs="Arial" w:eastAsia="Arial" w:hAnsi="Arial"/>
          <w:sz w:val="16"/>
          <w:szCs w:val="16"/>
          <w:color w:val="auto"/>
        </w:rPr>
        <w:t> Flight benefts under United’s Ofcer Travel Policy would be provided to each of Messrs. Kirby, Hart,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Enqvist and Nocella for the remainder of the executive’s lifetime, subject to an annual cap and not including any tax</w:t>
      </w:r>
    </w:p>
    <w:p>
      <w:pPr>
        <w:spacing w:after="0" w:line="1" w:lineRule="exact"/>
        <w:rPr>
          <w:rFonts w:ascii="Times New Roman" w:cs="Times New Roman" w:eastAsia="Times New Roman" w:hAnsi="Times New Roman"/>
          <w:sz w:val="16"/>
          <w:szCs w:val="16"/>
          <w:color w:val="auto"/>
        </w:rPr>
      </w:pPr>
    </w:p>
    <w:p>
      <w:pPr>
        <w:ind w:left="320" w:right="420"/>
        <w:spacing w:after="0" w:line="313" w:lineRule="auto"/>
        <w:rPr>
          <w:rFonts w:ascii="Times New Roman" w:cs="Times New Roman" w:eastAsia="Times New Roman" w:hAnsi="Times New Roman"/>
          <w:sz w:val="16"/>
          <w:szCs w:val="16"/>
          <w:color w:val="auto"/>
        </w:rPr>
      </w:pPr>
      <w:r>
        <w:rPr>
          <w:rFonts w:ascii="Arial" w:cs="Arial" w:eastAsia="Arial" w:hAnsi="Arial"/>
          <w:sz w:val="16"/>
          <w:szCs w:val="16"/>
          <w:color w:val="auto"/>
        </w:rPr>
        <w:t>indemnifcation. Mr. Leskinen will not be entitled to post-employment fight benefts in the resignation without “good reason” scenario until he has been in an Executive Vice President position for fve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2026  Proxy  Statement</w:t>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1414D2"/>
        </w:rPr>
        <w:t>123</w:t>
      </w:r>
    </w:p>
    <w:p>
      <w:pPr>
        <w:sectPr>
          <w:pgSz w:w="11900" w:h="16838" w:orient="portrait"/>
          <w:cols w:equalWidth="0" w:num="1">
            <w:col w:w="9720"/>
          </w:cols>
          <w:pgMar w:left="1080" w:top="695" w:right="1099" w:bottom="1440" w:gutter="0" w:footer="0" w:header="0"/>
        </w:sectPr>
      </w:pPr>
    </w:p>
    <w:bookmarkStart w:id="134" w:name="page135"/>
    <w:bookmarkEnd w:id="134"/>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6D6F71"/>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TERMINATION DUE TO DEATH OR DISABILITY</w:t>
      </w:r>
    </w:p>
    <w:p>
      <w:pPr>
        <w:spacing w:after="0" w:line="100" w:lineRule="exact"/>
        <w:rPr>
          <w:sz w:val="20"/>
          <w:szCs w:val="20"/>
          <w:color w:val="auto"/>
        </w:rPr>
      </w:pPr>
    </w:p>
    <w:p>
      <w:pPr>
        <w:ind w:right="100"/>
        <w:spacing w:after="0" w:line="313" w:lineRule="auto"/>
        <w:rPr>
          <w:sz w:val="20"/>
          <w:szCs w:val="20"/>
          <w:color w:val="auto"/>
        </w:rPr>
      </w:pPr>
      <w:r>
        <w:rPr>
          <w:rFonts w:ascii="Arial" w:cs="Arial" w:eastAsia="Arial" w:hAnsi="Arial"/>
          <w:sz w:val="16"/>
          <w:szCs w:val="16"/>
          <w:color w:val="auto"/>
        </w:rPr>
        <w:t>If a named executive ofcer terminated employment due to death or disability on December 31, 2025, in addition to applicable benefts as described above, the ofcer would have been entitled to the following:</w:t>
      </w:r>
    </w:p>
    <w:p>
      <w:pPr>
        <w:spacing w:after="0" w:line="20" w:lineRule="exact"/>
        <w:rPr>
          <w:sz w:val="20"/>
          <w:szCs w:val="20"/>
          <w:color w:val="auto"/>
        </w:rPr>
      </w:pPr>
    </w:p>
    <w:p>
      <w:pPr>
        <w:ind w:left="320" w:right="80" w:hanging="316"/>
        <w:spacing w:after="0" w:line="264" w:lineRule="auto"/>
        <w:tabs>
          <w:tab w:leader="none" w:pos="320" w:val="left"/>
        </w:tabs>
        <w:numPr>
          <w:ilvl w:val="0"/>
          <w:numId w:val="148"/>
        </w:numPr>
        <w:rPr>
          <w:rFonts w:ascii="Times New Roman" w:cs="Times New Roman" w:eastAsia="Times New Roman" w:hAnsi="Times New Roman"/>
          <w:sz w:val="16"/>
          <w:szCs w:val="16"/>
          <w:color w:val="auto"/>
        </w:rPr>
      </w:pPr>
      <w:r>
        <w:rPr>
          <w:rFonts w:ascii="Arial" w:cs="Arial" w:eastAsia="Arial" w:hAnsi="Arial"/>
          <w:sz w:val="16"/>
          <w:szCs w:val="16"/>
          <w:b w:val="1"/>
          <w:bCs w:val="1"/>
          <w:i w:val="1"/>
          <w:iCs w:val="1"/>
          <w:color w:val="auto"/>
        </w:rPr>
        <w:t>Performance-Based RSUs.</w:t>
      </w:r>
      <w:r>
        <w:rPr>
          <w:rFonts w:ascii="Arial" w:cs="Arial" w:eastAsia="Arial" w:hAnsi="Arial"/>
          <w:sz w:val="16"/>
          <w:szCs w:val="16"/>
          <w:color w:val="auto"/>
        </w:rPr>
        <w:t> Each of the named executive ofcers’ Performance-Based RSU awards would vest at the target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level of performance on a pro-rata basis. For the 2024 Retention LTI Awards, pro-ration would apply to the second tranche only and is based on the named executive ofcer’s time employed during the vesting period in which the termination of employment occurs; the remaining tranche of the award would be forfeited if not previously earned. For all other Performance-Based RSU awards, pro-ration is based on the named executive ofcer’s time employed during the three-year performance period.</w:t>
      </w:r>
    </w:p>
    <w:p>
      <w:pPr>
        <w:spacing w:after="0" w:line="256" w:lineRule="exact"/>
        <w:rPr>
          <w:rFonts w:ascii="Times New Roman" w:cs="Times New Roman" w:eastAsia="Times New Roman" w:hAnsi="Times New Roman"/>
          <w:sz w:val="16"/>
          <w:szCs w:val="16"/>
          <w:color w:val="auto"/>
        </w:rPr>
      </w:pPr>
    </w:p>
    <w:p>
      <w:pPr>
        <w:ind w:left="320" w:hanging="316"/>
        <w:spacing w:after="0"/>
        <w:tabs>
          <w:tab w:leader="none" w:pos="320" w:val="left"/>
        </w:tabs>
        <w:numPr>
          <w:ilvl w:val="0"/>
          <w:numId w:val="148"/>
        </w:numPr>
        <w:rPr>
          <w:rFonts w:ascii="Times New Roman" w:cs="Times New Roman" w:eastAsia="Times New Roman" w:hAnsi="Times New Roman"/>
          <w:sz w:val="16"/>
          <w:szCs w:val="16"/>
          <w:color w:val="auto"/>
        </w:rPr>
      </w:pPr>
      <w:r>
        <w:rPr>
          <w:rFonts w:ascii="Arial" w:cs="Arial" w:eastAsia="Arial" w:hAnsi="Arial"/>
          <w:sz w:val="16"/>
          <w:szCs w:val="16"/>
          <w:b w:val="1"/>
          <w:bCs w:val="1"/>
          <w:i w:val="1"/>
          <w:iCs w:val="1"/>
          <w:color w:val="auto"/>
        </w:rPr>
        <w:t>Time-Vested RSUs.</w:t>
      </w:r>
      <w:r>
        <w:rPr>
          <w:rFonts w:ascii="Arial" w:cs="Arial" w:eastAsia="Arial" w:hAnsi="Arial"/>
          <w:sz w:val="16"/>
          <w:szCs w:val="16"/>
          <w:color w:val="auto"/>
        </w:rPr>
        <w:t> Each  of  the  named  executive  ofcers’  time-vested  RSU  awards  would  vest  in  full.</w:t>
      </w:r>
    </w:p>
    <w:p>
      <w:pPr>
        <w:spacing w:after="0" w:line="112" w:lineRule="exact"/>
        <w:rPr>
          <w:rFonts w:ascii="Times New Roman" w:cs="Times New Roman" w:eastAsia="Times New Roman" w:hAnsi="Times New Roman"/>
          <w:sz w:val="16"/>
          <w:szCs w:val="16"/>
          <w:color w:val="auto"/>
        </w:rPr>
      </w:pPr>
    </w:p>
    <w:p>
      <w:pPr>
        <w:ind w:left="320" w:right="360" w:hanging="316"/>
        <w:spacing w:after="0" w:line="312" w:lineRule="auto"/>
        <w:tabs>
          <w:tab w:leader="none" w:pos="320" w:val="left"/>
        </w:tabs>
        <w:numPr>
          <w:ilvl w:val="0"/>
          <w:numId w:val="148"/>
        </w:numPr>
        <w:rPr>
          <w:rFonts w:ascii="Times New Roman" w:cs="Times New Roman" w:eastAsia="Times New Roman" w:hAnsi="Times New Roman"/>
          <w:sz w:val="16"/>
          <w:szCs w:val="16"/>
          <w:color w:val="auto"/>
        </w:rPr>
      </w:pPr>
      <w:r>
        <w:rPr>
          <w:rFonts w:ascii="Arial" w:cs="Arial" w:eastAsia="Arial" w:hAnsi="Arial"/>
          <w:sz w:val="16"/>
          <w:szCs w:val="16"/>
          <w:b w:val="1"/>
          <w:bCs w:val="1"/>
          <w:i w:val="1"/>
          <w:iCs w:val="1"/>
          <w:color w:val="auto"/>
        </w:rPr>
        <w:t>Stock Options.</w:t>
      </w:r>
      <w:r>
        <w:rPr>
          <w:rFonts w:ascii="Arial" w:cs="Arial" w:eastAsia="Arial" w:hAnsi="Arial"/>
          <w:sz w:val="16"/>
          <w:szCs w:val="16"/>
          <w:color w:val="auto"/>
        </w:rPr>
        <w:t> Mr. Kirby’s outstanding unvested stock options would vest in full. Mr. Kirby is the only named executive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ofcer who held unvested stock options on December 31, 2025.</w:t>
      </w:r>
    </w:p>
    <w:p>
      <w:pPr>
        <w:spacing w:after="0" w:line="20" w:lineRule="exact"/>
        <w:rPr>
          <w:rFonts w:ascii="Times New Roman" w:cs="Times New Roman" w:eastAsia="Times New Roman" w:hAnsi="Times New Roman"/>
          <w:sz w:val="16"/>
          <w:szCs w:val="16"/>
          <w:color w:val="auto"/>
        </w:rPr>
      </w:pPr>
    </w:p>
    <w:p>
      <w:pPr>
        <w:ind w:left="320" w:right="100" w:hanging="316"/>
        <w:spacing w:after="0" w:line="267" w:lineRule="auto"/>
        <w:tabs>
          <w:tab w:leader="none" w:pos="320" w:val="left"/>
        </w:tabs>
        <w:numPr>
          <w:ilvl w:val="0"/>
          <w:numId w:val="148"/>
        </w:numPr>
        <w:rPr>
          <w:rFonts w:ascii="Times New Roman" w:cs="Times New Roman" w:eastAsia="Times New Roman" w:hAnsi="Times New Roman"/>
          <w:sz w:val="16"/>
          <w:szCs w:val="16"/>
          <w:color w:val="auto"/>
        </w:rPr>
      </w:pPr>
      <w:r>
        <w:rPr>
          <w:rFonts w:ascii="Arial" w:cs="Arial" w:eastAsia="Arial" w:hAnsi="Arial"/>
          <w:sz w:val="16"/>
          <w:szCs w:val="16"/>
          <w:b w:val="1"/>
          <w:bCs w:val="1"/>
          <w:i w:val="1"/>
          <w:iCs w:val="1"/>
          <w:color w:val="auto"/>
        </w:rPr>
        <w:t>Life Insurance Beneft.</w:t>
      </w:r>
      <w:r>
        <w:rPr>
          <w:rFonts w:ascii="Arial" w:cs="Arial" w:eastAsia="Arial" w:hAnsi="Arial"/>
          <w:sz w:val="16"/>
          <w:szCs w:val="16"/>
          <w:color w:val="auto"/>
        </w:rPr>
        <w:t> In the case of death, each named executive ofcer’s benefciaries would be entitled to receive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proceeds of life insurance benefts equal to three times their respective base salary (up to a maximum of $3 million) at the time of death. In the case of disability, the named executive ofcer would be eligible to receive monthly benefts under the Company’s applicable disability policies. There is no additional cost to the Company associated with payments under these disability policies and therefore no additional amounts are included in the tables with respect to these policies.</w:t>
      </w:r>
    </w:p>
    <w:p>
      <w:pPr>
        <w:spacing w:after="0" w:line="42" w:lineRule="exact"/>
        <w:rPr>
          <w:rFonts w:ascii="Times New Roman" w:cs="Times New Roman" w:eastAsia="Times New Roman" w:hAnsi="Times New Roman"/>
          <w:sz w:val="16"/>
          <w:szCs w:val="16"/>
          <w:color w:val="auto"/>
        </w:rPr>
      </w:pPr>
    </w:p>
    <w:p>
      <w:pPr>
        <w:ind w:left="320" w:right="60" w:hanging="316"/>
        <w:spacing w:after="0" w:line="269" w:lineRule="auto"/>
        <w:tabs>
          <w:tab w:leader="none" w:pos="320" w:val="left"/>
        </w:tabs>
        <w:numPr>
          <w:ilvl w:val="0"/>
          <w:numId w:val="148"/>
        </w:numPr>
        <w:rPr>
          <w:rFonts w:ascii="Times New Roman" w:cs="Times New Roman" w:eastAsia="Times New Roman" w:hAnsi="Times New Roman"/>
          <w:sz w:val="16"/>
          <w:szCs w:val="16"/>
          <w:color w:val="auto"/>
        </w:rPr>
      </w:pPr>
      <w:r>
        <w:rPr>
          <w:rFonts w:ascii="Arial" w:cs="Arial" w:eastAsia="Arial" w:hAnsi="Arial"/>
          <w:sz w:val="16"/>
          <w:szCs w:val="16"/>
          <w:b w:val="1"/>
          <w:bCs w:val="1"/>
          <w:i w:val="1"/>
          <w:iCs w:val="1"/>
          <w:color w:val="auto"/>
        </w:rPr>
        <w:t>Flight Benefts</w:t>
      </w:r>
      <w:r>
        <w:rPr>
          <w:rFonts w:ascii="Arial" w:cs="Arial" w:eastAsia="Arial" w:hAnsi="Arial"/>
          <w:sz w:val="16"/>
          <w:szCs w:val="16"/>
          <w:color w:val="auto"/>
        </w:rPr>
        <w:t>. Flight benefts under United’s Ofcer Travel Policy would be provided to each of Messrs. Kirby, Hart, Enqvist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Nocella for the remainder of the executive’s lifetime, subject to an annual cap and not including any tax indemnifcation. Mr. Leskinen will not be entitled to post-employment fight benefts in the disability scenario until he has been in an Executive Vice President position for fve years. No fight benefts would be provided upon the named executive ofcer’s death.</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INVOLUNTARY TERMINATION WITHOUT “CAUSE” OR VOLUNTARY TERMINATION FOR “GOOD REASON”</w:t>
      </w:r>
    </w:p>
    <w:p>
      <w:pPr>
        <w:spacing w:after="0" w:line="86" w:lineRule="exact"/>
        <w:rPr>
          <w:sz w:val="20"/>
          <w:szCs w:val="20"/>
          <w:color w:val="auto"/>
        </w:rPr>
      </w:pPr>
    </w:p>
    <w:p>
      <w:pPr>
        <w:ind w:right="80"/>
        <w:spacing w:after="0" w:line="325" w:lineRule="auto"/>
        <w:rPr>
          <w:sz w:val="20"/>
          <w:szCs w:val="20"/>
          <w:color w:val="auto"/>
        </w:rPr>
      </w:pPr>
      <w:r>
        <w:rPr>
          <w:rFonts w:ascii="Arial" w:cs="Arial" w:eastAsia="Arial" w:hAnsi="Arial"/>
          <w:sz w:val="16"/>
          <w:szCs w:val="16"/>
          <w:color w:val="auto"/>
        </w:rPr>
        <w:t>If a named executive ofcer’s employment was terminated by the Company without “cause” or terminated voluntarily for “good reason” on December 31, 2025, the named executive ofcer would have been entitled to the following:</w:t>
      </w:r>
    </w:p>
    <w:p>
      <w:pPr>
        <w:spacing w:after="0" w:line="1" w:lineRule="exact"/>
        <w:rPr>
          <w:sz w:val="20"/>
          <w:szCs w:val="20"/>
          <w:color w:val="auto"/>
        </w:rPr>
      </w:pPr>
    </w:p>
    <w:p>
      <w:pPr>
        <w:ind w:left="320" w:right="400" w:hanging="316"/>
        <w:spacing w:after="0" w:line="288" w:lineRule="auto"/>
        <w:tabs>
          <w:tab w:leader="none" w:pos="320" w:val="left"/>
        </w:tabs>
        <w:numPr>
          <w:ilvl w:val="0"/>
          <w:numId w:val="149"/>
        </w:numPr>
        <w:rPr>
          <w:rFonts w:ascii="Times New Roman" w:cs="Times New Roman" w:eastAsia="Times New Roman" w:hAnsi="Times New Roman"/>
          <w:sz w:val="16"/>
          <w:szCs w:val="16"/>
          <w:color w:val="auto"/>
        </w:rPr>
      </w:pPr>
      <w:r>
        <w:rPr>
          <w:rFonts w:ascii="Arial" w:cs="Arial" w:eastAsia="Arial" w:hAnsi="Arial"/>
          <w:sz w:val="16"/>
          <w:szCs w:val="16"/>
          <w:b w:val="1"/>
          <w:bCs w:val="1"/>
          <w:i w:val="1"/>
          <w:iCs w:val="1"/>
          <w:color w:val="auto"/>
        </w:rPr>
        <w:t>Cash Severance.</w:t>
      </w:r>
      <w:r>
        <w:rPr>
          <w:rFonts w:ascii="Arial" w:cs="Arial" w:eastAsia="Arial" w:hAnsi="Arial"/>
          <w:sz w:val="16"/>
          <w:szCs w:val="16"/>
          <w:color w:val="auto"/>
        </w:rPr>
        <w:t> Under the Executive Severance Plan, the named executive ofcers would receive a cash severance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payment equal to two times the sum of the executive’s (i) base salary and (ii) annual incentive target bonus percentage multiplied by year-end base salary.</w:t>
      </w:r>
    </w:p>
    <w:p>
      <w:pPr>
        <w:spacing w:after="0" w:line="25" w:lineRule="exact"/>
        <w:rPr>
          <w:rFonts w:ascii="Times New Roman" w:cs="Times New Roman" w:eastAsia="Times New Roman" w:hAnsi="Times New Roman"/>
          <w:sz w:val="16"/>
          <w:szCs w:val="16"/>
          <w:color w:val="auto"/>
        </w:rPr>
      </w:pPr>
    </w:p>
    <w:p>
      <w:pPr>
        <w:ind w:left="320" w:hanging="316"/>
        <w:spacing w:after="0" w:line="288" w:lineRule="auto"/>
        <w:tabs>
          <w:tab w:leader="none" w:pos="320" w:val="left"/>
        </w:tabs>
        <w:numPr>
          <w:ilvl w:val="0"/>
          <w:numId w:val="149"/>
        </w:numPr>
        <w:rPr>
          <w:rFonts w:ascii="Times New Roman" w:cs="Times New Roman" w:eastAsia="Times New Roman" w:hAnsi="Times New Roman"/>
          <w:sz w:val="16"/>
          <w:szCs w:val="16"/>
          <w:color w:val="auto"/>
        </w:rPr>
      </w:pPr>
      <w:r>
        <w:rPr>
          <w:rFonts w:ascii="Arial" w:cs="Arial" w:eastAsia="Arial" w:hAnsi="Arial"/>
          <w:sz w:val="16"/>
          <w:szCs w:val="16"/>
          <w:b w:val="1"/>
          <w:bCs w:val="1"/>
          <w:i w:val="1"/>
          <w:iCs w:val="1"/>
          <w:color w:val="auto"/>
        </w:rPr>
        <w:t>Performance-Based RSUs.</w:t>
      </w:r>
      <w:r>
        <w:rPr>
          <w:rFonts w:ascii="Arial" w:cs="Arial" w:eastAsia="Arial" w:hAnsi="Arial"/>
          <w:sz w:val="16"/>
          <w:szCs w:val="16"/>
          <w:color w:val="auto"/>
        </w:rPr>
        <w:t>  Retirement-eligible named executive ofcers would be eligible to receive payment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Performance-Based RSUs based on their retirement eligibility described above. For the remaining NEOs, such awards would be forfeited.</w:t>
      </w:r>
    </w:p>
    <w:p>
      <w:pPr>
        <w:spacing w:after="0" w:line="25" w:lineRule="exact"/>
        <w:rPr>
          <w:rFonts w:ascii="Times New Roman" w:cs="Times New Roman" w:eastAsia="Times New Roman" w:hAnsi="Times New Roman"/>
          <w:sz w:val="16"/>
          <w:szCs w:val="16"/>
          <w:color w:val="auto"/>
        </w:rPr>
      </w:pPr>
    </w:p>
    <w:p>
      <w:pPr>
        <w:jc w:val="both"/>
        <w:ind w:left="320" w:right="80" w:hanging="316"/>
        <w:spacing w:after="0" w:line="288" w:lineRule="auto"/>
        <w:tabs>
          <w:tab w:leader="none" w:pos="320" w:val="left"/>
        </w:tabs>
        <w:numPr>
          <w:ilvl w:val="0"/>
          <w:numId w:val="149"/>
        </w:numPr>
        <w:rPr>
          <w:rFonts w:ascii="Times New Roman" w:cs="Times New Roman" w:eastAsia="Times New Roman" w:hAnsi="Times New Roman"/>
          <w:sz w:val="16"/>
          <w:szCs w:val="16"/>
          <w:color w:val="auto"/>
        </w:rPr>
      </w:pPr>
      <w:r>
        <w:rPr>
          <w:rFonts w:ascii="Arial" w:cs="Arial" w:eastAsia="Arial" w:hAnsi="Arial"/>
          <w:sz w:val="16"/>
          <w:szCs w:val="16"/>
          <w:b w:val="1"/>
          <w:bCs w:val="1"/>
          <w:i w:val="1"/>
          <w:iCs w:val="1"/>
          <w:color w:val="auto"/>
        </w:rPr>
        <w:t>Time-vested RSUs.</w:t>
      </w:r>
      <w:r>
        <w:rPr>
          <w:rFonts w:ascii="Arial" w:cs="Arial" w:eastAsia="Arial" w:hAnsi="Arial"/>
          <w:sz w:val="16"/>
          <w:szCs w:val="16"/>
          <w:color w:val="auto"/>
        </w:rPr>
        <w:t> Retirement-eligible named executive ofcers would vest in a portion of the time-vested RSUs based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their retirement eligibility as described above, and their remaining time-vested RSUs would be forfeited. For the remaining NEOs, such awards would be forfeited.</w:t>
      </w:r>
    </w:p>
    <w:p>
      <w:pPr>
        <w:spacing w:after="0" w:line="25" w:lineRule="exact"/>
        <w:rPr>
          <w:rFonts w:ascii="Times New Roman" w:cs="Times New Roman" w:eastAsia="Times New Roman" w:hAnsi="Times New Roman"/>
          <w:sz w:val="16"/>
          <w:szCs w:val="16"/>
          <w:color w:val="auto"/>
        </w:rPr>
      </w:pPr>
    </w:p>
    <w:p>
      <w:pPr>
        <w:ind w:left="320" w:hanging="316"/>
        <w:spacing w:after="0"/>
        <w:tabs>
          <w:tab w:leader="none" w:pos="320" w:val="left"/>
        </w:tabs>
        <w:numPr>
          <w:ilvl w:val="0"/>
          <w:numId w:val="149"/>
        </w:numPr>
        <w:rPr>
          <w:rFonts w:ascii="Times New Roman" w:cs="Times New Roman" w:eastAsia="Times New Roman" w:hAnsi="Times New Roman"/>
          <w:sz w:val="16"/>
          <w:szCs w:val="16"/>
          <w:color w:val="auto"/>
        </w:rPr>
      </w:pPr>
      <w:r>
        <w:rPr>
          <w:rFonts w:ascii="Arial" w:cs="Arial" w:eastAsia="Arial" w:hAnsi="Arial"/>
          <w:sz w:val="16"/>
          <w:szCs w:val="16"/>
          <w:b w:val="1"/>
          <w:bCs w:val="1"/>
          <w:i w:val="1"/>
          <w:iCs w:val="1"/>
          <w:color w:val="auto"/>
        </w:rPr>
        <w:t xml:space="preserve">Stock Options. </w:t>
      </w:r>
      <w:r>
        <w:rPr>
          <w:rFonts w:ascii="Arial" w:cs="Arial" w:eastAsia="Arial" w:hAnsi="Arial"/>
          <w:sz w:val="16"/>
          <w:szCs w:val="16"/>
          <w:color w:val="auto"/>
        </w:rPr>
        <w:t>Mr.  Kirby’s  unvested  stock  options  would  be  forfeited.</w:t>
      </w:r>
    </w:p>
    <w:p>
      <w:pPr>
        <w:spacing w:after="0" w:line="112" w:lineRule="exact"/>
        <w:rPr>
          <w:rFonts w:ascii="Times New Roman" w:cs="Times New Roman" w:eastAsia="Times New Roman" w:hAnsi="Times New Roman"/>
          <w:sz w:val="16"/>
          <w:szCs w:val="16"/>
          <w:color w:val="auto"/>
        </w:rPr>
      </w:pPr>
    </w:p>
    <w:p>
      <w:pPr>
        <w:ind w:left="320" w:hanging="316"/>
        <w:spacing w:after="0" w:line="263" w:lineRule="auto"/>
        <w:tabs>
          <w:tab w:leader="none" w:pos="320" w:val="left"/>
        </w:tabs>
        <w:numPr>
          <w:ilvl w:val="0"/>
          <w:numId w:val="149"/>
        </w:numPr>
        <w:rPr>
          <w:rFonts w:ascii="Times New Roman" w:cs="Times New Roman" w:eastAsia="Times New Roman" w:hAnsi="Times New Roman"/>
          <w:sz w:val="16"/>
          <w:szCs w:val="16"/>
          <w:color w:val="auto"/>
        </w:rPr>
      </w:pPr>
      <w:r>
        <w:rPr>
          <w:rFonts w:ascii="Arial" w:cs="Arial" w:eastAsia="Arial" w:hAnsi="Arial"/>
          <w:sz w:val="16"/>
          <w:szCs w:val="16"/>
          <w:b w:val="1"/>
          <w:bCs w:val="1"/>
          <w:i w:val="1"/>
          <w:iCs w:val="1"/>
          <w:color w:val="auto"/>
        </w:rPr>
        <w:t>Continuation Coverage Benefts.</w:t>
      </w:r>
      <w:r>
        <w:rPr>
          <w:rFonts w:ascii="Arial" w:cs="Arial" w:eastAsia="Arial" w:hAnsi="Arial"/>
          <w:sz w:val="16"/>
          <w:szCs w:val="16"/>
          <w:color w:val="auto"/>
        </w:rPr>
        <w:t> Under the Executive Severance Plan, the named executive ofcers would be eligible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continued coverage under the Company’s welfare beneft plans for themselves and their eligible dependents and continued life insurance for 24 months following termination or, if earlier, until the executive receives similar benefts from a subsequent employer. The continuation coverage benefts require the executives to pay for the benefts at rates equivalent to those paid by similarly-situated employees who continue in service and are subject to any Medicare or other coordination of benefts provisions under the applicable welfare beneft plan.</w:t>
      </w:r>
    </w:p>
    <w:p>
      <w:pPr>
        <w:spacing w:after="0" w:line="58" w:lineRule="exact"/>
        <w:rPr>
          <w:rFonts w:ascii="Times New Roman" w:cs="Times New Roman" w:eastAsia="Times New Roman" w:hAnsi="Times New Roman"/>
          <w:sz w:val="16"/>
          <w:szCs w:val="16"/>
          <w:color w:val="auto"/>
        </w:rPr>
      </w:pPr>
    </w:p>
    <w:p>
      <w:pPr>
        <w:ind w:left="320" w:hanging="316"/>
        <w:spacing w:after="0"/>
        <w:tabs>
          <w:tab w:leader="none" w:pos="320" w:val="left"/>
        </w:tabs>
        <w:numPr>
          <w:ilvl w:val="0"/>
          <w:numId w:val="149"/>
        </w:numPr>
        <w:rPr>
          <w:rFonts w:ascii="Times New Roman" w:cs="Times New Roman" w:eastAsia="Times New Roman" w:hAnsi="Times New Roman"/>
          <w:sz w:val="16"/>
          <w:szCs w:val="16"/>
          <w:color w:val="auto"/>
        </w:rPr>
      </w:pPr>
      <w:r>
        <w:rPr>
          <w:rFonts w:ascii="Arial" w:cs="Arial" w:eastAsia="Arial" w:hAnsi="Arial"/>
          <w:sz w:val="16"/>
          <w:szCs w:val="16"/>
          <w:b w:val="1"/>
          <w:bCs w:val="1"/>
          <w:i w:val="1"/>
          <w:iCs w:val="1"/>
          <w:color w:val="auto"/>
        </w:rPr>
        <w:t xml:space="preserve">Outplacement Services. </w:t>
      </w:r>
      <w:r>
        <w:rPr>
          <w:rFonts w:ascii="Arial" w:cs="Arial" w:eastAsia="Arial" w:hAnsi="Arial"/>
          <w:sz w:val="16"/>
          <w:szCs w:val="16"/>
          <w:color w:val="auto"/>
        </w:rPr>
        <w:t>Outplacement  consulting  services  would  be  provided  for  12  months  following  termination.</w:t>
      </w:r>
    </w:p>
    <w:p>
      <w:pPr>
        <w:spacing w:after="0" w:line="112" w:lineRule="exact"/>
        <w:rPr>
          <w:rFonts w:ascii="Times New Roman" w:cs="Times New Roman" w:eastAsia="Times New Roman" w:hAnsi="Times New Roman"/>
          <w:sz w:val="16"/>
          <w:szCs w:val="16"/>
          <w:color w:val="auto"/>
        </w:rPr>
      </w:pPr>
    </w:p>
    <w:p>
      <w:pPr>
        <w:ind w:left="320" w:right="80" w:hanging="316"/>
        <w:spacing w:after="0" w:line="312" w:lineRule="auto"/>
        <w:tabs>
          <w:tab w:leader="none" w:pos="320" w:val="left"/>
        </w:tabs>
        <w:numPr>
          <w:ilvl w:val="0"/>
          <w:numId w:val="149"/>
        </w:numPr>
        <w:rPr>
          <w:rFonts w:ascii="Times New Roman" w:cs="Times New Roman" w:eastAsia="Times New Roman" w:hAnsi="Times New Roman"/>
          <w:sz w:val="16"/>
          <w:szCs w:val="16"/>
          <w:color w:val="auto"/>
        </w:rPr>
      </w:pPr>
      <w:r>
        <w:rPr>
          <w:rFonts w:ascii="Arial" w:cs="Arial" w:eastAsia="Arial" w:hAnsi="Arial"/>
          <w:sz w:val="16"/>
          <w:szCs w:val="16"/>
          <w:b w:val="1"/>
          <w:bCs w:val="1"/>
          <w:i w:val="1"/>
          <w:iCs w:val="1"/>
          <w:color w:val="auto"/>
        </w:rPr>
        <w:t>Flight Benefts.</w:t>
      </w:r>
      <w:r>
        <w:rPr>
          <w:rFonts w:ascii="Arial" w:cs="Arial" w:eastAsia="Arial" w:hAnsi="Arial"/>
          <w:sz w:val="16"/>
          <w:szCs w:val="16"/>
          <w:color w:val="auto"/>
        </w:rPr>
        <w:t>  Flight benefts under United’s Ofcer Travel Policy would be provided to each named executive ofcer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remainder of the executive’s lifetime, subject to an annual cap and not including any tax indemnifcation.</w:t>
      </w:r>
    </w:p>
    <w:p>
      <w:pPr>
        <w:sectPr>
          <w:pgSz w:w="11900" w:h="16838" w:orient="portrait"/>
          <w:cols w:equalWidth="0" w:num="1">
            <w:col w:w="9720"/>
          </w:cols>
          <w:pgMar w:left="1080" w:top="695"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right"/>
        <w:ind w:right="7720"/>
        <w:spacing w:after="0"/>
        <w:rPr>
          <w:sz w:val="20"/>
          <w:szCs w:val="20"/>
          <w:color w:val="auto"/>
        </w:rPr>
      </w:pPr>
      <w:r>
        <w:rPr>
          <w:rFonts w:ascii="Arial" w:cs="Arial" w:eastAsia="Arial" w:hAnsi="Arial"/>
          <w:sz w:val="16"/>
          <w:szCs w:val="16"/>
          <w:color w:val="auto"/>
        </w:rPr>
        <w:t>​​2026​  Proxy</w:t>
      </w:r>
    </w:p>
    <w:p>
      <w:pPr>
        <w:spacing w:after="0" w:line="5" w:lineRule="exact"/>
        <w:rPr>
          <w:sz w:val="20"/>
          <w:szCs w:val="20"/>
          <w:color w:val="auto"/>
        </w:rPr>
      </w:pPr>
    </w:p>
    <w:p>
      <w:pPr>
        <w:ind w:left="660" w:hanging="656"/>
        <w:spacing w:after="0"/>
        <w:tabs>
          <w:tab w:leader="none" w:pos="660" w:val="left"/>
        </w:tabs>
        <w:numPr>
          <w:ilvl w:val="0"/>
          <w:numId w:val="150"/>
        </w:numPr>
        <w:rPr>
          <w:rFonts w:ascii="Arial" w:cs="Arial" w:eastAsia="Arial" w:hAnsi="Arial"/>
          <w:sz w:val="16"/>
          <w:szCs w:val="16"/>
          <w:b w:val="1"/>
          <w:bCs w:val="1"/>
          <w:color w:val="1414D2"/>
        </w:rPr>
      </w:pPr>
      <w:r>
        <w:rPr>
          <w:rFonts w:ascii="Arial" w:cs="Arial" w:eastAsia="Arial" w:hAnsi="Arial"/>
          <w:sz w:val="16"/>
          <w:szCs w:val="16"/>
          <w:color w:val="auto"/>
        </w:rPr>
        <w:t>Statement</w:t>
      </w:r>
    </w:p>
    <w:p>
      <w:pPr>
        <w:sectPr>
          <w:pgSz w:w="11900" w:h="16838" w:orient="portrait"/>
          <w:cols w:equalWidth="0" w:num="1">
            <w:col w:w="9720"/>
          </w:cols>
          <w:pgMar w:left="1080" w:top="695" w:right="1099" w:bottom="1440" w:gutter="0" w:footer="0" w:header="0"/>
          <w:type w:val="continuous"/>
        </w:sectPr>
      </w:pPr>
    </w:p>
    <w:bookmarkStart w:id="135" w:name="page136"/>
    <w:bookmarkEnd w:id="135"/>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27" w:lineRule="exact"/>
        <w:rPr>
          <w:sz w:val="20"/>
          <w:szCs w:val="20"/>
          <w:color w:val="auto"/>
        </w:rPr>
      </w:pPr>
    </w:p>
    <w:p>
      <w:pPr>
        <w:jc w:val="right"/>
        <w:spacing w:after="0"/>
        <w:rPr>
          <w:sz w:val="20"/>
          <w:szCs w:val="20"/>
          <w:color w:val="auto"/>
        </w:rPr>
      </w:pPr>
      <w:r>
        <w:rPr>
          <w:rFonts w:ascii="Arial" w:cs="Arial" w:eastAsia="Arial" w:hAnsi="Arial"/>
          <w:sz w:val="14"/>
          <w:szCs w:val="14"/>
          <w:color w:val="6D6F71"/>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 IN CONTROL”</w:t>
      </w:r>
    </w:p>
    <w:p>
      <w:pPr>
        <w:spacing w:after="0" w:line="100" w:lineRule="exact"/>
        <w:rPr>
          <w:sz w:val="20"/>
          <w:szCs w:val="20"/>
          <w:color w:val="auto"/>
        </w:rPr>
      </w:pPr>
    </w:p>
    <w:p>
      <w:pPr>
        <w:ind w:right="60"/>
        <w:spacing w:after="0" w:line="255" w:lineRule="auto"/>
        <w:rPr>
          <w:sz w:val="20"/>
          <w:szCs w:val="20"/>
          <w:color w:val="auto"/>
        </w:rPr>
      </w:pPr>
      <w:r>
        <w:rPr>
          <w:rFonts w:ascii="Arial" w:cs="Arial" w:eastAsia="Arial" w:hAnsi="Arial"/>
          <w:sz w:val="16"/>
          <w:szCs w:val="16"/>
          <w:color w:val="auto"/>
        </w:rPr>
        <w:t>If a “change in control” of the Company had occurred on December 31, 2025, no payments or benefts would have been provided to the named executive ofcers unless there was also a qualifying termination of employment on or within a specifed</w:t>
      </w:r>
    </w:p>
    <w:p>
      <w:pPr>
        <w:spacing w:after="0" w:line="1" w:lineRule="exact"/>
        <w:rPr>
          <w:sz w:val="20"/>
          <w:szCs w:val="20"/>
          <w:color w:val="auto"/>
        </w:rPr>
      </w:pPr>
    </w:p>
    <w:p>
      <w:pPr>
        <w:ind w:right="280"/>
        <w:spacing w:after="0" w:line="313" w:lineRule="auto"/>
        <w:rPr>
          <w:sz w:val="20"/>
          <w:szCs w:val="20"/>
          <w:color w:val="auto"/>
        </w:rPr>
      </w:pPr>
      <w:r>
        <w:rPr>
          <w:rFonts w:ascii="Arial" w:cs="Arial" w:eastAsia="Arial" w:hAnsi="Arial"/>
          <w:sz w:val="16"/>
          <w:szCs w:val="16"/>
          <w:color w:val="auto"/>
        </w:rPr>
        <w:t>period following a change in control, as noted below. A “qualifying termination” includes an involuntary termination without “cause” and voluntary termination for “good reason.”</w:t>
      </w:r>
    </w:p>
    <w:p>
      <w:pPr>
        <w:spacing w:after="0" w:line="6" w:lineRule="exact"/>
        <w:rPr>
          <w:sz w:val="20"/>
          <w:szCs w:val="20"/>
          <w:color w:val="auto"/>
        </w:rPr>
      </w:pPr>
    </w:p>
    <w:p>
      <w:pPr>
        <w:ind w:left="320" w:right="160" w:hanging="316"/>
        <w:spacing w:after="0" w:line="312" w:lineRule="auto"/>
        <w:tabs>
          <w:tab w:leader="none" w:pos="320" w:val="left"/>
        </w:tabs>
        <w:numPr>
          <w:ilvl w:val="0"/>
          <w:numId w:val="151"/>
        </w:numPr>
        <w:rPr>
          <w:rFonts w:ascii="Times New Roman" w:cs="Times New Roman" w:eastAsia="Times New Roman" w:hAnsi="Times New Roman"/>
          <w:sz w:val="16"/>
          <w:szCs w:val="16"/>
          <w:color w:val="auto"/>
        </w:rPr>
      </w:pPr>
      <w:r>
        <w:rPr>
          <w:rFonts w:ascii="Arial" w:cs="Arial" w:eastAsia="Arial" w:hAnsi="Arial"/>
          <w:sz w:val="16"/>
          <w:szCs w:val="16"/>
          <w:b w:val="1"/>
          <w:bCs w:val="1"/>
          <w:i w:val="1"/>
          <w:iCs w:val="1"/>
          <w:color w:val="auto"/>
        </w:rPr>
        <w:t>Cash Severance.</w:t>
      </w:r>
      <w:r>
        <w:rPr>
          <w:rFonts w:ascii="Arial" w:cs="Arial" w:eastAsia="Arial" w:hAnsi="Arial"/>
          <w:sz w:val="16"/>
          <w:szCs w:val="16"/>
          <w:color w:val="auto"/>
        </w:rPr>
        <w:t> The named executive ofcers would receive the same cash severance payment as described above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respect to a qualifying termination occurring not in connection with a change in control.</w:t>
      </w:r>
    </w:p>
    <w:p>
      <w:pPr>
        <w:spacing w:after="0" w:line="20" w:lineRule="exact"/>
        <w:rPr>
          <w:rFonts w:ascii="Times New Roman" w:cs="Times New Roman" w:eastAsia="Times New Roman" w:hAnsi="Times New Roman"/>
          <w:sz w:val="16"/>
          <w:szCs w:val="16"/>
          <w:color w:val="auto"/>
        </w:rPr>
      </w:pPr>
    </w:p>
    <w:p>
      <w:pPr>
        <w:ind w:left="320" w:right="420" w:hanging="316"/>
        <w:spacing w:after="0" w:line="312" w:lineRule="auto"/>
        <w:tabs>
          <w:tab w:leader="none" w:pos="320" w:val="left"/>
        </w:tabs>
        <w:numPr>
          <w:ilvl w:val="0"/>
          <w:numId w:val="151"/>
        </w:numPr>
        <w:rPr>
          <w:rFonts w:ascii="Times New Roman" w:cs="Times New Roman" w:eastAsia="Times New Roman" w:hAnsi="Times New Roman"/>
          <w:sz w:val="16"/>
          <w:szCs w:val="16"/>
          <w:color w:val="auto"/>
        </w:rPr>
      </w:pPr>
      <w:r>
        <w:rPr>
          <w:rFonts w:ascii="Arial" w:cs="Arial" w:eastAsia="Arial" w:hAnsi="Arial"/>
          <w:sz w:val="16"/>
          <w:szCs w:val="16"/>
          <w:b w:val="1"/>
          <w:bCs w:val="1"/>
          <w:i w:val="1"/>
          <w:iCs w:val="1"/>
          <w:color w:val="auto"/>
        </w:rPr>
        <w:t>Time-vested RSUs.</w:t>
      </w:r>
      <w:r>
        <w:rPr>
          <w:rFonts w:ascii="Arial" w:cs="Arial" w:eastAsia="Arial" w:hAnsi="Arial"/>
          <w:sz w:val="16"/>
          <w:szCs w:val="16"/>
          <w:color w:val="auto"/>
        </w:rPr>
        <w:t> Each of the named executive ofcers’ outstanding time-vested RSU awards would vest in full if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named executive ofcer experiences a qualifying termination within two years following the change in control.</w:t>
      </w:r>
    </w:p>
    <w:p>
      <w:pPr>
        <w:spacing w:after="0" w:line="20" w:lineRule="exact"/>
        <w:rPr>
          <w:rFonts w:ascii="Times New Roman" w:cs="Times New Roman" w:eastAsia="Times New Roman" w:hAnsi="Times New Roman"/>
          <w:sz w:val="16"/>
          <w:szCs w:val="16"/>
          <w:color w:val="auto"/>
        </w:rPr>
      </w:pPr>
    </w:p>
    <w:p>
      <w:pPr>
        <w:ind w:left="320" w:right="60" w:hanging="316"/>
        <w:spacing w:after="0" w:line="274" w:lineRule="auto"/>
        <w:tabs>
          <w:tab w:leader="none" w:pos="320" w:val="left"/>
        </w:tabs>
        <w:numPr>
          <w:ilvl w:val="0"/>
          <w:numId w:val="151"/>
        </w:numPr>
        <w:rPr>
          <w:rFonts w:ascii="Times New Roman" w:cs="Times New Roman" w:eastAsia="Times New Roman" w:hAnsi="Times New Roman"/>
          <w:sz w:val="16"/>
          <w:szCs w:val="16"/>
          <w:color w:val="auto"/>
        </w:rPr>
      </w:pPr>
      <w:r>
        <w:rPr>
          <w:rFonts w:ascii="Arial" w:cs="Arial" w:eastAsia="Arial" w:hAnsi="Arial"/>
          <w:sz w:val="16"/>
          <w:szCs w:val="16"/>
          <w:b w:val="1"/>
          <w:bCs w:val="1"/>
          <w:i w:val="1"/>
          <w:iCs w:val="1"/>
          <w:color w:val="auto"/>
        </w:rPr>
        <w:t>Performance-Based RSUs.</w:t>
      </w:r>
      <w:r>
        <w:rPr>
          <w:rFonts w:ascii="Arial" w:cs="Arial" w:eastAsia="Arial" w:hAnsi="Arial"/>
          <w:sz w:val="16"/>
          <w:szCs w:val="16"/>
          <w:color w:val="auto"/>
        </w:rPr>
        <w:t>  Upon a change in control, the performance measures under the Performance-Based RSU</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awards would be deemed satisfed at the target level (for the 2024 Retention LTI Awards, this treatment applies to all current or not yet commenced performance periods), but payment requires continued employment through the end of the performance period or, if earlier, the named executive ofcer’s qualifying termination.</w:t>
      </w:r>
    </w:p>
    <w:p>
      <w:pPr>
        <w:spacing w:after="0" w:line="36" w:lineRule="exact"/>
        <w:rPr>
          <w:rFonts w:ascii="Times New Roman" w:cs="Times New Roman" w:eastAsia="Times New Roman" w:hAnsi="Times New Roman"/>
          <w:sz w:val="16"/>
          <w:szCs w:val="16"/>
          <w:color w:val="auto"/>
        </w:rPr>
      </w:pPr>
    </w:p>
    <w:p>
      <w:pPr>
        <w:ind w:left="320" w:right="140" w:hanging="316"/>
        <w:spacing w:after="0" w:line="312" w:lineRule="auto"/>
        <w:tabs>
          <w:tab w:leader="none" w:pos="320" w:val="left"/>
        </w:tabs>
        <w:numPr>
          <w:ilvl w:val="0"/>
          <w:numId w:val="151"/>
        </w:numPr>
        <w:rPr>
          <w:rFonts w:ascii="Times New Roman" w:cs="Times New Roman" w:eastAsia="Times New Roman" w:hAnsi="Times New Roman"/>
          <w:sz w:val="16"/>
          <w:szCs w:val="16"/>
          <w:color w:val="auto"/>
        </w:rPr>
      </w:pPr>
      <w:r>
        <w:rPr>
          <w:rFonts w:ascii="Arial" w:cs="Arial" w:eastAsia="Arial" w:hAnsi="Arial"/>
          <w:sz w:val="16"/>
          <w:szCs w:val="16"/>
          <w:b w:val="1"/>
          <w:bCs w:val="1"/>
          <w:i w:val="1"/>
          <w:iCs w:val="1"/>
          <w:color w:val="auto"/>
        </w:rPr>
        <w:t xml:space="preserve">Stock Options. </w:t>
      </w:r>
      <w:r>
        <w:rPr>
          <w:rFonts w:ascii="Arial" w:cs="Arial" w:eastAsia="Arial" w:hAnsi="Arial"/>
          <w:sz w:val="16"/>
          <w:szCs w:val="16"/>
          <w:color w:val="auto"/>
        </w:rPr>
        <w:t>Mr. Kirby’s outstanding unvested stock options would vest in full if he experiences a qualifying termination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within two years following a change in control.</w:t>
      </w:r>
    </w:p>
    <w:p>
      <w:pPr>
        <w:spacing w:after="0" w:line="20" w:lineRule="exact"/>
        <w:rPr>
          <w:rFonts w:ascii="Times New Roman" w:cs="Times New Roman" w:eastAsia="Times New Roman" w:hAnsi="Times New Roman"/>
          <w:sz w:val="16"/>
          <w:szCs w:val="16"/>
          <w:color w:val="auto"/>
        </w:rPr>
      </w:pPr>
    </w:p>
    <w:p>
      <w:pPr>
        <w:ind w:left="320" w:right="160" w:hanging="316"/>
        <w:spacing w:after="0" w:line="312" w:lineRule="auto"/>
        <w:tabs>
          <w:tab w:leader="none" w:pos="320" w:val="left"/>
        </w:tabs>
        <w:numPr>
          <w:ilvl w:val="0"/>
          <w:numId w:val="151"/>
        </w:numPr>
        <w:rPr>
          <w:rFonts w:ascii="Times New Roman" w:cs="Times New Roman" w:eastAsia="Times New Roman" w:hAnsi="Times New Roman"/>
          <w:sz w:val="16"/>
          <w:szCs w:val="16"/>
          <w:color w:val="auto"/>
        </w:rPr>
      </w:pPr>
      <w:r>
        <w:rPr>
          <w:rFonts w:ascii="Arial" w:cs="Arial" w:eastAsia="Arial" w:hAnsi="Arial"/>
          <w:sz w:val="16"/>
          <w:szCs w:val="16"/>
          <w:b w:val="1"/>
          <w:bCs w:val="1"/>
          <w:i w:val="1"/>
          <w:iCs w:val="1"/>
          <w:color w:val="auto"/>
        </w:rPr>
        <w:t xml:space="preserve">Continuation Coverage Benefts. </w:t>
      </w:r>
      <w:r>
        <w:rPr>
          <w:rFonts w:ascii="Arial" w:cs="Arial" w:eastAsia="Arial" w:hAnsi="Arial"/>
          <w:sz w:val="16"/>
          <w:szCs w:val="16"/>
          <w:color w:val="auto"/>
        </w:rPr>
        <w:t>The named executive ofcers would receive the same continuation coverage benefts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described above with respect to a qualifying termination occurring not in connection with a change in control.</w:t>
      </w:r>
    </w:p>
    <w:p>
      <w:pPr>
        <w:spacing w:after="0" w:line="20" w:lineRule="exact"/>
        <w:rPr>
          <w:rFonts w:ascii="Times New Roman" w:cs="Times New Roman" w:eastAsia="Times New Roman" w:hAnsi="Times New Roman"/>
          <w:sz w:val="16"/>
          <w:szCs w:val="16"/>
          <w:color w:val="auto"/>
        </w:rPr>
      </w:pPr>
    </w:p>
    <w:p>
      <w:pPr>
        <w:ind w:left="320" w:right="580" w:hanging="316"/>
        <w:spacing w:after="0" w:line="312" w:lineRule="auto"/>
        <w:tabs>
          <w:tab w:leader="none" w:pos="320" w:val="left"/>
        </w:tabs>
        <w:numPr>
          <w:ilvl w:val="0"/>
          <w:numId w:val="151"/>
        </w:numPr>
        <w:rPr>
          <w:rFonts w:ascii="Times New Roman" w:cs="Times New Roman" w:eastAsia="Times New Roman" w:hAnsi="Times New Roman"/>
          <w:sz w:val="16"/>
          <w:szCs w:val="16"/>
          <w:color w:val="auto"/>
        </w:rPr>
      </w:pPr>
      <w:r>
        <w:rPr>
          <w:rFonts w:ascii="Arial" w:cs="Arial" w:eastAsia="Arial" w:hAnsi="Arial"/>
          <w:sz w:val="16"/>
          <w:szCs w:val="16"/>
          <w:b w:val="1"/>
          <w:bCs w:val="1"/>
          <w:i w:val="1"/>
          <w:iCs w:val="1"/>
          <w:color w:val="auto"/>
        </w:rPr>
        <w:t>Outplacement Services.</w:t>
      </w:r>
      <w:r>
        <w:rPr>
          <w:rFonts w:ascii="Arial" w:cs="Arial" w:eastAsia="Arial" w:hAnsi="Arial"/>
          <w:sz w:val="16"/>
          <w:szCs w:val="16"/>
          <w:color w:val="auto"/>
        </w:rPr>
        <w:t> The named executive ofcers would receive the same outplacement consulting services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described above with respect to a qualifying termination occurring not in connection with a change in control.</w:t>
      </w:r>
    </w:p>
    <w:p>
      <w:pPr>
        <w:spacing w:after="0" w:line="20" w:lineRule="exact"/>
        <w:rPr>
          <w:rFonts w:ascii="Times New Roman" w:cs="Times New Roman" w:eastAsia="Times New Roman" w:hAnsi="Times New Roman"/>
          <w:sz w:val="16"/>
          <w:szCs w:val="16"/>
          <w:color w:val="auto"/>
        </w:rPr>
      </w:pPr>
    </w:p>
    <w:p>
      <w:pPr>
        <w:ind w:left="320" w:right="60" w:hanging="316"/>
        <w:spacing w:after="0" w:line="312" w:lineRule="auto"/>
        <w:tabs>
          <w:tab w:leader="none" w:pos="320" w:val="left"/>
        </w:tabs>
        <w:numPr>
          <w:ilvl w:val="0"/>
          <w:numId w:val="151"/>
        </w:numPr>
        <w:rPr>
          <w:rFonts w:ascii="Times New Roman" w:cs="Times New Roman" w:eastAsia="Times New Roman" w:hAnsi="Times New Roman"/>
          <w:sz w:val="16"/>
          <w:szCs w:val="16"/>
          <w:color w:val="auto"/>
        </w:rPr>
      </w:pPr>
      <w:r>
        <w:rPr>
          <w:rFonts w:ascii="Arial" w:cs="Arial" w:eastAsia="Arial" w:hAnsi="Arial"/>
          <w:sz w:val="16"/>
          <w:szCs w:val="16"/>
          <w:b w:val="1"/>
          <w:bCs w:val="1"/>
          <w:i w:val="1"/>
          <w:iCs w:val="1"/>
          <w:color w:val="auto"/>
        </w:rPr>
        <w:t>Flight Benefts.</w:t>
      </w:r>
      <w:r>
        <w:rPr>
          <w:rFonts w:ascii="Arial" w:cs="Arial" w:eastAsia="Arial" w:hAnsi="Arial"/>
          <w:sz w:val="16"/>
          <w:szCs w:val="16"/>
          <w:color w:val="auto"/>
        </w:rPr>
        <w:t>  The named executive ofcers would receive the same fight benefts as described above with respect to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qualifying termination occurring not in connection with a change in control.</w:t>
      </w:r>
    </w:p>
    <w:p>
      <w:pPr>
        <w:spacing w:after="0" w:line="20" w:lineRule="exact"/>
        <w:rPr>
          <w:sz w:val="20"/>
          <w:szCs w:val="20"/>
          <w:color w:val="auto"/>
        </w:rPr>
      </w:pPr>
    </w:p>
    <w:p>
      <w:pPr>
        <w:ind w:right="80"/>
        <w:spacing w:after="0" w:line="255" w:lineRule="auto"/>
        <w:rPr>
          <w:sz w:val="20"/>
          <w:szCs w:val="20"/>
          <w:color w:val="auto"/>
        </w:rPr>
      </w:pPr>
      <w:r>
        <w:rPr>
          <w:rFonts w:ascii="Arial" w:cs="Arial" w:eastAsia="Arial" w:hAnsi="Arial"/>
          <w:sz w:val="16"/>
          <w:szCs w:val="16"/>
          <w:color w:val="auto"/>
        </w:rPr>
        <w:t>None of our named executive ofcers will be entitled to indemnifcation with respect to excise taxes under Section 4999 of the Code for a change in control. Instead, under the Executive Severance Plan payments that would be subject to the excise tax will</w:t>
      </w:r>
    </w:p>
    <w:p>
      <w:pPr>
        <w:spacing w:after="0" w:line="1" w:lineRule="exact"/>
        <w:rPr>
          <w:sz w:val="20"/>
          <w:szCs w:val="20"/>
          <w:color w:val="auto"/>
        </w:rPr>
      </w:pPr>
    </w:p>
    <w:p>
      <w:pPr>
        <w:spacing w:after="0" w:line="313" w:lineRule="auto"/>
        <w:rPr>
          <w:sz w:val="20"/>
          <w:szCs w:val="20"/>
          <w:color w:val="auto"/>
        </w:rPr>
      </w:pPr>
      <w:r>
        <w:rPr>
          <w:rFonts w:ascii="Arial" w:cs="Arial" w:eastAsia="Arial" w:hAnsi="Arial"/>
          <w:sz w:val="16"/>
          <w:szCs w:val="16"/>
          <w:color w:val="auto"/>
        </w:rPr>
        <w:t>be reduced to the level at which the excise tax will not be applied unless the executive would be in a better net after-tax position by receiving the full payments and paying the excise tax.</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RESTRICTIVE COVENANTS AND RELEASE REQUIREMENT</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Our  equity  incentive  awards  include  restrictive  covenants  related  to  non-solicitation,  non-competition  and  no-hire  provisions  for</w:t>
      </w:r>
    </w:p>
    <w:p>
      <w:pPr>
        <w:spacing w:after="0" w:line="19" w:lineRule="exact"/>
        <w:rPr>
          <w:sz w:val="20"/>
          <w:szCs w:val="20"/>
          <w:color w:val="auto"/>
        </w:rPr>
      </w:pPr>
    </w:p>
    <w:p>
      <w:pPr>
        <w:ind w:right="140"/>
        <w:spacing w:after="0" w:line="250" w:lineRule="auto"/>
        <w:rPr>
          <w:sz w:val="20"/>
          <w:szCs w:val="20"/>
          <w:color w:val="auto"/>
        </w:rPr>
      </w:pPr>
      <w:r>
        <w:rPr>
          <w:rFonts w:ascii="Arial" w:cs="Arial" w:eastAsia="Arial" w:hAnsi="Arial"/>
          <w:sz w:val="16"/>
          <w:szCs w:val="16"/>
          <w:color w:val="auto"/>
        </w:rPr>
        <w:t>a period of one year following termination of employment. The non-competition covenant does not apply upon an involuntary termination by the Company without “cause” or by the named executive ofcer for “good reason.” Similar restrictive covenants apply under the terms of the stock option award granted to Mr. Kirby in 2019 and pursuant to surviving obligations under the prior employment agreements between the Company and Messrs. Hart and Enqvist. In addition, each of the named executive</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ofcers  is  bound  by  an  obligation  of  confdentiality  and  non-disparagement  for  an  indefnite  duration.</w:t>
      </w:r>
    </w:p>
    <w:p>
      <w:pPr>
        <w:spacing w:after="0" w:line="113" w:lineRule="exact"/>
        <w:rPr>
          <w:sz w:val="20"/>
          <w:szCs w:val="20"/>
          <w:color w:val="auto"/>
        </w:rPr>
      </w:pPr>
    </w:p>
    <w:p>
      <w:pPr>
        <w:spacing w:after="0" w:line="313" w:lineRule="auto"/>
        <w:rPr>
          <w:sz w:val="20"/>
          <w:szCs w:val="20"/>
          <w:color w:val="auto"/>
        </w:rPr>
      </w:pPr>
      <w:r>
        <w:rPr>
          <w:rFonts w:ascii="Arial" w:cs="Arial" w:eastAsia="Arial" w:hAnsi="Arial"/>
          <w:sz w:val="16"/>
          <w:szCs w:val="16"/>
          <w:color w:val="auto"/>
        </w:rPr>
        <w:t>The Company’s Executive Severance Plan contains a requirement to execute a release of claims in favor of the Company to receive the separation benefts provided under the plan as described above, which includes any post-termination fight benefts.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2026  Proxy  Statement</w:t>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1414D2"/>
        </w:rPr>
        <w:t>125</w:t>
      </w:r>
    </w:p>
    <w:p>
      <w:pPr>
        <w:sectPr>
          <w:pgSz w:w="11900" w:h="16838" w:orient="portrait"/>
          <w:cols w:equalWidth="0" w:num="1">
            <w:col w:w="9720"/>
          </w:cols>
          <w:pgMar w:left="1080" w:top="695" w:right="1099" w:bottom="1440" w:gutter="0" w:footer="0" w:header="0"/>
        </w:sectPr>
      </w:pPr>
    </w:p>
    <w:bookmarkStart w:id="136" w:name="page137"/>
    <w:bookmarkEnd w:id="136"/>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6D6F71"/>
        </w:rPr>
        <w:t>Executive  Compensation</w:t>
      </w:r>
    </w:p>
    <w:p>
      <w:pPr>
        <w:spacing w:after="0" w:line="223" w:lineRule="exact"/>
        <w:rPr>
          <w:sz w:val="20"/>
          <w:szCs w:val="20"/>
          <w:color w:val="auto"/>
        </w:rPr>
      </w:pPr>
    </w:p>
    <w:p>
      <w:pPr>
        <w:spacing w:after="0"/>
        <w:rPr>
          <w:sz w:val="20"/>
          <w:szCs w:val="20"/>
          <w:color w:val="auto"/>
        </w:rPr>
      </w:pPr>
      <w:r>
        <w:rPr>
          <w:rFonts w:ascii="Arial" w:cs="Arial" w:eastAsia="Arial" w:hAnsi="Arial"/>
          <w:sz w:val="25"/>
          <w:szCs w:val="25"/>
          <w:b w:val="1"/>
          <w:bCs w:val="1"/>
          <w:color w:val="1414D2"/>
        </w:rPr>
        <w:t>Potential Payments Upon Termination Table</w:t>
      </w:r>
    </w:p>
    <w:p>
      <w:pPr>
        <w:spacing w:after="0" w:line="154" w:lineRule="exact"/>
        <w:rPr>
          <w:sz w:val="20"/>
          <w:szCs w:val="20"/>
          <w:color w:val="auto"/>
        </w:rPr>
      </w:pPr>
    </w:p>
    <w:p>
      <w:pPr>
        <w:ind w:left="2680"/>
        <w:spacing w:after="0"/>
        <w:rPr>
          <w:sz w:val="20"/>
          <w:szCs w:val="20"/>
          <w:color w:val="auto"/>
        </w:rPr>
      </w:pPr>
      <w:r>
        <w:rPr>
          <w:rFonts w:ascii="Arial" w:cs="Arial" w:eastAsia="Arial" w:hAnsi="Arial"/>
          <w:sz w:val="5"/>
          <w:szCs w:val="5"/>
          <w:b w:val="1"/>
          <w:bCs w:val="1"/>
          <w:color w:val="auto"/>
        </w:rPr>
        <w: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360" w:type="dxa"/>
            <w:vAlign w:val="bottom"/>
          </w:tcPr>
          <w:p>
            <w:pPr>
              <w:spacing w:after="0"/>
              <w:rPr>
                <w:sz w:val="15"/>
                <w:szCs w:val="15"/>
                <w:color w:val="auto"/>
              </w:rPr>
            </w:pPr>
          </w:p>
        </w:tc>
        <w:tc>
          <w:tcPr>
            <w:tcW w:w="180" w:type="dxa"/>
            <w:vAlign w:val="bottom"/>
            <w:shd w:val="clear" w:color="auto" w:fill="F2F2F2"/>
          </w:tcPr>
          <w:p>
            <w:pPr>
              <w:spacing w:after="0"/>
              <w:rPr>
                <w:sz w:val="15"/>
                <w:szCs w:val="15"/>
                <w:color w:val="auto"/>
              </w:rPr>
            </w:pPr>
          </w:p>
        </w:tc>
        <w:tc>
          <w:tcPr>
            <w:tcW w:w="2280" w:type="dxa"/>
            <w:vAlign w:val="bottom"/>
            <w:shd w:val="clear" w:color="auto" w:fill="F2F2F2"/>
          </w:tcPr>
          <w:p>
            <w:pPr>
              <w:spacing w:after="0"/>
              <w:rPr>
                <w:sz w:val="15"/>
                <w:szCs w:val="15"/>
                <w:color w:val="auto"/>
              </w:rPr>
            </w:pPr>
          </w:p>
        </w:tc>
        <w:tc>
          <w:tcPr>
            <w:tcW w:w="200" w:type="dxa"/>
            <w:vAlign w:val="bottom"/>
            <w:shd w:val="clear" w:color="auto" w:fill="F2F2F2"/>
          </w:tcPr>
          <w:p>
            <w:pPr>
              <w:spacing w:after="0"/>
              <w:rPr>
                <w:sz w:val="15"/>
                <w:szCs w:val="15"/>
                <w:color w:val="auto"/>
              </w:rPr>
            </w:pPr>
          </w:p>
        </w:tc>
        <w:tc>
          <w:tcPr>
            <w:tcW w:w="1020" w:type="dxa"/>
            <w:vAlign w:val="bottom"/>
            <w:shd w:val="clear" w:color="auto" w:fill="F2F2F2"/>
          </w:tcPr>
          <w:p>
            <w:pPr>
              <w:spacing w:after="0"/>
              <w:rPr>
                <w:sz w:val="15"/>
                <w:szCs w:val="15"/>
                <w:color w:val="auto"/>
              </w:rPr>
            </w:pPr>
          </w:p>
        </w:tc>
        <w:tc>
          <w:tcPr>
            <w:tcW w:w="220" w:type="dxa"/>
            <w:vAlign w:val="bottom"/>
            <w:shd w:val="clear" w:color="auto" w:fill="F2F2F2"/>
          </w:tcPr>
          <w:p>
            <w:pPr>
              <w:spacing w:after="0"/>
              <w:rPr>
                <w:sz w:val="15"/>
                <w:szCs w:val="15"/>
                <w:color w:val="auto"/>
              </w:rPr>
            </w:pPr>
          </w:p>
        </w:tc>
        <w:tc>
          <w:tcPr>
            <w:tcW w:w="980" w:type="dxa"/>
            <w:vAlign w:val="bottom"/>
            <w:shd w:val="clear" w:color="auto" w:fill="F2F2F2"/>
          </w:tcPr>
          <w:p>
            <w:pPr>
              <w:spacing w:after="0"/>
              <w:rPr>
                <w:sz w:val="15"/>
                <w:szCs w:val="15"/>
                <w:color w:val="auto"/>
              </w:rPr>
            </w:pPr>
          </w:p>
        </w:tc>
        <w:tc>
          <w:tcPr>
            <w:tcW w:w="160" w:type="dxa"/>
            <w:vAlign w:val="bottom"/>
            <w:shd w:val="clear" w:color="auto" w:fill="F2F2F2"/>
          </w:tcPr>
          <w:p>
            <w:pPr>
              <w:spacing w:after="0"/>
              <w:rPr>
                <w:sz w:val="15"/>
                <w:szCs w:val="15"/>
                <w:color w:val="auto"/>
              </w:rPr>
            </w:pPr>
          </w:p>
        </w:tc>
        <w:tc>
          <w:tcPr>
            <w:tcW w:w="100" w:type="dxa"/>
            <w:vAlign w:val="bottom"/>
            <w:shd w:val="clear" w:color="auto" w:fill="F2F2F2"/>
          </w:tcPr>
          <w:p>
            <w:pPr>
              <w:spacing w:after="0"/>
              <w:rPr>
                <w:sz w:val="15"/>
                <w:szCs w:val="15"/>
                <w:color w:val="auto"/>
              </w:rPr>
            </w:pPr>
          </w:p>
        </w:tc>
        <w:tc>
          <w:tcPr>
            <w:tcW w:w="900" w:type="dxa"/>
            <w:vAlign w:val="bottom"/>
            <w:shd w:val="clear" w:color="auto" w:fill="F2F2F2"/>
          </w:tcPr>
          <w:p>
            <w:pPr>
              <w:spacing w:after="0"/>
              <w:rPr>
                <w:sz w:val="15"/>
                <w:szCs w:val="15"/>
                <w:color w:val="auto"/>
              </w:rPr>
            </w:pPr>
          </w:p>
        </w:tc>
        <w:tc>
          <w:tcPr>
            <w:tcW w:w="220" w:type="dxa"/>
            <w:vAlign w:val="bottom"/>
            <w:shd w:val="clear" w:color="auto" w:fill="F2F2F2"/>
          </w:tcPr>
          <w:p>
            <w:pPr>
              <w:spacing w:after="0"/>
              <w:rPr>
                <w:sz w:val="15"/>
                <w:szCs w:val="15"/>
                <w:color w:val="auto"/>
              </w:rPr>
            </w:pPr>
          </w:p>
        </w:tc>
        <w:tc>
          <w:tcPr>
            <w:tcW w:w="1080" w:type="dxa"/>
            <w:vAlign w:val="bottom"/>
            <w:shd w:val="clear" w:color="auto" w:fill="F2F2F2"/>
          </w:tcPr>
          <w:p>
            <w:pPr>
              <w:jc w:val="center"/>
              <w:spacing w:after="0"/>
              <w:rPr>
                <w:sz w:val="20"/>
                <w:szCs w:val="20"/>
                <w:color w:val="auto"/>
              </w:rPr>
            </w:pPr>
            <w:r>
              <w:rPr>
                <w:rFonts w:ascii="Arial" w:cs="Arial" w:eastAsia="Arial" w:hAnsi="Arial"/>
                <w:sz w:val="14"/>
                <w:szCs w:val="14"/>
                <w:b w:val="1"/>
                <w:bCs w:val="1"/>
                <w:color w:val="auto"/>
              </w:rPr>
              <w:t>Involuntary</w:t>
            </w:r>
          </w:p>
        </w:tc>
        <w:tc>
          <w:tcPr>
            <w:tcW w:w="200" w:type="dxa"/>
            <w:vAlign w:val="bottom"/>
            <w:shd w:val="clear" w:color="auto" w:fill="F2F2F2"/>
          </w:tcPr>
          <w:p>
            <w:pPr>
              <w:spacing w:after="0"/>
              <w:rPr>
                <w:sz w:val="15"/>
                <w:szCs w:val="15"/>
                <w:color w:val="auto"/>
              </w:rPr>
            </w:pPr>
          </w:p>
        </w:tc>
        <w:tc>
          <w:tcPr>
            <w:tcW w:w="980" w:type="dxa"/>
            <w:vAlign w:val="bottom"/>
            <w:shd w:val="clear" w:color="auto" w:fill="F2F2F2"/>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360" w:type="dxa"/>
            <w:vAlign w:val="bottom"/>
          </w:tcPr>
          <w:p>
            <w:pPr>
              <w:spacing w:after="0"/>
              <w:rPr>
                <w:sz w:val="15"/>
                <w:szCs w:val="15"/>
                <w:color w:val="auto"/>
              </w:rPr>
            </w:pPr>
          </w:p>
        </w:tc>
        <w:tc>
          <w:tcPr>
            <w:tcW w:w="180" w:type="dxa"/>
            <w:vAlign w:val="bottom"/>
            <w:shd w:val="clear" w:color="auto" w:fill="F2F2F2"/>
          </w:tcPr>
          <w:p>
            <w:pPr>
              <w:spacing w:after="0"/>
              <w:rPr>
                <w:sz w:val="15"/>
                <w:szCs w:val="15"/>
                <w:color w:val="auto"/>
              </w:rPr>
            </w:pPr>
          </w:p>
        </w:tc>
        <w:tc>
          <w:tcPr>
            <w:tcW w:w="2280" w:type="dxa"/>
            <w:vAlign w:val="bottom"/>
            <w:shd w:val="clear" w:color="auto" w:fill="F2F2F2"/>
          </w:tcPr>
          <w:p>
            <w:pPr>
              <w:spacing w:after="0"/>
              <w:rPr>
                <w:sz w:val="15"/>
                <w:szCs w:val="15"/>
                <w:color w:val="auto"/>
              </w:rPr>
            </w:pPr>
          </w:p>
        </w:tc>
        <w:tc>
          <w:tcPr>
            <w:tcW w:w="200" w:type="dxa"/>
            <w:vAlign w:val="bottom"/>
            <w:shd w:val="clear" w:color="auto" w:fill="F2F2F2"/>
          </w:tcPr>
          <w:p>
            <w:pPr>
              <w:spacing w:after="0"/>
              <w:rPr>
                <w:sz w:val="15"/>
                <w:szCs w:val="15"/>
                <w:color w:val="auto"/>
              </w:rPr>
            </w:pPr>
          </w:p>
        </w:tc>
        <w:tc>
          <w:tcPr>
            <w:tcW w:w="1020" w:type="dxa"/>
            <w:vAlign w:val="bottom"/>
            <w:shd w:val="clear" w:color="auto" w:fill="F2F2F2"/>
          </w:tcPr>
          <w:p>
            <w:pPr>
              <w:jc w:val="center"/>
              <w:spacing w:after="0"/>
              <w:rPr>
                <w:sz w:val="20"/>
                <w:szCs w:val="20"/>
                <w:color w:val="auto"/>
              </w:rPr>
            </w:pPr>
            <w:r>
              <w:rPr>
                <w:rFonts w:ascii="Arial" w:cs="Arial" w:eastAsia="Arial" w:hAnsi="Arial"/>
                <w:sz w:val="14"/>
                <w:szCs w:val="14"/>
                <w:b w:val="1"/>
                <w:bCs w:val="1"/>
                <w:color w:val="auto"/>
              </w:rPr>
              <w:t>Resignation</w:t>
            </w:r>
          </w:p>
        </w:tc>
        <w:tc>
          <w:tcPr>
            <w:tcW w:w="220" w:type="dxa"/>
            <w:vAlign w:val="bottom"/>
            <w:shd w:val="clear" w:color="auto" w:fill="F2F2F2"/>
          </w:tcPr>
          <w:p>
            <w:pPr>
              <w:spacing w:after="0"/>
              <w:rPr>
                <w:sz w:val="15"/>
                <w:szCs w:val="15"/>
                <w:color w:val="auto"/>
              </w:rPr>
            </w:pPr>
          </w:p>
        </w:tc>
        <w:tc>
          <w:tcPr>
            <w:tcW w:w="980" w:type="dxa"/>
            <w:vAlign w:val="bottom"/>
            <w:shd w:val="clear" w:color="auto" w:fill="F2F2F2"/>
          </w:tcPr>
          <w:p>
            <w:pPr>
              <w:spacing w:after="0"/>
              <w:rPr>
                <w:sz w:val="15"/>
                <w:szCs w:val="15"/>
                <w:color w:val="auto"/>
              </w:rPr>
            </w:pPr>
          </w:p>
        </w:tc>
        <w:tc>
          <w:tcPr>
            <w:tcW w:w="160" w:type="dxa"/>
            <w:vAlign w:val="bottom"/>
            <w:shd w:val="clear" w:color="auto" w:fill="F2F2F2"/>
          </w:tcPr>
          <w:p>
            <w:pPr>
              <w:spacing w:after="0"/>
              <w:rPr>
                <w:sz w:val="15"/>
                <w:szCs w:val="15"/>
                <w:color w:val="auto"/>
              </w:rPr>
            </w:pPr>
          </w:p>
        </w:tc>
        <w:tc>
          <w:tcPr>
            <w:tcW w:w="100" w:type="dxa"/>
            <w:vAlign w:val="bottom"/>
            <w:shd w:val="clear" w:color="auto" w:fill="F2F2F2"/>
          </w:tcPr>
          <w:p>
            <w:pPr>
              <w:spacing w:after="0"/>
              <w:rPr>
                <w:sz w:val="15"/>
                <w:szCs w:val="15"/>
                <w:color w:val="auto"/>
              </w:rPr>
            </w:pPr>
          </w:p>
        </w:tc>
        <w:tc>
          <w:tcPr>
            <w:tcW w:w="900" w:type="dxa"/>
            <w:vAlign w:val="bottom"/>
            <w:shd w:val="clear" w:color="auto" w:fill="F2F2F2"/>
          </w:tcPr>
          <w:p>
            <w:pPr>
              <w:spacing w:after="0"/>
              <w:rPr>
                <w:sz w:val="15"/>
                <w:szCs w:val="15"/>
                <w:color w:val="auto"/>
              </w:rPr>
            </w:pPr>
          </w:p>
        </w:tc>
        <w:tc>
          <w:tcPr>
            <w:tcW w:w="220" w:type="dxa"/>
            <w:vAlign w:val="bottom"/>
            <w:shd w:val="clear" w:color="auto" w:fill="F2F2F2"/>
          </w:tcPr>
          <w:p>
            <w:pPr>
              <w:spacing w:after="0"/>
              <w:rPr>
                <w:sz w:val="15"/>
                <w:szCs w:val="15"/>
                <w:color w:val="auto"/>
              </w:rPr>
            </w:pPr>
          </w:p>
        </w:tc>
        <w:tc>
          <w:tcPr>
            <w:tcW w:w="1080" w:type="dxa"/>
            <w:vAlign w:val="bottom"/>
            <w:shd w:val="clear" w:color="auto" w:fill="F2F2F2"/>
          </w:tcPr>
          <w:p>
            <w:pPr>
              <w:jc w:val="center"/>
              <w:spacing w:after="0"/>
              <w:rPr>
                <w:sz w:val="20"/>
                <w:szCs w:val="20"/>
                <w:color w:val="auto"/>
              </w:rPr>
            </w:pPr>
            <w:r>
              <w:rPr>
                <w:rFonts w:ascii="Arial" w:cs="Arial" w:eastAsia="Arial" w:hAnsi="Arial"/>
                <w:sz w:val="14"/>
                <w:szCs w:val="14"/>
                <w:b w:val="1"/>
                <w:bCs w:val="1"/>
                <w:color w:val="auto"/>
              </w:rPr>
              <w:t>Termination</w:t>
            </w:r>
          </w:p>
        </w:tc>
        <w:tc>
          <w:tcPr>
            <w:tcW w:w="200" w:type="dxa"/>
            <w:vAlign w:val="bottom"/>
            <w:shd w:val="clear" w:color="auto" w:fill="F2F2F2"/>
          </w:tcPr>
          <w:p>
            <w:pPr>
              <w:spacing w:after="0"/>
              <w:rPr>
                <w:sz w:val="15"/>
                <w:szCs w:val="15"/>
                <w:color w:val="auto"/>
              </w:rPr>
            </w:pPr>
          </w:p>
        </w:tc>
        <w:tc>
          <w:tcPr>
            <w:tcW w:w="980" w:type="dxa"/>
            <w:vAlign w:val="bottom"/>
            <w:shd w:val="clear" w:color="auto" w:fill="F2F2F2"/>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360" w:type="dxa"/>
            <w:vAlign w:val="bottom"/>
          </w:tcPr>
          <w:p>
            <w:pPr>
              <w:spacing w:after="0"/>
              <w:rPr>
                <w:sz w:val="15"/>
                <w:szCs w:val="15"/>
                <w:color w:val="auto"/>
              </w:rPr>
            </w:pPr>
          </w:p>
        </w:tc>
        <w:tc>
          <w:tcPr>
            <w:tcW w:w="180" w:type="dxa"/>
            <w:vAlign w:val="bottom"/>
            <w:shd w:val="clear" w:color="auto" w:fill="F2F2F2"/>
          </w:tcPr>
          <w:p>
            <w:pPr>
              <w:spacing w:after="0"/>
              <w:rPr>
                <w:sz w:val="15"/>
                <w:szCs w:val="15"/>
                <w:color w:val="auto"/>
              </w:rPr>
            </w:pPr>
          </w:p>
        </w:tc>
        <w:tc>
          <w:tcPr>
            <w:tcW w:w="2280" w:type="dxa"/>
            <w:vAlign w:val="bottom"/>
            <w:shd w:val="clear" w:color="auto" w:fill="F2F2F2"/>
          </w:tcPr>
          <w:p>
            <w:pPr>
              <w:spacing w:after="0"/>
              <w:rPr>
                <w:sz w:val="15"/>
                <w:szCs w:val="15"/>
                <w:color w:val="auto"/>
              </w:rPr>
            </w:pPr>
          </w:p>
        </w:tc>
        <w:tc>
          <w:tcPr>
            <w:tcW w:w="200" w:type="dxa"/>
            <w:vAlign w:val="bottom"/>
            <w:shd w:val="clear" w:color="auto" w:fill="F2F2F2"/>
          </w:tcPr>
          <w:p>
            <w:pPr>
              <w:spacing w:after="0"/>
              <w:rPr>
                <w:sz w:val="15"/>
                <w:szCs w:val="15"/>
                <w:color w:val="auto"/>
              </w:rPr>
            </w:pPr>
          </w:p>
        </w:tc>
        <w:tc>
          <w:tcPr>
            <w:tcW w:w="1020" w:type="dxa"/>
            <w:vAlign w:val="bottom"/>
            <w:shd w:val="clear" w:color="auto" w:fill="F2F2F2"/>
          </w:tcPr>
          <w:p>
            <w:pPr>
              <w:jc w:val="center"/>
              <w:spacing w:after="0"/>
              <w:rPr>
                <w:sz w:val="20"/>
                <w:szCs w:val="20"/>
                <w:color w:val="auto"/>
              </w:rPr>
            </w:pPr>
            <w:r>
              <w:rPr>
                <w:rFonts w:ascii="Arial" w:cs="Arial" w:eastAsia="Arial" w:hAnsi="Arial"/>
                <w:sz w:val="14"/>
                <w:szCs w:val="14"/>
                <w:b w:val="1"/>
                <w:bCs w:val="1"/>
                <w:color w:val="auto"/>
              </w:rPr>
              <w:t>without Good</w:t>
            </w:r>
          </w:p>
        </w:tc>
        <w:tc>
          <w:tcPr>
            <w:tcW w:w="220" w:type="dxa"/>
            <w:vAlign w:val="bottom"/>
            <w:shd w:val="clear" w:color="auto" w:fill="F2F2F2"/>
          </w:tcPr>
          <w:p>
            <w:pPr>
              <w:spacing w:after="0"/>
              <w:rPr>
                <w:sz w:val="15"/>
                <w:szCs w:val="15"/>
                <w:color w:val="auto"/>
              </w:rPr>
            </w:pPr>
          </w:p>
        </w:tc>
        <w:tc>
          <w:tcPr>
            <w:tcW w:w="980" w:type="dxa"/>
            <w:vAlign w:val="bottom"/>
            <w:shd w:val="clear" w:color="auto" w:fill="F2F2F2"/>
          </w:tcPr>
          <w:p>
            <w:pPr>
              <w:spacing w:after="0"/>
              <w:rPr>
                <w:sz w:val="15"/>
                <w:szCs w:val="15"/>
                <w:color w:val="auto"/>
              </w:rPr>
            </w:pPr>
          </w:p>
        </w:tc>
        <w:tc>
          <w:tcPr>
            <w:tcW w:w="160" w:type="dxa"/>
            <w:vAlign w:val="bottom"/>
            <w:shd w:val="clear" w:color="auto" w:fill="F2F2F2"/>
          </w:tcPr>
          <w:p>
            <w:pPr>
              <w:spacing w:after="0"/>
              <w:rPr>
                <w:sz w:val="15"/>
                <w:szCs w:val="15"/>
                <w:color w:val="auto"/>
              </w:rPr>
            </w:pPr>
          </w:p>
        </w:tc>
        <w:tc>
          <w:tcPr>
            <w:tcW w:w="100" w:type="dxa"/>
            <w:vAlign w:val="bottom"/>
            <w:shd w:val="clear" w:color="auto" w:fill="F2F2F2"/>
          </w:tcPr>
          <w:p>
            <w:pPr>
              <w:spacing w:after="0"/>
              <w:rPr>
                <w:sz w:val="15"/>
                <w:szCs w:val="15"/>
                <w:color w:val="auto"/>
              </w:rPr>
            </w:pPr>
          </w:p>
        </w:tc>
        <w:tc>
          <w:tcPr>
            <w:tcW w:w="900" w:type="dxa"/>
            <w:vAlign w:val="bottom"/>
            <w:shd w:val="clear" w:color="auto" w:fill="F2F2F2"/>
          </w:tcPr>
          <w:p>
            <w:pPr>
              <w:spacing w:after="0"/>
              <w:rPr>
                <w:sz w:val="15"/>
                <w:szCs w:val="15"/>
                <w:color w:val="auto"/>
              </w:rPr>
            </w:pPr>
          </w:p>
        </w:tc>
        <w:tc>
          <w:tcPr>
            <w:tcW w:w="220" w:type="dxa"/>
            <w:vAlign w:val="bottom"/>
            <w:shd w:val="clear" w:color="auto" w:fill="F2F2F2"/>
          </w:tcPr>
          <w:p>
            <w:pPr>
              <w:spacing w:after="0"/>
              <w:rPr>
                <w:sz w:val="15"/>
                <w:szCs w:val="15"/>
                <w:color w:val="auto"/>
              </w:rPr>
            </w:pPr>
          </w:p>
        </w:tc>
        <w:tc>
          <w:tcPr>
            <w:tcW w:w="1080" w:type="dxa"/>
            <w:vAlign w:val="bottom"/>
            <w:shd w:val="clear" w:color="auto" w:fill="F2F2F2"/>
          </w:tcPr>
          <w:p>
            <w:pPr>
              <w:jc w:val="center"/>
              <w:spacing w:after="0"/>
              <w:rPr>
                <w:sz w:val="20"/>
                <w:szCs w:val="20"/>
                <w:color w:val="auto"/>
              </w:rPr>
            </w:pPr>
            <w:r>
              <w:rPr>
                <w:rFonts w:ascii="Arial" w:cs="Arial" w:eastAsia="Arial" w:hAnsi="Arial"/>
                <w:sz w:val="14"/>
                <w:szCs w:val="14"/>
                <w:b w:val="1"/>
                <w:bCs w:val="1"/>
                <w:color w:val="auto"/>
              </w:rPr>
              <w:t>without Cause</w:t>
            </w:r>
          </w:p>
        </w:tc>
        <w:tc>
          <w:tcPr>
            <w:tcW w:w="200" w:type="dxa"/>
            <w:vAlign w:val="bottom"/>
            <w:shd w:val="clear" w:color="auto" w:fill="F2F2F2"/>
          </w:tcPr>
          <w:p>
            <w:pPr>
              <w:spacing w:after="0"/>
              <w:rPr>
                <w:sz w:val="15"/>
                <w:szCs w:val="15"/>
                <w:color w:val="auto"/>
              </w:rPr>
            </w:pPr>
          </w:p>
        </w:tc>
        <w:tc>
          <w:tcPr>
            <w:tcW w:w="980" w:type="dxa"/>
            <w:vAlign w:val="bottom"/>
            <w:shd w:val="clear" w:color="auto" w:fill="F2F2F2"/>
          </w:tcPr>
          <w:p>
            <w:pPr>
              <w:jc w:val="center"/>
              <w:spacing w:after="0"/>
              <w:rPr>
                <w:sz w:val="20"/>
                <w:szCs w:val="20"/>
                <w:color w:val="auto"/>
              </w:rPr>
            </w:pPr>
            <w:r>
              <w:rPr>
                <w:rFonts w:ascii="Arial" w:cs="Arial" w:eastAsia="Arial" w:hAnsi="Arial"/>
                <w:sz w:val="14"/>
                <w:szCs w:val="14"/>
                <w:b w:val="1"/>
                <w:bCs w:val="1"/>
                <w:color w:val="auto"/>
              </w:rPr>
              <w:t>Change in</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360" w:type="dxa"/>
            <w:vAlign w:val="bottom"/>
          </w:tcPr>
          <w:p>
            <w:pPr>
              <w:spacing w:after="0"/>
              <w:rPr>
                <w:sz w:val="15"/>
                <w:szCs w:val="15"/>
                <w:color w:val="auto"/>
              </w:rPr>
            </w:pPr>
          </w:p>
        </w:tc>
        <w:tc>
          <w:tcPr>
            <w:tcW w:w="180" w:type="dxa"/>
            <w:vAlign w:val="bottom"/>
            <w:shd w:val="clear" w:color="auto" w:fill="F2F2F2"/>
          </w:tcPr>
          <w:p>
            <w:pPr>
              <w:spacing w:after="0"/>
              <w:rPr>
                <w:sz w:val="15"/>
                <w:szCs w:val="15"/>
                <w:color w:val="auto"/>
              </w:rPr>
            </w:pPr>
          </w:p>
        </w:tc>
        <w:tc>
          <w:tcPr>
            <w:tcW w:w="2280" w:type="dxa"/>
            <w:vAlign w:val="bottom"/>
            <w:shd w:val="clear" w:color="auto" w:fill="F2F2F2"/>
          </w:tcPr>
          <w:p>
            <w:pPr>
              <w:spacing w:after="0"/>
              <w:rPr>
                <w:sz w:val="15"/>
                <w:szCs w:val="15"/>
                <w:color w:val="auto"/>
              </w:rPr>
            </w:pPr>
          </w:p>
        </w:tc>
        <w:tc>
          <w:tcPr>
            <w:tcW w:w="200" w:type="dxa"/>
            <w:vAlign w:val="bottom"/>
            <w:shd w:val="clear" w:color="auto" w:fill="F2F2F2"/>
          </w:tcPr>
          <w:p>
            <w:pPr>
              <w:spacing w:after="0"/>
              <w:rPr>
                <w:sz w:val="15"/>
                <w:szCs w:val="15"/>
                <w:color w:val="auto"/>
              </w:rPr>
            </w:pPr>
          </w:p>
        </w:tc>
        <w:tc>
          <w:tcPr>
            <w:tcW w:w="1020" w:type="dxa"/>
            <w:vAlign w:val="bottom"/>
            <w:shd w:val="clear" w:color="auto" w:fill="F2F2F2"/>
          </w:tcPr>
          <w:p>
            <w:pPr>
              <w:jc w:val="center"/>
              <w:spacing w:after="0"/>
              <w:rPr>
                <w:sz w:val="20"/>
                <w:szCs w:val="20"/>
                <w:color w:val="auto"/>
              </w:rPr>
            </w:pPr>
            <w:r>
              <w:rPr>
                <w:rFonts w:ascii="Arial" w:cs="Arial" w:eastAsia="Arial" w:hAnsi="Arial"/>
                <w:sz w:val="14"/>
                <w:szCs w:val="14"/>
                <w:b w:val="1"/>
                <w:bCs w:val="1"/>
                <w:color w:val="auto"/>
              </w:rPr>
              <w:t>Reason or</w:t>
            </w:r>
          </w:p>
        </w:tc>
        <w:tc>
          <w:tcPr>
            <w:tcW w:w="220" w:type="dxa"/>
            <w:vAlign w:val="bottom"/>
            <w:shd w:val="clear" w:color="auto" w:fill="F2F2F2"/>
          </w:tcPr>
          <w:p>
            <w:pPr>
              <w:spacing w:after="0"/>
              <w:rPr>
                <w:sz w:val="15"/>
                <w:szCs w:val="15"/>
                <w:color w:val="auto"/>
              </w:rPr>
            </w:pPr>
          </w:p>
        </w:tc>
        <w:tc>
          <w:tcPr>
            <w:tcW w:w="980" w:type="dxa"/>
            <w:vAlign w:val="bottom"/>
            <w:shd w:val="clear" w:color="auto" w:fill="F2F2F2"/>
          </w:tcPr>
          <w:p>
            <w:pPr>
              <w:spacing w:after="0"/>
              <w:rPr>
                <w:sz w:val="15"/>
                <w:szCs w:val="15"/>
                <w:color w:val="auto"/>
              </w:rPr>
            </w:pPr>
          </w:p>
        </w:tc>
        <w:tc>
          <w:tcPr>
            <w:tcW w:w="160" w:type="dxa"/>
            <w:vAlign w:val="bottom"/>
            <w:shd w:val="clear" w:color="auto" w:fill="F2F2F2"/>
          </w:tcPr>
          <w:p>
            <w:pPr>
              <w:spacing w:after="0"/>
              <w:rPr>
                <w:sz w:val="15"/>
                <w:szCs w:val="15"/>
                <w:color w:val="auto"/>
              </w:rPr>
            </w:pPr>
          </w:p>
        </w:tc>
        <w:tc>
          <w:tcPr>
            <w:tcW w:w="100" w:type="dxa"/>
            <w:vAlign w:val="bottom"/>
            <w:shd w:val="clear" w:color="auto" w:fill="F2F2F2"/>
          </w:tcPr>
          <w:p>
            <w:pPr>
              <w:spacing w:after="0"/>
              <w:rPr>
                <w:sz w:val="15"/>
                <w:szCs w:val="15"/>
                <w:color w:val="auto"/>
              </w:rPr>
            </w:pPr>
          </w:p>
        </w:tc>
        <w:tc>
          <w:tcPr>
            <w:tcW w:w="900" w:type="dxa"/>
            <w:vAlign w:val="bottom"/>
            <w:shd w:val="clear" w:color="auto" w:fill="F2F2F2"/>
          </w:tcPr>
          <w:p>
            <w:pPr>
              <w:spacing w:after="0"/>
              <w:rPr>
                <w:sz w:val="15"/>
                <w:szCs w:val="15"/>
                <w:color w:val="auto"/>
              </w:rPr>
            </w:pPr>
          </w:p>
        </w:tc>
        <w:tc>
          <w:tcPr>
            <w:tcW w:w="220" w:type="dxa"/>
            <w:vAlign w:val="bottom"/>
            <w:shd w:val="clear" w:color="auto" w:fill="F2F2F2"/>
          </w:tcPr>
          <w:p>
            <w:pPr>
              <w:spacing w:after="0"/>
              <w:rPr>
                <w:sz w:val="15"/>
                <w:szCs w:val="15"/>
                <w:color w:val="auto"/>
              </w:rPr>
            </w:pPr>
          </w:p>
        </w:tc>
        <w:tc>
          <w:tcPr>
            <w:tcW w:w="1080" w:type="dxa"/>
            <w:vAlign w:val="bottom"/>
            <w:shd w:val="clear" w:color="auto" w:fill="F2F2F2"/>
          </w:tcPr>
          <w:p>
            <w:pPr>
              <w:jc w:val="center"/>
              <w:spacing w:after="0"/>
              <w:rPr>
                <w:sz w:val="20"/>
                <w:szCs w:val="20"/>
                <w:color w:val="auto"/>
              </w:rPr>
            </w:pPr>
            <w:r>
              <w:rPr>
                <w:rFonts w:ascii="Arial" w:cs="Arial" w:eastAsia="Arial" w:hAnsi="Arial"/>
                <w:sz w:val="14"/>
                <w:szCs w:val="14"/>
                <w:b w:val="1"/>
                <w:bCs w:val="1"/>
                <w:color w:val="auto"/>
              </w:rPr>
              <w:t>or Voluntary</w:t>
            </w:r>
          </w:p>
        </w:tc>
        <w:tc>
          <w:tcPr>
            <w:tcW w:w="200" w:type="dxa"/>
            <w:vAlign w:val="bottom"/>
            <w:shd w:val="clear" w:color="auto" w:fill="F2F2F2"/>
          </w:tcPr>
          <w:p>
            <w:pPr>
              <w:spacing w:after="0"/>
              <w:rPr>
                <w:sz w:val="15"/>
                <w:szCs w:val="15"/>
                <w:color w:val="auto"/>
              </w:rPr>
            </w:pPr>
          </w:p>
        </w:tc>
        <w:tc>
          <w:tcPr>
            <w:tcW w:w="980" w:type="dxa"/>
            <w:vAlign w:val="bottom"/>
            <w:shd w:val="clear" w:color="auto" w:fill="F2F2F2"/>
          </w:tcPr>
          <w:p>
            <w:pPr>
              <w:jc w:val="center"/>
              <w:spacing w:after="0"/>
              <w:rPr>
                <w:sz w:val="20"/>
                <w:szCs w:val="20"/>
                <w:color w:val="auto"/>
              </w:rPr>
            </w:pPr>
            <w:r>
              <w:rPr>
                <w:rFonts w:ascii="Arial" w:cs="Arial" w:eastAsia="Arial" w:hAnsi="Arial"/>
                <w:sz w:val="14"/>
                <w:szCs w:val="14"/>
                <w:b w:val="1"/>
                <w:bCs w:val="1"/>
                <w:color w:val="auto"/>
              </w:rPr>
              <w:t>Control With</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360" w:type="dxa"/>
            <w:vAlign w:val="bottom"/>
          </w:tcPr>
          <w:p>
            <w:pPr>
              <w:spacing w:after="0"/>
              <w:rPr>
                <w:sz w:val="15"/>
                <w:szCs w:val="15"/>
                <w:color w:val="auto"/>
              </w:rPr>
            </w:pPr>
          </w:p>
        </w:tc>
        <w:tc>
          <w:tcPr>
            <w:tcW w:w="180" w:type="dxa"/>
            <w:vAlign w:val="bottom"/>
            <w:shd w:val="clear" w:color="auto" w:fill="F2F2F2"/>
          </w:tcPr>
          <w:p>
            <w:pPr>
              <w:spacing w:after="0"/>
              <w:rPr>
                <w:sz w:val="15"/>
                <w:szCs w:val="15"/>
                <w:color w:val="auto"/>
              </w:rPr>
            </w:pPr>
          </w:p>
        </w:tc>
        <w:tc>
          <w:tcPr>
            <w:tcW w:w="2280" w:type="dxa"/>
            <w:vAlign w:val="bottom"/>
            <w:shd w:val="clear" w:color="auto" w:fill="F2F2F2"/>
          </w:tcPr>
          <w:p>
            <w:pPr>
              <w:spacing w:after="0"/>
              <w:rPr>
                <w:sz w:val="15"/>
                <w:szCs w:val="15"/>
                <w:color w:val="auto"/>
              </w:rPr>
            </w:pPr>
          </w:p>
        </w:tc>
        <w:tc>
          <w:tcPr>
            <w:tcW w:w="200" w:type="dxa"/>
            <w:vAlign w:val="bottom"/>
            <w:shd w:val="clear" w:color="auto" w:fill="F2F2F2"/>
          </w:tcPr>
          <w:p>
            <w:pPr>
              <w:spacing w:after="0"/>
              <w:rPr>
                <w:sz w:val="15"/>
                <w:szCs w:val="15"/>
                <w:color w:val="auto"/>
              </w:rPr>
            </w:pPr>
          </w:p>
        </w:tc>
        <w:tc>
          <w:tcPr>
            <w:tcW w:w="1020" w:type="dxa"/>
            <w:vAlign w:val="bottom"/>
            <w:shd w:val="clear" w:color="auto" w:fill="F2F2F2"/>
          </w:tcPr>
          <w:p>
            <w:pPr>
              <w:jc w:val="center"/>
              <w:spacing w:after="0"/>
              <w:rPr>
                <w:sz w:val="20"/>
                <w:szCs w:val="20"/>
                <w:color w:val="auto"/>
              </w:rPr>
            </w:pPr>
            <w:r>
              <w:rPr>
                <w:rFonts w:ascii="Arial" w:cs="Arial" w:eastAsia="Arial" w:hAnsi="Arial"/>
                <w:sz w:val="14"/>
                <w:szCs w:val="14"/>
                <w:b w:val="1"/>
                <w:bCs w:val="1"/>
                <w:color w:val="auto"/>
              </w:rPr>
              <w:t>Retirement</w:t>
            </w:r>
          </w:p>
        </w:tc>
        <w:tc>
          <w:tcPr>
            <w:tcW w:w="220" w:type="dxa"/>
            <w:vAlign w:val="bottom"/>
            <w:shd w:val="clear" w:color="auto" w:fill="F2F2F2"/>
          </w:tcPr>
          <w:p>
            <w:pPr>
              <w:spacing w:after="0"/>
              <w:rPr>
                <w:sz w:val="15"/>
                <w:szCs w:val="15"/>
                <w:color w:val="auto"/>
              </w:rPr>
            </w:pPr>
          </w:p>
        </w:tc>
        <w:tc>
          <w:tcPr>
            <w:tcW w:w="980" w:type="dxa"/>
            <w:vAlign w:val="bottom"/>
            <w:shd w:val="clear" w:color="auto" w:fill="F2F2F2"/>
          </w:tcPr>
          <w:p>
            <w:pPr>
              <w:spacing w:after="0"/>
              <w:rPr>
                <w:sz w:val="15"/>
                <w:szCs w:val="15"/>
                <w:color w:val="auto"/>
              </w:rPr>
            </w:pPr>
          </w:p>
        </w:tc>
        <w:tc>
          <w:tcPr>
            <w:tcW w:w="160" w:type="dxa"/>
            <w:vAlign w:val="bottom"/>
            <w:shd w:val="clear" w:color="auto" w:fill="F2F2F2"/>
          </w:tcPr>
          <w:p>
            <w:pPr>
              <w:spacing w:after="0"/>
              <w:rPr>
                <w:sz w:val="15"/>
                <w:szCs w:val="15"/>
                <w:color w:val="auto"/>
              </w:rPr>
            </w:pPr>
          </w:p>
        </w:tc>
        <w:tc>
          <w:tcPr>
            <w:tcW w:w="100" w:type="dxa"/>
            <w:vAlign w:val="bottom"/>
            <w:shd w:val="clear" w:color="auto" w:fill="F2F2F2"/>
          </w:tcPr>
          <w:p>
            <w:pPr>
              <w:spacing w:after="0"/>
              <w:rPr>
                <w:sz w:val="15"/>
                <w:szCs w:val="15"/>
                <w:color w:val="auto"/>
              </w:rPr>
            </w:pPr>
          </w:p>
        </w:tc>
        <w:tc>
          <w:tcPr>
            <w:tcW w:w="900" w:type="dxa"/>
            <w:vAlign w:val="bottom"/>
            <w:shd w:val="clear" w:color="auto" w:fill="F2F2F2"/>
          </w:tcPr>
          <w:p>
            <w:pPr>
              <w:spacing w:after="0"/>
              <w:rPr>
                <w:sz w:val="15"/>
                <w:szCs w:val="15"/>
                <w:color w:val="auto"/>
              </w:rPr>
            </w:pPr>
          </w:p>
        </w:tc>
        <w:tc>
          <w:tcPr>
            <w:tcW w:w="1300" w:type="dxa"/>
            <w:vAlign w:val="bottom"/>
            <w:gridSpan w:val="2"/>
            <w:shd w:val="clear" w:color="auto" w:fill="F2F2F2"/>
          </w:tcPr>
          <w:p>
            <w:pPr>
              <w:jc w:val="center"/>
              <w:ind w:left="128"/>
              <w:spacing w:after="0"/>
              <w:rPr>
                <w:sz w:val="20"/>
                <w:szCs w:val="20"/>
                <w:color w:val="auto"/>
              </w:rPr>
            </w:pPr>
            <w:r>
              <w:rPr>
                <w:rFonts w:ascii="Arial" w:cs="Arial" w:eastAsia="Arial" w:hAnsi="Arial"/>
                <w:sz w:val="14"/>
                <w:szCs w:val="14"/>
                <w:b w:val="1"/>
                <w:bCs w:val="1"/>
                <w:color w:val="auto"/>
              </w:rPr>
              <w:t>Resignation for</w:t>
            </w:r>
          </w:p>
        </w:tc>
        <w:tc>
          <w:tcPr>
            <w:tcW w:w="200" w:type="dxa"/>
            <w:vAlign w:val="bottom"/>
            <w:shd w:val="clear" w:color="auto" w:fill="F2F2F2"/>
          </w:tcPr>
          <w:p>
            <w:pPr>
              <w:spacing w:after="0"/>
              <w:rPr>
                <w:sz w:val="15"/>
                <w:szCs w:val="15"/>
                <w:color w:val="auto"/>
              </w:rPr>
            </w:pPr>
          </w:p>
        </w:tc>
        <w:tc>
          <w:tcPr>
            <w:tcW w:w="980" w:type="dxa"/>
            <w:vAlign w:val="bottom"/>
            <w:shd w:val="clear" w:color="auto" w:fill="F2F2F2"/>
          </w:tcPr>
          <w:p>
            <w:pPr>
              <w:jc w:val="center"/>
              <w:spacing w:after="0"/>
              <w:rPr>
                <w:sz w:val="20"/>
                <w:szCs w:val="20"/>
                <w:color w:val="auto"/>
              </w:rPr>
            </w:pPr>
            <w:r>
              <w:rPr>
                <w:rFonts w:ascii="Arial" w:cs="Arial" w:eastAsia="Arial" w:hAnsi="Arial"/>
                <w:sz w:val="14"/>
                <w:szCs w:val="14"/>
                <w:b w:val="1"/>
                <w:bCs w:val="1"/>
                <w:color w:val="auto"/>
              </w:rPr>
              <w:t>Qualifying</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36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 xml:space="preserve">Name </w:t>
            </w:r>
            <w:r>
              <w:rPr>
                <w:rFonts w:ascii="Arial" w:cs="Arial" w:eastAsia="Arial" w:hAnsi="Arial"/>
                <w:sz w:val="21"/>
                <w:szCs w:val="21"/>
                <w:b w:val="1"/>
                <w:bCs w:val="1"/>
                <w:color w:val="auto"/>
                <w:vertAlign w:val="superscript"/>
              </w:rPr>
              <w:t>(1)</w:t>
            </w:r>
          </w:p>
        </w:tc>
        <w:tc>
          <w:tcPr>
            <w:tcW w:w="180" w:type="dxa"/>
            <w:vAlign w:val="bottom"/>
            <w:shd w:val="clear" w:color="auto" w:fill="F2F2F2"/>
          </w:tcPr>
          <w:p>
            <w:pPr>
              <w:spacing w:after="0"/>
              <w:rPr>
                <w:sz w:val="16"/>
                <w:szCs w:val="16"/>
                <w:color w:val="auto"/>
              </w:rPr>
            </w:pPr>
          </w:p>
        </w:tc>
        <w:tc>
          <w:tcPr>
            <w:tcW w:w="2280" w:type="dxa"/>
            <w:vAlign w:val="bottom"/>
            <w:shd w:val="clear" w:color="auto" w:fill="F2F2F2"/>
          </w:tcPr>
          <w:p>
            <w:pPr>
              <w:spacing w:after="0"/>
              <w:rPr>
                <w:sz w:val="16"/>
                <w:szCs w:val="16"/>
                <w:color w:val="auto"/>
              </w:rPr>
            </w:pPr>
          </w:p>
        </w:tc>
        <w:tc>
          <w:tcPr>
            <w:tcW w:w="200" w:type="dxa"/>
            <w:vAlign w:val="bottom"/>
            <w:shd w:val="clear" w:color="auto" w:fill="F2F2F2"/>
          </w:tcPr>
          <w:p>
            <w:pPr>
              <w:spacing w:after="0"/>
              <w:rPr>
                <w:sz w:val="16"/>
                <w:szCs w:val="16"/>
                <w:color w:val="auto"/>
              </w:rPr>
            </w:pPr>
          </w:p>
        </w:tc>
        <w:tc>
          <w:tcPr>
            <w:tcW w:w="1020" w:type="dxa"/>
            <w:vAlign w:val="bottom"/>
            <w:shd w:val="clear" w:color="auto" w:fill="F2F2F2"/>
          </w:tcPr>
          <w:p>
            <w:pPr>
              <w:jc w:val="center"/>
              <w:spacing w:after="0"/>
              <w:rPr>
                <w:sz w:val="20"/>
                <w:szCs w:val="20"/>
                <w:color w:val="auto"/>
              </w:rPr>
            </w:pPr>
            <w:r>
              <w:rPr>
                <w:rFonts w:ascii="Arial" w:cs="Arial" w:eastAsia="Arial" w:hAnsi="Arial"/>
                <w:sz w:val="14"/>
                <w:szCs w:val="14"/>
                <w:b w:val="1"/>
                <w:bCs w:val="1"/>
                <w:color w:val="auto"/>
              </w:rPr>
              <w:t>(If Eligible)</w:t>
            </w:r>
          </w:p>
        </w:tc>
        <w:tc>
          <w:tcPr>
            <w:tcW w:w="220" w:type="dxa"/>
            <w:vAlign w:val="bottom"/>
            <w:shd w:val="clear" w:color="auto" w:fill="F2F2F2"/>
          </w:tcPr>
          <w:p>
            <w:pPr>
              <w:spacing w:after="0"/>
              <w:rPr>
                <w:sz w:val="16"/>
                <w:szCs w:val="16"/>
                <w:color w:val="auto"/>
              </w:rPr>
            </w:pPr>
          </w:p>
        </w:tc>
        <w:tc>
          <w:tcPr>
            <w:tcW w:w="980" w:type="dxa"/>
            <w:vAlign w:val="bottom"/>
            <w:shd w:val="clear" w:color="auto" w:fill="F2F2F2"/>
          </w:tcPr>
          <w:p>
            <w:pPr>
              <w:jc w:val="right"/>
              <w:ind w:right="228"/>
              <w:spacing w:after="0"/>
              <w:rPr>
                <w:sz w:val="20"/>
                <w:szCs w:val="20"/>
                <w:color w:val="auto"/>
              </w:rPr>
            </w:pPr>
            <w:r>
              <w:rPr>
                <w:rFonts w:ascii="Arial" w:cs="Arial" w:eastAsia="Arial" w:hAnsi="Arial"/>
                <w:sz w:val="14"/>
                <w:szCs w:val="14"/>
                <w:b w:val="1"/>
                <w:bCs w:val="1"/>
                <w:color w:val="auto"/>
              </w:rPr>
              <w:t>Death</w:t>
            </w:r>
          </w:p>
        </w:tc>
        <w:tc>
          <w:tcPr>
            <w:tcW w:w="160" w:type="dxa"/>
            <w:vAlign w:val="bottom"/>
            <w:shd w:val="clear" w:color="auto" w:fill="F2F2F2"/>
          </w:tcPr>
          <w:p>
            <w:pPr>
              <w:spacing w:after="0"/>
              <w:rPr>
                <w:sz w:val="16"/>
                <w:szCs w:val="16"/>
                <w:color w:val="auto"/>
              </w:rPr>
            </w:pPr>
          </w:p>
        </w:tc>
        <w:tc>
          <w:tcPr>
            <w:tcW w:w="100" w:type="dxa"/>
            <w:vAlign w:val="bottom"/>
            <w:shd w:val="clear" w:color="auto" w:fill="F2F2F2"/>
          </w:tcPr>
          <w:p>
            <w:pPr>
              <w:spacing w:after="0"/>
              <w:rPr>
                <w:sz w:val="16"/>
                <w:szCs w:val="16"/>
                <w:color w:val="auto"/>
              </w:rPr>
            </w:pPr>
          </w:p>
        </w:tc>
        <w:tc>
          <w:tcPr>
            <w:tcW w:w="900" w:type="dxa"/>
            <w:vAlign w:val="bottom"/>
            <w:shd w:val="clear" w:color="auto" w:fill="F2F2F2"/>
          </w:tcPr>
          <w:p>
            <w:pPr>
              <w:jc w:val="right"/>
              <w:ind w:right="68"/>
              <w:spacing w:after="0"/>
              <w:rPr>
                <w:sz w:val="20"/>
                <w:szCs w:val="20"/>
                <w:color w:val="auto"/>
              </w:rPr>
            </w:pPr>
            <w:r>
              <w:rPr>
                <w:rFonts w:ascii="Arial" w:cs="Arial" w:eastAsia="Arial" w:hAnsi="Arial"/>
                <w:sz w:val="14"/>
                <w:szCs w:val="14"/>
                <w:b w:val="1"/>
                <w:bCs w:val="1"/>
                <w:color w:val="auto"/>
              </w:rPr>
              <w:t>Disability</w:t>
            </w:r>
          </w:p>
        </w:tc>
        <w:tc>
          <w:tcPr>
            <w:tcW w:w="220" w:type="dxa"/>
            <w:vAlign w:val="bottom"/>
            <w:shd w:val="clear" w:color="auto" w:fill="F2F2F2"/>
          </w:tcPr>
          <w:p>
            <w:pPr>
              <w:spacing w:after="0"/>
              <w:rPr>
                <w:sz w:val="16"/>
                <w:szCs w:val="16"/>
                <w:color w:val="auto"/>
              </w:rPr>
            </w:pPr>
          </w:p>
        </w:tc>
        <w:tc>
          <w:tcPr>
            <w:tcW w:w="1080" w:type="dxa"/>
            <w:vAlign w:val="bottom"/>
            <w:shd w:val="clear" w:color="auto" w:fill="F2F2F2"/>
          </w:tcPr>
          <w:p>
            <w:pPr>
              <w:jc w:val="center"/>
              <w:spacing w:after="0"/>
              <w:rPr>
                <w:sz w:val="20"/>
                <w:szCs w:val="20"/>
                <w:color w:val="auto"/>
              </w:rPr>
            </w:pPr>
            <w:r>
              <w:rPr>
                <w:rFonts w:ascii="Arial" w:cs="Arial" w:eastAsia="Arial" w:hAnsi="Arial"/>
                <w:sz w:val="14"/>
                <w:szCs w:val="14"/>
                <w:b w:val="1"/>
                <w:bCs w:val="1"/>
                <w:color w:val="auto"/>
              </w:rPr>
              <w:t>Good Reason</w:t>
            </w:r>
          </w:p>
        </w:tc>
        <w:tc>
          <w:tcPr>
            <w:tcW w:w="200" w:type="dxa"/>
            <w:vAlign w:val="bottom"/>
            <w:shd w:val="clear" w:color="auto" w:fill="F2F2F2"/>
          </w:tcPr>
          <w:p>
            <w:pPr>
              <w:spacing w:after="0"/>
              <w:rPr>
                <w:sz w:val="16"/>
                <w:szCs w:val="16"/>
                <w:color w:val="auto"/>
              </w:rPr>
            </w:pPr>
          </w:p>
        </w:tc>
        <w:tc>
          <w:tcPr>
            <w:tcW w:w="980" w:type="dxa"/>
            <w:vAlign w:val="bottom"/>
            <w:shd w:val="clear" w:color="auto" w:fill="F2F2F2"/>
          </w:tcPr>
          <w:p>
            <w:pPr>
              <w:jc w:val="center"/>
              <w:spacing w:after="0"/>
              <w:rPr>
                <w:sz w:val="20"/>
                <w:szCs w:val="20"/>
                <w:color w:val="auto"/>
              </w:rPr>
            </w:pPr>
            <w:r>
              <w:rPr>
                <w:rFonts w:ascii="Arial" w:cs="Arial" w:eastAsia="Arial" w:hAnsi="Arial"/>
                <w:sz w:val="14"/>
                <w:szCs w:val="14"/>
                <w:b w:val="1"/>
                <w:bCs w:val="1"/>
                <w:color w:val="auto"/>
              </w:rPr>
              <w:t>Termination</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360" w:type="dxa"/>
            <w:vAlign w:val="bottom"/>
            <w:vMerge w:val="continue"/>
          </w:tcPr>
          <w:p>
            <w:pPr>
              <w:spacing w:after="0"/>
              <w:rPr>
                <w:sz w:val="16"/>
                <w:szCs w:val="16"/>
                <w:color w:val="auto"/>
              </w:rPr>
            </w:pPr>
          </w:p>
        </w:tc>
        <w:tc>
          <w:tcPr>
            <w:tcW w:w="180" w:type="dxa"/>
            <w:vAlign w:val="bottom"/>
            <w:shd w:val="clear" w:color="auto" w:fill="F2F2F2"/>
          </w:tcPr>
          <w:p>
            <w:pPr>
              <w:ind w:left="80"/>
              <w:spacing w:after="0"/>
              <w:rPr>
                <w:sz w:val="20"/>
                <w:szCs w:val="20"/>
                <w:color w:val="auto"/>
              </w:rPr>
            </w:pPr>
            <w:r>
              <w:rPr>
                <w:rFonts w:ascii="Arial" w:cs="Arial" w:eastAsia="Arial" w:hAnsi="Arial"/>
                <w:sz w:val="14"/>
                <w:szCs w:val="14"/>
                <w:b w:val="1"/>
                <w:bCs w:val="1"/>
                <w:color w:val="auto"/>
              </w:rPr>
              <w:t>​</w:t>
            </w:r>
          </w:p>
        </w:tc>
        <w:tc>
          <w:tcPr>
            <w:tcW w:w="2280" w:type="dxa"/>
            <w:vAlign w:val="bottom"/>
            <w:shd w:val="clear" w:color="auto" w:fill="F2F2F2"/>
          </w:tcPr>
          <w:p>
            <w:pPr>
              <w:spacing w:after="0"/>
              <w:rPr>
                <w:sz w:val="20"/>
                <w:szCs w:val="20"/>
                <w:color w:val="auto"/>
              </w:rPr>
            </w:pPr>
            <w:r>
              <w:rPr>
                <w:rFonts w:ascii="Arial" w:cs="Arial" w:eastAsia="Arial" w:hAnsi="Arial"/>
                <w:sz w:val="14"/>
                <w:szCs w:val="14"/>
                <w:b w:val="1"/>
                <w:bCs w:val="1"/>
                <w:color w:val="auto"/>
              </w:rPr>
              <w:t>​​Type of Payment or Beneft</w:t>
            </w:r>
          </w:p>
        </w:tc>
        <w:tc>
          <w:tcPr>
            <w:tcW w:w="200" w:type="dxa"/>
            <w:vAlign w:val="bottom"/>
            <w:shd w:val="clear" w:color="auto" w:fill="F2F2F2"/>
          </w:tcPr>
          <w:p>
            <w:pPr>
              <w:ind w:left="80"/>
              <w:spacing w:after="0"/>
              <w:rPr>
                <w:sz w:val="20"/>
                <w:szCs w:val="20"/>
                <w:color w:val="auto"/>
              </w:rPr>
            </w:pPr>
            <w:r>
              <w:rPr>
                <w:rFonts w:ascii="Arial" w:cs="Arial" w:eastAsia="Arial" w:hAnsi="Arial"/>
                <w:sz w:val="14"/>
                <w:szCs w:val="14"/>
                <w:b w:val="1"/>
                <w:bCs w:val="1"/>
                <w:color w:val="auto"/>
              </w:rPr>
              <w:t>​​​</w:t>
            </w:r>
          </w:p>
        </w:tc>
        <w:tc>
          <w:tcPr>
            <w:tcW w:w="1020" w:type="dxa"/>
            <w:vAlign w:val="bottom"/>
            <w:shd w:val="clear" w:color="auto" w:fill="F2F2F2"/>
          </w:tcPr>
          <w:p>
            <w:pPr>
              <w:jc w:val="center"/>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F2F2F2"/>
          </w:tcPr>
          <w:p>
            <w:pPr>
              <w:ind w:left="80"/>
              <w:spacing w:after="0"/>
              <w:rPr>
                <w:sz w:val="20"/>
                <w:szCs w:val="20"/>
                <w:color w:val="auto"/>
              </w:rPr>
            </w:pPr>
            <w:r>
              <w:rPr>
                <w:rFonts w:ascii="Arial" w:cs="Arial" w:eastAsia="Arial" w:hAnsi="Arial"/>
                <w:sz w:val="14"/>
                <w:szCs w:val="14"/>
                <w:b w:val="1"/>
                <w:bCs w:val="1"/>
                <w:color w:val="auto"/>
              </w:rPr>
              <w:t>​​​</w:t>
            </w:r>
          </w:p>
        </w:tc>
        <w:tc>
          <w:tcPr>
            <w:tcW w:w="980" w:type="dxa"/>
            <w:vAlign w:val="bottom"/>
            <w:shd w:val="clear" w:color="auto" w:fill="F2F2F2"/>
          </w:tcPr>
          <w:p>
            <w:pPr>
              <w:jc w:val="right"/>
              <w:ind w:right="348"/>
              <w:spacing w:after="0"/>
              <w:rPr>
                <w:sz w:val="20"/>
                <w:szCs w:val="20"/>
                <w:color w:val="auto"/>
              </w:rPr>
            </w:pPr>
            <w:r>
              <w:rPr>
                <w:rFonts w:ascii="Arial" w:cs="Arial" w:eastAsia="Arial" w:hAnsi="Arial"/>
                <w:sz w:val="14"/>
                <w:szCs w:val="14"/>
                <w:b w:val="1"/>
                <w:bCs w:val="1"/>
                <w:color w:val="auto"/>
              </w:rPr>
              <w:t>($)</w:t>
            </w:r>
          </w:p>
        </w:tc>
        <w:tc>
          <w:tcPr>
            <w:tcW w:w="260" w:type="dxa"/>
            <w:vAlign w:val="bottom"/>
            <w:gridSpan w:val="2"/>
            <w:shd w:val="clear" w:color="auto" w:fill="F2F2F2"/>
          </w:tcPr>
          <w:p>
            <w:pPr>
              <w:ind w:left="80"/>
              <w:spacing w:after="0"/>
              <w:rPr>
                <w:sz w:val="20"/>
                <w:szCs w:val="20"/>
                <w:color w:val="auto"/>
              </w:rPr>
            </w:pPr>
            <w:r>
              <w:rPr>
                <w:rFonts w:ascii="Arial" w:cs="Arial" w:eastAsia="Arial" w:hAnsi="Arial"/>
                <w:sz w:val="14"/>
                <w:szCs w:val="14"/>
                <w:b w:val="1"/>
                <w:bCs w:val="1"/>
                <w:color w:val="auto"/>
                <w:shd w:val="clear" w:color="auto" w:fill="F2F2F2"/>
              </w:rPr>
              <w:t>​​​</w:t>
            </w:r>
          </w:p>
        </w:tc>
        <w:tc>
          <w:tcPr>
            <w:tcW w:w="900" w:type="dxa"/>
            <w:vAlign w:val="bottom"/>
            <w:shd w:val="clear" w:color="auto" w:fill="F2F2F2"/>
          </w:tcPr>
          <w:p>
            <w:pPr>
              <w:jc w:val="right"/>
              <w:ind w:right="328"/>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F2F2F2"/>
          </w:tcPr>
          <w:p>
            <w:pPr>
              <w:ind w:left="100"/>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F2F2F2"/>
          </w:tcPr>
          <w:p>
            <w:pPr>
              <w:jc w:val="center"/>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F2F2F2"/>
          </w:tcPr>
          <w:p>
            <w:pPr>
              <w:ind w:left="80"/>
              <w:spacing w:after="0"/>
              <w:rPr>
                <w:sz w:val="20"/>
                <w:szCs w:val="20"/>
                <w:color w:val="auto"/>
              </w:rPr>
            </w:pPr>
            <w:r>
              <w:rPr>
                <w:rFonts w:ascii="Arial" w:cs="Arial" w:eastAsia="Arial" w:hAnsi="Arial"/>
                <w:sz w:val="14"/>
                <w:szCs w:val="14"/>
                <w:b w:val="1"/>
                <w:bCs w:val="1"/>
                <w:color w:val="auto"/>
              </w:rPr>
              <w:t>​​​</w:t>
            </w:r>
          </w:p>
        </w:tc>
        <w:tc>
          <w:tcPr>
            <w:tcW w:w="980" w:type="dxa"/>
            <w:vAlign w:val="bottom"/>
            <w:shd w:val="clear" w:color="auto" w:fill="F2F2F2"/>
          </w:tcPr>
          <w:p>
            <w:pPr>
              <w:jc w:val="center"/>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1360" w:type="dxa"/>
            <w:vAlign w:val="bottom"/>
          </w:tcPr>
          <w:p>
            <w:pPr>
              <w:spacing w:after="0"/>
              <w:rPr>
                <w:sz w:val="5"/>
                <w:szCs w:val="5"/>
                <w:color w:val="auto"/>
              </w:rPr>
            </w:pPr>
          </w:p>
        </w:tc>
        <w:tc>
          <w:tcPr>
            <w:tcW w:w="180" w:type="dxa"/>
            <w:vAlign w:val="bottom"/>
            <w:shd w:val="clear" w:color="auto" w:fill="F2F2F2"/>
          </w:tcPr>
          <w:p>
            <w:pPr>
              <w:spacing w:after="0"/>
              <w:rPr>
                <w:sz w:val="5"/>
                <w:szCs w:val="5"/>
                <w:color w:val="auto"/>
              </w:rPr>
            </w:pPr>
          </w:p>
        </w:tc>
        <w:tc>
          <w:tcPr>
            <w:tcW w:w="2280" w:type="dxa"/>
            <w:vAlign w:val="bottom"/>
            <w:shd w:val="clear" w:color="auto" w:fill="F2F2F2"/>
          </w:tcPr>
          <w:p>
            <w:pPr>
              <w:spacing w:after="0"/>
              <w:rPr>
                <w:sz w:val="5"/>
                <w:szCs w:val="5"/>
                <w:color w:val="auto"/>
              </w:rPr>
            </w:pPr>
          </w:p>
        </w:tc>
        <w:tc>
          <w:tcPr>
            <w:tcW w:w="200" w:type="dxa"/>
            <w:vAlign w:val="bottom"/>
            <w:shd w:val="clear" w:color="auto" w:fill="F2F2F2"/>
          </w:tcPr>
          <w:p>
            <w:pPr>
              <w:spacing w:after="0"/>
              <w:rPr>
                <w:sz w:val="5"/>
                <w:szCs w:val="5"/>
                <w:color w:val="auto"/>
              </w:rPr>
            </w:pPr>
          </w:p>
        </w:tc>
        <w:tc>
          <w:tcPr>
            <w:tcW w:w="1020" w:type="dxa"/>
            <w:vAlign w:val="bottom"/>
            <w:shd w:val="clear" w:color="auto" w:fill="F2F2F2"/>
          </w:tcPr>
          <w:p>
            <w:pPr>
              <w:spacing w:after="0"/>
              <w:rPr>
                <w:sz w:val="5"/>
                <w:szCs w:val="5"/>
                <w:color w:val="auto"/>
              </w:rPr>
            </w:pPr>
          </w:p>
        </w:tc>
        <w:tc>
          <w:tcPr>
            <w:tcW w:w="220" w:type="dxa"/>
            <w:vAlign w:val="bottom"/>
            <w:shd w:val="clear" w:color="auto" w:fill="F2F2F2"/>
          </w:tcPr>
          <w:p>
            <w:pPr>
              <w:spacing w:after="0"/>
              <w:rPr>
                <w:sz w:val="5"/>
                <w:szCs w:val="5"/>
                <w:color w:val="auto"/>
              </w:rPr>
            </w:pPr>
          </w:p>
        </w:tc>
        <w:tc>
          <w:tcPr>
            <w:tcW w:w="980" w:type="dxa"/>
            <w:vAlign w:val="bottom"/>
            <w:shd w:val="clear" w:color="auto" w:fill="F2F2F2"/>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shd w:val="clear" w:color="auto" w:fill="F2F2F2"/>
          </w:tcPr>
          <w:p>
            <w:pPr>
              <w:spacing w:after="0"/>
              <w:rPr>
                <w:sz w:val="5"/>
                <w:szCs w:val="5"/>
                <w:color w:val="auto"/>
              </w:rPr>
            </w:pPr>
          </w:p>
        </w:tc>
        <w:tc>
          <w:tcPr>
            <w:tcW w:w="900" w:type="dxa"/>
            <w:vAlign w:val="bottom"/>
            <w:shd w:val="clear" w:color="auto" w:fill="F2F2F2"/>
          </w:tcPr>
          <w:p>
            <w:pPr>
              <w:spacing w:after="0"/>
              <w:rPr>
                <w:sz w:val="5"/>
                <w:szCs w:val="5"/>
                <w:color w:val="auto"/>
              </w:rPr>
            </w:pPr>
          </w:p>
        </w:tc>
        <w:tc>
          <w:tcPr>
            <w:tcW w:w="220" w:type="dxa"/>
            <w:vAlign w:val="bottom"/>
            <w:shd w:val="clear" w:color="auto" w:fill="F2F2F2"/>
          </w:tcPr>
          <w:p>
            <w:pPr>
              <w:spacing w:after="0"/>
              <w:rPr>
                <w:sz w:val="5"/>
                <w:szCs w:val="5"/>
                <w:color w:val="auto"/>
              </w:rPr>
            </w:pPr>
          </w:p>
        </w:tc>
        <w:tc>
          <w:tcPr>
            <w:tcW w:w="1080" w:type="dxa"/>
            <w:vAlign w:val="bottom"/>
            <w:shd w:val="clear" w:color="auto" w:fill="F2F2F2"/>
          </w:tcPr>
          <w:p>
            <w:pPr>
              <w:spacing w:after="0"/>
              <w:rPr>
                <w:sz w:val="5"/>
                <w:szCs w:val="5"/>
                <w:color w:val="auto"/>
              </w:rPr>
            </w:pPr>
          </w:p>
        </w:tc>
        <w:tc>
          <w:tcPr>
            <w:tcW w:w="200" w:type="dxa"/>
            <w:vAlign w:val="bottom"/>
            <w:shd w:val="clear" w:color="auto" w:fill="F2F2F2"/>
          </w:tcPr>
          <w:p>
            <w:pPr>
              <w:spacing w:after="0"/>
              <w:rPr>
                <w:sz w:val="5"/>
                <w:szCs w:val="5"/>
                <w:color w:val="auto"/>
              </w:rPr>
            </w:pPr>
          </w:p>
        </w:tc>
        <w:tc>
          <w:tcPr>
            <w:tcW w:w="980" w:type="dxa"/>
            <w:vAlign w:val="bottom"/>
            <w:shd w:val="clear" w:color="auto" w:fill="F2F2F2"/>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1"/>
        </w:trPr>
        <w:tc>
          <w:tcPr>
            <w:tcW w:w="1360" w:type="dxa"/>
            <w:vAlign w:val="bottom"/>
          </w:tcPr>
          <w:p>
            <w:pPr>
              <w:ind w:left="120"/>
              <w:spacing w:after="0"/>
              <w:rPr>
                <w:sz w:val="20"/>
                <w:szCs w:val="20"/>
                <w:color w:val="auto"/>
              </w:rPr>
            </w:pPr>
            <w:r>
              <w:rPr>
                <w:rFonts w:ascii="Arial" w:cs="Arial" w:eastAsia="Arial" w:hAnsi="Arial"/>
                <w:sz w:val="14"/>
                <w:szCs w:val="14"/>
                <w:b w:val="1"/>
                <w:bCs w:val="1"/>
                <w:color w:val="auto"/>
              </w:rPr>
              <w:t>Scott Kirby</w:t>
            </w:r>
          </w:p>
        </w:tc>
        <w:tc>
          <w:tcPr>
            <w:tcW w:w="1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102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108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980" w:type="dxa"/>
            <w:vAlign w:val="bottom"/>
          </w:tcPr>
          <w:p>
            <w:pPr>
              <w:spacing w:after="0"/>
              <w:rPr>
                <w:sz w:val="18"/>
                <w:szCs w:val="18"/>
                <w:color w:val="auto"/>
              </w:rPr>
            </w:pPr>
          </w:p>
        </w:tc>
        <w:tc>
          <w:tcPr>
            <w:tcW w:w="40" w:type="dxa"/>
            <w:vAlign w:val="bottom"/>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3"/>
        </w:trPr>
        <w:tc>
          <w:tcPr>
            <w:tcW w:w="1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80" w:type="dxa"/>
            <w:vAlign w:val="bottom"/>
          </w:tcPr>
          <w:p>
            <w:pPr>
              <w:spacing w:after="0"/>
              <w:rPr>
                <w:sz w:val="20"/>
                <w:szCs w:val="20"/>
                <w:color w:val="auto"/>
              </w:rPr>
            </w:pPr>
            <w:r>
              <w:rPr>
                <w:rFonts w:ascii="Arial" w:cs="Arial" w:eastAsia="Arial" w:hAnsi="Arial"/>
                <w:sz w:val="14"/>
                <w:szCs w:val="14"/>
                <w:color w:val="auto"/>
              </w:rPr>
              <w:t>Cash  Severance</w:t>
            </w: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8,400,000</w:t>
            </w:r>
          </w:p>
        </w:tc>
        <w:tc>
          <w:tcPr>
            <w:tcW w:w="2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8,400,000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80" w:type="dxa"/>
            <w:vAlign w:val="bottom"/>
          </w:tcPr>
          <w:p>
            <w:pPr>
              <w:spacing w:after="0" w:line="189" w:lineRule="exact"/>
              <w:rPr>
                <w:sz w:val="20"/>
                <w:szCs w:val="20"/>
                <w:color w:val="auto"/>
              </w:rPr>
            </w:pPr>
            <w:r>
              <w:rPr>
                <w:rFonts w:ascii="Arial" w:cs="Arial" w:eastAsia="Arial" w:hAnsi="Arial"/>
                <w:sz w:val="14"/>
                <w:szCs w:val="14"/>
                <w:color w:val="auto"/>
              </w:rPr>
              <w:t>Equity  Acceleration</w:t>
            </w:r>
            <w:r>
              <w:rPr>
                <w:rFonts w:ascii="Arial" w:cs="Arial" w:eastAsia="Arial" w:hAnsi="Arial"/>
                <w:sz w:val="21"/>
                <w:szCs w:val="21"/>
                <w:color w:val="auto"/>
                <w:vertAlign w:val="superscript"/>
              </w:rPr>
              <w:t>(2)</w:t>
            </w: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44,147,529</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44,147,529</w:t>
            </w: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69,656,171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80" w:type="dxa"/>
            <w:vAlign w:val="bottom"/>
          </w:tcPr>
          <w:p>
            <w:pPr>
              <w:spacing w:after="0" w:line="189" w:lineRule="exact"/>
              <w:rPr>
                <w:sz w:val="20"/>
                <w:szCs w:val="20"/>
                <w:color w:val="auto"/>
              </w:rPr>
            </w:pPr>
            <w:r>
              <w:rPr>
                <w:rFonts w:ascii="Arial" w:cs="Arial" w:eastAsia="Arial" w:hAnsi="Arial"/>
                <w:sz w:val="14"/>
                <w:szCs w:val="14"/>
                <w:color w:val="auto"/>
              </w:rPr>
              <w:t>Continuation  Coverage  Benefts</w:t>
            </w:r>
            <w:r>
              <w:rPr>
                <w:rFonts w:ascii="Arial" w:cs="Arial" w:eastAsia="Arial" w:hAnsi="Arial"/>
                <w:sz w:val="21"/>
                <w:szCs w:val="21"/>
                <w:color w:val="auto"/>
                <w:vertAlign w:val="superscript"/>
              </w:rPr>
              <w:t>(3)</w:t>
            </w: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56,343</w:t>
            </w:r>
          </w:p>
        </w:tc>
        <w:tc>
          <w:tcPr>
            <w:tcW w:w="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56,343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80" w:type="dxa"/>
            <w:vAlign w:val="bottom"/>
          </w:tcPr>
          <w:p>
            <w:pPr>
              <w:spacing w:after="0" w:line="189" w:lineRule="exact"/>
              <w:rPr>
                <w:sz w:val="20"/>
                <w:szCs w:val="20"/>
                <w:color w:val="auto"/>
              </w:rPr>
            </w:pPr>
            <w:r>
              <w:rPr>
                <w:rFonts w:ascii="Arial" w:cs="Arial" w:eastAsia="Arial" w:hAnsi="Arial"/>
                <w:sz w:val="14"/>
                <w:szCs w:val="14"/>
                <w:color w:val="auto"/>
              </w:rPr>
              <w:t>Life  Insurance  Beneft</w:t>
            </w:r>
            <w:r>
              <w:rPr>
                <w:rFonts w:ascii="Arial" w:cs="Arial" w:eastAsia="Arial" w:hAnsi="Arial"/>
                <w:sz w:val="21"/>
                <w:szCs w:val="21"/>
                <w:color w:val="auto"/>
                <w:vertAlign w:val="superscript"/>
              </w:rPr>
              <w:t>(4)</w:t>
            </w: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3,000,000</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80" w:type="dxa"/>
            <w:vAlign w:val="bottom"/>
          </w:tcPr>
          <w:p>
            <w:pPr>
              <w:spacing w:after="0" w:line="189" w:lineRule="exact"/>
              <w:rPr>
                <w:sz w:val="20"/>
                <w:szCs w:val="20"/>
                <w:color w:val="auto"/>
              </w:rPr>
            </w:pPr>
            <w:r>
              <w:rPr>
                <w:rFonts w:ascii="Arial" w:cs="Arial" w:eastAsia="Arial" w:hAnsi="Arial"/>
                <w:sz w:val="14"/>
                <w:szCs w:val="14"/>
                <w:color w:val="auto"/>
              </w:rPr>
              <w:t>Outplacement  Services</w:t>
            </w:r>
            <w:r>
              <w:rPr>
                <w:rFonts w:ascii="Arial" w:cs="Arial" w:eastAsia="Arial" w:hAnsi="Arial"/>
                <w:sz w:val="21"/>
                <w:szCs w:val="21"/>
                <w:color w:val="auto"/>
                <w:vertAlign w:val="superscript"/>
              </w:rPr>
              <w:t>(5)</w:t>
            </w: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25,000</w:t>
            </w:r>
          </w:p>
        </w:tc>
        <w:tc>
          <w:tcPr>
            <w:tcW w:w="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25,000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36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2280" w:type="dxa"/>
            <w:vAlign w:val="bottom"/>
            <w:tcBorders>
              <w:bottom w:val="single" w:sz="8" w:color="808080"/>
            </w:tcBorders>
          </w:tcPr>
          <w:p>
            <w:pPr>
              <w:spacing w:after="0" w:line="210" w:lineRule="exact"/>
              <w:rPr>
                <w:sz w:val="20"/>
                <w:szCs w:val="20"/>
                <w:color w:val="auto"/>
              </w:rPr>
            </w:pPr>
            <w:r>
              <w:rPr>
                <w:rFonts w:ascii="Arial" w:cs="Arial" w:eastAsia="Arial" w:hAnsi="Arial"/>
                <w:sz w:val="14"/>
                <w:szCs w:val="14"/>
                <w:color w:val="auto"/>
              </w:rPr>
              <w:t>Flight  Benefts</w:t>
            </w:r>
            <w:r>
              <w:rPr>
                <w:rFonts w:ascii="Arial" w:cs="Arial" w:eastAsia="Arial" w:hAnsi="Arial"/>
                <w:sz w:val="21"/>
                <w:szCs w:val="21"/>
                <w:color w:val="auto"/>
                <w:vertAlign w:val="superscript"/>
              </w:rPr>
              <w:t>(6)</w:t>
            </w:r>
          </w:p>
        </w:tc>
        <w:tc>
          <w:tcPr>
            <w:tcW w:w="200" w:type="dxa"/>
            <w:vAlign w:val="bottom"/>
            <w:tcBorders>
              <w:bottom w:val="single" w:sz="8" w:color="808080"/>
            </w:tcBorders>
          </w:tcPr>
          <w:p>
            <w:pPr>
              <w:spacing w:after="0"/>
              <w:rPr>
                <w:sz w:val="18"/>
                <w:szCs w:val="18"/>
                <w:color w:val="auto"/>
              </w:rPr>
            </w:pPr>
          </w:p>
        </w:tc>
        <w:tc>
          <w:tcPr>
            <w:tcW w:w="1020" w:type="dxa"/>
            <w:vAlign w:val="bottom"/>
            <w:tcBorders>
              <w:bottom w:val="single" w:sz="8" w:color="808080"/>
            </w:tcBorders>
          </w:tcPr>
          <w:p>
            <w:pPr>
              <w:jc w:val="right"/>
              <w:spacing w:after="0"/>
              <w:rPr>
                <w:sz w:val="20"/>
                <w:szCs w:val="20"/>
                <w:color w:val="auto"/>
              </w:rPr>
            </w:pPr>
            <w:r>
              <w:rPr>
                <w:rFonts w:ascii="Arial" w:cs="Arial" w:eastAsia="Arial" w:hAnsi="Arial"/>
                <w:sz w:val="14"/>
                <w:szCs w:val="14"/>
                <w:color w:val="auto"/>
              </w:rPr>
              <w:t>137,714</w:t>
            </w:r>
          </w:p>
        </w:tc>
        <w:tc>
          <w:tcPr>
            <w:tcW w:w="220" w:type="dxa"/>
            <w:vAlign w:val="bottom"/>
            <w:tcBorders>
              <w:bottom w:val="single" w:sz="8" w:color="808080"/>
            </w:tcBorders>
          </w:tcPr>
          <w:p>
            <w:pPr>
              <w:spacing w:after="0"/>
              <w:rPr>
                <w:sz w:val="18"/>
                <w:szCs w:val="18"/>
                <w:color w:val="auto"/>
              </w:rPr>
            </w:pPr>
          </w:p>
        </w:tc>
        <w:tc>
          <w:tcPr>
            <w:tcW w:w="980" w:type="dxa"/>
            <w:vAlign w:val="bottom"/>
            <w:tcBorders>
              <w:bottom w:val="single" w:sz="8" w:color="808080"/>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900" w:type="dxa"/>
            <w:vAlign w:val="bottom"/>
            <w:tcBorders>
              <w:bottom w:val="single" w:sz="8" w:color="808080"/>
            </w:tcBorders>
          </w:tcPr>
          <w:p>
            <w:pPr>
              <w:jc w:val="right"/>
              <w:spacing w:after="0"/>
              <w:rPr>
                <w:sz w:val="20"/>
                <w:szCs w:val="20"/>
                <w:color w:val="auto"/>
              </w:rPr>
            </w:pPr>
            <w:r>
              <w:rPr>
                <w:rFonts w:ascii="Arial" w:cs="Arial" w:eastAsia="Arial" w:hAnsi="Arial"/>
                <w:sz w:val="14"/>
                <w:szCs w:val="14"/>
                <w:color w:val="auto"/>
              </w:rPr>
              <w:t>137,714</w:t>
            </w:r>
          </w:p>
        </w:tc>
        <w:tc>
          <w:tcPr>
            <w:tcW w:w="220" w:type="dxa"/>
            <w:vAlign w:val="bottom"/>
            <w:tcBorders>
              <w:bottom w:val="single" w:sz="8" w:color="808080"/>
            </w:tcBorders>
          </w:tcPr>
          <w:p>
            <w:pPr>
              <w:spacing w:after="0"/>
              <w:rPr>
                <w:sz w:val="18"/>
                <w:szCs w:val="18"/>
                <w:color w:val="auto"/>
              </w:rPr>
            </w:pPr>
          </w:p>
        </w:tc>
        <w:tc>
          <w:tcPr>
            <w:tcW w:w="1080" w:type="dxa"/>
            <w:vAlign w:val="bottom"/>
            <w:tcBorders>
              <w:bottom w:val="single" w:sz="8" w:color="808080"/>
            </w:tcBorders>
          </w:tcPr>
          <w:p>
            <w:pPr>
              <w:jc w:val="right"/>
              <w:spacing w:after="0"/>
              <w:rPr>
                <w:sz w:val="20"/>
                <w:szCs w:val="20"/>
                <w:color w:val="auto"/>
              </w:rPr>
            </w:pPr>
            <w:r>
              <w:rPr>
                <w:rFonts w:ascii="Arial" w:cs="Arial" w:eastAsia="Arial" w:hAnsi="Arial"/>
                <w:sz w:val="14"/>
                <w:szCs w:val="14"/>
                <w:color w:val="auto"/>
              </w:rPr>
              <w:t>137,714</w:t>
            </w:r>
          </w:p>
        </w:tc>
        <w:tc>
          <w:tcPr>
            <w:tcW w:w="200" w:type="dxa"/>
            <w:vAlign w:val="bottom"/>
            <w:tcBorders>
              <w:bottom w:val="single" w:sz="8" w:color="808080"/>
            </w:tcBorders>
          </w:tcPr>
          <w:p>
            <w:pPr>
              <w:spacing w:after="0"/>
              <w:rPr>
                <w:sz w:val="18"/>
                <w:szCs w:val="18"/>
                <w:color w:val="auto"/>
              </w:rPr>
            </w:pPr>
          </w:p>
        </w:tc>
        <w:tc>
          <w:tcPr>
            <w:tcW w:w="980" w:type="dxa"/>
            <w:vAlign w:val="bottom"/>
            <w:tcBorders>
              <w:bottom w:val="single" w:sz="8" w:color="808080"/>
            </w:tcBorders>
          </w:tcPr>
          <w:p>
            <w:pPr>
              <w:jc w:val="right"/>
              <w:spacing w:after="0"/>
              <w:rPr>
                <w:sz w:val="20"/>
                <w:szCs w:val="20"/>
                <w:color w:val="auto"/>
              </w:rPr>
            </w:pPr>
            <w:r>
              <w:rPr>
                <w:rFonts w:ascii="Arial" w:cs="Arial" w:eastAsia="Arial" w:hAnsi="Arial"/>
                <w:sz w:val="14"/>
                <w:szCs w:val="14"/>
                <w:color w:val="auto"/>
              </w:rPr>
              <w:t>137,714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60" w:type="dxa"/>
            <w:vAlign w:val="bottom"/>
          </w:tcPr>
          <w:p>
            <w:pPr>
              <w:ind w:left="120"/>
              <w:spacing w:after="0"/>
              <w:rPr>
                <w:sz w:val="20"/>
                <w:szCs w:val="20"/>
                <w:color w:val="auto"/>
              </w:rPr>
            </w:pPr>
            <w:r>
              <w:rPr>
                <w:rFonts w:ascii="Arial" w:cs="Arial" w:eastAsia="Arial" w:hAnsi="Arial"/>
                <w:sz w:val="14"/>
                <w:szCs w:val="14"/>
                <w:b w:val="1"/>
                <w:bCs w:val="1"/>
                <w:color w:val="auto"/>
              </w:rPr>
              <w:t>Michael Leskinen</w:t>
            </w:r>
          </w:p>
        </w:tc>
        <w:tc>
          <w:tcPr>
            <w:tcW w:w="180" w:type="dxa"/>
            <w:vAlign w:val="bottom"/>
          </w:tcPr>
          <w:p>
            <w:pPr>
              <w:spacing w:after="0"/>
              <w:rPr>
                <w:sz w:val="20"/>
                <w:szCs w:val="20"/>
                <w:color w:val="auto"/>
              </w:rPr>
            </w:pPr>
          </w:p>
        </w:tc>
        <w:tc>
          <w:tcPr>
            <w:tcW w:w="2280" w:type="dxa"/>
            <w:vAlign w:val="bottom"/>
            <w:vMerge w:val="restart"/>
          </w:tcPr>
          <w:p>
            <w:pPr>
              <w:spacing w:after="0"/>
              <w:rPr>
                <w:sz w:val="20"/>
                <w:szCs w:val="20"/>
                <w:color w:val="auto"/>
              </w:rPr>
            </w:pPr>
            <w:r>
              <w:rPr>
                <w:rFonts w:ascii="Arial" w:cs="Arial" w:eastAsia="Arial" w:hAnsi="Arial"/>
                <w:sz w:val="14"/>
                <w:szCs w:val="14"/>
                <w:color w:val="auto"/>
              </w:rPr>
              <w:t>Cash  Severance</w:t>
            </w: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0"/>
                <w:szCs w:val="20"/>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0"/>
                <w:szCs w:val="20"/>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3,600,000</w:t>
            </w:r>
          </w:p>
        </w:tc>
        <w:tc>
          <w:tcPr>
            <w:tcW w:w="200" w:type="dxa"/>
            <w:vAlign w:val="bottom"/>
          </w:tcPr>
          <w:p>
            <w:pPr>
              <w:spacing w:after="0"/>
              <w:rPr>
                <w:sz w:val="20"/>
                <w:szCs w:val="20"/>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3,600,000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1"/>
        </w:trPr>
        <w:tc>
          <w:tcPr>
            <w:tcW w:w="1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80" w:type="dxa"/>
            <w:vAlign w:val="bottom"/>
          </w:tcPr>
          <w:p>
            <w:pPr>
              <w:spacing w:after="0" w:line="189" w:lineRule="exact"/>
              <w:rPr>
                <w:sz w:val="20"/>
                <w:szCs w:val="20"/>
                <w:color w:val="auto"/>
              </w:rPr>
            </w:pPr>
            <w:r>
              <w:rPr>
                <w:rFonts w:ascii="Arial" w:cs="Arial" w:eastAsia="Arial" w:hAnsi="Arial"/>
                <w:sz w:val="14"/>
                <w:szCs w:val="14"/>
                <w:color w:val="auto"/>
              </w:rPr>
              <w:t>Equity  Acceleration</w:t>
            </w:r>
            <w:r>
              <w:rPr>
                <w:rFonts w:ascii="Arial" w:cs="Arial" w:eastAsia="Arial" w:hAnsi="Arial"/>
                <w:sz w:val="21"/>
                <w:szCs w:val="21"/>
                <w:color w:val="auto"/>
                <w:vertAlign w:val="superscript"/>
              </w:rPr>
              <w:t>(2)</w:t>
            </w: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9,044,998</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9,044,998</w:t>
            </w: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14,983,097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80" w:type="dxa"/>
            <w:vAlign w:val="bottom"/>
          </w:tcPr>
          <w:p>
            <w:pPr>
              <w:spacing w:after="0" w:line="189" w:lineRule="exact"/>
              <w:rPr>
                <w:sz w:val="20"/>
                <w:szCs w:val="20"/>
                <w:color w:val="auto"/>
              </w:rPr>
            </w:pPr>
            <w:r>
              <w:rPr>
                <w:rFonts w:ascii="Arial" w:cs="Arial" w:eastAsia="Arial" w:hAnsi="Arial"/>
                <w:sz w:val="14"/>
                <w:szCs w:val="14"/>
                <w:color w:val="auto"/>
              </w:rPr>
              <w:t>Continuation  Coverage  Benefts</w:t>
            </w:r>
            <w:r>
              <w:rPr>
                <w:rFonts w:ascii="Arial" w:cs="Arial" w:eastAsia="Arial" w:hAnsi="Arial"/>
                <w:sz w:val="21"/>
                <w:szCs w:val="21"/>
                <w:color w:val="auto"/>
                <w:vertAlign w:val="superscript"/>
              </w:rPr>
              <w:t>(3)</w:t>
            </w: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56,413</w:t>
            </w:r>
          </w:p>
        </w:tc>
        <w:tc>
          <w:tcPr>
            <w:tcW w:w="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56,413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80" w:type="dxa"/>
            <w:vAlign w:val="bottom"/>
          </w:tcPr>
          <w:p>
            <w:pPr>
              <w:spacing w:after="0" w:line="189" w:lineRule="exact"/>
              <w:rPr>
                <w:sz w:val="20"/>
                <w:szCs w:val="20"/>
                <w:color w:val="auto"/>
              </w:rPr>
            </w:pPr>
            <w:r>
              <w:rPr>
                <w:rFonts w:ascii="Arial" w:cs="Arial" w:eastAsia="Arial" w:hAnsi="Arial"/>
                <w:sz w:val="14"/>
                <w:szCs w:val="14"/>
                <w:color w:val="auto"/>
              </w:rPr>
              <w:t>Life  Insurance  Beneft</w:t>
            </w:r>
            <w:r>
              <w:rPr>
                <w:rFonts w:ascii="Arial" w:cs="Arial" w:eastAsia="Arial" w:hAnsi="Arial"/>
                <w:sz w:val="21"/>
                <w:szCs w:val="21"/>
                <w:color w:val="auto"/>
                <w:vertAlign w:val="superscript"/>
              </w:rPr>
              <w:t>(4)</w:t>
            </w: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2,400,000</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80" w:type="dxa"/>
            <w:vAlign w:val="bottom"/>
          </w:tcPr>
          <w:p>
            <w:pPr>
              <w:spacing w:after="0" w:line="189" w:lineRule="exact"/>
              <w:rPr>
                <w:sz w:val="20"/>
                <w:szCs w:val="20"/>
                <w:color w:val="auto"/>
              </w:rPr>
            </w:pPr>
            <w:r>
              <w:rPr>
                <w:rFonts w:ascii="Arial" w:cs="Arial" w:eastAsia="Arial" w:hAnsi="Arial"/>
                <w:sz w:val="14"/>
                <w:szCs w:val="14"/>
                <w:color w:val="auto"/>
              </w:rPr>
              <w:t>Outplacement  Services</w:t>
            </w:r>
            <w:r>
              <w:rPr>
                <w:rFonts w:ascii="Arial" w:cs="Arial" w:eastAsia="Arial" w:hAnsi="Arial"/>
                <w:sz w:val="21"/>
                <w:szCs w:val="21"/>
                <w:color w:val="auto"/>
                <w:vertAlign w:val="superscript"/>
              </w:rPr>
              <w:t>(5)</w:t>
            </w: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25,000</w:t>
            </w:r>
          </w:p>
        </w:tc>
        <w:tc>
          <w:tcPr>
            <w:tcW w:w="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25,000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36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2280" w:type="dxa"/>
            <w:vAlign w:val="bottom"/>
            <w:tcBorders>
              <w:bottom w:val="single" w:sz="8" w:color="808080"/>
            </w:tcBorders>
          </w:tcPr>
          <w:p>
            <w:pPr>
              <w:spacing w:after="0" w:line="210" w:lineRule="exact"/>
              <w:rPr>
                <w:sz w:val="20"/>
                <w:szCs w:val="20"/>
                <w:color w:val="auto"/>
              </w:rPr>
            </w:pPr>
            <w:r>
              <w:rPr>
                <w:rFonts w:ascii="Arial" w:cs="Arial" w:eastAsia="Arial" w:hAnsi="Arial"/>
                <w:sz w:val="14"/>
                <w:szCs w:val="14"/>
                <w:color w:val="auto"/>
              </w:rPr>
              <w:t>Flight  Benefts</w:t>
            </w:r>
            <w:r>
              <w:rPr>
                <w:rFonts w:ascii="Arial" w:cs="Arial" w:eastAsia="Arial" w:hAnsi="Arial"/>
                <w:sz w:val="21"/>
                <w:szCs w:val="21"/>
                <w:color w:val="auto"/>
                <w:vertAlign w:val="superscript"/>
              </w:rPr>
              <w:t>(6)</w:t>
            </w:r>
          </w:p>
        </w:tc>
        <w:tc>
          <w:tcPr>
            <w:tcW w:w="200" w:type="dxa"/>
            <w:vAlign w:val="bottom"/>
            <w:tcBorders>
              <w:bottom w:val="single" w:sz="8" w:color="808080"/>
            </w:tcBorders>
          </w:tcPr>
          <w:p>
            <w:pPr>
              <w:spacing w:after="0"/>
              <w:rPr>
                <w:sz w:val="18"/>
                <w:szCs w:val="18"/>
                <w:color w:val="auto"/>
              </w:rPr>
            </w:pPr>
          </w:p>
        </w:tc>
        <w:tc>
          <w:tcPr>
            <w:tcW w:w="1020" w:type="dxa"/>
            <w:vAlign w:val="bottom"/>
            <w:tcBorders>
              <w:bottom w:val="single" w:sz="8" w:color="808080"/>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808080"/>
            </w:tcBorders>
          </w:tcPr>
          <w:p>
            <w:pPr>
              <w:spacing w:after="0"/>
              <w:rPr>
                <w:sz w:val="18"/>
                <w:szCs w:val="18"/>
                <w:color w:val="auto"/>
              </w:rPr>
            </w:pPr>
          </w:p>
        </w:tc>
        <w:tc>
          <w:tcPr>
            <w:tcW w:w="980" w:type="dxa"/>
            <w:vAlign w:val="bottom"/>
            <w:tcBorders>
              <w:bottom w:val="single" w:sz="8" w:color="808080"/>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900" w:type="dxa"/>
            <w:vAlign w:val="bottom"/>
            <w:tcBorders>
              <w:bottom w:val="single" w:sz="8" w:color="808080"/>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808080"/>
            </w:tcBorders>
          </w:tcPr>
          <w:p>
            <w:pPr>
              <w:spacing w:after="0"/>
              <w:rPr>
                <w:sz w:val="18"/>
                <w:szCs w:val="18"/>
                <w:color w:val="auto"/>
              </w:rPr>
            </w:pPr>
          </w:p>
        </w:tc>
        <w:tc>
          <w:tcPr>
            <w:tcW w:w="1080" w:type="dxa"/>
            <w:vAlign w:val="bottom"/>
            <w:tcBorders>
              <w:bottom w:val="single" w:sz="8" w:color="808080"/>
            </w:tcBorders>
          </w:tcPr>
          <w:p>
            <w:pPr>
              <w:jc w:val="right"/>
              <w:spacing w:after="0"/>
              <w:rPr>
                <w:sz w:val="20"/>
                <w:szCs w:val="20"/>
                <w:color w:val="auto"/>
              </w:rPr>
            </w:pPr>
            <w:r>
              <w:rPr>
                <w:rFonts w:ascii="Arial" w:cs="Arial" w:eastAsia="Arial" w:hAnsi="Arial"/>
                <w:sz w:val="14"/>
                <w:szCs w:val="14"/>
                <w:color w:val="auto"/>
              </w:rPr>
              <w:t>144,001</w:t>
            </w:r>
          </w:p>
        </w:tc>
        <w:tc>
          <w:tcPr>
            <w:tcW w:w="200" w:type="dxa"/>
            <w:vAlign w:val="bottom"/>
            <w:tcBorders>
              <w:bottom w:val="single" w:sz="8" w:color="808080"/>
            </w:tcBorders>
          </w:tcPr>
          <w:p>
            <w:pPr>
              <w:spacing w:after="0"/>
              <w:rPr>
                <w:sz w:val="18"/>
                <w:szCs w:val="18"/>
                <w:color w:val="auto"/>
              </w:rPr>
            </w:pPr>
          </w:p>
        </w:tc>
        <w:tc>
          <w:tcPr>
            <w:tcW w:w="980" w:type="dxa"/>
            <w:vAlign w:val="bottom"/>
            <w:tcBorders>
              <w:bottom w:val="single" w:sz="8" w:color="808080"/>
            </w:tcBorders>
          </w:tcPr>
          <w:p>
            <w:pPr>
              <w:jc w:val="right"/>
              <w:spacing w:after="0"/>
              <w:rPr>
                <w:sz w:val="20"/>
                <w:szCs w:val="20"/>
                <w:color w:val="auto"/>
              </w:rPr>
            </w:pPr>
            <w:r>
              <w:rPr>
                <w:rFonts w:ascii="Arial" w:cs="Arial" w:eastAsia="Arial" w:hAnsi="Arial"/>
                <w:sz w:val="14"/>
                <w:szCs w:val="14"/>
                <w:color w:val="auto"/>
              </w:rPr>
              <w:t>144,001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60" w:type="dxa"/>
            <w:vAlign w:val="bottom"/>
          </w:tcPr>
          <w:p>
            <w:pPr>
              <w:ind w:left="120"/>
              <w:spacing w:after="0"/>
              <w:rPr>
                <w:sz w:val="20"/>
                <w:szCs w:val="20"/>
                <w:color w:val="auto"/>
              </w:rPr>
            </w:pPr>
            <w:r>
              <w:rPr>
                <w:rFonts w:ascii="Arial" w:cs="Arial" w:eastAsia="Arial" w:hAnsi="Arial"/>
                <w:sz w:val="14"/>
                <w:szCs w:val="14"/>
                <w:b w:val="1"/>
                <w:bCs w:val="1"/>
                <w:color w:val="auto"/>
              </w:rPr>
              <w:t>Brett Hart</w:t>
            </w:r>
          </w:p>
        </w:tc>
        <w:tc>
          <w:tcPr>
            <w:tcW w:w="180" w:type="dxa"/>
            <w:vAlign w:val="bottom"/>
          </w:tcPr>
          <w:p>
            <w:pPr>
              <w:spacing w:after="0"/>
              <w:rPr>
                <w:sz w:val="20"/>
                <w:szCs w:val="20"/>
                <w:color w:val="auto"/>
              </w:rPr>
            </w:pPr>
          </w:p>
        </w:tc>
        <w:tc>
          <w:tcPr>
            <w:tcW w:w="2280" w:type="dxa"/>
            <w:vAlign w:val="bottom"/>
            <w:vMerge w:val="restart"/>
          </w:tcPr>
          <w:p>
            <w:pPr>
              <w:spacing w:after="0"/>
              <w:rPr>
                <w:sz w:val="20"/>
                <w:szCs w:val="20"/>
                <w:color w:val="auto"/>
              </w:rPr>
            </w:pPr>
            <w:r>
              <w:rPr>
                <w:rFonts w:ascii="Arial" w:cs="Arial" w:eastAsia="Arial" w:hAnsi="Arial"/>
                <w:sz w:val="14"/>
                <w:szCs w:val="14"/>
                <w:color w:val="auto"/>
              </w:rPr>
              <w:t>Cash  Severance</w:t>
            </w: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60" w:type="dxa"/>
            <w:vAlign w:val="bottom"/>
            <w:gridSpan w:val="2"/>
          </w:tcPr>
          <w:p>
            <w:pPr>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5,500,000</w:t>
            </w: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5,500,000</w:t>
            </w:r>
          </w:p>
        </w:tc>
        <w:tc>
          <w:tcPr>
            <w:tcW w:w="40" w:type="dxa"/>
            <w:vAlign w:val="bottom"/>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1"/>
        </w:trPr>
        <w:tc>
          <w:tcPr>
            <w:tcW w:w="1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80" w:type="dxa"/>
            <w:vAlign w:val="bottom"/>
          </w:tcPr>
          <w:p>
            <w:pPr>
              <w:spacing w:after="0" w:line="189" w:lineRule="exact"/>
              <w:rPr>
                <w:sz w:val="20"/>
                <w:szCs w:val="20"/>
                <w:color w:val="auto"/>
              </w:rPr>
            </w:pPr>
            <w:r>
              <w:rPr>
                <w:rFonts w:ascii="Arial" w:cs="Arial" w:eastAsia="Arial" w:hAnsi="Arial"/>
                <w:sz w:val="14"/>
                <w:szCs w:val="14"/>
                <w:color w:val="auto"/>
              </w:rPr>
              <w:t>Equity  Acceleration</w:t>
            </w:r>
            <w:r>
              <w:rPr>
                <w:rFonts w:ascii="Arial" w:cs="Arial" w:eastAsia="Arial" w:hAnsi="Arial"/>
                <w:sz w:val="21"/>
                <w:szCs w:val="21"/>
                <w:color w:val="auto"/>
                <w:vertAlign w:val="superscript"/>
              </w:rPr>
              <w:t>(2)</w:t>
            </w: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19,597,934</w:t>
            </w: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27,152,940</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27,152,940</w:t>
            </w: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19,597,934</w:t>
            </w:r>
          </w:p>
        </w:tc>
        <w:tc>
          <w:tcPr>
            <w:tcW w:w="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36,332,330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80" w:type="dxa"/>
            <w:vAlign w:val="bottom"/>
          </w:tcPr>
          <w:p>
            <w:pPr>
              <w:spacing w:after="0" w:line="189" w:lineRule="exact"/>
              <w:rPr>
                <w:sz w:val="20"/>
                <w:szCs w:val="20"/>
                <w:color w:val="auto"/>
              </w:rPr>
            </w:pPr>
            <w:r>
              <w:rPr>
                <w:rFonts w:ascii="Arial" w:cs="Arial" w:eastAsia="Arial" w:hAnsi="Arial"/>
                <w:sz w:val="14"/>
                <w:szCs w:val="14"/>
                <w:color w:val="auto"/>
              </w:rPr>
              <w:t>Continuation  Coverage  Benefts</w:t>
            </w:r>
            <w:r>
              <w:rPr>
                <w:rFonts w:ascii="Arial" w:cs="Arial" w:eastAsia="Arial" w:hAnsi="Arial"/>
                <w:sz w:val="21"/>
                <w:szCs w:val="21"/>
                <w:color w:val="auto"/>
                <w:vertAlign w:val="superscript"/>
              </w:rPr>
              <w:t>(3)</w:t>
            </w: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102,037</w:t>
            </w:r>
          </w:p>
        </w:tc>
        <w:tc>
          <w:tcPr>
            <w:tcW w:w="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102,037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80" w:type="dxa"/>
            <w:vAlign w:val="bottom"/>
          </w:tcPr>
          <w:p>
            <w:pPr>
              <w:spacing w:after="0" w:line="189" w:lineRule="exact"/>
              <w:rPr>
                <w:sz w:val="20"/>
                <w:szCs w:val="20"/>
                <w:color w:val="auto"/>
              </w:rPr>
            </w:pPr>
            <w:r>
              <w:rPr>
                <w:rFonts w:ascii="Arial" w:cs="Arial" w:eastAsia="Arial" w:hAnsi="Arial"/>
                <w:sz w:val="14"/>
                <w:szCs w:val="14"/>
                <w:color w:val="auto"/>
              </w:rPr>
              <w:t>Life  Insurance  Beneft</w:t>
            </w:r>
            <w:r>
              <w:rPr>
                <w:rFonts w:ascii="Arial" w:cs="Arial" w:eastAsia="Arial" w:hAnsi="Arial"/>
                <w:sz w:val="21"/>
                <w:szCs w:val="21"/>
                <w:color w:val="auto"/>
                <w:vertAlign w:val="superscript"/>
              </w:rPr>
              <w:t>(4)</w:t>
            </w: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3,000,000</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80" w:type="dxa"/>
            <w:vAlign w:val="bottom"/>
          </w:tcPr>
          <w:p>
            <w:pPr>
              <w:spacing w:after="0" w:line="189" w:lineRule="exact"/>
              <w:rPr>
                <w:sz w:val="20"/>
                <w:szCs w:val="20"/>
                <w:color w:val="auto"/>
              </w:rPr>
            </w:pPr>
            <w:r>
              <w:rPr>
                <w:rFonts w:ascii="Arial" w:cs="Arial" w:eastAsia="Arial" w:hAnsi="Arial"/>
                <w:sz w:val="14"/>
                <w:szCs w:val="14"/>
                <w:color w:val="auto"/>
              </w:rPr>
              <w:t>Outplacement  Services</w:t>
            </w:r>
            <w:r>
              <w:rPr>
                <w:rFonts w:ascii="Arial" w:cs="Arial" w:eastAsia="Arial" w:hAnsi="Arial"/>
                <w:sz w:val="21"/>
                <w:szCs w:val="21"/>
                <w:color w:val="auto"/>
                <w:vertAlign w:val="superscript"/>
              </w:rPr>
              <w:t>(5)</w:t>
            </w: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25,000</w:t>
            </w:r>
          </w:p>
        </w:tc>
        <w:tc>
          <w:tcPr>
            <w:tcW w:w="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25,000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36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2280" w:type="dxa"/>
            <w:vAlign w:val="bottom"/>
            <w:tcBorders>
              <w:bottom w:val="single" w:sz="8" w:color="808080"/>
            </w:tcBorders>
          </w:tcPr>
          <w:p>
            <w:pPr>
              <w:spacing w:after="0" w:line="210" w:lineRule="exact"/>
              <w:rPr>
                <w:sz w:val="20"/>
                <w:szCs w:val="20"/>
                <w:color w:val="auto"/>
              </w:rPr>
            </w:pPr>
            <w:r>
              <w:rPr>
                <w:rFonts w:ascii="Arial" w:cs="Arial" w:eastAsia="Arial" w:hAnsi="Arial"/>
                <w:sz w:val="14"/>
                <w:szCs w:val="14"/>
                <w:color w:val="auto"/>
              </w:rPr>
              <w:t>Flight  Benefts</w:t>
            </w:r>
            <w:r>
              <w:rPr>
                <w:rFonts w:ascii="Arial" w:cs="Arial" w:eastAsia="Arial" w:hAnsi="Arial"/>
                <w:sz w:val="21"/>
                <w:szCs w:val="21"/>
                <w:color w:val="auto"/>
                <w:vertAlign w:val="superscript"/>
              </w:rPr>
              <w:t>(6)</w:t>
            </w:r>
          </w:p>
        </w:tc>
        <w:tc>
          <w:tcPr>
            <w:tcW w:w="200" w:type="dxa"/>
            <w:vAlign w:val="bottom"/>
            <w:tcBorders>
              <w:bottom w:val="single" w:sz="8" w:color="808080"/>
            </w:tcBorders>
          </w:tcPr>
          <w:p>
            <w:pPr>
              <w:spacing w:after="0"/>
              <w:rPr>
                <w:sz w:val="18"/>
                <w:szCs w:val="18"/>
                <w:color w:val="auto"/>
              </w:rPr>
            </w:pPr>
          </w:p>
        </w:tc>
        <w:tc>
          <w:tcPr>
            <w:tcW w:w="1020" w:type="dxa"/>
            <w:vAlign w:val="bottom"/>
            <w:tcBorders>
              <w:bottom w:val="single" w:sz="8" w:color="808080"/>
            </w:tcBorders>
          </w:tcPr>
          <w:p>
            <w:pPr>
              <w:jc w:val="right"/>
              <w:spacing w:after="0"/>
              <w:rPr>
                <w:sz w:val="20"/>
                <w:szCs w:val="20"/>
                <w:color w:val="auto"/>
              </w:rPr>
            </w:pPr>
            <w:r>
              <w:rPr>
                <w:rFonts w:ascii="Arial" w:cs="Arial" w:eastAsia="Arial" w:hAnsi="Arial"/>
                <w:sz w:val="14"/>
                <w:szCs w:val="14"/>
                <w:color w:val="auto"/>
              </w:rPr>
              <w:t>105,524</w:t>
            </w:r>
          </w:p>
        </w:tc>
        <w:tc>
          <w:tcPr>
            <w:tcW w:w="220" w:type="dxa"/>
            <w:vAlign w:val="bottom"/>
            <w:tcBorders>
              <w:bottom w:val="single" w:sz="8" w:color="808080"/>
            </w:tcBorders>
          </w:tcPr>
          <w:p>
            <w:pPr>
              <w:spacing w:after="0"/>
              <w:rPr>
                <w:sz w:val="18"/>
                <w:szCs w:val="18"/>
                <w:color w:val="auto"/>
              </w:rPr>
            </w:pPr>
          </w:p>
        </w:tc>
        <w:tc>
          <w:tcPr>
            <w:tcW w:w="980" w:type="dxa"/>
            <w:vAlign w:val="bottom"/>
            <w:tcBorders>
              <w:bottom w:val="single" w:sz="8" w:color="808080"/>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900" w:type="dxa"/>
            <w:vAlign w:val="bottom"/>
            <w:tcBorders>
              <w:bottom w:val="single" w:sz="8" w:color="808080"/>
            </w:tcBorders>
          </w:tcPr>
          <w:p>
            <w:pPr>
              <w:jc w:val="right"/>
              <w:spacing w:after="0"/>
              <w:rPr>
                <w:sz w:val="20"/>
                <w:szCs w:val="20"/>
                <w:color w:val="auto"/>
              </w:rPr>
            </w:pPr>
            <w:r>
              <w:rPr>
                <w:rFonts w:ascii="Arial" w:cs="Arial" w:eastAsia="Arial" w:hAnsi="Arial"/>
                <w:sz w:val="14"/>
                <w:szCs w:val="14"/>
                <w:color w:val="auto"/>
              </w:rPr>
              <w:t>105,524</w:t>
            </w:r>
          </w:p>
        </w:tc>
        <w:tc>
          <w:tcPr>
            <w:tcW w:w="220" w:type="dxa"/>
            <w:vAlign w:val="bottom"/>
            <w:tcBorders>
              <w:bottom w:val="single" w:sz="8" w:color="808080"/>
            </w:tcBorders>
          </w:tcPr>
          <w:p>
            <w:pPr>
              <w:spacing w:after="0"/>
              <w:rPr>
                <w:sz w:val="18"/>
                <w:szCs w:val="18"/>
                <w:color w:val="auto"/>
              </w:rPr>
            </w:pPr>
          </w:p>
        </w:tc>
        <w:tc>
          <w:tcPr>
            <w:tcW w:w="1080" w:type="dxa"/>
            <w:vAlign w:val="bottom"/>
            <w:tcBorders>
              <w:bottom w:val="single" w:sz="8" w:color="808080"/>
            </w:tcBorders>
          </w:tcPr>
          <w:p>
            <w:pPr>
              <w:jc w:val="right"/>
              <w:spacing w:after="0"/>
              <w:rPr>
                <w:sz w:val="20"/>
                <w:szCs w:val="20"/>
                <w:color w:val="auto"/>
              </w:rPr>
            </w:pPr>
            <w:r>
              <w:rPr>
                <w:rFonts w:ascii="Arial" w:cs="Arial" w:eastAsia="Arial" w:hAnsi="Arial"/>
                <w:sz w:val="14"/>
                <w:szCs w:val="14"/>
                <w:color w:val="auto"/>
              </w:rPr>
              <w:t>105,524</w:t>
            </w:r>
          </w:p>
        </w:tc>
        <w:tc>
          <w:tcPr>
            <w:tcW w:w="200" w:type="dxa"/>
            <w:vAlign w:val="bottom"/>
            <w:tcBorders>
              <w:bottom w:val="single" w:sz="8" w:color="808080"/>
            </w:tcBorders>
          </w:tcPr>
          <w:p>
            <w:pPr>
              <w:spacing w:after="0"/>
              <w:rPr>
                <w:sz w:val="18"/>
                <w:szCs w:val="18"/>
                <w:color w:val="auto"/>
              </w:rPr>
            </w:pPr>
          </w:p>
        </w:tc>
        <w:tc>
          <w:tcPr>
            <w:tcW w:w="980" w:type="dxa"/>
            <w:vAlign w:val="bottom"/>
            <w:tcBorders>
              <w:bottom w:val="single" w:sz="8" w:color="808080"/>
            </w:tcBorders>
          </w:tcPr>
          <w:p>
            <w:pPr>
              <w:jc w:val="right"/>
              <w:spacing w:after="0"/>
              <w:rPr>
                <w:sz w:val="20"/>
                <w:szCs w:val="20"/>
                <w:color w:val="auto"/>
              </w:rPr>
            </w:pPr>
            <w:r>
              <w:rPr>
                <w:rFonts w:ascii="Arial" w:cs="Arial" w:eastAsia="Arial" w:hAnsi="Arial"/>
                <w:sz w:val="14"/>
                <w:szCs w:val="14"/>
                <w:color w:val="auto"/>
              </w:rPr>
              <w:t>105,524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60" w:type="dxa"/>
            <w:vAlign w:val="bottom"/>
          </w:tcPr>
          <w:p>
            <w:pPr>
              <w:ind w:left="120"/>
              <w:spacing w:after="0"/>
              <w:rPr>
                <w:sz w:val="20"/>
                <w:szCs w:val="20"/>
                <w:color w:val="auto"/>
              </w:rPr>
            </w:pPr>
            <w:r>
              <w:rPr>
                <w:rFonts w:ascii="Arial" w:cs="Arial" w:eastAsia="Arial" w:hAnsi="Arial"/>
                <w:sz w:val="14"/>
                <w:szCs w:val="14"/>
                <w:b w:val="1"/>
                <w:bCs w:val="1"/>
                <w:color w:val="auto"/>
              </w:rPr>
              <w:t>Torbjorn Enqvist</w:t>
            </w:r>
          </w:p>
        </w:tc>
        <w:tc>
          <w:tcPr>
            <w:tcW w:w="180" w:type="dxa"/>
            <w:vAlign w:val="bottom"/>
          </w:tcPr>
          <w:p>
            <w:pPr>
              <w:spacing w:after="0"/>
              <w:rPr>
                <w:sz w:val="20"/>
                <w:szCs w:val="20"/>
                <w:color w:val="auto"/>
              </w:rPr>
            </w:pPr>
          </w:p>
        </w:tc>
        <w:tc>
          <w:tcPr>
            <w:tcW w:w="2280" w:type="dxa"/>
            <w:vAlign w:val="bottom"/>
            <w:vMerge w:val="restart"/>
          </w:tcPr>
          <w:p>
            <w:pPr>
              <w:spacing w:after="0"/>
              <w:rPr>
                <w:sz w:val="20"/>
                <w:szCs w:val="20"/>
                <w:color w:val="auto"/>
              </w:rPr>
            </w:pPr>
            <w:r>
              <w:rPr>
                <w:rFonts w:ascii="Arial" w:cs="Arial" w:eastAsia="Arial" w:hAnsi="Arial"/>
                <w:sz w:val="14"/>
                <w:szCs w:val="14"/>
                <w:color w:val="auto"/>
              </w:rPr>
              <w:t>Cash  Severance</w:t>
            </w: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60" w:type="dxa"/>
            <w:vAlign w:val="bottom"/>
            <w:gridSpan w:val="2"/>
          </w:tcPr>
          <w:p>
            <w:pPr>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4,224,000</w:t>
            </w: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4,224,000</w:t>
            </w:r>
          </w:p>
        </w:tc>
        <w:tc>
          <w:tcPr>
            <w:tcW w:w="40" w:type="dxa"/>
            <w:vAlign w:val="bottom"/>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1"/>
        </w:trPr>
        <w:tc>
          <w:tcPr>
            <w:tcW w:w="1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80" w:type="dxa"/>
            <w:vAlign w:val="bottom"/>
          </w:tcPr>
          <w:p>
            <w:pPr>
              <w:spacing w:after="0" w:line="189" w:lineRule="exact"/>
              <w:rPr>
                <w:sz w:val="20"/>
                <w:szCs w:val="20"/>
                <w:color w:val="auto"/>
              </w:rPr>
            </w:pPr>
            <w:r>
              <w:rPr>
                <w:rFonts w:ascii="Arial" w:cs="Arial" w:eastAsia="Arial" w:hAnsi="Arial"/>
                <w:sz w:val="14"/>
                <w:szCs w:val="14"/>
                <w:color w:val="auto"/>
              </w:rPr>
              <w:t>Equity  Acceleration</w:t>
            </w:r>
            <w:r>
              <w:rPr>
                <w:rFonts w:ascii="Arial" w:cs="Arial" w:eastAsia="Arial" w:hAnsi="Arial"/>
                <w:sz w:val="21"/>
                <w:szCs w:val="21"/>
                <w:color w:val="auto"/>
                <w:vertAlign w:val="superscript"/>
              </w:rPr>
              <w:t>(2)</w:t>
            </w: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9,227,320</w:t>
            </w: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12,702,797</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12,702,797</w:t>
            </w: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9,227,320</w:t>
            </w:r>
          </w:p>
        </w:tc>
        <w:tc>
          <w:tcPr>
            <w:tcW w:w="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20,832,960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80" w:type="dxa"/>
            <w:vAlign w:val="bottom"/>
          </w:tcPr>
          <w:p>
            <w:pPr>
              <w:spacing w:after="0" w:line="189" w:lineRule="exact"/>
              <w:rPr>
                <w:sz w:val="20"/>
                <w:szCs w:val="20"/>
                <w:color w:val="auto"/>
              </w:rPr>
            </w:pPr>
            <w:r>
              <w:rPr>
                <w:rFonts w:ascii="Arial" w:cs="Arial" w:eastAsia="Arial" w:hAnsi="Arial"/>
                <w:sz w:val="14"/>
                <w:szCs w:val="14"/>
                <w:color w:val="auto"/>
              </w:rPr>
              <w:t>Continuation  Coverage  Benefts</w:t>
            </w:r>
            <w:r>
              <w:rPr>
                <w:rFonts w:ascii="Arial" w:cs="Arial" w:eastAsia="Arial" w:hAnsi="Arial"/>
                <w:sz w:val="21"/>
                <w:szCs w:val="21"/>
                <w:color w:val="auto"/>
                <w:vertAlign w:val="superscript"/>
              </w:rPr>
              <w:t>(3)</w:t>
            </w: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58,042</w:t>
            </w:r>
          </w:p>
        </w:tc>
        <w:tc>
          <w:tcPr>
            <w:tcW w:w="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58,042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80" w:type="dxa"/>
            <w:vAlign w:val="bottom"/>
          </w:tcPr>
          <w:p>
            <w:pPr>
              <w:spacing w:after="0" w:line="189" w:lineRule="exact"/>
              <w:rPr>
                <w:sz w:val="20"/>
                <w:szCs w:val="20"/>
                <w:color w:val="auto"/>
              </w:rPr>
            </w:pPr>
            <w:r>
              <w:rPr>
                <w:rFonts w:ascii="Arial" w:cs="Arial" w:eastAsia="Arial" w:hAnsi="Arial"/>
                <w:sz w:val="14"/>
                <w:szCs w:val="14"/>
                <w:color w:val="auto"/>
              </w:rPr>
              <w:t>Life  Insurance  Beneft</w:t>
            </w:r>
            <w:r>
              <w:rPr>
                <w:rFonts w:ascii="Arial" w:cs="Arial" w:eastAsia="Arial" w:hAnsi="Arial"/>
                <w:sz w:val="21"/>
                <w:szCs w:val="21"/>
                <w:color w:val="auto"/>
                <w:vertAlign w:val="superscript"/>
              </w:rPr>
              <w:t>(4)</w:t>
            </w: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2,640,000</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80" w:type="dxa"/>
            <w:vAlign w:val="bottom"/>
          </w:tcPr>
          <w:p>
            <w:pPr>
              <w:spacing w:after="0" w:line="189" w:lineRule="exact"/>
              <w:rPr>
                <w:sz w:val="20"/>
                <w:szCs w:val="20"/>
                <w:color w:val="auto"/>
              </w:rPr>
            </w:pPr>
            <w:r>
              <w:rPr>
                <w:rFonts w:ascii="Arial" w:cs="Arial" w:eastAsia="Arial" w:hAnsi="Arial"/>
                <w:sz w:val="14"/>
                <w:szCs w:val="14"/>
                <w:color w:val="auto"/>
              </w:rPr>
              <w:t>Outplacement  Services</w:t>
            </w:r>
            <w:r>
              <w:rPr>
                <w:rFonts w:ascii="Arial" w:cs="Arial" w:eastAsia="Arial" w:hAnsi="Arial"/>
                <w:sz w:val="21"/>
                <w:szCs w:val="21"/>
                <w:color w:val="auto"/>
                <w:vertAlign w:val="superscript"/>
              </w:rPr>
              <w:t>(5)</w:t>
            </w: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25,000</w:t>
            </w:r>
          </w:p>
        </w:tc>
        <w:tc>
          <w:tcPr>
            <w:tcW w:w="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25,000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36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2280" w:type="dxa"/>
            <w:vAlign w:val="bottom"/>
            <w:tcBorders>
              <w:bottom w:val="single" w:sz="8" w:color="808080"/>
            </w:tcBorders>
          </w:tcPr>
          <w:p>
            <w:pPr>
              <w:spacing w:after="0" w:line="210" w:lineRule="exact"/>
              <w:rPr>
                <w:sz w:val="20"/>
                <w:szCs w:val="20"/>
                <w:color w:val="auto"/>
              </w:rPr>
            </w:pPr>
            <w:r>
              <w:rPr>
                <w:rFonts w:ascii="Arial" w:cs="Arial" w:eastAsia="Arial" w:hAnsi="Arial"/>
                <w:sz w:val="14"/>
                <w:szCs w:val="14"/>
                <w:color w:val="auto"/>
              </w:rPr>
              <w:t>Flight  Benefts</w:t>
            </w:r>
            <w:r>
              <w:rPr>
                <w:rFonts w:ascii="Arial" w:cs="Arial" w:eastAsia="Arial" w:hAnsi="Arial"/>
                <w:sz w:val="21"/>
                <w:szCs w:val="21"/>
                <w:color w:val="auto"/>
                <w:vertAlign w:val="superscript"/>
              </w:rPr>
              <w:t>(6)</w:t>
            </w:r>
          </w:p>
        </w:tc>
        <w:tc>
          <w:tcPr>
            <w:tcW w:w="200" w:type="dxa"/>
            <w:vAlign w:val="bottom"/>
            <w:tcBorders>
              <w:bottom w:val="single" w:sz="8" w:color="808080"/>
            </w:tcBorders>
          </w:tcPr>
          <w:p>
            <w:pPr>
              <w:spacing w:after="0"/>
              <w:rPr>
                <w:sz w:val="18"/>
                <w:szCs w:val="18"/>
                <w:color w:val="auto"/>
              </w:rPr>
            </w:pPr>
          </w:p>
        </w:tc>
        <w:tc>
          <w:tcPr>
            <w:tcW w:w="1020" w:type="dxa"/>
            <w:vAlign w:val="bottom"/>
            <w:tcBorders>
              <w:bottom w:val="single" w:sz="8" w:color="808080"/>
            </w:tcBorders>
          </w:tcPr>
          <w:p>
            <w:pPr>
              <w:jc w:val="right"/>
              <w:spacing w:after="0"/>
              <w:rPr>
                <w:sz w:val="20"/>
                <w:szCs w:val="20"/>
                <w:color w:val="auto"/>
              </w:rPr>
            </w:pPr>
            <w:r>
              <w:rPr>
                <w:rFonts w:ascii="Arial" w:cs="Arial" w:eastAsia="Arial" w:hAnsi="Arial"/>
                <w:sz w:val="14"/>
                <w:szCs w:val="14"/>
                <w:color w:val="auto"/>
              </w:rPr>
              <w:t>44,534</w:t>
            </w:r>
          </w:p>
        </w:tc>
        <w:tc>
          <w:tcPr>
            <w:tcW w:w="220" w:type="dxa"/>
            <w:vAlign w:val="bottom"/>
            <w:tcBorders>
              <w:bottom w:val="single" w:sz="8" w:color="808080"/>
            </w:tcBorders>
          </w:tcPr>
          <w:p>
            <w:pPr>
              <w:spacing w:after="0"/>
              <w:rPr>
                <w:sz w:val="18"/>
                <w:szCs w:val="18"/>
                <w:color w:val="auto"/>
              </w:rPr>
            </w:pPr>
          </w:p>
        </w:tc>
        <w:tc>
          <w:tcPr>
            <w:tcW w:w="980" w:type="dxa"/>
            <w:vAlign w:val="bottom"/>
            <w:tcBorders>
              <w:bottom w:val="single" w:sz="8" w:color="808080"/>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900" w:type="dxa"/>
            <w:vAlign w:val="bottom"/>
            <w:tcBorders>
              <w:bottom w:val="single" w:sz="8" w:color="808080"/>
            </w:tcBorders>
          </w:tcPr>
          <w:p>
            <w:pPr>
              <w:jc w:val="right"/>
              <w:spacing w:after="0"/>
              <w:rPr>
                <w:sz w:val="20"/>
                <w:szCs w:val="20"/>
                <w:color w:val="auto"/>
              </w:rPr>
            </w:pPr>
            <w:r>
              <w:rPr>
                <w:rFonts w:ascii="Arial" w:cs="Arial" w:eastAsia="Arial" w:hAnsi="Arial"/>
                <w:sz w:val="14"/>
                <w:szCs w:val="14"/>
                <w:color w:val="auto"/>
              </w:rPr>
              <w:t>44,534</w:t>
            </w:r>
          </w:p>
        </w:tc>
        <w:tc>
          <w:tcPr>
            <w:tcW w:w="220" w:type="dxa"/>
            <w:vAlign w:val="bottom"/>
            <w:tcBorders>
              <w:bottom w:val="single" w:sz="8" w:color="808080"/>
            </w:tcBorders>
          </w:tcPr>
          <w:p>
            <w:pPr>
              <w:spacing w:after="0"/>
              <w:rPr>
                <w:sz w:val="18"/>
                <w:szCs w:val="18"/>
                <w:color w:val="auto"/>
              </w:rPr>
            </w:pPr>
          </w:p>
        </w:tc>
        <w:tc>
          <w:tcPr>
            <w:tcW w:w="1080" w:type="dxa"/>
            <w:vAlign w:val="bottom"/>
            <w:tcBorders>
              <w:bottom w:val="single" w:sz="8" w:color="808080"/>
            </w:tcBorders>
          </w:tcPr>
          <w:p>
            <w:pPr>
              <w:jc w:val="right"/>
              <w:spacing w:after="0"/>
              <w:rPr>
                <w:sz w:val="20"/>
                <w:szCs w:val="20"/>
                <w:color w:val="auto"/>
              </w:rPr>
            </w:pPr>
            <w:r>
              <w:rPr>
                <w:rFonts w:ascii="Arial" w:cs="Arial" w:eastAsia="Arial" w:hAnsi="Arial"/>
                <w:sz w:val="14"/>
                <w:szCs w:val="14"/>
                <w:color w:val="auto"/>
              </w:rPr>
              <w:t>44,534</w:t>
            </w:r>
          </w:p>
        </w:tc>
        <w:tc>
          <w:tcPr>
            <w:tcW w:w="200" w:type="dxa"/>
            <w:vAlign w:val="bottom"/>
            <w:tcBorders>
              <w:bottom w:val="single" w:sz="8" w:color="808080"/>
            </w:tcBorders>
          </w:tcPr>
          <w:p>
            <w:pPr>
              <w:spacing w:after="0"/>
              <w:rPr>
                <w:sz w:val="18"/>
                <w:szCs w:val="18"/>
                <w:color w:val="auto"/>
              </w:rPr>
            </w:pPr>
          </w:p>
        </w:tc>
        <w:tc>
          <w:tcPr>
            <w:tcW w:w="980" w:type="dxa"/>
            <w:vAlign w:val="bottom"/>
            <w:tcBorders>
              <w:bottom w:val="single" w:sz="8" w:color="808080"/>
            </w:tcBorders>
          </w:tcPr>
          <w:p>
            <w:pPr>
              <w:jc w:val="right"/>
              <w:spacing w:after="0"/>
              <w:rPr>
                <w:sz w:val="20"/>
                <w:szCs w:val="20"/>
                <w:color w:val="auto"/>
              </w:rPr>
            </w:pPr>
            <w:r>
              <w:rPr>
                <w:rFonts w:ascii="Arial" w:cs="Arial" w:eastAsia="Arial" w:hAnsi="Arial"/>
                <w:sz w:val="14"/>
                <w:szCs w:val="14"/>
                <w:color w:val="auto"/>
              </w:rPr>
              <w:t>44,534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60" w:type="dxa"/>
            <w:vAlign w:val="bottom"/>
          </w:tcPr>
          <w:p>
            <w:pPr>
              <w:ind w:left="120"/>
              <w:spacing w:after="0"/>
              <w:rPr>
                <w:sz w:val="20"/>
                <w:szCs w:val="20"/>
                <w:color w:val="auto"/>
              </w:rPr>
            </w:pPr>
            <w:r>
              <w:rPr>
                <w:rFonts w:ascii="Arial" w:cs="Arial" w:eastAsia="Arial" w:hAnsi="Arial"/>
                <w:sz w:val="14"/>
                <w:szCs w:val="14"/>
                <w:b w:val="1"/>
                <w:bCs w:val="1"/>
                <w:color w:val="auto"/>
              </w:rPr>
              <w:t>Andrew Nocella</w:t>
            </w:r>
          </w:p>
        </w:tc>
        <w:tc>
          <w:tcPr>
            <w:tcW w:w="180" w:type="dxa"/>
            <w:vAlign w:val="bottom"/>
          </w:tcPr>
          <w:p>
            <w:pPr>
              <w:spacing w:after="0"/>
              <w:rPr>
                <w:sz w:val="20"/>
                <w:szCs w:val="20"/>
                <w:color w:val="auto"/>
              </w:rPr>
            </w:pPr>
          </w:p>
        </w:tc>
        <w:tc>
          <w:tcPr>
            <w:tcW w:w="2280" w:type="dxa"/>
            <w:vAlign w:val="bottom"/>
            <w:vMerge w:val="restart"/>
          </w:tcPr>
          <w:p>
            <w:pPr>
              <w:spacing w:after="0"/>
              <w:rPr>
                <w:sz w:val="20"/>
                <w:szCs w:val="20"/>
                <w:color w:val="auto"/>
              </w:rPr>
            </w:pPr>
            <w:r>
              <w:rPr>
                <w:rFonts w:ascii="Arial" w:cs="Arial" w:eastAsia="Arial" w:hAnsi="Arial"/>
                <w:sz w:val="14"/>
                <w:szCs w:val="14"/>
                <w:color w:val="auto"/>
              </w:rPr>
              <w:t>Cash  Severance</w:t>
            </w: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60" w:type="dxa"/>
            <w:vAlign w:val="bottom"/>
            <w:gridSpan w:val="2"/>
          </w:tcPr>
          <w:p>
            <w:pPr>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3,638,250</w:t>
            </w: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3,638,250</w:t>
            </w:r>
          </w:p>
        </w:tc>
        <w:tc>
          <w:tcPr>
            <w:tcW w:w="40" w:type="dxa"/>
            <w:vAlign w:val="bottom"/>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1"/>
        </w:trPr>
        <w:tc>
          <w:tcPr>
            <w:tcW w:w="1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80" w:type="dxa"/>
            <w:vAlign w:val="bottom"/>
          </w:tcPr>
          <w:p>
            <w:pPr>
              <w:spacing w:after="0" w:line="189" w:lineRule="exact"/>
              <w:rPr>
                <w:sz w:val="20"/>
                <w:szCs w:val="20"/>
                <w:color w:val="auto"/>
              </w:rPr>
            </w:pPr>
            <w:r>
              <w:rPr>
                <w:rFonts w:ascii="Arial" w:cs="Arial" w:eastAsia="Arial" w:hAnsi="Arial"/>
                <w:sz w:val="14"/>
                <w:szCs w:val="14"/>
                <w:color w:val="auto"/>
              </w:rPr>
              <w:t>Equity  Acceleration</w:t>
            </w:r>
            <w:r>
              <w:rPr>
                <w:rFonts w:ascii="Arial" w:cs="Arial" w:eastAsia="Arial" w:hAnsi="Arial"/>
                <w:sz w:val="21"/>
                <w:szCs w:val="21"/>
                <w:color w:val="auto"/>
                <w:vertAlign w:val="superscript"/>
              </w:rPr>
              <w:t>(2)</w:t>
            </w: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10,658,514</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10,658,514</w:t>
            </w: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16,596,324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80" w:type="dxa"/>
            <w:vAlign w:val="bottom"/>
          </w:tcPr>
          <w:p>
            <w:pPr>
              <w:spacing w:after="0" w:line="189" w:lineRule="exact"/>
              <w:rPr>
                <w:sz w:val="20"/>
                <w:szCs w:val="20"/>
                <w:color w:val="auto"/>
              </w:rPr>
            </w:pPr>
            <w:r>
              <w:rPr>
                <w:rFonts w:ascii="Arial" w:cs="Arial" w:eastAsia="Arial" w:hAnsi="Arial"/>
                <w:sz w:val="14"/>
                <w:szCs w:val="14"/>
                <w:color w:val="auto"/>
              </w:rPr>
              <w:t>Continuation  Coverage  Benefts</w:t>
            </w:r>
            <w:r>
              <w:rPr>
                <w:rFonts w:ascii="Arial" w:cs="Arial" w:eastAsia="Arial" w:hAnsi="Arial"/>
                <w:sz w:val="21"/>
                <w:szCs w:val="21"/>
                <w:color w:val="auto"/>
                <w:vertAlign w:val="superscript"/>
              </w:rPr>
              <w:t>(3)</w:t>
            </w: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34,609</w:t>
            </w:r>
          </w:p>
        </w:tc>
        <w:tc>
          <w:tcPr>
            <w:tcW w:w="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34,609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80" w:type="dxa"/>
            <w:vAlign w:val="bottom"/>
          </w:tcPr>
          <w:p>
            <w:pPr>
              <w:spacing w:after="0" w:line="189" w:lineRule="exact"/>
              <w:rPr>
                <w:sz w:val="20"/>
                <w:szCs w:val="20"/>
                <w:color w:val="auto"/>
              </w:rPr>
            </w:pPr>
            <w:r>
              <w:rPr>
                <w:rFonts w:ascii="Arial" w:cs="Arial" w:eastAsia="Arial" w:hAnsi="Arial"/>
                <w:sz w:val="14"/>
                <w:szCs w:val="14"/>
                <w:color w:val="auto"/>
              </w:rPr>
              <w:t>Life  Insurance  Beneft</w:t>
            </w:r>
            <w:r>
              <w:rPr>
                <w:rFonts w:ascii="Arial" w:cs="Arial" w:eastAsia="Arial" w:hAnsi="Arial"/>
                <w:sz w:val="21"/>
                <w:szCs w:val="21"/>
                <w:color w:val="auto"/>
                <w:vertAlign w:val="superscript"/>
              </w:rPr>
              <w:t>(4)</w:t>
            </w: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2,425,500</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80" w:type="dxa"/>
            <w:vAlign w:val="bottom"/>
          </w:tcPr>
          <w:p>
            <w:pPr>
              <w:spacing w:after="0" w:line="189" w:lineRule="exact"/>
              <w:rPr>
                <w:sz w:val="20"/>
                <w:szCs w:val="20"/>
                <w:color w:val="auto"/>
              </w:rPr>
            </w:pPr>
            <w:r>
              <w:rPr>
                <w:rFonts w:ascii="Arial" w:cs="Arial" w:eastAsia="Arial" w:hAnsi="Arial"/>
                <w:sz w:val="14"/>
                <w:szCs w:val="14"/>
                <w:color w:val="auto"/>
              </w:rPr>
              <w:t>Outplacement  Services</w:t>
            </w:r>
            <w:r>
              <w:rPr>
                <w:rFonts w:ascii="Arial" w:cs="Arial" w:eastAsia="Arial" w:hAnsi="Arial"/>
                <w:sz w:val="21"/>
                <w:szCs w:val="21"/>
                <w:color w:val="auto"/>
                <w:vertAlign w:val="superscript"/>
              </w:rPr>
              <w:t>(5)</w:t>
            </w: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25,000</w:t>
            </w:r>
          </w:p>
        </w:tc>
        <w:tc>
          <w:tcPr>
            <w:tcW w:w="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25,000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36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2280" w:type="dxa"/>
            <w:vAlign w:val="bottom"/>
            <w:tcBorders>
              <w:bottom w:val="single" w:sz="8" w:color="808080"/>
            </w:tcBorders>
          </w:tcPr>
          <w:p>
            <w:pPr>
              <w:spacing w:after="0" w:line="210" w:lineRule="exact"/>
              <w:rPr>
                <w:sz w:val="20"/>
                <w:szCs w:val="20"/>
                <w:color w:val="auto"/>
              </w:rPr>
            </w:pPr>
            <w:r>
              <w:rPr>
                <w:rFonts w:ascii="Arial" w:cs="Arial" w:eastAsia="Arial" w:hAnsi="Arial"/>
                <w:sz w:val="14"/>
                <w:szCs w:val="14"/>
                <w:color w:val="auto"/>
              </w:rPr>
              <w:t>Flight  Benefts</w:t>
            </w:r>
            <w:r>
              <w:rPr>
                <w:rFonts w:ascii="Arial" w:cs="Arial" w:eastAsia="Arial" w:hAnsi="Arial"/>
                <w:sz w:val="21"/>
                <w:szCs w:val="21"/>
                <w:color w:val="auto"/>
                <w:vertAlign w:val="superscript"/>
              </w:rPr>
              <w:t>(6)</w:t>
            </w:r>
          </w:p>
        </w:tc>
        <w:tc>
          <w:tcPr>
            <w:tcW w:w="200" w:type="dxa"/>
            <w:vAlign w:val="bottom"/>
            <w:tcBorders>
              <w:bottom w:val="single" w:sz="8" w:color="808080"/>
            </w:tcBorders>
          </w:tcPr>
          <w:p>
            <w:pPr>
              <w:spacing w:after="0"/>
              <w:rPr>
                <w:sz w:val="18"/>
                <w:szCs w:val="18"/>
                <w:color w:val="auto"/>
              </w:rPr>
            </w:pPr>
          </w:p>
        </w:tc>
        <w:tc>
          <w:tcPr>
            <w:tcW w:w="1020" w:type="dxa"/>
            <w:vAlign w:val="bottom"/>
            <w:tcBorders>
              <w:bottom w:val="single" w:sz="8" w:color="808080"/>
            </w:tcBorders>
          </w:tcPr>
          <w:p>
            <w:pPr>
              <w:jc w:val="right"/>
              <w:spacing w:after="0"/>
              <w:rPr>
                <w:sz w:val="20"/>
                <w:szCs w:val="20"/>
                <w:color w:val="auto"/>
              </w:rPr>
            </w:pPr>
            <w:r>
              <w:rPr>
                <w:rFonts w:ascii="Arial" w:cs="Arial" w:eastAsia="Arial" w:hAnsi="Arial"/>
                <w:sz w:val="14"/>
                <w:szCs w:val="14"/>
                <w:color w:val="auto"/>
              </w:rPr>
              <w:t>75,691</w:t>
            </w:r>
          </w:p>
        </w:tc>
        <w:tc>
          <w:tcPr>
            <w:tcW w:w="220" w:type="dxa"/>
            <w:vAlign w:val="bottom"/>
            <w:tcBorders>
              <w:bottom w:val="single" w:sz="8" w:color="808080"/>
            </w:tcBorders>
          </w:tcPr>
          <w:p>
            <w:pPr>
              <w:spacing w:after="0"/>
              <w:rPr>
                <w:sz w:val="18"/>
                <w:szCs w:val="18"/>
                <w:color w:val="auto"/>
              </w:rPr>
            </w:pPr>
          </w:p>
        </w:tc>
        <w:tc>
          <w:tcPr>
            <w:tcW w:w="980" w:type="dxa"/>
            <w:vAlign w:val="bottom"/>
            <w:tcBorders>
              <w:bottom w:val="single" w:sz="8" w:color="808080"/>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900" w:type="dxa"/>
            <w:vAlign w:val="bottom"/>
            <w:tcBorders>
              <w:bottom w:val="single" w:sz="8" w:color="808080"/>
            </w:tcBorders>
          </w:tcPr>
          <w:p>
            <w:pPr>
              <w:jc w:val="right"/>
              <w:spacing w:after="0"/>
              <w:rPr>
                <w:sz w:val="20"/>
                <w:szCs w:val="20"/>
                <w:color w:val="auto"/>
              </w:rPr>
            </w:pPr>
            <w:r>
              <w:rPr>
                <w:rFonts w:ascii="Arial" w:cs="Arial" w:eastAsia="Arial" w:hAnsi="Arial"/>
                <w:sz w:val="14"/>
                <w:szCs w:val="14"/>
                <w:color w:val="auto"/>
              </w:rPr>
              <w:t>75,691</w:t>
            </w:r>
          </w:p>
        </w:tc>
        <w:tc>
          <w:tcPr>
            <w:tcW w:w="220" w:type="dxa"/>
            <w:vAlign w:val="bottom"/>
            <w:tcBorders>
              <w:bottom w:val="single" w:sz="8" w:color="808080"/>
            </w:tcBorders>
          </w:tcPr>
          <w:p>
            <w:pPr>
              <w:spacing w:after="0"/>
              <w:rPr>
                <w:sz w:val="18"/>
                <w:szCs w:val="18"/>
                <w:color w:val="auto"/>
              </w:rPr>
            </w:pPr>
          </w:p>
        </w:tc>
        <w:tc>
          <w:tcPr>
            <w:tcW w:w="1080" w:type="dxa"/>
            <w:vAlign w:val="bottom"/>
            <w:tcBorders>
              <w:bottom w:val="single" w:sz="8" w:color="808080"/>
            </w:tcBorders>
          </w:tcPr>
          <w:p>
            <w:pPr>
              <w:jc w:val="right"/>
              <w:spacing w:after="0"/>
              <w:rPr>
                <w:sz w:val="20"/>
                <w:szCs w:val="20"/>
                <w:color w:val="auto"/>
              </w:rPr>
            </w:pPr>
            <w:r>
              <w:rPr>
                <w:rFonts w:ascii="Arial" w:cs="Arial" w:eastAsia="Arial" w:hAnsi="Arial"/>
                <w:sz w:val="14"/>
                <w:szCs w:val="14"/>
                <w:color w:val="auto"/>
              </w:rPr>
              <w:t>75,691</w:t>
            </w:r>
          </w:p>
        </w:tc>
        <w:tc>
          <w:tcPr>
            <w:tcW w:w="200" w:type="dxa"/>
            <w:vAlign w:val="bottom"/>
            <w:tcBorders>
              <w:bottom w:val="single" w:sz="8" w:color="808080"/>
            </w:tcBorders>
          </w:tcPr>
          <w:p>
            <w:pPr>
              <w:spacing w:after="0"/>
              <w:rPr>
                <w:sz w:val="18"/>
                <w:szCs w:val="18"/>
                <w:color w:val="auto"/>
              </w:rPr>
            </w:pPr>
          </w:p>
        </w:tc>
        <w:tc>
          <w:tcPr>
            <w:tcW w:w="980" w:type="dxa"/>
            <w:vAlign w:val="bottom"/>
            <w:tcBorders>
              <w:bottom w:val="single" w:sz="8" w:color="808080"/>
            </w:tcBorders>
          </w:tcPr>
          <w:p>
            <w:pPr>
              <w:jc w:val="right"/>
              <w:spacing w:after="0"/>
              <w:rPr>
                <w:sz w:val="20"/>
                <w:szCs w:val="20"/>
                <w:color w:val="auto"/>
              </w:rPr>
            </w:pPr>
            <w:r>
              <w:rPr>
                <w:rFonts w:ascii="Arial" w:cs="Arial" w:eastAsia="Arial" w:hAnsi="Arial"/>
                <w:sz w:val="14"/>
                <w:szCs w:val="14"/>
                <w:color w:val="auto"/>
              </w:rPr>
              <w:t>75,691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320" w:right="480" w:hanging="316"/>
        <w:spacing w:after="0" w:line="214" w:lineRule="auto"/>
        <w:tabs>
          <w:tab w:leader="none" w:pos="320" w:val="left"/>
        </w:tabs>
        <w:numPr>
          <w:ilvl w:val="0"/>
          <w:numId w:val="152"/>
        </w:numPr>
        <w:rPr>
          <w:rFonts w:ascii="Arial" w:cs="Arial" w:eastAsia="Arial" w:hAnsi="Arial"/>
          <w:sz w:val="22"/>
          <w:szCs w:val="22"/>
          <w:color w:val="auto"/>
          <w:vertAlign w:val="superscript"/>
        </w:rPr>
      </w:pPr>
      <w:r>
        <w:rPr>
          <w:rFonts w:ascii="Arial" w:cs="Arial" w:eastAsia="Arial" w:hAnsi="Arial"/>
          <w:sz w:val="14"/>
          <w:szCs w:val="14"/>
          <w:color w:val="auto"/>
        </w:rPr>
        <w:t>The payments and benefts set forth in the table above refect the estimated payments and benefts assuming the applicable triggering event took place on December 31, 2025.</w:t>
      </w:r>
    </w:p>
    <w:p>
      <w:pPr>
        <w:spacing w:after="0" w:line="184" w:lineRule="exact"/>
        <w:rPr>
          <w:rFonts w:ascii="Arial" w:cs="Arial" w:eastAsia="Arial" w:hAnsi="Arial"/>
          <w:sz w:val="22"/>
          <w:szCs w:val="22"/>
          <w:color w:val="auto"/>
          <w:vertAlign w:val="superscript"/>
        </w:rPr>
      </w:pPr>
    </w:p>
    <w:p>
      <w:pPr>
        <w:ind w:left="320" w:right="280" w:hanging="316"/>
        <w:spacing w:after="0" w:line="258" w:lineRule="auto"/>
        <w:tabs>
          <w:tab w:leader="none" w:pos="320" w:val="left"/>
        </w:tabs>
        <w:numPr>
          <w:ilvl w:val="0"/>
          <w:numId w:val="152"/>
        </w:numPr>
        <w:rPr>
          <w:rFonts w:ascii="Arial" w:cs="Arial" w:eastAsia="Arial" w:hAnsi="Arial"/>
          <w:sz w:val="22"/>
          <w:szCs w:val="22"/>
          <w:color w:val="auto"/>
          <w:vertAlign w:val="superscript"/>
        </w:rPr>
      </w:pPr>
      <w:r>
        <w:rPr>
          <w:rFonts w:ascii="Arial" w:cs="Arial" w:eastAsia="Arial" w:hAnsi="Arial"/>
          <w:sz w:val="14"/>
          <w:szCs w:val="14"/>
          <w:color w:val="auto"/>
        </w:rPr>
        <w:t>The amounts shown in this row refect the value of outstanding time-vested RSUs and Performance-Based RSUs held by the named executive ofcers in each of the scenarios listed based on the extent to which the equity award becomes vested as of termination of employment, as described in the narrative above. The value of accelerated vesting of time-vested RSUs, Performance-Based RSUs and Mr. Kirby’s stock options is based on the closing price per share of Common Stock as of December 31, 2025 ($111.82), less, for Mr. Kirby’s stock option, the exercise price, and, for Performance-Based RSUs, assumes achievement of the target level of performance in all scenarios (though as noted in the narrative description above, in the case of a named executive ofcer’s resignation without good reason or retirement, accelerated vesting would be subject to actual achievement of underlying performance measures). Performance-Based RSUs</w:t>
      </w:r>
    </w:p>
    <w:p>
      <w:pPr>
        <w:sectPr>
          <w:pgSz w:w="11900" w:h="16838" w:orient="portrait"/>
          <w:cols w:equalWidth="0" w:num="1">
            <w:col w:w="9920"/>
          </w:cols>
          <w:pgMar w:left="1080" w:top="695"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right"/>
        <w:ind w:right="7920"/>
        <w:spacing w:after="0"/>
        <w:rPr>
          <w:sz w:val="20"/>
          <w:szCs w:val="20"/>
          <w:color w:val="auto"/>
        </w:rPr>
      </w:pPr>
      <w:r>
        <w:rPr>
          <w:rFonts w:ascii="Arial" w:cs="Arial" w:eastAsia="Arial" w:hAnsi="Arial"/>
          <w:sz w:val="16"/>
          <w:szCs w:val="16"/>
          <w:color w:val="auto"/>
        </w:rPr>
        <w:t>​​2026​  Proxy</w:t>
      </w:r>
    </w:p>
    <w:p>
      <w:pPr>
        <w:spacing w:after="0" w:line="5" w:lineRule="exact"/>
        <w:rPr>
          <w:sz w:val="20"/>
          <w:szCs w:val="20"/>
          <w:color w:val="auto"/>
        </w:rPr>
      </w:pPr>
    </w:p>
    <w:p>
      <w:pPr>
        <w:ind w:left="660" w:hanging="656"/>
        <w:spacing w:after="0"/>
        <w:tabs>
          <w:tab w:leader="none" w:pos="660" w:val="left"/>
        </w:tabs>
        <w:numPr>
          <w:ilvl w:val="0"/>
          <w:numId w:val="153"/>
        </w:numPr>
        <w:rPr>
          <w:rFonts w:ascii="Arial" w:cs="Arial" w:eastAsia="Arial" w:hAnsi="Arial"/>
          <w:sz w:val="16"/>
          <w:szCs w:val="16"/>
          <w:b w:val="1"/>
          <w:bCs w:val="1"/>
          <w:color w:val="1414D2"/>
        </w:rPr>
      </w:pPr>
      <w:r>
        <w:rPr>
          <w:rFonts w:ascii="Arial" w:cs="Arial" w:eastAsia="Arial" w:hAnsi="Arial"/>
          <w:sz w:val="16"/>
          <w:szCs w:val="16"/>
          <w:color w:val="auto"/>
        </w:rPr>
        <w:t>Statement</w:t>
      </w:r>
    </w:p>
    <w:p>
      <w:pPr>
        <w:sectPr>
          <w:pgSz w:w="11900" w:h="16838" w:orient="portrait"/>
          <w:cols w:equalWidth="0" w:num="1">
            <w:col w:w="9920"/>
          </w:cols>
          <w:pgMar w:left="1080" w:top="695" w:right="899" w:bottom="1440" w:gutter="0" w:footer="0" w:header="0"/>
          <w:type w:val="continuous"/>
        </w:sectPr>
      </w:pPr>
    </w:p>
    <w:bookmarkStart w:id="137" w:name="page138"/>
    <w:bookmarkEnd w:id="137"/>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27" w:lineRule="exact"/>
        <w:rPr>
          <w:sz w:val="20"/>
          <w:szCs w:val="20"/>
          <w:color w:val="auto"/>
        </w:rPr>
      </w:pPr>
    </w:p>
    <w:p>
      <w:pPr>
        <w:ind w:left="8060"/>
        <w:spacing w:after="0"/>
        <w:rPr>
          <w:sz w:val="20"/>
          <w:szCs w:val="20"/>
          <w:color w:val="auto"/>
        </w:rPr>
      </w:pPr>
      <w:r>
        <w:rPr>
          <w:rFonts w:ascii="Arial" w:cs="Arial" w:eastAsia="Arial" w:hAnsi="Arial"/>
          <w:sz w:val="14"/>
          <w:szCs w:val="14"/>
          <w:color w:val="6D6F71"/>
        </w:rPr>
        <w:t>Executive  Compensation</w:t>
      </w:r>
    </w:p>
    <w:p>
      <w:pPr>
        <w:spacing w:after="0" w:line="231" w:lineRule="exact"/>
        <w:rPr>
          <w:sz w:val="20"/>
          <w:szCs w:val="20"/>
          <w:color w:val="auto"/>
        </w:rPr>
      </w:pPr>
    </w:p>
    <w:p>
      <w:pPr>
        <w:ind w:left="320" w:right="120"/>
        <w:spacing w:after="0" w:line="351" w:lineRule="auto"/>
        <w:rPr>
          <w:sz w:val="20"/>
          <w:szCs w:val="20"/>
          <w:color w:val="auto"/>
        </w:rPr>
      </w:pPr>
      <w:r>
        <w:rPr>
          <w:rFonts w:ascii="Arial" w:cs="Arial" w:eastAsia="Arial" w:hAnsi="Arial"/>
          <w:sz w:val="14"/>
          <w:szCs w:val="14"/>
          <w:color w:val="auto"/>
        </w:rPr>
        <w:t>granted in 2023 are not included in the table above, as those awards became vested per their terms on December 31, 2025, subject to the subsequent performance determination.</w:t>
      </w:r>
    </w:p>
    <w:p>
      <w:pPr>
        <w:spacing w:after="0" w:line="110" w:lineRule="exact"/>
        <w:rPr>
          <w:sz w:val="20"/>
          <w:szCs w:val="20"/>
          <w:color w:val="auto"/>
        </w:rPr>
      </w:pPr>
    </w:p>
    <w:p>
      <w:pPr>
        <w:ind w:left="320" w:hanging="316"/>
        <w:spacing w:after="0" w:line="259" w:lineRule="auto"/>
        <w:tabs>
          <w:tab w:leader="none" w:pos="320" w:val="left"/>
        </w:tabs>
        <w:numPr>
          <w:ilvl w:val="0"/>
          <w:numId w:val="154"/>
        </w:numPr>
        <w:rPr>
          <w:rFonts w:ascii="Arial" w:cs="Arial" w:eastAsia="Arial" w:hAnsi="Arial"/>
          <w:sz w:val="22"/>
          <w:szCs w:val="22"/>
          <w:color w:val="auto"/>
          <w:vertAlign w:val="superscript"/>
        </w:rPr>
      </w:pPr>
      <w:r>
        <w:rPr>
          <w:rFonts w:ascii="Arial" w:cs="Arial" w:eastAsia="Arial" w:hAnsi="Arial"/>
          <w:sz w:val="14"/>
          <w:szCs w:val="14"/>
          <w:color w:val="auto"/>
        </w:rPr>
        <w:t>The amounts shown in this row for “Involuntary Termination without Cause or Voluntary Resignation for Good Reason" and "Change in Control with Qualifying Termination" refect expected future present values of continued medical, prescription drug and life insurance coverage. Medical and prescription drug insurance coverage was calculated based on 2026 employer gross costs, including employer contributions to the health savings and health reimbursement accounts less employee contributions based on 2026 coverage elections and using a discount rate of 5.43%. The estimates use a health care cost trend related to the medical and prescription drug benefts (including employer and employee contributions) of 7.00% in 2026 and 2027, grading down to 4.5% in 2037. For Mr. Hart, the amount includes a tax gross-up on the medical and prescription drug benefts pursuant to a historical arrangement with the Company. The value of continued life insurance benefts included in these amounts was calculated using the January 2026 term life insurance cost to the Company of purchasing this coverage.</w:t>
      </w:r>
    </w:p>
    <w:p>
      <w:pPr>
        <w:spacing w:after="0" w:line="373" w:lineRule="exact"/>
        <w:rPr>
          <w:rFonts w:ascii="Arial" w:cs="Arial" w:eastAsia="Arial" w:hAnsi="Arial"/>
          <w:sz w:val="22"/>
          <w:szCs w:val="22"/>
          <w:color w:val="auto"/>
          <w:vertAlign w:val="superscript"/>
        </w:rPr>
      </w:pPr>
    </w:p>
    <w:p>
      <w:pPr>
        <w:ind w:left="320" w:right="40" w:hanging="316"/>
        <w:spacing w:after="0" w:line="230" w:lineRule="auto"/>
        <w:tabs>
          <w:tab w:leader="none" w:pos="320" w:val="left"/>
        </w:tabs>
        <w:numPr>
          <w:ilvl w:val="0"/>
          <w:numId w:val="154"/>
        </w:numPr>
        <w:rPr>
          <w:rFonts w:ascii="Arial" w:cs="Arial" w:eastAsia="Arial" w:hAnsi="Arial"/>
          <w:sz w:val="22"/>
          <w:szCs w:val="22"/>
          <w:color w:val="auto"/>
          <w:vertAlign w:val="superscript"/>
        </w:rPr>
      </w:pPr>
      <w:r>
        <w:rPr>
          <w:rFonts w:ascii="Arial" w:cs="Arial" w:eastAsia="Arial" w:hAnsi="Arial"/>
          <w:sz w:val="14"/>
          <w:szCs w:val="14"/>
          <w:color w:val="auto"/>
        </w:rPr>
        <w:t>The amounts shown in this row for "Death" include the value of life insurance benefts paid to each named executive ofcer's benefciaries, as described in the narrative above.</w:t>
      </w:r>
    </w:p>
    <w:p>
      <w:pPr>
        <w:spacing w:after="0" w:line="75" w:lineRule="exact"/>
        <w:rPr>
          <w:rFonts w:ascii="Arial" w:cs="Arial" w:eastAsia="Arial" w:hAnsi="Arial"/>
          <w:sz w:val="22"/>
          <w:szCs w:val="22"/>
          <w:color w:val="auto"/>
          <w:vertAlign w:val="superscript"/>
        </w:rPr>
      </w:pPr>
    </w:p>
    <w:p>
      <w:pPr>
        <w:ind w:left="320" w:right="360" w:hanging="316"/>
        <w:spacing w:after="0"/>
        <w:tabs>
          <w:tab w:leader="none" w:pos="320" w:val="left"/>
        </w:tabs>
        <w:numPr>
          <w:ilvl w:val="0"/>
          <w:numId w:val="154"/>
        </w:numPr>
        <w:rPr>
          <w:rFonts w:ascii="Arial" w:cs="Arial" w:eastAsia="Arial" w:hAnsi="Arial"/>
          <w:sz w:val="22"/>
          <w:szCs w:val="22"/>
          <w:color w:val="auto"/>
          <w:vertAlign w:val="superscript"/>
        </w:rPr>
      </w:pPr>
      <w:r>
        <w:rPr>
          <w:rFonts w:ascii="Arial" w:cs="Arial" w:eastAsia="Arial" w:hAnsi="Arial"/>
          <w:sz w:val="14"/>
          <w:szCs w:val="14"/>
          <w:color w:val="auto"/>
        </w:rPr>
        <w:t>The amounts shown in this row refect the estimated costs of outplacement services based on our current contracted rates and ofcer position.</w:t>
      </w:r>
    </w:p>
    <w:p>
      <w:pPr>
        <w:spacing w:after="0" w:line="192" w:lineRule="exact"/>
        <w:rPr>
          <w:rFonts w:ascii="Arial" w:cs="Arial" w:eastAsia="Arial" w:hAnsi="Arial"/>
          <w:sz w:val="22"/>
          <w:szCs w:val="22"/>
          <w:color w:val="auto"/>
          <w:vertAlign w:val="superscript"/>
        </w:rPr>
      </w:pPr>
    </w:p>
    <w:p>
      <w:pPr>
        <w:ind w:left="320" w:hanging="316"/>
        <w:spacing w:after="0" w:line="258" w:lineRule="auto"/>
        <w:tabs>
          <w:tab w:leader="none" w:pos="320" w:val="left"/>
        </w:tabs>
        <w:numPr>
          <w:ilvl w:val="0"/>
          <w:numId w:val="154"/>
        </w:numPr>
        <w:rPr>
          <w:rFonts w:ascii="Arial" w:cs="Arial" w:eastAsia="Arial" w:hAnsi="Arial"/>
          <w:sz w:val="22"/>
          <w:szCs w:val="22"/>
          <w:color w:val="auto"/>
          <w:vertAlign w:val="superscript"/>
        </w:rPr>
      </w:pPr>
      <w:r>
        <w:rPr>
          <w:rFonts w:ascii="Arial" w:cs="Arial" w:eastAsia="Arial" w:hAnsi="Arial"/>
          <w:sz w:val="14"/>
          <w:szCs w:val="14"/>
          <w:color w:val="auto"/>
        </w:rPr>
        <w:t>The value of lifetime travel privileges included in this row was determined by utilizing the following assumptions: (i) executive and eligible family members and signifcant others continue to utilize the travel beneft for a period of 20 years following termination; (ii) the level of usage for each year is the same as the actual usage was for the executive and such persons for 2025; and (iii) the incremental cost to the Company for providing travel benefts for each year is the same as the actual incremental cost incurred by the Company for providing travel benefts to the executive and eligible family members and signifcant others for 2025. Based on these assumptions, the Company determined the value of lifetime travel benefts by calculating the present value of the assumed incremental cost of providing the beneft to the executive and the executive’s eligible family members over a 20-year period using a discount rate of 5.43%.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2026  Proxy  Statement</w:t>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1414D2"/>
        </w:rPr>
        <w:t>127</w:t>
      </w:r>
    </w:p>
    <w:p>
      <w:pPr>
        <w:sectPr>
          <w:pgSz w:w="11900" w:h="16838" w:orient="portrait"/>
          <w:cols w:equalWidth="0" w:num="1">
            <w:col w:w="9720"/>
          </w:cols>
          <w:pgMar w:left="1080" w:top="695" w:right="1099" w:bottom="1440" w:gutter="0" w:footer="0" w:header="0"/>
        </w:sectPr>
      </w:pPr>
    </w:p>
    <w:bookmarkStart w:id="138" w:name="page139"/>
    <w:bookmarkEnd w:id="138"/>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6D6F71"/>
        </w:rPr>
        <w:t>Executive  Compensation</w:t>
      </w:r>
    </w:p>
    <w:p>
      <w:pPr>
        <w:spacing w:after="0" w:line="223" w:lineRule="exact"/>
        <w:rPr>
          <w:sz w:val="20"/>
          <w:szCs w:val="20"/>
          <w:color w:val="auto"/>
        </w:rPr>
      </w:pPr>
    </w:p>
    <w:p>
      <w:pPr>
        <w:spacing w:after="0"/>
        <w:rPr>
          <w:sz w:val="20"/>
          <w:szCs w:val="20"/>
          <w:color w:val="auto"/>
        </w:rPr>
      </w:pPr>
      <w:r>
        <w:rPr>
          <w:rFonts w:ascii="Arial" w:cs="Arial" w:eastAsia="Arial" w:hAnsi="Arial"/>
          <w:sz w:val="25"/>
          <w:szCs w:val="25"/>
          <w:b w:val="1"/>
          <w:bCs w:val="1"/>
          <w:color w:val="1414D2"/>
        </w:rPr>
        <w:t>2025 CEO Pay Ratio</w:t>
      </w:r>
    </w:p>
    <w:p>
      <w:pPr>
        <w:spacing w:after="0" w:line="119" w:lineRule="exact"/>
        <w:rPr>
          <w:sz w:val="20"/>
          <w:szCs w:val="20"/>
          <w:color w:val="auto"/>
        </w:rPr>
      </w:pPr>
    </w:p>
    <w:p>
      <w:pPr>
        <w:spacing w:after="0"/>
        <w:rPr>
          <w:sz w:val="20"/>
          <w:szCs w:val="20"/>
          <w:color w:val="auto"/>
        </w:rPr>
      </w:pPr>
      <w:r>
        <w:rPr>
          <w:rFonts w:ascii="Arial" w:cs="Arial" w:eastAsia="Arial" w:hAnsi="Arial"/>
          <w:sz w:val="15"/>
          <w:szCs w:val="15"/>
          <w:color w:val="auto"/>
        </w:rPr>
        <w:t>As  required  by  Section  953(b)  of  the  Dodd-Frank  Wall  Street  Reform  and  Consumer  Protection  Act  and  Item  402(u)  of  Regulation</w:t>
      </w:r>
    </w:p>
    <w:p>
      <w:pPr>
        <w:spacing w:after="0" w:line="30" w:lineRule="exact"/>
        <w:rPr>
          <w:sz w:val="20"/>
          <w:szCs w:val="20"/>
          <w:color w:val="auto"/>
        </w:rPr>
      </w:pPr>
    </w:p>
    <w:p>
      <w:pPr>
        <w:ind w:right="120"/>
        <w:spacing w:after="0" w:line="250" w:lineRule="auto"/>
        <w:rPr>
          <w:sz w:val="20"/>
          <w:szCs w:val="20"/>
          <w:color w:val="auto"/>
        </w:rPr>
      </w:pPr>
      <w:r>
        <w:rPr>
          <w:rFonts w:ascii="Arial" w:cs="Arial" w:eastAsia="Arial" w:hAnsi="Arial"/>
          <w:sz w:val="16"/>
          <w:szCs w:val="16"/>
          <w:color w:val="auto"/>
        </w:rPr>
        <w:t>S-K, we are providing information about the relationship of the annual total compensation of our employees and the annual total compensation of our CEO, Scott Kirby. The CEO pay ratio included below is a reasonable estimate calculated in a manner consistent with Item 402(u) of Regulation S-K. In complying with the CEO pay ratio disclosure requirements, companies are permitted to use a variety of assumptions and methodologies. As a result, the CEO pay ratio reported by other companies may</w:t>
      </w:r>
    </w:p>
    <w:p>
      <w:pPr>
        <w:spacing w:after="0" w:line="3" w:lineRule="exact"/>
        <w:rPr>
          <w:sz w:val="20"/>
          <w:szCs w:val="20"/>
          <w:color w:val="auto"/>
        </w:rPr>
      </w:pPr>
    </w:p>
    <w:p>
      <w:pPr>
        <w:ind w:right="60"/>
        <w:spacing w:after="0" w:line="313" w:lineRule="auto"/>
        <w:rPr>
          <w:sz w:val="20"/>
          <w:szCs w:val="20"/>
          <w:color w:val="auto"/>
        </w:rPr>
      </w:pPr>
      <w:r>
        <w:rPr>
          <w:rFonts w:ascii="Arial" w:cs="Arial" w:eastAsia="Arial" w:hAnsi="Arial"/>
          <w:sz w:val="16"/>
          <w:szCs w:val="16"/>
          <w:color w:val="auto"/>
        </w:rPr>
        <w:t>not be comparable with the ratio reported below since all results are impacted by the nature of each company’s compensation reward structure and employee demographics and the chosen assumptions and methodologies permitted under the SEC rules.</w:t>
      </w:r>
    </w:p>
    <w:p>
      <w:pPr>
        <w:spacing w:after="0" w:line="6" w:lineRule="exact"/>
        <w:rPr>
          <w:sz w:val="20"/>
          <w:szCs w:val="20"/>
          <w:color w:val="auto"/>
        </w:rPr>
      </w:pPr>
    </w:p>
    <w:p>
      <w:pPr>
        <w:ind w:right="60"/>
        <w:spacing w:after="0" w:line="255" w:lineRule="auto"/>
        <w:rPr>
          <w:sz w:val="20"/>
          <w:szCs w:val="20"/>
          <w:color w:val="auto"/>
        </w:rPr>
      </w:pPr>
      <w:r>
        <w:rPr>
          <w:rFonts w:ascii="Arial" w:cs="Arial" w:eastAsia="Arial" w:hAnsi="Arial"/>
          <w:sz w:val="16"/>
          <w:szCs w:val="16"/>
          <w:b w:val="1"/>
          <w:bCs w:val="1"/>
          <w:i w:val="1"/>
          <w:iCs w:val="1"/>
          <w:color w:val="auto"/>
        </w:rPr>
        <w:t>Ratio.</w:t>
      </w:r>
      <w:r>
        <w:rPr>
          <w:rFonts w:ascii="Arial" w:cs="Arial" w:eastAsia="Arial" w:hAnsi="Arial"/>
          <w:sz w:val="16"/>
          <w:szCs w:val="16"/>
          <w:color w:val="auto"/>
        </w:rPr>
        <w:t> For the fscal year that ended December 31, 2025, the estimated median annual total compensation of all employees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(including our consolidated subsidiaries but excluding our CEO) was $96,670 and the 2025 annual total</w:t>
      </w:r>
    </w:p>
    <w:p>
      <w:pPr>
        <w:spacing w:after="0" w:line="1" w:lineRule="exact"/>
        <w:rPr>
          <w:sz w:val="20"/>
          <w:szCs w:val="20"/>
          <w:color w:val="auto"/>
        </w:rPr>
      </w:pPr>
    </w:p>
    <w:p>
      <w:pPr>
        <w:ind w:right="280"/>
        <w:spacing w:after="0" w:line="279" w:lineRule="auto"/>
        <w:rPr>
          <w:sz w:val="20"/>
          <w:szCs w:val="20"/>
          <w:color w:val="auto"/>
        </w:rPr>
      </w:pPr>
      <w:r>
        <w:rPr>
          <w:rFonts w:ascii="Arial" w:cs="Arial" w:eastAsia="Arial" w:hAnsi="Arial"/>
          <w:sz w:val="16"/>
          <w:szCs w:val="16"/>
          <w:color w:val="auto"/>
        </w:rPr>
        <w:t>compensation of our CEO, Mr. Kirby, was $32,282,253, as reported in the “Total” column of the 2025 Summary Compensation Table on page 111. Based on the foregoing, the estimated 2025 ratio of the annual total compensation of our CEO to the median of the annual total compensation of all employees is estimated to be approximately 334 to 1.</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Identifying the Median Employee and Calculating Total Compensation.</w:t>
      </w:r>
      <w:r>
        <w:rPr>
          <w:rFonts w:ascii="Arial" w:cs="Arial" w:eastAsia="Arial" w:hAnsi="Arial"/>
          <w:sz w:val="16"/>
          <w:szCs w:val="16"/>
          <w:color w:val="auto"/>
        </w:rPr>
        <w:t xml:space="preserve"> </w:t>
      </w:r>
    </w:p>
    <w:p>
      <w:pPr>
        <w:spacing w:after="0" w:line="127"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The CEO pay ratio disclosure rules require companies to identify a median employee only once every three years and to calculate total compensation for that median employee each year, provided that there has not been a signifcant change to the company’s employee population or employee compensation arrangements. We have determined that, since December 31, 2023</w:t>
      </w:r>
    </w:p>
    <w:p>
      <w:pPr>
        <w:spacing w:after="0" w:line="1"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(the date used to identify the 2023 median employee), there have not been any changes in the Company’s employee population or employee compensation arrangements that we reasonably believe would result in a signifcant change to our 2025 CEO pay ratio disclosure. The median employee identifed in 2023 remained employed by the Company in 2025; however, the employee’s compensation for the year was no longer representative due to changes in hours worked. Accordingly, as permitted under the</w:t>
      </w:r>
    </w:p>
    <w:p>
      <w:pPr>
        <w:spacing w:after="0" w:line="3" w:lineRule="exact"/>
        <w:rPr>
          <w:sz w:val="20"/>
          <w:szCs w:val="20"/>
          <w:color w:val="auto"/>
        </w:rPr>
      </w:pPr>
    </w:p>
    <w:p>
      <w:pPr>
        <w:ind w:right="440"/>
        <w:spacing w:after="0" w:line="313" w:lineRule="auto"/>
        <w:rPr>
          <w:sz w:val="20"/>
          <w:szCs w:val="20"/>
          <w:color w:val="auto"/>
        </w:rPr>
      </w:pPr>
      <w:r>
        <w:rPr>
          <w:rFonts w:ascii="Arial" w:cs="Arial" w:eastAsia="Arial" w:hAnsi="Arial"/>
          <w:sz w:val="16"/>
          <w:szCs w:val="16"/>
          <w:color w:val="auto"/>
        </w:rPr>
        <w:t>CEO pay ratio disclosure rules, we selected another employee whose compensation was substantially similar to that of the originally identifed median employee.</w:t>
      </w:r>
    </w:p>
    <w:p>
      <w:pPr>
        <w:spacing w:after="0" w:line="6"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For purposes of identifying the median employee in 2023, we utilized the dollar amount reported in Box 5 of the 2023 Form W-2 Wage and Tax Statement provided for each U.S. employee on the Company’s payroll as of December 31, 2023. This consistently</w:t>
      </w:r>
    </w:p>
    <w:p>
      <w:pPr>
        <w:spacing w:after="0" w:line="1"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applied compensation measure was chosen because it is a readily available measure for all U.S. employees and we believe it is a reasonable measure of total annual compensation. For purposes of identifying the median employee as of December 31, 2023, we determined that there were approximately 102,500 active employees, of which approximately 85% were represented by various labor organizations. These employee totals are based on our internal payroll records and include employees of</w:t>
      </w:r>
    </w:p>
    <w:p>
      <w:pPr>
        <w:spacing w:after="0" w:line="3" w:lineRule="exact"/>
        <w:rPr>
          <w:sz w:val="20"/>
          <w:szCs w:val="20"/>
          <w:color w:val="auto"/>
        </w:rPr>
      </w:pPr>
    </w:p>
    <w:p>
      <w:pPr>
        <w:ind w:right="40"/>
        <w:spacing w:after="0" w:line="279" w:lineRule="auto"/>
        <w:rPr>
          <w:sz w:val="20"/>
          <w:szCs w:val="20"/>
          <w:color w:val="auto"/>
        </w:rPr>
      </w:pPr>
      <w:r>
        <w:rPr>
          <w:rFonts w:ascii="Arial" w:cs="Arial" w:eastAsia="Arial" w:hAnsi="Arial"/>
          <w:sz w:val="16"/>
          <w:szCs w:val="16"/>
          <w:color w:val="auto"/>
        </w:rPr>
        <w:t>Company subsidiaries. In our process for identifying the 2023 median employee, we also identifed a group of alternate median employees with 2023 compensation substantially similar to the original median employee, which facilitated the selection of a substitute median employee when the originally identifed employee’s compensation was determined to be anomalous.</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As  of  December  31,  2023,  approximately  4,700  of  our  employees  were  located  outside  of  the  United  States.  Pursuant  to  the  </w:t>
      </w:r>
      <w:r>
        <w:rPr>
          <w:rFonts w:ascii="Arial" w:cs="Arial" w:eastAsia="Arial" w:hAnsi="Arial"/>
          <w:sz w:val="15"/>
          <w:szCs w:val="15"/>
          <w:b w:val="1"/>
          <w:bCs w:val="1"/>
          <w:i w:val="1"/>
          <w:iCs w:val="1"/>
          <w:color w:val="auto"/>
        </w:rPr>
        <w:t>de</w:t>
      </w:r>
    </w:p>
    <w:p>
      <w:pPr>
        <w:spacing w:after="0" w:line="32" w:lineRule="exact"/>
        <w:rPr>
          <w:sz w:val="20"/>
          <w:szCs w:val="20"/>
          <w:color w:val="auto"/>
        </w:rPr>
      </w:pPr>
    </w:p>
    <w:p>
      <w:pPr>
        <w:jc w:val="both"/>
        <w:ind w:right="160"/>
        <w:spacing w:after="0" w:line="252" w:lineRule="auto"/>
        <w:rPr>
          <w:sz w:val="20"/>
          <w:szCs w:val="20"/>
          <w:color w:val="auto"/>
        </w:rPr>
      </w:pPr>
      <w:r>
        <w:rPr>
          <w:rFonts w:ascii="Arial" w:cs="Arial" w:eastAsia="Arial" w:hAnsi="Arial"/>
          <w:sz w:val="16"/>
          <w:szCs w:val="16"/>
          <w:b w:val="1"/>
          <w:bCs w:val="1"/>
          <w:i w:val="1"/>
          <w:iCs w:val="1"/>
          <w:color w:val="auto"/>
        </w:rPr>
        <w:t xml:space="preserve">minimis </w:t>
      </w:r>
      <w:r>
        <w:rPr>
          <w:rFonts w:ascii="Arial" w:cs="Arial" w:eastAsia="Arial" w:hAnsi="Arial"/>
          <w:sz w:val="16"/>
          <w:szCs w:val="16"/>
          <w:color w:val="auto"/>
        </w:rPr>
        <w:t>exemption provided under Item 402(u) of Regulation S-K, because our non-U.S. employees accounted for less than 5%</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our total U.S. and non-U.S. employees, a majority of our international employees (except for the those located in the United Kingdom) were excluded from the determination of the median employee. Our Guam employees are included with our U.S.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employees  for  purposes  of  these  calculations.</w:t>
      </w:r>
    </w:p>
    <w:p>
      <w:pPr>
        <w:spacing w:after="0" w:line="113"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As of December 31, 2023, our international employee locations and the number of excluded employees in each location were as follows: Argentina—130; Aruba—2; Australia—44; Bahamas—2; Belgium—47; Belize—17; Brazil—865; Canada—12; Cayman Islands—1; Chile—9; China—78; Colombia—49; Costa Rica—119; Dominican Republic—82; Ecuador—33; El Salvador—71; France</w:t>
      </w:r>
    </w:p>
    <w:p>
      <w:pPr>
        <w:spacing w:after="0" w:line="1"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—88; French Polynesia—3; Germany—136; Ghana—4; Greece—1; Guatemala—68; Honduras—51; Hong Kong—72; India—776; Ireland—16; Israel—30; Italy—18; Jamaica—1; Japan—471; Jordan—3; Korea (Republic of)—1; Marshall Islands—26; Mexico— 878; Micronesia (Federated States)—82; Netherlands—28; New Zealand—3; Nicaragua—20; Nigeria—4; Palau—32; Panama— 60; Peru—40; Philippines—10; Portugal—27; Singapore—26; Saint Maarten—1; South Korea—1; South Africa—8; Spain—30;</w:t>
      </w:r>
    </w:p>
    <w:p>
      <w:pPr>
        <w:spacing w:after="0" w:line="3" w:lineRule="exact"/>
        <w:rPr>
          <w:sz w:val="20"/>
          <w:szCs w:val="20"/>
          <w:color w:val="auto"/>
        </w:rPr>
      </w:pPr>
    </w:p>
    <w:p>
      <w:pPr>
        <w:ind w:right="240"/>
        <w:spacing w:after="0" w:line="279" w:lineRule="auto"/>
        <w:rPr>
          <w:sz w:val="20"/>
          <w:szCs w:val="20"/>
          <w:color w:val="auto"/>
        </w:rPr>
      </w:pPr>
      <w:r>
        <w:rPr>
          <w:rFonts w:ascii="Arial" w:cs="Arial" w:eastAsia="Arial" w:hAnsi="Arial"/>
          <w:sz w:val="16"/>
          <w:szCs w:val="16"/>
          <w:color w:val="auto"/>
        </w:rPr>
        <w:t xml:space="preserve">Sweden—1; Switzerland—12; Taiwan—96; Trinidad/Tobago—4; and United Arab Emirates—6. After taking into account the </w:t>
      </w:r>
      <w:r>
        <w:rPr>
          <w:rFonts w:ascii="Arial" w:cs="Arial" w:eastAsia="Arial" w:hAnsi="Arial"/>
          <w:sz w:val="16"/>
          <w:szCs w:val="16"/>
          <w:b w:val="1"/>
          <w:bCs w:val="1"/>
          <w:i w:val="1"/>
          <w:iCs w:val="1"/>
          <w:color w:val="auto"/>
        </w:rPr>
        <w:t>de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 xml:space="preserve">minimis </w:t>
      </w:r>
      <w:r>
        <w:rPr>
          <w:rFonts w:ascii="Arial" w:cs="Arial" w:eastAsia="Arial" w:hAnsi="Arial"/>
          <w:sz w:val="16"/>
          <w:szCs w:val="16"/>
          <w:color w:val="auto"/>
        </w:rPr>
        <w:t>exemption, approximately 97,800 employees in the United States and the United Kingdom were considered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identifying the median employee.</w:t>
      </w:r>
    </w:p>
    <w:p>
      <w:pPr>
        <w:sectPr>
          <w:pgSz w:w="11900" w:h="16838" w:orient="portrait"/>
          <w:cols w:equalWidth="0" w:num="1">
            <w:col w:w="9720"/>
          </w:cols>
          <w:pgMar w:left="1080" w:top="695"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right"/>
        <w:ind w:right="7720"/>
        <w:spacing w:after="0"/>
        <w:rPr>
          <w:sz w:val="20"/>
          <w:szCs w:val="20"/>
          <w:color w:val="auto"/>
        </w:rPr>
      </w:pPr>
      <w:r>
        <w:rPr>
          <w:rFonts w:ascii="Arial" w:cs="Arial" w:eastAsia="Arial" w:hAnsi="Arial"/>
          <w:sz w:val="16"/>
          <w:szCs w:val="16"/>
          <w:color w:val="auto"/>
        </w:rPr>
        <w:t>​​2026​  Proxy</w:t>
      </w:r>
    </w:p>
    <w:p>
      <w:pPr>
        <w:spacing w:after="0" w:line="5" w:lineRule="exact"/>
        <w:rPr>
          <w:sz w:val="20"/>
          <w:szCs w:val="20"/>
          <w:color w:val="auto"/>
        </w:rPr>
      </w:pPr>
    </w:p>
    <w:p>
      <w:pPr>
        <w:ind w:left="660" w:hanging="656"/>
        <w:spacing w:after="0"/>
        <w:tabs>
          <w:tab w:leader="none" w:pos="660" w:val="left"/>
        </w:tabs>
        <w:numPr>
          <w:ilvl w:val="0"/>
          <w:numId w:val="155"/>
        </w:numPr>
        <w:rPr>
          <w:rFonts w:ascii="Arial" w:cs="Arial" w:eastAsia="Arial" w:hAnsi="Arial"/>
          <w:sz w:val="16"/>
          <w:szCs w:val="16"/>
          <w:b w:val="1"/>
          <w:bCs w:val="1"/>
          <w:color w:val="1414D2"/>
        </w:rPr>
      </w:pPr>
      <w:r>
        <w:rPr>
          <w:rFonts w:ascii="Arial" w:cs="Arial" w:eastAsia="Arial" w:hAnsi="Arial"/>
          <w:sz w:val="16"/>
          <w:szCs w:val="16"/>
          <w:color w:val="auto"/>
        </w:rPr>
        <w:t>Statement</w:t>
      </w:r>
    </w:p>
    <w:p>
      <w:pPr>
        <w:sectPr>
          <w:pgSz w:w="11900" w:h="16838" w:orient="portrait"/>
          <w:cols w:equalWidth="0" w:num="1">
            <w:col w:w="9720"/>
          </w:cols>
          <w:pgMar w:left="1080" w:top="695" w:right="1099" w:bottom="1440" w:gutter="0" w:footer="0" w:header="0"/>
          <w:type w:val="continuous"/>
        </w:sectPr>
      </w:pPr>
    </w:p>
    <w:bookmarkStart w:id="139" w:name="page140"/>
    <w:bookmarkEnd w:id="139"/>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27"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6D6F71"/>
        </w:rPr>
        <w:t>Executive  Compensation</w:t>
      </w:r>
    </w:p>
    <w:p>
      <w:pPr>
        <w:spacing w:after="0" w:line="223" w:lineRule="exact"/>
        <w:rPr>
          <w:sz w:val="20"/>
          <w:szCs w:val="20"/>
          <w:color w:val="auto"/>
        </w:rPr>
      </w:pPr>
    </w:p>
    <w:p>
      <w:pPr>
        <w:spacing w:after="0"/>
        <w:rPr>
          <w:sz w:val="20"/>
          <w:szCs w:val="20"/>
          <w:color w:val="auto"/>
        </w:rPr>
      </w:pPr>
      <w:r>
        <w:rPr>
          <w:rFonts w:ascii="Arial" w:cs="Arial" w:eastAsia="Arial" w:hAnsi="Arial"/>
          <w:sz w:val="25"/>
          <w:szCs w:val="25"/>
          <w:b w:val="1"/>
          <w:bCs w:val="1"/>
          <w:color w:val="1414D2"/>
        </w:rPr>
        <w:t>Pay Versus Performance</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auto"/>
        </w:rPr>
        <w:t>This  section  provides  another  view  of  the  compensation  provided  to  our  NEOs  in  comparison  to  certain  performance  metrics.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80" w:type="dxa"/>
            <w:vAlign w:val="bottom"/>
            <w:tcBorders>
              <w:top w:val="single" w:sz="8" w:color="1414D2"/>
              <w:bottom w:val="single" w:sz="8" w:color="1414D2"/>
            </w:tcBorders>
            <w:shd w:val="clear" w:color="auto" w:fill="F2F2F2"/>
          </w:tcPr>
          <w:p>
            <w:pPr>
              <w:spacing w:after="0"/>
              <w:rPr>
                <w:sz w:val="14"/>
                <w:szCs w:val="14"/>
                <w:color w:val="auto"/>
              </w:rPr>
            </w:pPr>
          </w:p>
        </w:tc>
        <w:tc>
          <w:tcPr>
            <w:tcW w:w="220" w:type="dxa"/>
            <w:vAlign w:val="bottom"/>
            <w:tcBorders>
              <w:top w:val="single" w:sz="8" w:color="1414D2"/>
              <w:bottom w:val="single" w:sz="8" w:color="1414D2"/>
            </w:tcBorders>
            <w:shd w:val="clear" w:color="auto" w:fill="F2F2F2"/>
          </w:tcPr>
          <w:p>
            <w:pPr>
              <w:spacing w:after="0"/>
              <w:rPr>
                <w:sz w:val="14"/>
                <w:szCs w:val="14"/>
                <w:color w:val="auto"/>
              </w:rPr>
            </w:pPr>
          </w:p>
        </w:tc>
        <w:tc>
          <w:tcPr>
            <w:tcW w:w="900" w:type="dxa"/>
            <w:vAlign w:val="bottom"/>
            <w:tcBorders>
              <w:top w:val="single" w:sz="8" w:color="1414D2"/>
              <w:bottom w:val="single" w:sz="8" w:color="1414D2"/>
            </w:tcBorders>
            <w:shd w:val="clear" w:color="auto" w:fill="F2F2F2"/>
          </w:tcPr>
          <w:p>
            <w:pPr>
              <w:spacing w:after="0"/>
              <w:rPr>
                <w:sz w:val="14"/>
                <w:szCs w:val="14"/>
                <w:color w:val="auto"/>
              </w:rPr>
            </w:pPr>
          </w:p>
        </w:tc>
        <w:tc>
          <w:tcPr>
            <w:tcW w:w="1100" w:type="dxa"/>
            <w:vAlign w:val="bottom"/>
            <w:tcBorders>
              <w:top w:val="single" w:sz="8" w:color="1414D2"/>
              <w:bottom w:val="single" w:sz="8" w:color="1414D2"/>
            </w:tcBorders>
            <w:shd w:val="clear" w:color="auto" w:fill="F2F2F2"/>
          </w:tcPr>
          <w:p>
            <w:pPr>
              <w:spacing w:after="0"/>
              <w:rPr>
                <w:sz w:val="14"/>
                <w:szCs w:val="14"/>
                <w:color w:val="auto"/>
              </w:rPr>
            </w:pPr>
          </w:p>
        </w:tc>
        <w:tc>
          <w:tcPr>
            <w:tcW w:w="220" w:type="dxa"/>
            <w:vAlign w:val="bottom"/>
            <w:tcBorders>
              <w:top w:val="single" w:sz="8" w:color="1414D2"/>
              <w:bottom w:val="single" w:sz="8" w:color="1414D2"/>
            </w:tcBorders>
            <w:shd w:val="clear" w:color="auto" w:fill="F2F2F2"/>
          </w:tcPr>
          <w:p>
            <w:pPr>
              <w:spacing w:after="0"/>
              <w:rPr>
                <w:sz w:val="14"/>
                <w:szCs w:val="14"/>
                <w:color w:val="auto"/>
              </w:rPr>
            </w:pPr>
          </w:p>
        </w:tc>
        <w:tc>
          <w:tcPr>
            <w:tcW w:w="880" w:type="dxa"/>
            <w:vAlign w:val="bottom"/>
            <w:tcBorders>
              <w:top w:val="single" w:sz="8" w:color="1414D2"/>
              <w:bottom w:val="single" w:sz="8" w:color="1414D2"/>
            </w:tcBorders>
            <w:shd w:val="clear" w:color="auto" w:fill="F2F2F2"/>
          </w:tcPr>
          <w:p>
            <w:pPr>
              <w:spacing w:after="0"/>
              <w:rPr>
                <w:sz w:val="14"/>
                <w:szCs w:val="14"/>
                <w:color w:val="auto"/>
              </w:rPr>
            </w:pPr>
          </w:p>
        </w:tc>
        <w:tc>
          <w:tcPr>
            <w:tcW w:w="2220" w:type="dxa"/>
            <w:vAlign w:val="bottom"/>
            <w:tcBorders>
              <w:top w:val="single" w:sz="8" w:color="1414D2"/>
              <w:bottom w:val="single" w:sz="8" w:color="1414D2"/>
            </w:tcBorders>
            <w:gridSpan w:val="3"/>
            <w:shd w:val="clear" w:color="auto" w:fill="F2F2F2"/>
          </w:tcPr>
          <w:p>
            <w:pPr>
              <w:jc w:val="right"/>
              <w:ind w:right="582"/>
              <w:spacing w:after="0"/>
              <w:rPr>
                <w:sz w:val="20"/>
                <w:szCs w:val="20"/>
                <w:color w:val="auto"/>
              </w:rPr>
            </w:pPr>
            <w:r>
              <w:rPr>
                <w:rFonts w:ascii="Arial" w:cs="Arial" w:eastAsia="Arial" w:hAnsi="Arial"/>
                <w:sz w:val="12"/>
                <w:szCs w:val="12"/>
                <w:b w:val="1"/>
                <w:bCs w:val="1"/>
                <w:color w:val="auto"/>
              </w:rPr>
              <w:t>Pay Versus Performance</w:t>
            </w:r>
          </w:p>
        </w:tc>
        <w:tc>
          <w:tcPr>
            <w:tcW w:w="1060" w:type="dxa"/>
            <w:vAlign w:val="bottom"/>
            <w:tcBorders>
              <w:top w:val="single" w:sz="8" w:color="1414D2"/>
              <w:bottom w:val="single" w:sz="8" w:color="1414D2"/>
            </w:tcBorders>
            <w:shd w:val="clear" w:color="auto" w:fill="F2F2F2"/>
          </w:tcPr>
          <w:p>
            <w:pPr>
              <w:spacing w:after="0"/>
              <w:rPr>
                <w:sz w:val="14"/>
                <w:szCs w:val="14"/>
                <w:color w:val="auto"/>
              </w:rPr>
            </w:pPr>
          </w:p>
        </w:tc>
        <w:tc>
          <w:tcPr>
            <w:tcW w:w="300" w:type="dxa"/>
            <w:vAlign w:val="bottom"/>
            <w:tcBorders>
              <w:top w:val="single" w:sz="8" w:color="1414D2"/>
              <w:bottom w:val="single" w:sz="8" w:color="1414D2"/>
            </w:tcBorders>
            <w:shd w:val="clear" w:color="auto" w:fill="F2F2F2"/>
          </w:tcPr>
          <w:p>
            <w:pPr>
              <w:spacing w:after="0"/>
              <w:rPr>
                <w:sz w:val="14"/>
                <w:szCs w:val="14"/>
                <w:color w:val="auto"/>
              </w:rPr>
            </w:pPr>
          </w:p>
        </w:tc>
        <w:tc>
          <w:tcPr>
            <w:tcW w:w="860" w:type="dxa"/>
            <w:vAlign w:val="bottom"/>
            <w:tcBorders>
              <w:top w:val="single" w:sz="8" w:color="1414D2"/>
              <w:bottom w:val="single" w:sz="8" w:color="1414D2"/>
            </w:tcBorders>
            <w:shd w:val="clear" w:color="auto" w:fill="F2F2F2"/>
          </w:tcPr>
          <w:p>
            <w:pPr>
              <w:spacing w:after="0"/>
              <w:rPr>
                <w:sz w:val="14"/>
                <w:szCs w:val="14"/>
                <w:color w:val="auto"/>
              </w:rPr>
            </w:pPr>
          </w:p>
        </w:tc>
        <w:tc>
          <w:tcPr>
            <w:tcW w:w="1280" w:type="dxa"/>
            <w:vAlign w:val="bottom"/>
            <w:tcBorders>
              <w:top w:val="single" w:sz="8" w:color="1414D2"/>
              <w:bottom w:val="single" w:sz="8" w:color="1414D2"/>
            </w:tcBorders>
            <w:shd w:val="clear" w:color="auto" w:fill="F2F2F2"/>
          </w:tcPr>
          <w:p>
            <w:pPr>
              <w:spacing w:after="0"/>
              <w:rPr>
                <w:sz w:val="14"/>
                <w:szCs w:val="14"/>
                <w:color w:val="auto"/>
              </w:rPr>
            </w:pPr>
          </w:p>
        </w:tc>
        <w:tc>
          <w:tcPr>
            <w:tcW w:w="40" w:type="dxa"/>
            <w:vAlign w:val="bottom"/>
            <w:vMerge w:val="restart"/>
          </w:tcPr>
          <w:p>
            <w:pPr>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09"/>
        </w:trPr>
        <w:tc>
          <w:tcPr>
            <w:tcW w:w="680" w:type="dxa"/>
            <w:vAlign w:val="bottom"/>
            <w:shd w:val="clear" w:color="auto" w:fill="F2F2F2"/>
          </w:tcPr>
          <w:p>
            <w:pPr>
              <w:spacing w:after="0"/>
              <w:rPr>
                <w:sz w:val="9"/>
                <w:szCs w:val="9"/>
                <w:color w:val="auto"/>
              </w:rPr>
            </w:pPr>
          </w:p>
        </w:tc>
        <w:tc>
          <w:tcPr>
            <w:tcW w:w="220" w:type="dxa"/>
            <w:vAlign w:val="bottom"/>
            <w:shd w:val="clear" w:color="auto" w:fill="F2F2F2"/>
          </w:tcPr>
          <w:p>
            <w:pPr>
              <w:spacing w:after="0"/>
              <w:rPr>
                <w:sz w:val="9"/>
                <w:szCs w:val="9"/>
                <w:color w:val="auto"/>
              </w:rPr>
            </w:pPr>
          </w:p>
        </w:tc>
        <w:tc>
          <w:tcPr>
            <w:tcW w:w="900" w:type="dxa"/>
            <w:vAlign w:val="bottom"/>
            <w:shd w:val="clear" w:color="auto" w:fill="F2F2F2"/>
          </w:tcPr>
          <w:p>
            <w:pPr>
              <w:spacing w:after="0"/>
              <w:rPr>
                <w:sz w:val="9"/>
                <w:szCs w:val="9"/>
                <w:color w:val="auto"/>
              </w:rPr>
            </w:pPr>
          </w:p>
        </w:tc>
        <w:tc>
          <w:tcPr>
            <w:tcW w:w="1100" w:type="dxa"/>
            <w:vAlign w:val="bottom"/>
            <w:shd w:val="clear" w:color="auto" w:fill="F2F2F2"/>
          </w:tcPr>
          <w:p>
            <w:pPr>
              <w:spacing w:after="0"/>
              <w:rPr>
                <w:sz w:val="9"/>
                <w:szCs w:val="9"/>
                <w:color w:val="auto"/>
              </w:rPr>
            </w:pPr>
          </w:p>
        </w:tc>
        <w:tc>
          <w:tcPr>
            <w:tcW w:w="220" w:type="dxa"/>
            <w:vAlign w:val="bottom"/>
            <w:shd w:val="clear" w:color="auto" w:fill="F2F2F2"/>
          </w:tcPr>
          <w:p>
            <w:pPr>
              <w:spacing w:after="0"/>
              <w:rPr>
                <w:sz w:val="9"/>
                <w:szCs w:val="9"/>
                <w:color w:val="auto"/>
              </w:rPr>
            </w:pPr>
          </w:p>
        </w:tc>
        <w:tc>
          <w:tcPr>
            <w:tcW w:w="880" w:type="dxa"/>
            <w:vAlign w:val="bottom"/>
            <w:shd w:val="clear" w:color="auto" w:fill="F2F2F2"/>
          </w:tcPr>
          <w:p>
            <w:pPr>
              <w:spacing w:after="0"/>
              <w:rPr>
                <w:sz w:val="9"/>
                <w:szCs w:val="9"/>
                <w:color w:val="auto"/>
              </w:rPr>
            </w:pPr>
          </w:p>
        </w:tc>
        <w:tc>
          <w:tcPr>
            <w:tcW w:w="1100" w:type="dxa"/>
            <w:vAlign w:val="bottom"/>
            <w:shd w:val="clear" w:color="auto" w:fill="F2F2F2"/>
          </w:tcPr>
          <w:p>
            <w:pPr>
              <w:spacing w:after="0"/>
              <w:rPr>
                <w:sz w:val="9"/>
                <w:szCs w:val="9"/>
                <w:color w:val="auto"/>
              </w:rPr>
            </w:pPr>
          </w:p>
        </w:tc>
        <w:tc>
          <w:tcPr>
            <w:tcW w:w="200" w:type="dxa"/>
            <w:vAlign w:val="bottom"/>
            <w:shd w:val="clear" w:color="auto" w:fill="F2F2F2"/>
          </w:tcPr>
          <w:p>
            <w:pPr>
              <w:spacing w:after="0"/>
              <w:rPr>
                <w:sz w:val="9"/>
                <w:szCs w:val="9"/>
                <w:color w:val="auto"/>
              </w:rPr>
            </w:pPr>
          </w:p>
        </w:tc>
        <w:tc>
          <w:tcPr>
            <w:tcW w:w="1980" w:type="dxa"/>
            <w:vAlign w:val="bottom"/>
            <w:gridSpan w:val="2"/>
            <w:shd w:val="clear" w:color="auto" w:fill="F2F2F2"/>
          </w:tcPr>
          <w:p>
            <w:pPr>
              <w:jc w:val="right"/>
              <w:ind w:right="203"/>
              <w:spacing w:after="0" w:line="109" w:lineRule="exact"/>
              <w:rPr>
                <w:sz w:val="20"/>
                <w:szCs w:val="20"/>
                <w:color w:val="auto"/>
              </w:rPr>
            </w:pPr>
            <w:r>
              <w:rPr>
                <w:rFonts w:ascii="Arial" w:cs="Arial" w:eastAsia="Arial" w:hAnsi="Arial"/>
                <w:sz w:val="12"/>
                <w:szCs w:val="12"/>
                <w:b w:val="1"/>
                <w:bCs w:val="1"/>
                <w:color w:val="auto"/>
              </w:rPr>
              <w:t>Value of Initial Fixed $100</w:t>
            </w:r>
          </w:p>
        </w:tc>
        <w:tc>
          <w:tcPr>
            <w:tcW w:w="300" w:type="dxa"/>
            <w:vAlign w:val="bottom"/>
            <w:shd w:val="clear" w:color="auto" w:fill="F2F2F2"/>
          </w:tcPr>
          <w:p>
            <w:pPr>
              <w:spacing w:after="0"/>
              <w:rPr>
                <w:sz w:val="9"/>
                <w:szCs w:val="9"/>
                <w:color w:val="auto"/>
              </w:rPr>
            </w:pPr>
          </w:p>
        </w:tc>
        <w:tc>
          <w:tcPr>
            <w:tcW w:w="860" w:type="dxa"/>
            <w:vAlign w:val="bottom"/>
            <w:shd w:val="clear" w:color="auto" w:fill="F2F2F2"/>
          </w:tcPr>
          <w:p>
            <w:pPr>
              <w:spacing w:after="0"/>
              <w:rPr>
                <w:sz w:val="9"/>
                <w:szCs w:val="9"/>
                <w:color w:val="auto"/>
              </w:rPr>
            </w:pPr>
          </w:p>
        </w:tc>
        <w:tc>
          <w:tcPr>
            <w:tcW w:w="1280" w:type="dxa"/>
            <w:vAlign w:val="bottom"/>
            <w:shd w:val="clear" w:color="auto" w:fill="F2F2F2"/>
          </w:tcPr>
          <w:p>
            <w:pPr>
              <w:spacing w:after="0"/>
              <w:rPr>
                <w:sz w:val="9"/>
                <w:szCs w:val="9"/>
                <w:color w:val="auto"/>
              </w:rPr>
            </w:pPr>
          </w:p>
        </w:tc>
        <w:tc>
          <w:tcPr>
            <w:tcW w:w="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680" w:type="dxa"/>
            <w:vAlign w:val="bottom"/>
            <w:tcBorders>
              <w:bottom w:val="single" w:sz="8" w:color="F2F2F2"/>
            </w:tcBorders>
            <w:shd w:val="clear" w:color="auto" w:fill="F2F2F2"/>
          </w:tcPr>
          <w:p>
            <w:pPr>
              <w:spacing w:after="0"/>
              <w:rPr>
                <w:sz w:val="16"/>
                <w:szCs w:val="16"/>
                <w:color w:val="auto"/>
              </w:rPr>
            </w:pPr>
          </w:p>
        </w:tc>
        <w:tc>
          <w:tcPr>
            <w:tcW w:w="220" w:type="dxa"/>
            <w:vAlign w:val="bottom"/>
            <w:tcBorders>
              <w:bottom w:val="single" w:sz="8" w:color="F2F2F2"/>
            </w:tcBorders>
            <w:shd w:val="clear" w:color="auto" w:fill="F2F2F2"/>
          </w:tcPr>
          <w:p>
            <w:pPr>
              <w:spacing w:after="0"/>
              <w:rPr>
                <w:sz w:val="16"/>
                <w:szCs w:val="16"/>
                <w:color w:val="auto"/>
              </w:rPr>
            </w:pPr>
          </w:p>
        </w:tc>
        <w:tc>
          <w:tcPr>
            <w:tcW w:w="900" w:type="dxa"/>
            <w:vAlign w:val="bottom"/>
            <w:tcBorders>
              <w:bottom w:val="single" w:sz="8" w:color="F2F2F2"/>
            </w:tcBorders>
            <w:shd w:val="clear" w:color="auto" w:fill="F2F2F2"/>
          </w:tcPr>
          <w:p>
            <w:pPr>
              <w:spacing w:after="0"/>
              <w:rPr>
                <w:sz w:val="16"/>
                <w:szCs w:val="16"/>
                <w:color w:val="auto"/>
              </w:rPr>
            </w:pPr>
          </w:p>
        </w:tc>
        <w:tc>
          <w:tcPr>
            <w:tcW w:w="1100" w:type="dxa"/>
            <w:vAlign w:val="bottom"/>
            <w:tcBorders>
              <w:bottom w:val="single" w:sz="8" w:color="F2F2F2"/>
            </w:tcBorders>
            <w:shd w:val="clear" w:color="auto" w:fill="F2F2F2"/>
          </w:tcPr>
          <w:p>
            <w:pPr>
              <w:spacing w:after="0"/>
              <w:rPr>
                <w:sz w:val="16"/>
                <w:szCs w:val="16"/>
                <w:color w:val="auto"/>
              </w:rPr>
            </w:pPr>
          </w:p>
        </w:tc>
        <w:tc>
          <w:tcPr>
            <w:tcW w:w="220" w:type="dxa"/>
            <w:vAlign w:val="bottom"/>
            <w:tcBorders>
              <w:bottom w:val="single" w:sz="8" w:color="F2F2F2"/>
            </w:tcBorders>
            <w:shd w:val="clear" w:color="auto" w:fill="F2F2F2"/>
          </w:tcPr>
          <w:p>
            <w:pPr>
              <w:spacing w:after="0"/>
              <w:rPr>
                <w:sz w:val="16"/>
                <w:szCs w:val="16"/>
                <w:color w:val="auto"/>
              </w:rPr>
            </w:pPr>
          </w:p>
        </w:tc>
        <w:tc>
          <w:tcPr>
            <w:tcW w:w="880" w:type="dxa"/>
            <w:vAlign w:val="bottom"/>
            <w:tcBorders>
              <w:bottom w:val="single" w:sz="8" w:color="F2F2F2"/>
            </w:tcBorders>
            <w:shd w:val="clear" w:color="auto" w:fill="F2F2F2"/>
          </w:tcPr>
          <w:p>
            <w:pPr>
              <w:spacing w:after="0"/>
              <w:rPr>
                <w:sz w:val="16"/>
                <w:szCs w:val="16"/>
                <w:color w:val="auto"/>
              </w:rPr>
            </w:pPr>
          </w:p>
        </w:tc>
        <w:tc>
          <w:tcPr>
            <w:tcW w:w="1100" w:type="dxa"/>
            <w:vAlign w:val="bottom"/>
            <w:tcBorders>
              <w:bottom w:val="single" w:sz="8" w:color="F2F2F2"/>
            </w:tcBorders>
            <w:shd w:val="clear" w:color="auto" w:fill="F2F2F2"/>
          </w:tcPr>
          <w:p>
            <w:pPr>
              <w:spacing w:after="0"/>
              <w:rPr>
                <w:sz w:val="16"/>
                <w:szCs w:val="16"/>
                <w:color w:val="auto"/>
              </w:rPr>
            </w:pPr>
          </w:p>
        </w:tc>
        <w:tc>
          <w:tcPr>
            <w:tcW w:w="200" w:type="dxa"/>
            <w:vAlign w:val="bottom"/>
            <w:tcBorders>
              <w:bottom w:val="single" w:sz="8" w:color="F2F2F2"/>
            </w:tcBorders>
            <w:shd w:val="clear" w:color="auto" w:fill="F2F2F2"/>
          </w:tcPr>
          <w:p>
            <w:pPr>
              <w:spacing w:after="0"/>
              <w:rPr>
                <w:sz w:val="16"/>
                <w:szCs w:val="16"/>
                <w:color w:val="auto"/>
              </w:rPr>
            </w:pPr>
          </w:p>
        </w:tc>
        <w:tc>
          <w:tcPr>
            <w:tcW w:w="1980" w:type="dxa"/>
            <w:vAlign w:val="bottom"/>
            <w:tcBorders>
              <w:bottom w:val="single" w:sz="8" w:color="1414D2"/>
            </w:tcBorders>
            <w:gridSpan w:val="2"/>
            <w:shd w:val="clear" w:color="auto" w:fill="F2F2F2"/>
          </w:tcPr>
          <w:p>
            <w:pPr>
              <w:jc w:val="right"/>
              <w:ind w:right="223"/>
              <w:spacing w:after="0" w:line="189" w:lineRule="exact"/>
              <w:rPr>
                <w:sz w:val="20"/>
                <w:szCs w:val="20"/>
                <w:color w:val="auto"/>
              </w:rPr>
            </w:pPr>
            <w:r>
              <w:rPr>
                <w:rFonts w:ascii="Arial" w:cs="Arial" w:eastAsia="Arial" w:hAnsi="Arial"/>
                <w:sz w:val="12"/>
                <w:szCs w:val="12"/>
                <w:b w:val="1"/>
                <w:bCs w:val="1"/>
                <w:color w:val="auto"/>
              </w:rPr>
              <w:t>Investment Based On:</w:t>
            </w:r>
            <w:r>
              <w:rPr>
                <w:rFonts w:ascii="Arial" w:cs="Arial" w:eastAsia="Arial" w:hAnsi="Arial"/>
                <w:sz w:val="17"/>
                <w:szCs w:val="17"/>
                <w:b w:val="1"/>
                <w:bCs w:val="1"/>
                <w:color w:val="auto"/>
                <w:vertAlign w:val="superscript"/>
              </w:rPr>
              <w:t>(4)</w:t>
            </w:r>
          </w:p>
        </w:tc>
        <w:tc>
          <w:tcPr>
            <w:tcW w:w="300" w:type="dxa"/>
            <w:vAlign w:val="bottom"/>
            <w:tcBorders>
              <w:bottom w:val="single" w:sz="8" w:color="F2F2F2"/>
            </w:tcBorders>
            <w:shd w:val="clear" w:color="auto" w:fill="F2F2F2"/>
          </w:tcPr>
          <w:p>
            <w:pPr>
              <w:spacing w:after="0"/>
              <w:rPr>
                <w:sz w:val="16"/>
                <w:szCs w:val="16"/>
                <w:color w:val="auto"/>
              </w:rPr>
            </w:pPr>
          </w:p>
        </w:tc>
        <w:tc>
          <w:tcPr>
            <w:tcW w:w="860" w:type="dxa"/>
            <w:vAlign w:val="bottom"/>
            <w:tcBorders>
              <w:bottom w:val="single" w:sz="8" w:color="F2F2F2"/>
            </w:tcBorders>
            <w:shd w:val="clear" w:color="auto" w:fill="F2F2F2"/>
          </w:tcPr>
          <w:p>
            <w:pPr>
              <w:spacing w:after="0"/>
              <w:rPr>
                <w:sz w:val="16"/>
                <w:szCs w:val="16"/>
                <w:color w:val="auto"/>
              </w:rPr>
            </w:pPr>
          </w:p>
        </w:tc>
        <w:tc>
          <w:tcPr>
            <w:tcW w:w="1280" w:type="dxa"/>
            <w:vAlign w:val="bottom"/>
            <w:tcBorders>
              <w:bottom w:val="single" w:sz="8" w:color="F2F2F2"/>
            </w:tcBorders>
            <w:shd w:val="clear" w:color="auto" w:fill="F2F2F2"/>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680" w:type="dxa"/>
            <w:vAlign w:val="bottom"/>
            <w:shd w:val="clear" w:color="auto" w:fill="F2F2F2"/>
          </w:tcPr>
          <w:p>
            <w:pPr>
              <w:spacing w:after="0"/>
              <w:rPr>
                <w:sz w:val="10"/>
                <w:szCs w:val="10"/>
                <w:color w:val="auto"/>
              </w:rPr>
            </w:pPr>
          </w:p>
        </w:tc>
        <w:tc>
          <w:tcPr>
            <w:tcW w:w="220" w:type="dxa"/>
            <w:vAlign w:val="bottom"/>
            <w:shd w:val="clear" w:color="auto" w:fill="F2F2F2"/>
          </w:tcPr>
          <w:p>
            <w:pPr>
              <w:ind w:left="120"/>
              <w:spacing w:after="0" w:line="118" w:lineRule="exact"/>
              <w:rPr>
                <w:sz w:val="20"/>
                <w:szCs w:val="20"/>
                <w:color w:val="auto"/>
              </w:rPr>
            </w:pPr>
            <w:r>
              <w:rPr>
                <w:rFonts w:ascii="Arial" w:cs="Arial" w:eastAsia="Arial" w:hAnsi="Arial"/>
                <w:sz w:val="12"/>
                <w:szCs w:val="12"/>
                <w:color w:val="auto"/>
              </w:rPr>
              <w:t>​​</w:t>
            </w:r>
          </w:p>
        </w:tc>
        <w:tc>
          <w:tcPr>
            <w:tcW w:w="900" w:type="dxa"/>
            <w:vAlign w:val="bottom"/>
            <w:shd w:val="clear" w:color="auto" w:fill="F2F2F2"/>
          </w:tcPr>
          <w:p>
            <w:pPr>
              <w:spacing w:after="0"/>
              <w:rPr>
                <w:sz w:val="10"/>
                <w:szCs w:val="10"/>
                <w:color w:val="auto"/>
              </w:rPr>
            </w:pPr>
          </w:p>
        </w:tc>
        <w:tc>
          <w:tcPr>
            <w:tcW w:w="1100" w:type="dxa"/>
            <w:vAlign w:val="bottom"/>
            <w:shd w:val="clear" w:color="auto" w:fill="F2F2F2"/>
          </w:tcPr>
          <w:p>
            <w:pPr>
              <w:jc w:val="right"/>
              <w:ind w:right="843"/>
              <w:spacing w:after="0" w:line="118" w:lineRule="exact"/>
              <w:rPr>
                <w:sz w:val="20"/>
                <w:szCs w:val="20"/>
                <w:color w:val="auto"/>
              </w:rPr>
            </w:pPr>
            <w:r>
              <w:rPr>
                <w:rFonts w:ascii="Arial" w:cs="Arial" w:eastAsia="Arial" w:hAnsi="Arial"/>
                <w:sz w:val="12"/>
                <w:szCs w:val="12"/>
                <w:color w:val="auto"/>
              </w:rPr>
              <w:t>​​</w:t>
            </w:r>
          </w:p>
        </w:tc>
        <w:tc>
          <w:tcPr>
            <w:tcW w:w="220" w:type="dxa"/>
            <w:vAlign w:val="bottom"/>
            <w:shd w:val="clear" w:color="auto" w:fill="F2F2F2"/>
          </w:tcPr>
          <w:p>
            <w:pPr>
              <w:ind w:left="120"/>
              <w:spacing w:after="0" w:line="118" w:lineRule="exact"/>
              <w:rPr>
                <w:sz w:val="20"/>
                <w:szCs w:val="20"/>
                <w:color w:val="auto"/>
              </w:rPr>
            </w:pPr>
            <w:r>
              <w:rPr>
                <w:rFonts w:ascii="Arial" w:cs="Arial" w:eastAsia="Arial" w:hAnsi="Arial"/>
                <w:sz w:val="12"/>
                <w:szCs w:val="12"/>
                <w:color w:val="auto"/>
              </w:rPr>
              <w:t>​​</w:t>
            </w:r>
          </w:p>
        </w:tc>
        <w:tc>
          <w:tcPr>
            <w:tcW w:w="880" w:type="dxa"/>
            <w:vAlign w:val="bottom"/>
            <w:shd w:val="clear" w:color="auto" w:fill="F2F2F2"/>
          </w:tcPr>
          <w:p>
            <w:pPr>
              <w:jc w:val="center"/>
              <w:spacing w:after="0" w:line="118" w:lineRule="exact"/>
              <w:rPr>
                <w:sz w:val="20"/>
                <w:szCs w:val="20"/>
                <w:color w:val="auto"/>
              </w:rPr>
            </w:pPr>
            <w:r>
              <w:rPr>
                <w:rFonts w:ascii="Arial" w:cs="Arial" w:eastAsia="Arial" w:hAnsi="Arial"/>
                <w:sz w:val="12"/>
                <w:szCs w:val="12"/>
                <w:b w:val="1"/>
                <w:bCs w:val="1"/>
                <w:color w:val="auto"/>
              </w:rPr>
              <w:t>Average</w:t>
            </w:r>
          </w:p>
        </w:tc>
        <w:tc>
          <w:tcPr>
            <w:tcW w:w="1100" w:type="dxa"/>
            <w:vAlign w:val="bottom"/>
            <w:shd w:val="clear" w:color="auto" w:fill="F2F2F2"/>
          </w:tcPr>
          <w:p>
            <w:pPr>
              <w:jc w:val="right"/>
              <w:ind w:right="863"/>
              <w:spacing w:after="0" w:line="118" w:lineRule="exact"/>
              <w:rPr>
                <w:sz w:val="20"/>
                <w:szCs w:val="20"/>
                <w:color w:val="auto"/>
              </w:rPr>
            </w:pPr>
            <w:r>
              <w:rPr>
                <w:rFonts w:ascii="Arial" w:cs="Arial" w:eastAsia="Arial" w:hAnsi="Arial"/>
                <w:sz w:val="12"/>
                <w:szCs w:val="12"/>
                <w:color w:val="auto"/>
              </w:rPr>
              <w:t>​​</w:t>
            </w:r>
          </w:p>
        </w:tc>
        <w:tc>
          <w:tcPr>
            <w:tcW w:w="200" w:type="dxa"/>
            <w:vAlign w:val="bottom"/>
            <w:shd w:val="clear" w:color="auto" w:fill="F2F2F2"/>
          </w:tcPr>
          <w:p>
            <w:pPr>
              <w:ind w:left="120"/>
              <w:spacing w:after="0" w:line="118" w:lineRule="exact"/>
              <w:rPr>
                <w:sz w:val="20"/>
                <w:szCs w:val="20"/>
                <w:color w:val="auto"/>
              </w:rPr>
            </w:pPr>
            <w:r>
              <w:rPr>
                <w:rFonts w:ascii="Arial" w:cs="Arial" w:eastAsia="Arial" w:hAnsi="Arial"/>
                <w:sz w:val="12"/>
                <w:szCs w:val="12"/>
                <w:color w:val="auto"/>
              </w:rPr>
              <w:t>​​</w:t>
            </w:r>
          </w:p>
        </w:tc>
        <w:tc>
          <w:tcPr>
            <w:tcW w:w="920" w:type="dxa"/>
            <w:vAlign w:val="bottom"/>
            <w:shd w:val="clear" w:color="auto" w:fill="F2F2F2"/>
          </w:tcPr>
          <w:p>
            <w:pPr>
              <w:spacing w:after="0"/>
              <w:rPr>
                <w:sz w:val="10"/>
                <w:szCs w:val="10"/>
                <w:color w:val="auto"/>
              </w:rPr>
            </w:pPr>
          </w:p>
        </w:tc>
        <w:tc>
          <w:tcPr>
            <w:tcW w:w="1060" w:type="dxa"/>
            <w:vAlign w:val="bottom"/>
            <w:shd w:val="clear" w:color="auto" w:fill="F2F2F2"/>
          </w:tcPr>
          <w:p>
            <w:pPr>
              <w:jc w:val="right"/>
              <w:ind w:right="843"/>
              <w:spacing w:after="0" w:line="118" w:lineRule="exact"/>
              <w:rPr>
                <w:sz w:val="20"/>
                <w:szCs w:val="20"/>
                <w:color w:val="auto"/>
              </w:rPr>
            </w:pPr>
            <w:r>
              <w:rPr>
                <w:rFonts w:ascii="Arial" w:cs="Arial" w:eastAsia="Arial" w:hAnsi="Arial"/>
                <w:sz w:val="12"/>
                <w:szCs w:val="12"/>
                <w:color w:val="auto"/>
              </w:rPr>
              <w:t>​​</w:t>
            </w:r>
          </w:p>
        </w:tc>
        <w:tc>
          <w:tcPr>
            <w:tcW w:w="300" w:type="dxa"/>
            <w:vAlign w:val="bottom"/>
            <w:shd w:val="clear" w:color="auto" w:fill="F2F2F2"/>
          </w:tcPr>
          <w:p>
            <w:pPr>
              <w:ind w:left="120"/>
              <w:spacing w:after="0" w:line="118" w:lineRule="exact"/>
              <w:rPr>
                <w:sz w:val="20"/>
                <w:szCs w:val="20"/>
                <w:color w:val="auto"/>
              </w:rPr>
            </w:pPr>
            <w:r>
              <w:rPr>
                <w:rFonts w:ascii="Arial" w:cs="Arial" w:eastAsia="Arial" w:hAnsi="Arial"/>
                <w:sz w:val="12"/>
                <w:szCs w:val="12"/>
                <w:color w:val="auto"/>
              </w:rPr>
              <w:t>​​</w:t>
            </w:r>
          </w:p>
        </w:tc>
        <w:tc>
          <w:tcPr>
            <w:tcW w:w="860" w:type="dxa"/>
            <w:vAlign w:val="bottom"/>
            <w:shd w:val="clear" w:color="auto" w:fill="F2F2F2"/>
          </w:tcPr>
          <w:p>
            <w:pPr>
              <w:spacing w:after="0"/>
              <w:rPr>
                <w:sz w:val="10"/>
                <w:szCs w:val="10"/>
                <w:color w:val="auto"/>
              </w:rPr>
            </w:pPr>
          </w:p>
        </w:tc>
        <w:tc>
          <w:tcPr>
            <w:tcW w:w="1280" w:type="dxa"/>
            <w:vAlign w:val="bottom"/>
            <w:shd w:val="clear" w:color="auto" w:fill="F2F2F2"/>
          </w:tcPr>
          <w:p>
            <w:pPr>
              <w:jc w:val="right"/>
              <w:ind w:right="1103"/>
              <w:spacing w:after="0" w:line="118"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680" w:type="dxa"/>
            <w:vAlign w:val="bottom"/>
            <w:shd w:val="clear" w:color="auto" w:fill="F2F2F2"/>
          </w:tcPr>
          <w:p>
            <w:pPr>
              <w:spacing w:after="0"/>
              <w:rPr>
                <w:sz w:val="11"/>
                <w:szCs w:val="11"/>
                <w:color w:val="auto"/>
              </w:rPr>
            </w:pPr>
          </w:p>
        </w:tc>
        <w:tc>
          <w:tcPr>
            <w:tcW w:w="220" w:type="dxa"/>
            <w:vAlign w:val="bottom"/>
            <w:shd w:val="clear" w:color="auto" w:fill="F2F2F2"/>
          </w:tcPr>
          <w:p>
            <w:pPr>
              <w:spacing w:after="0"/>
              <w:rPr>
                <w:sz w:val="11"/>
                <w:szCs w:val="11"/>
                <w:color w:val="auto"/>
              </w:rPr>
            </w:pPr>
          </w:p>
        </w:tc>
        <w:tc>
          <w:tcPr>
            <w:tcW w:w="900" w:type="dxa"/>
            <w:vAlign w:val="bottom"/>
            <w:shd w:val="clear" w:color="auto" w:fill="F2F2F2"/>
          </w:tcPr>
          <w:p>
            <w:pPr>
              <w:jc w:val="center"/>
              <w:spacing w:after="0" w:line="135" w:lineRule="exact"/>
              <w:rPr>
                <w:sz w:val="20"/>
                <w:szCs w:val="20"/>
                <w:color w:val="auto"/>
              </w:rPr>
            </w:pPr>
            <w:r>
              <w:rPr>
                <w:rFonts w:ascii="Arial" w:cs="Arial" w:eastAsia="Arial" w:hAnsi="Arial"/>
                <w:sz w:val="12"/>
                <w:szCs w:val="12"/>
                <w:b w:val="1"/>
                <w:bCs w:val="1"/>
                <w:color w:val="auto"/>
              </w:rPr>
              <w:t>Summary</w:t>
            </w:r>
          </w:p>
        </w:tc>
        <w:tc>
          <w:tcPr>
            <w:tcW w:w="1100" w:type="dxa"/>
            <w:vAlign w:val="bottom"/>
            <w:shd w:val="clear" w:color="auto" w:fill="F2F2F2"/>
          </w:tcPr>
          <w:p>
            <w:pPr>
              <w:spacing w:after="0"/>
              <w:rPr>
                <w:sz w:val="11"/>
                <w:szCs w:val="11"/>
                <w:color w:val="auto"/>
              </w:rPr>
            </w:pPr>
          </w:p>
        </w:tc>
        <w:tc>
          <w:tcPr>
            <w:tcW w:w="220" w:type="dxa"/>
            <w:vAlign w:val="bottom"/>
            <w:shd w:val="clear" w:color="auto" w:fill="F2F2F2"/>
          </w:tcPr>
          <w:p>
            <w:pPr>
              <w:spacing w:after="0"/>
              <w:rPr>
                <w:sz w:val="11"/>
                <w:szCs w:val="11"/>
                <w:color w:val="auto"/>
              </w:rPr>
            </w:pPr>
          </w:p>
        </w:tc>
        <w:tc>
          <w:tcPr>
            <w:tcW w:w="880" w:type="dxa"/>
            <w:vAlign w:val="bottom"/>
            <w:shd w:val="clear" w:color="auto" w:fill="F2F2F2"/>
          </w:tcPr>
          <w:p>
            <w:pPr>
              <w:jc w:val="center"/>
              <w:spacing w:after="0" w:line="135" w:lineRule="exact"/>
              <w:rPr>
                <w:sz w:val="20"/>
                <w:szCs w:val="20"/>
                <w:color w:val="auto"/>
              </w:rPr>
            </w:pPr>
            <w:r>
              <w:rPr>
                <w:rFonts w:ascii="Arial" w:cs="Arial" w:eastAsia="Arial" w:hAnsi="Arial"/>
                <w:sz w:val="12"/>
                <w:szCs w:val="12"/>
                <w:b w:val="1"/>
                <w:bCs w:val="1"/>
                <w:color w:val="auto"/>
              </w:rPr>
              <w:t>Summary</w:t>
            </w:r>
          </w:p>
        </w:tc>
        <w:tc>
          <w:tcPr>
            <w:tcW w:w="1100" w:type="dxa"/>
            <w:vAlign w:val="bottom"/>
            <w:shd w:val="clear" w:color="auto" w:fill="F2F2F2"/>
          </w:tcPr>
          <w:p>
            <w:pPr>
              <w:jc w:val="center"/>
              <w:ind w:left="163"/>
              <w:spacing w:after="0" w:line="135" w:lineRule="exact"/>
              <w:rPr>
                <w:sz w:val="20"/>
                <w:szCs w:val="20"/>
                <w:color w:val="auto"/>
              </w:rPr>
            </w:pPr>
            <w:r>
              <w:rPr>
                <w:rFonts w:ascii="Arial" w:cs="Arial" w:eastAsia="Arial" w:hAnsi="Arial"/>
                <w:sz w:val="12"/>
                <w:szCs w:val="12"/>
                <w:b w:val="1"/>
                <w:bCs w:val="1"/>
                <w:color w:val="auto"/>
              </w:rPr>
              <w:t>Average</w:t>
            </w:r>
          </w:p>
        </w:tc>
        <w:tc>
          <w:tcPr>
            <w:tcW w:w="200" w:type="dxa"/>
            <w:vAlign w:val="bottom"/>
            <w:shd w:val="clear" w:color="auto" w:fill="F2F2F2"/>
          </w:tcPr>
          <w:p>
            <w:pPr>
              <w:spacing w:after="0"/>
              <w:rPr>
                <w:sz w:val="11"/>
                <w:szCs w:val="11"/>
                <w:color w:val="auto"/>
              </w:rPr>
            </w:pPr>
          </w:p>
        </w:tc>
        <w:tc>
          <w:tcPr>
            <w:tcW w:w="920" w:type="dxa"/>
            <w:vAlign w:val="bottom"/>
            <w:shd w:val="clear" w:color="auto" w:fill="F2F2F2"/>
          </w:tcPr>
          <w:p>
            <w:pPr>
              <w:spacing w:after="0"/>
              <w:rPr>
                <w:sz w:val="11"/>
                <w:szCs w:val="11"/>
                <w:color w:val="auto"/>
              </w:rPr>
            </w:pPr>
          </w:p>
        </w:tc>
        <w:tc>
          <w:tcPr>
            <w:tcW w:w="1060" w:type="dxa"/>
            <w:vAlign w:val="bottom"/>
            <w:shd w:val="clear" w:color="auto" w:fill="F2F2F2"/>
          </w:tcPr>
          <w:p>
            <w:pPr>
              <w:spacing w:after="0"/>
              <w:rPr>
                <w:sz w:val="11"/>
                <w:szCs w:val="11"/>
                <w:color w:val="auto"/>
              </w:rPr>
            </w:pPr>
          </w:p>
        </w:tc>
        <w:tc>
          <w:tcPr>
            <w:tcW w:w="300" w:type="dxa"/>
            <w:vAlign w:val="bottom"/>
            <w:shd w:val="clear" w:color="auto" w:fill="F2F2F2"/>
          </w:tcPr>
          <w:p>
            <w:pPr>
              <w:spacing w:after="0"/>
              <w:rPr>
                <w:sz w:val="11"/>
                <w:szCs w:val="11"/>
                <w:color w:val="auto"/>
              </w:rPr>
            </w:pPr>
          </w:p>
        </w:tc>
        <w:tc>
          <w:tcPr>
            <w:tcW w:w="860" w:type="dxa"/>
            <w:vAlign w:val="bottom"/>
            <w:shd w:val="clear" w:color="auto" w:fill="F2F2F2"/>
          </w:tcPr>
          <w:p>
            <w:pPr>
              <w:jc w:val="center"/>
              <w:ind w:right="102"/>
              <w:spacing w:after="0" w:line="135" w:lineRule="exact"/>
              <w:rPr>
                <w:sz w:val="20"/>
                <w:szCs w:val="20"/>
                <w:color w:val="auto"/>
              </w:rPr>
            </w:pPr>
            <w:r>
              <w:rPr>
                <w:rFonts w:ascii="Arial" w:cs="Arial" w:eastAsia="Arial" w:hAnsi="Arial"/>
                <w:sz w:val="12"/>
                <w:szCs w:val="12"/>
                <w:b w:val="1"/>
                <w:bCs w:val="1"/>
                <w:color w:val="auto"/>
              </w:rPr>
              <w:t>Net</w:t>
            </w:r>
          </w:p>
        </w:tc>
        <w:tc>
          <w:tcPr>
            <w:tcW w:w="1280" w:type="dxa"/>
            <w:vAlign w:val="bottom"/>
            <w:shd w:val="clear" w:color="auto" w:fill="F2F2F2"/>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0" w:type="dxa"/>
            <w:vAlign w:val="bottom"/>
            <w:shd w:val="clear" w:color="auto" w:fill="F2F2F2"/>
          </w:tcPr>
          <w:p>
            <w:pPr>
              <w:spacing w:after="0"/>
              <w:rPr>
                <w:sz w:val="11"/>
                <w:szCs w:val="11"/>
                <w:color w:val="auto"/>
              </w:rPr>
            </w:pPr>
          </w:p>
        </w:tc>
        <w:tc>
          <w:tcPr>
            <w:tcW w:w="220" w:type="dxa"/>
            <w:vAlign w:val="bottom"/>
            <w:shd w:val="clear" w:color="auto" w:fill="F2F2F2"/>
          </w:tcPr>
          <w:p>
            <w:pPr>
              <w:spacing w:after="0"/>
              <w:rPr>
                <w:sz w:val="11"/>
                <w:szCs w:val="11"/>
                <w:color w:val="auto"/>
              </w:rPr>
            </w:pPr>
          </w:p>
        </w:tc>
        <w:tc>
          <w:tcPr>
            <w:tcW w:w="900" w:type="dxa"/>
            <w:vAlign w:val="bottom"/>
            <w:shd w:val="clear" w:color="auto" w:fill="F2F2F2"/>
          </w:tcPr>
          <w:p>
            <w:pPr>
              <w:jc w:val="center"/>
              <w:spacing w:after="0" w:line="135" w:lineRule="exact"/>
              <w:rPr>
                <w:sz w:val="20"/>
                <w:szCs w:val="20"/>
                <w:color w:val="auto"/>
              </w:rPr>
            </w:pPr>
            <w:r>
              <w:rPr>
                <w:rFonts w:ascii="Arial" w:cs="Arial" w:eastAsia="Arial" w:hAnsi="Arial"/>
                <w:sz w:val="12"/>
                <w:szCs w:val="12"/>
                <w:b w:val="1"/>
                <w:bCs w:val="1"/>
                <w:color w:val="auto"/>
              </w:rPr>
              <w:t>Compensation</w:t>
            </w:r>
          </w:p>
        </w:tc>
        <w:tc>
          <w:tcPr>
            <w:tcW w:w="1100" w:type="dxa"/>
            <w:vAlign w:val="bottom"/>
            <w:shd w:val="clear" w:color="auto" w:fill="F2F2F2"/>
          </w:tcPr>
          <w:p>
            <w:pPr>
              <w:spacing w:after="0"/>
              <w:rPr>
                <w:sz w:val="11"/>
                <w:szCs w:val="11"/>
                <w:color w:val="auto"/>
              </w:rPr>
            </w:pPr>
          </w:p>
        </w:tc>
        <w:tc>
          <w:tcPr>
            <w:tcW w:w="220" w:type="dxa"/>
            <w:vAlign w:val="bottom"/>
            <w:shd w:val="clear" w:color="auto" w:fill="F2F2F2"/>
          </w:tcPr>
          <w:p>
            <w:pPr>
              <w:spacing w:after="0"/>
              <w:rPr>
                <w:sz w:val="11"/>
                <w:szCs w:val="11"/>
                <w:color w:val="auto"/>
              </w:rPr>
            </w:pPr>
          </w:p>
        </w:tc>
        <w:tc>
          <w:tcPr>
            <w:tcW w:w="880" w:type="dxa"/>
            <w:vAlign w:val="bottom"/>
            <w:shd w:val="clear" w:color="auto" w:fill="F2F2F2"/>
          </w:tcPr>
          <w:p>
            <w:pPr>
              <w:jc w:val="center"/>
              <w:spacing w:after="0" w:line="135" w:lineRule="exact"/>
              <w:rPr>
                <w:sz w:val="20"/>
                <w:szCs w:val="20"/>
                <w:color w:val="auto"/>
              </w:rPr>
            </w:pPr>
            <w:r>
              <w:rPr>
                <w:rFonts w:ascii="Arial" w:cs="Arial" w:eastAsia="Arial" w:hAnsi="Arial"/>
                <w:sz w:val="12"/>
                <w:szCs w:val="12"/>
                <w:b w:val="1"/>
                <w:bCs w:val="1"/>
                <w:color w:val="auto"/>
              </w:rPr>
              <w:t>Compensation</w:t>
            </w:r>
          </w:p>
        </w:tc>
        <w:tc>
          <w:tcPr>
            <w:tcW w:w="1100" w:type="dxa"/>
            <w:vAlign w:val="bottom"/>
            <w:shd w:val="clear" w:color="auto" w:fill="F2F2F2"/>
          </w:tcPr>
          <w:p>
            <w:pPr>
              <w:jc w:val="center"/>
              <w:ind w:left="163"/>
              <w:spacing w:after="0" w:line="135" w:lineRule="exact"/>
              <w:rPr>
                <w:sz w:val="20"/>
                <w:szCs w:val="20"/>
                <w:color w:val="auto"/>
              </w:rPr>
            </w:pPr>
            <w:r>
              <w:rPr>
                <w:rFonts w:ascii="Arial" w:cs="Arial" w:eastAsia="Arial" w:hAnsi="Arial"/>
                <w:sz w:val="12"/>
                <w:szCs w:val="12"/>
                <w:b w:val="1"/>
                <w:bCs w:val="1"/>
                <w:color w:val="auto"/>
              </w:rPr>
              <w:t>Compensation</w:t>
            </w:r>
          </w:p>
        </w:tc>
        <w:tc>
          <w:tcPr>
            <w:tcW w:w="200" w:type="dxa"/>
            <w:vAlign w:val="bottom"/>
            <w:shd w:val="clear" w:color="auto" w:fill="F2F2F2"/>
          </w:tcPr>
          <w:p>
            <w:pPr>
              <w:spacing w:after="0"/>
              <w:rPr>
                <w:sz w:val="11"/>
                <w:szCs w:val="11"/>
                <w:color w:val="auto"/>
              </w:rPr>
            </w:pPr>
          </w:p>
        </w:tc>
        <w:tc>
          <w:tcPr>
            <w:tcW w:w="920" w:type="dxa"/>
            <w:vAlign w:val="bottom"/>
            <w:shd w:val="clear" w:color="auto" w:fill="F2F2F2"/>
          </w:tcPr>
          <w:p>
            <w:pPr>
              <w:spacing w:after="0"/>
              <w:rPr>
                <w:sz w:val="11"/>
                <w:szCs w:val="11"/>
                <w:color w:val="auto"/>
              </w:rPr>
            </w:pPr>
          </w:p>
        </w:tc>
        <w:tc>
          <w:tcPr>
            <w:tcW w:w="1060" w:type="dxa"/>
            <w:vAlign w:val="bottom"/>
            <w:shd w:val="clear" w:color="auto" w:fill="F2F2F2"/>
          </w:tcPr>
          <w:p>
            <w:pPr>
              <w:jc w:val="center"/>
              <w:ind w:left="123"/>
              <w:spacing w:after="0" w:line="135" w:lineRule="exact"/>
              <w:rPr>
                <w:sz w:val="20"/>
                <w:szCs w:val="20"/>
                <w:color w:val="auto"/>
              </w:rPr>
            </w:pPr>
            <w:r>
              <w:rPr>
                <w:rFonts w:ascii="Arial" w:cs="Arial" w:eastAsia="Arial" w:hAnsi="Arial"/>
                <w:sz w:val="12"/>
                <w:szCs w:val="12"/>
                <w:b w:val="1"/>
                <w:bCs w:val="1"/>
                <w:color w:val="auto"/>
                <w:w w:val="97"/>
              </w:rPr>
              <w:t>Peer Group</w:t>
            </w:r>
          </w:p>
        </w:tc>
        <w:tc>
          <w:tcPr>
            <w:tcW w:w="300" w:type="dxa"/>
            <w:vAlign w:val="bottom"/>
            <w:shd w:val="clear" w:color="auto" w:fill="F2F2F2"/>
          </w:tcPr>
          <w:p>
            <w:pPr>
              <w:spacing w:after="0"/>
              <w:rPr>
                <w:sz w:val="11"/>
                <w:szCs w:val="11"/>
                <w:color w:val="auto"/>
              </w:rPr>
            </w:pPr>
          </w:p>
        </w:tc>
        <w:tc>
          <w:tcPr>
            <w:tcW w:w="860" w:type="dxa"/>
            <w:vAlign w:val="bottom"/>
            <w:shd w:val="clear" w:color="auto" w:fill="F2F2F2"/>
          </w:tcPr>
          <w:p>
            <w:pPr>
              <w:jc w:val="center"/>
              <w:ind w:right="82"/>
              <w:spacing w:after="0" w:line="135" w:lineRule="exact"/>
              <w:rPr>
                <w:sz w:val="20"/>
                <w:szCs w:val="20"/>
                <w:color w:val="auto"/>
              </w:rPr>
            </w:pPr>
            <w:r>
              <w:rPr>
                <w:rFonts w:ascii="Arial" w:cs="Arial" w:eastAsia="Arial" w:hAnsi="Arial"/>
                <w:sz w:val="12"/>
                <w:szCs w:val="12"/>
                <w:b w:val="1"/>
                <w:bCs w:val="1"/>
                <w:color w:val="auto"/>
              </w:rPr>
              <w:t>Income</w:t>
            </w:r>
          </w:p>
        </w:tc>
        <w:tc>
          <w:tcPr>
            <w:tcW w:w="1280" w:type="dxa"/>
            <w:vAlign w:val="bottom"/>
            <w:shd w:val="clear" w:color="auto" w:fill="F2F2F2"/>
          </w:tcPr>
          <w:p>
            <w:pPr>
              <w:jc w:val="center"/>
              <w:ind w:left="23"/>
              <w:spacing w:after="0" w:line="135" w:lineRule="exact"/>
              <w:rPr>
                <w:sz w:val="20"/>
                <w:szCs w:val="20"/>
                <w:color w:val="auto"/>
              </w:rPr>
            </w:pPr>
            <w:r>
              <w:rPr>
                <w:rFonts w:ascii="Arial" w:cs="Arial" w:eastAsia="Arial" w:hAnsi="Arial"/>
                <w:sz w:val="12"/>
                <w:szCs w:val="12"/>
                <w:b w:val="1"/>
                <w:bCs w:val="1"/>
                <w:color w:val="auto"/>
              </w:rPr>
              <w:t>Absolute</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0" w:type="dxa"/>
            <w:vAlign w:val="bottom"/>
            <w:shd w:val="clear" w:color="auto" w:fill="F2F2F2"/>
          </w:tcPr>
          <w:p>
            <w:pPr>
              <w:spacing w:after="0"/>
              <w:rPr>
                <w:sz w:val="11"/>
                <w:szCs w:val="11"/>
                <w:color w:val="auto"/>
              </w:rPr>
            </w:pPr>
          </w:p>
        </w:tc>
        <w:tc>
          <w:tcPr>
            <w:tcW w:w="220" w:type="dxa"/>
            <w:vAlign w:val="bottom"/>
            <w:shd w:val="clear" w:color="auto" w:fill="F2F2F2"/>
          </w:tcPr>
          <w:p>
            <w:pPr>
              <w:spacing w:after="0"/>
              <w:rPr>
                <w:sz w:val="11"/>
                <w:szCs w:val="11"/>
                <w:color w:val="auto"/>
              </w:rPr>
            </w:pPr>
          </w:p>
        </w:tc>
        <w:tc>
          <w:tcPr>
            <w:tcW w:w="900" w:type="dxa"/>
            <w:vAlign w:val="bottom"/>
            <w:shd w:val="clear" w:color="auto" w:fill="F2F2F2"/>
          </w:tcPr>
          <w:p>
            <w:pPr>
              <w:jc w:val="center"/>
              <w:spacing w:after="0" w:line="135" w:lineRule="exact"/>
              <w:rPr>
                <w:sz w:val="20"/>
                <w:szCs w:val="20"/>
                <w:color w:val="auto"/>
              </w:rPr>
            </w:pPr>
            <w:r>
              <w:rPr>
                <w:rFonts w:ascii="Arial" w:cs="Arial" w:eastAsia="Arial" w:hAnsi="Arial"/>
                <w:sz w:val="12"/>
                <w:szCs w:val="12"/>
                <w:b w:val="1"/>
                <w:bCs w:val="1"/>
                <w:color w:val="auto"/>
                <w:w w:val="95"/>
              </w:rPr>
              <w:t>Table</w:t>
            </w:r>
          </w:p>
        </w:tc>
        <w:tc>
          <w:tcPr>
            <w:tcW w:w="1100" w:type="dxa"/>
            <w:vAlign w:val="bottom"/>
            <w:shd w:val="clear" w:color="auto" w:fill="F2F2F2"/>
          </w:tcPr>
          <w:p>
            <w:pPr>
              <w:jc w:val="center"/>
              <w:ind w:left="183"/>
              <w:spacing w:after="0" w:line="135" w:lineRule="exact"/>
              <w:rPr>
                <w:sz w:val="20"/>
                <w:szCs w:val="20"/>
                <w:color w:val="auto"/>
              </w:rPr>
            </w:pPr>
            <w:r>
              <w:rPr>
                <w:rFonts w:ascii="Arial" w:cs="Arial" w:eastAsia="Arial" w:hAnsi="Arial"/>
                <w:sz w:val="12"/>
                <w:szCs w:val="12"/>
                <w:b w:val="1"/>
                <w:bCs w:val="1"/>
                <w:color w:val="auto"/>
              </w:rPr>
              <w:t>Compensation</w:t>
            </w:r>
          </w:p>
        </w:tc>
        <w:tc>
          <w:tcPr>
            <w:tcW w:w="220" w:type="dxa"/>
            <w:vAlign w:val="bottom"/>
            <w:shd w:val="clear" w:color="auto" w:fill="F2F2F2"/>
          </w:tcPr>
          <w:p>
            <w:pPr>
              <w:spacing w:after="0"/>
              <w:rPr>
                <w:sz w:val="11"/>
                <w:szCs w:val="11"/>
                <w:color w:val="auto"/>
              </w:rPr>
            </w:pPr>
          </w:p>
        </w:tc>
        <w:tc>
          <w:tcPr>
            <w:tcW w:w="880" w:type="dxa"/>
            <w:vAlign w:val="bottom"/>
            <w:shd w:val="clear" w:color="auto" w:fill="F2F2F2"/>
          </w:tcPr>
          <w:p>
            <w:pPr>
              <w:jc w:val="center"/>
              <w:spacing w:after="0" w:line="135" w:lineRule="exact"/>
              <w:rPr>
                <w:sz w:val="20"/>
                <w:szCs w:val="20"/>
                <w:color w:val="auto"/>
              </w:rPr>
            </w:pPr>
            <w:r>
              <w:rPr>
                <w:rFonts w:ascii="Arial" w:cs="Arial" w:eastAsia="Arial" w:hAnsi="Arial"/>
                <w:sz w:val="12"/>
                <w:szCs w:val="12"/>
                <w:b w:val="1"/>
                <w:bCs w:val="1"/>
                <w:color w:val="auto"/>
              </w:rPr>
              <w:t>Table Total</w:t>
            </w:r>
          </w:p>
        </w:tc>
        <w:tc>
          <w:tcPr>
            <w:tcW w:w="1100" w:type="dxa"/>
            <w:vAlign w:val="bottom"/>
            <w:shd w:val="clear" w:color="auto" w:fill="F2F2F2"/>
          </w:tcPr>
          <w:p>
            <w:pPr>
              <w:jc w:val="center"/>
              <w:ind w:left="163"/>
              <w:spacing w:after="0" w:line="135" w:lineRule="exact"/>
              <w:rPr>
                <w:sz w:val="20"/>
                <w:szCs w:val="20"/>
                <w:color w:val="auto"/>
              </w:rPr>
            </w:pPr>
            <w:r>
              <w:rPr>
                <w:rFonts w:ascii="Arial" w:cs="Arial" w:eastAsia="Arial" w:hAnsi="Arial"/>
                <w:sz w:val="12"/>
                <w:szCs w:val="12"/>
                <w:b w:val="1"/>
                <w:bCs w:val="1"/>
                <w:color w:val="auto"/>
              </w:rPr>
              <w:t>Actually Paid</w:t>
            </w:r>
          </w:p>
        </w:tc>
        <w:tc>
          <w:tcPr>
            <w:tcW w:w="200" w:type="dxa"/>
            <w:vAlign w:val="bottom"/>
            <w:shd w:val="clear" w:color="auto" w:fill="F2F2F2"/>
          </w:tcPr>
          <w:p>
            <w:pPr>
              <w:spacing w:after="0"/>
              <w:rPr>
                <w:sz w:val="11"/>
                <w:szCs w:val="11"/>
                <w:color w:val="auto"/>
              </w:rPr>
            </w:pPr>
          </w:p>
        </w:tc>
        <w:tc>
          <w:tcPr>
            <w:tcW w:w="920" w:type="dxa"/>
            <w:vAlign w:val="bottom"/>
            <w:shd w:val="clear" w:color="auto" w:fill="F2F2F2"/>
          </w:tcPr>
          <w:p>
            <w:pPr>
              <w:jc w:val="center"/>
              <w:spacing w:after="0" w:line="135" w:lineRule="exact"/>
              <w:rPr>
                <w:sz w:val="20"/>
                <w:szCs w:val="20"/>
                <w:color w:val="auto"/>
              </w:rPr>
            </w:pPr>
            <w:r>
              <w:rPr>
                <w:rFonts w:ascii="Arial" w:cs="Arial" w:eastAsia="Arial" w:hAnsi="Arial"/>
                <w:sz w:val="12"/>
                <w:szCs w:val="12"/>
                <w:b w:val="1"/>
                <w:bCs w:val="1"/>
                <w:color w:val="auto"/>
              </w:rPr>
              <w:t>Total</w:t>
            </w:r>
          </w:p>
        </w:tc>
        <w:tc>
          <w:tcPr>
            <w:tcW w:w="1060" w:type="dxa"/>
            <w:vAlign w:val="bottom"/>
            <w:shd w:val="clear" w:color="auto" w:fill="F2F2F2"/>
          </w:tcPr>
          <w:p>
            <w:pPr>
              <w:jc w:val="center"/>
              <w:ind w:left="123"/>
              <w:spacing w:after="0" w:line="135" w:lineRule="exact"/>
              <w:rPr>
                <w:sz w:val="20"/>
                <w:szCs w:val="20"/>
                <w:color w:val="auto"/>
              </w:rPr>
            </w:pPr>
            <w:r>
              <w:rPr>
                <w:rFonts w:ascii="Arial" w:cs="Arial" w:eastAsia="Arial" w:hAnsi="Arial"/>
                <w:sz w:val="12"/>
                <w:szCs w:val="12"/>
                <w:b w:val="1"/>
                <w:bCs w:val="1"/>
                <w:color w:val="auto"/>
                <w:w w:val="97"/>
              </w:rPr>
              <w:t>Total</w:t>
            </w:r>
          </w:p>
        </w:tc>
        <w:tc>
          <w:tcPr>
            <w:tcW w:w="300" w:type="dxa"/>
            <w:vAlign w:val="bottom"/>
            <w:shd w:val="clear" w:color="auto" w:fill="F2F2F2"/>
          </w:tcPr>
          <w:p>
            <w:pPr>
              <w:spacing w:after="0"/>
              <w:rPr>
                <w:sz w:val="11"/>
                <w:szCs w:val="11"/>
                <w:color w:val="auto"/>
              </w:rPr>
            </w:pPr>
          </w:p>
        </w:tc>
        <w:tc>
          <w:tcPr>
            <w:tcW w:w="860" w:type="dxa"/>
            <w:vAlign w:val="bottom"/>
            <w:shd w:val="clear" w:color="auto" w:fill="F2F2F2"/>
          </w:tcPr>
          <w:p>
            <w:pPr>
              <w:jc w:val="center"/>
              <w:ind w:right="102"/>
              <w:spacing w:after="0" w:line="135" w:lineRule="exact"/>
              <w:rPr>
                <w:sz w:val="20"/>
                <w:szCs w:val="20"/>
                <w:color w:val="auto"/>
              </w:rPr>
            </w:pPr>
            <w:r>
              <w:rPr>
                <w:rFonts w:ascii="Arial" w:cs="Arial" w:eastAsia="Arial" w:hAnsi="Arial"/>
                <w:sz w:val="12"/>
                <w:szCs w:val="12"/>
                <w:b w:val="1"/>
                <w:bCs w:val="1"/>
                <w:color w:val="auto"/>
                <w:w w:val="94"/>
              </w:rPr>
              <w:t>(Loss)</w:t>
            </w:r>
          </w:p>
        </w:tc>
        <w:tc>
          <w:tcPr>
            <w:tcW w:w="1280" w:type="dxa"/>
            <w:vAlign w:val="bottom"/>
            <w:shd w:val="clear" w:color="auto" w:fill="F2F2F2"/>
          </w:tcPr>
          <w:p>
            <w:pPr>
              <w:jc w:val="center"/>
              <w:ind w:left="23"/>
              <w:spacing w:after="0" w:line="135" w:lineRule="exact"/>
              <w:rPr>
                <w:sz w:val="20"/>
                <w:szCs w:val="20"/>
                <w:color w:val="auto"/>
              </w:rPr>
            </w:pPr>
            <w:r>
              <w:rPr>
                <w:rFonts w:ascii="Arial" w:cs="Arial" w:eastAsia="Arial" w:hAnsi="Arial"/>
                <w:sz w:val="12"/>
                <w:szCs w:val="12"/>
                <w:b w:val="1"/>
                <w:bCs w:val="1"/>
                <w:color w:val="auto"/>
              </w:rPr>
              <w:t>Adjusted</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0" w:type="dxa"/>
            <w:vAlign w:val="bottom"/>
            <w:shd w:val="clear" w:color="auto" w:fill="F2F2F2"/>
          </w:tcPr>
          <w:p>
            <w:pPr>
              <w:spacing w:after="0"/>
              <w:rPr>
                <w:sz w:val="11"/>
                <w:szCs w:val="11"/>
                <w:color w:val="auto"/>
              </w:rPr>
            </w:pPr>
          </w:p>
        </w:tc>
        <w:tc>
          <w:tcPr>
            <w:tcW w:w="220" w:type="dxa"/>
            <w:vAlign w:val="bottom"/>
            <w:shd w:val="clear" w:color="auto" w:fill="F2F2F2"/>
          </w:tcPr>
          <w:p>
            <w:pPr>
              <w:spacing w:after="0"/>
              <w:rPr>
                <w:sz w:val="11"/>
                <w:szCs w:val="11"/>
                <w:color w:val="auto"/>
              </w:rPr>
            </w:pPr>
          </w:p>
        </w:tc>
        <w:tc>
          <w:tcPr>
            <w:tcW w:w="900" w:type="dxa"/>
            <w:vAlign w:val="bottom"/>
            <w:shd w:val="clear" w:color="auto" w:fill="F2F2F2"/>
          </w:tcPr>
          <w:p>
            <w:pPr>
              <w:jc w:val="center"/>
              <w:spacing w:after="0" w:line="135" w:lineRule="exact"/>
              <w:rPr>
                <w:sz w:val="20"/>
                <w:szCs w:val="20"/>
                <w:color w:val="auto"/>
              </w:rPr>
            </w:pPr>
            <w:r>
              <w:rPr>
                <w:rFonts w:ascii="Arial" w:cs="Arial" w:eastAsia="Arial" w:hAnsi="Arial"/>
                <w:sz w:val="12"/>
                <w:szCs w:val="12"/>
                <w:b w:val="1"/>
                <w:bCs w:val="1"/>
                <w:color w:val="auto"/>
              </w:rPr>
              <w:t>Total for</w:t>
            </w:r>
          </w:p>
        </w:tc>
        <w:tc>
          <w:tcPr>
            <w:tcW w:w="1100" w:type="dxa"/>
            <w:vAlign w:val="bottom"/>
            <w:shd w:val="clear" w:color="auto" w:fill="F2F2F2"/>
          </w:tcPr>
          <w:p>
            <w:pPr>
              <w:jc w:val="center"/>
              <w:ind w:left="163"/>
              <w:spacing w:after="0" w:line="135" w:lineRule="exact"/>
              <w:rPr>
                <w:sz w:val="20"/>
                <w:szCs w:val="20"/>
                <w:color w:val="auto"/>
              </w:rPr>
            </w:pPr>
            <w:r>
              <w:rPr>
                <w:rFonts w:ascii="Arial" w:cs="Arial" w:eastAsia="Arial" w:hAnsi="Arial"/>
                <w:sz w:val="12"/>
                <w:szCs w:val="12"/>
                <w:b w:val="1"/>
                <w:bCs w:val="1"/>
                <w:color w:val="auto"/>
              </w:rPr>
              <w:t>Actually</w:t>
            </w:r>
          </w:p>
        </w:tc>
        <w:tc>
          <w:tcPr>
            <w:tcW w:w="220" w:type="dxa"/>
            <w:vAlign w:val="bottom"/>
            <w:shd w:val="clear" w:color="auto" w:fill="F2F2F2"/>
          </w:tcPr>
          <w:p>
            <w:pPr>
              <w:spacing w:after="0"/>
              <w:rPr>
                <w:sz w:val="11"/>
                <w:szCs w:val="11"/>
                <w:color w:val="auto"/>
              </w:rPr>
            </w:pPr>
          </w:p>
        </w:tc>
        <w:tc>
          <w:tcPr>
            <w:tcW w:w="880" w:type="dxa"/>
            <w:vAlign w:val="bottom"/>
            <w:shd w:val="clear" w:color="auto" w:fill="F2F2F2"/>
          </w:tcPr>
          <w:p>
            <w:pPr>
              <w:jc w:val="center"/>
              <w:spacing w:after="0" w:line="135" w:lineRule="exact"/>
              <w:rPr>
                <w:sz w:val="20"/>
                <w:szCs w:val="20"/>
                <w:color w:val="auto"/>
              </w:rPr>
            </w:pPr>
            <w:r>
              <w:rPr>
                <w:rFonts w:ascii="Arial" w:cs="Arial" w:eastAsia="Arial" w:hAnsi="Arial"/>
                <w:sz w:val="12"/>
                <w:szCs w:val="12"/>
                <w:b w:val="1"/>
                <w:bCs w:val="1"/>
                <w:color w:val="auto"/>
                <w:w w:val="99"/>
              </w:rPr>
              <w:t>for Non-PEO</w:t>
            </w:r>
          </w:p>
        </w:tc>
        <w:tc>
          <w:tcPr>
            <w:tcW w:w="1100" w:type="dxa"/>
            <w:vAlign w:val="bottom"/>
            <w:shd w:val="clear" w:color="auto" w:fill="F2F2F2"/>
          </w:tcPr>
          <w:p>
            <w:pPr>
              <w:jc w:val="center"/>
              <w:ind w:left="143"/>
              <w:spacing w:after="0" w:line="135" w:lineRule="exact"/>
              <w:rPr>
                <w:sz w:val="20"/>
                <w:szCs w:val="20"/>
                <w:color w:val="auto"/>
              </w:rPr>
            </w:pPr>
            <w:r>
              <w:rPr>
                <w:rFonts w:ascii="Arial" w:cs="Arial" w:eastAsia="Arial" w:hAnsi="Arial"/>
                <w:sz w:val="12"/>
                <w:szCs w:val="12"/>
                <w:b w:val="1"/>
                <w:bCs w:val="1"/>
                <w:color w:val="auto"/>
                <w:w w:val="97"/>
              </w:rPr>
              <w:t>to Non-PEO</w:t>
            </w:r>
          </w:p>
        </w:tc>
        <w:tc>
          <w:tcPr>
            <w:tcW w:w="200" w:type="dxa"/>
            <w:vAlign w:val="bottom"/>
            <w:shd w:val="clear" w:color="auto" w:fill="F2F2F2"/>
          </w:tcPr>
          <w:p>
            <w:pPr>
              <w:spacing w:after="0"/>
              <w:rPr>
                <w:sz w:val="11"/>
                <w:szCs w:val="11"/>
                <w:color w:val="auto"/>
              </w:rPr>
            </w:pPr>
          </w:p>
        </w:tc>
        <w:tc>
          <w:tcPr>
            <w:tcW w:w="920" w:type="dxa"/>
            <w:vAlign w:val="bottom"/>
            <w:shd w:val="clear" w:color="auto" w:fill="F2F2F2"/>
          </w:tcPr>
          <w:p>
            <w:pPr>
              <w:jc w:val="center"/>
              <w:spacing w:after="0" w:line="135" w:lineRule="exact"/>
              <w:rPr>
                <w:sz w:val="20"/>
                <w:szCs w:val="20"/>
                <w:color w:val="auto"/>
              </w:rPr>
            </w:pPr>
            <w:r>
              <w:rPr>
                <w:rFonts w:ascii="Arial" w:cs="Arial" w:eastAsia="Arial" w:hAnsi="Arial"/>
                <w:sz w:val="12"/>
                <w:szCs w:val="12"/>
                <w:b w:val="1"/>
                <w:bCs w:val="1"/>
                <w:color w:val="auto"/>
                <w:w w:val="99"/>
              </w:rPr>
              <w:t>Shareholder</w:t>
            </w:r>
          </w:p>
        </w:tc>
        <w:tc>
          <w:tcPr>
            <w:tcW w:w="1060" w:type="dxa"/>
            <w:vAlign w:val="bottom"/>
            <w:shd w:val="clear" w:color="auto" w:fill="F2F2F2"/>
          </w:tcPr>
          <w:p>
            <w:pPr>
              <w:jc w:val="center"/>
              <w:ind w:left="123"/>
              <w:spacing w:after="0" w:line="135" w:lineRule="exact"/>
              <w:rPr>
                <w:sz w:val="20"/>
                <w:szCs w:val="20"/>
                <w:color w:val="auto"/>
              </w:rPr>
            </w:pPr>
            <w:r>
              <w:rPr>
                <w:rFonts w:ascii="Arial" w:cs="Arial" w:eastAsia="Arial" w:hAnsi="Arial"/>
                <w:sz w:val="12"/>
                <w:szCs w:val="12"/>
                <w:b w:val="1"/>
                <w:bCs w:val="1"/>
                <w:color w:val="auto"/>
              </w:rPr>
              <w:t>Shareholder</w:t>
            </w:r>
          </w:p>
        </w:tc>
        <w:tc>
          <w:tcPr>
            <w:tcW w:w="300" w:type="dxa"/>
            <w:vAlign w:val="bottom"/>
            <w:shd w:val="clear" w:color="auto" w:fill="F2F2F2"/>
          </w:tcPr>
          <w:p>
            <w:pPr>
              <w:spacing w:after="0"/>
              <w:rPr>
                <w:sz w:val="11"/>
                <w:szCs w:val="11"/>
                <w:color w:val="auto"/>
              </w:rPr>
            </w:pPr>
          </w:p>
        </w:tc>
        <w:tc>
          <w:tcPr>
            <w:tcW w:w="860" w:type="dxa"/>
            <w:vAlign w:val="bottom"/>
            <w:shd w:val="clear" w:color="auto" w:fill="F2F2F2"/>
          </w:tcPr>
          <w:p>
            <w:pPr>
              <w:jc w:val="center"/>
              <w:ind w:right="82"/>
              <w:spacing w:after="0" w:line="135" w:lineRule="exact"/>
              <w:rPr>
                <w:sz w:val="20"/>
                <w:szCs w:val="20"/>
                <w:color w:val="auto"/>
              </w:rPr>
            </w:pPr>
            <w:r>
              <w:rPr>
                <w:rFonts w:ascii="Arial" w:cs="Arial" w:eastAsia="Arial" w:hAnsi="Arial"/>
                <w:sz w:val="12"/>
                <w:szCs w:val="12"/>
                <w:b w:val="1"/>
                <w:bCs w:val="1"/>
                <w:color w:val="auto"/>
              </w:rPr>
              <w:t>(in</w:t>
            </w:r>
          </w:p>
        </w:tc>
        <w:tc>
          <w:tcPr>
            <w:tcW w:w="1280" w:type="dxa"/>
            <w:vAlign w:val="bottom"/>
            <w:shd w:val="clear" w:color="auto" w:fill="F2F2F2"/>
          </w:tcPr>
          <w:p>
            <w:pPr>
              <w:jc w:val="center"/>
              <w:ind w:left="23"/>
              <w:spacing w:after="0" w:line="135" w:lineRule="exact"/>
              <w:rPr>
                <w:sz w:val="20"/>
                <w:szCs w:val="20"/>
                <w:color w:val="auto"/>
              </w:rPr>
            </w:pPr>
            <w:r>
              <w:rPr>
                <w:rFonts w:ascii="Arial" w:cs="Arial" w:eastAsia="Arial" w:hAnsi="Arial"/>
                <w:sz w:val="12"/>
                <w:szCs w:val="12"/>
                <w:b w:val="1"/>
                <w:bCs w:val="1"/>
                <w:color w:val="auto"/>
                <w:w w:val="96"/>
              </w:rPr>
              <w:t>Earnings (Loss)</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680" w:type="dxa"/>
            <w:vAlign w:val="bottom"/>
            <w:shd w:val="clear" w:color="auto" w:fill="F2F2F2"/>
          </w:tcPr>
          <w:p>
            <w:pPr>
              <w:spacing w:after="0"/>
              <w:rPr>
                <w:sz w:val="10"/>
                <w:szCs w:val="10"/>
                <w:color w:val="auto"/>
              </w:rPr>
            </w:pPr>
          </w:p>
        </w:tc>
        <w:tc>
          <w:tcPr>
            <w:tcW w:w="220" w:type="dxa"/>
            <w:vAlign w:val="bottom"/>
            <w:shd w:val="clear" w:color="auto" w:fill="F2F2F2"/>
          </w:tcPr>
          <w:p>
            <w:pPr>
              <w:spacing w:after="0"/>
              <w:rPr>
                <w:sz w:val="10"/>
                <w:szCs w:val="10"/>
                <w:color w:val="auto"/>
              </w:rPr>
            </w:pPr>
          </w:p>
        </w:tc>
        <w:tc>
          <w:tcPr>
            <w:tcW w:w="900" w:type="dxa"/>
            <w:vAlign w:val="bottom"/>
            <w:shd w:val="clear" w:color="auto" w:fill="F2F2F2"/>
          </w:tcPr>
          <w:p>
            <w:pPr>
              <w:jc w:val="center"/>
              <w:spacing w:after="0" w:line="126" w:lineRule="exact"/>
              <w:rPr>
                <w:sz w:val="20"/>
                <w:szCs w:val="20"/>
                <w:color w:val="auto"/>
              </w:rPr>
            </w:pPr>
            <w:r>
              <w:rPr>
                <w:rFonts w:ascii="Arial" w:cs="Arial" w:eastAsia="Arial" w:hAnsi="Arial"/>
                <w:sz w:val="12"/>
                <w:szCs w:val="12"/>
                <w:b w:val="1"/>
                <w:bCs w:val="1"/>
                <w:color w:val="auto"/>
                <w:w w:val="86"/>
              </w:rPr>
              <w:t>PEO</w:t>
            </w:r>
          </w:p>
        </w:tc>
        <w:tc>
          <w:tcPr>
            <w:tcW w:w="1100" w:type="dxa"/>
            <w:vAlign w:val="bottom"/>
            <w:shd w:val="clear" w:color="auto" w:fill="F2F2F2"/>
          </w:tcPr>
          <w:p>
            <w:pPr>
              <w:jc w:val="right"/>
              <w:ind w:right="63"/>
              <w:spacing w:after="0" w:line="126" w:lineRule="exact"/>
              <w:rPr>
                <w:sz w:val="20"/>
                <w:szCs w:val="20"/>
                <w:color w:val="auto"/>
              </w:rPr>
            </w:pPr>
            <w:r>
              <w:rPr>
                <w:rFonts w:ascii="Arial" w:cs="Arial" w:eastAsia="Arial" w:hAnsi="Arial"/>
                <w:sz w:val="12"/>
                <w:szCs w:val="12"/>
                <w:b w:val="1"/>
                <w:bCs w:val="1"/>
                <w:color w:val="auto"/>
              </w:rPr>
              <w:t>Paid to PEO</w:t>
            </w:r>
          </w:p>
        </w:tc>
        <w:tc>
          <w:tcPr>
            <w:tcW w:w="220" w:type="dxa"/>
            <w:vAlign w:val="bottom"/>
            <w:shd w:val="clear" w:color="auto" w:fill="F2F2F2"/>
          </w:tcPr>
          <w:p>
            <w:pPr>
              <w:spacing w:after="0"/>
              <w:rPr>
                <w:sz w:val="10"/>
                <w:szCs w:val="10"/>
                <w:color w:val="auto"/>
              </w:rPr>
            </w:pPr>
          </w:p>
        </w:tc>
        <w:tc>
          <w:tcPr>
            <w:tcW w:w="880" w:type="dxa"/>
            <w:vAlign w:val="bottom"/>
            <w:shd w:val="clear" w:color="auto" w:fill="F2F2F2"/>
          </w:tcPr>
          <w:p>
            <w:pPr>
              <w:jc w:val="center"/>
              <w:spacing w:after="0" w:line="126" w:lineRule="exact"/>
              <w:rPr>
                <w:sz w:val="20"/>
                <w:szCs w:val="20"/>
                <w:color w:val="auto"/>
              </w:rPr>
            </w:pPr>
            <w:r>
              <w:rPr>
                <w:rFonts w:ascii="Arial" w:cs="Arial" w:eastAsia="Arial" w:hAnsi="Arial"/>
                <w:sz w:val="12"/>
                <w:szCs w:val="12"/>
                <w:b w:val="1"/>
                <w:bCs w:val="1"/>
                <w:color w:val="auto"/>
                <w:w w:val="97"/>
              </w:rPr>
              <w:t>NEOs</w:t>
            </w:r>
          </w:p>
        </w:tc>
        <w:tc>
          <w:tcPr>
            <w:tcW w:w="1100" w:type="dxa"/>
            <w:vAlign w:val="bottom"/>
            <w:shd w:val="clear" w:color="auto" w:fill="F2F2F2"/>
          </w:tcPr>
          <w:p>
            <w:pPr>
              <w:jc w:val="center"/>
              <w:ind w:left="163"/>
              <w:spacing w:after="0" w:line="126" w:lineRule="exact"/>
              <w:rPr>
                <w:sz w:val="20"/>
                <w:szCs w:val="20"/>
                <w:color w:val="auto"/>
              </w:rPr>
            </w:pPr>
            <w:r>
              <w:rPr>
                <w:rFonts w:ascii="Arial" w:cs="Arial" w:eastAsia="Arial" w:hAnsi="Arial"/>
                <w:sz w:val="12"/>
                <w:szCs w:val="12"/>
                <w:b w:val="1"/>
                <w:bCs w:val="1"/>
                <w:color w:val="auto"/>
                <w:w w:val="97"/>
              </w:rPr>
              <w:t>NEOs</w:t>
            </w:r>
          </w:p>
        </w:tc>
        <w:tc>
          <w:tcPr>
            <w:tcW w:w="200" w:type="dxa"/>
            <w:vAlign w:val="bottom"/>
            <w:shd w:val="clear" w:color="auto" w:fill="F2F2F2"/>
          </w:tcPr>
          <w:p>
            <w:pPr>
              <w:spacing w:after="0"/>
              <w:rPr>
                <w:sz w:val="10"/>
                <w:szCs w:val="10"/>
                <w:color w:val="auto"/>
              </w:rPr>
            </w:pPr>
          </w:p>
        </w:tc>
        <w:tc>
          <w:tcPr>
            <w:tcW w:w="920" w:type="dxa"/>
            <w:vAlign w:val="bottom"/>
            <w:shd w:val="clear" w:color="auto" w:fill="F2F2F2"/>
          </w:tcPr>
          <w:p>
            <w:pPr>
              <w:jc w:val="center"/>
              <w:spacing w:after="0" w:line="126" w:lineRule="exact"/>
              <w:rPr>
                <w:sz w:val="20"/>
                <w:szCs w:val="20"/>
                <w:color w:val="auto"/>
              </w:rPr>
            </w:pPr>
            <w:r>
              <w:rPr>
                <w:rFonts w:ascii="Arial" w:cs="Arial" w:eastAsia="Arial" w:hAnsi="Arial"/>
                <w:sz w:val="12"/>
                <w:szCs w:val="12"/>
                <w:b w:val="1"/>
                <w:bCs w:val="1"/>
                <w:color w:val="auto"/>
              </w:rPr>
              <w:t>Return</w:t>
            </w:r>
          </w:p>
        </w:tc>
        <w:tc>
          <w:tcPr>
            <w:tcW w:w="1060" w:type="dxa"/>
            <w:vAlign w:val="bottom"/>
            <w:shd w:val="clear" w:color="auto" w:fill="F2F2F2"/>
          </w:tcPr>
          <w:p>
            <w:pPr>
              <w:jc w:val="center"/>
              <w:ind w:left="123"/>
              <w:spacing w:after="0" w:line="126" w:lineRule="exact"/>
              <w:rPr>
                <w:sz w:val="20"/>
                <w:szCs w:val="20"/>
                <w:color w:val="auto"/>
              </w:rPr>
            </w:pPr>
            <w:r>
              <w:rPr>
                <w:rFonts w:ascii="Arial" w:cs="Arial" w:eastAsia="Arial" w:hAnsi="Arial"/>
                <w:sz w:val="12"/>
                <w:szCs w:val="12"/>
                <w:b w:val="1"/>
                <w:bCs w:val="1"/>
                <w:color w:val="auto"/>
              </w:rPr>
              <w:t>Return</w:t>
            </w:r>
          </w:p>
        </w:tc>
        <w:tc>
          <w:tcPr>
            <w:tcW w:w="300" w:type="dxa"/>
            <w:vAlign w:val="bottom"/>
            <w:shd w:val="clear" w:color="auto" w:fill="F2F2F2"/>
          </w:tcPr>
          <w:p>
            <w:pPr>
              <w:spacing w:after="0"/>
              <w:rPr>
                <w:sz w:val="10"/>
                <w:szCs w:val="10"/>
                <w:color w:val="auto"/>
              </w:rPr>
            </w:pPr>
          </w:p>
        </w:tc>
        <w:tc>
          <w:tcPr>
            <w:tcW w:w="860" w:type="dxa"/>
            <w:vAlign w:val="bottom"/>
            <w:shd w:val="clear" w:color="auto" w:fill="F2F2F2"/>
          </w:tcPr>
          <w:p>
            <w:pPr>
              <w:jc w:val="center"/>
              <w:ind w:right="102"/>
              <w:spacing w:after="0" w:line="126" w:lineRule="exact"/>
              <w:rPr>
                <w:sz w:val="20"/>
                <w:szCs w:val="20"/>
                <w:color w:val="auto"/>
              </w:rPr>
            </w:pPr>
            <w:r>
              <w:rPr>
                <w:rFonts w:ascii="Arial" w:cs="Arial" w:eastAsia="Arial" w:hAnsi="Arial"/>
                <w:sz w:val="12"/>
                <w:szCs w:val="12"/>
                <w:b w:val="1"/>
                <w:bCs w:val="1"/>
                <w:color w:val="auto"/>
              </w:rPr>
              <w:t>millions)</w:t>
            </w:r>
          </w:p>
        </w:tc>
        <w:tc>
          <w:tcPr>
            <w:tcW w:w="1280" w:type="dxa"/>
            <w:vAlign w:val="bottom"/>
            <w:shd w:val="clear" w:color="auto" w:fill="F2F2F2"/>
          </w:tcPr>
          <w:p>
            <w:pPr>
              <w:jc w:val="center"/>
              <w:ind w:left="23"/>
              <w:spacing w:after="0" w:line="126" w:lineRule="exact"/>
              <w:rPr>
                <w:sz w:val="20"/>
                <w:szCs w:val="20"/>
                <w:color w:val="auto"/>
              </w:rPr>
            </w:pPr>
            <w:r>
              <w:rPr>
                <w:rFonts w:ascii="Arial" w:cs="Arial" w:eastAsia="Arial" w:hAnsi="Arial"/>
                <w:sz w:val="12"/>
                <w:szCs w:val="12"/>
                <w:b w:val="1"/>
                <w:bCs w:val="1"/>
                <w:color w:val="auto"/>
                <w:w w:val="99"/>
              </w:rPr>
              <w:t>Per Share</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680" w:type="dxa"/>
            <w:vAlign w:val="bottom"/>
            <w:tcBorders>
              <w:bottom w:val="single" w:sz="8" w:color="F2F2F2"/>
            </w:tcBorders>
            <w:shd w:val="clear" w:color="auto" w:fill="F2F2F2"/>
          </w:tcPr>
          <w:p>
            <w:pPr>
              <w:ind w:left="120"/>
              <w:spacing w:after="0" w:line="189" w:lineRule="exact"/>
              <w:rPr>
                <w:sz w:val="20"/>
                <w:szCs w:val="20"/>
                <w:color w:val="auto"/>
              </w:rPr>
            </w:pPr>
            <w:r>
              <w:rPr>
                <w:rFonts w:ascii="Arial" w:cs="Arial" w:eastAsia="Arial" w:hAnsi="Arial"/>
                <w:sz w:val="12"/>
                <w:szCs w:val="12"/>
                <w:b w:val="1"/>
                <w:bCs w:val="1"/>
                <w:color w:val="auto"/>
              </w:rPr>
              <w:t>Year</w:t>
            </w:r>
            <w:r>
              <w:rPr>
                <w:rFonts w:ascii="Arial" w:cs="Arial" w:eastAsia="Arial" w:hAnsi="Arial"/>
                <w:sz w:val="17"/>
                <w:szCs w:val="17"/>
                <w:b w:val="1"/>
                <w:bCs w:val="1"/>
                <w:color w:val="auto"/>
                <w:vertAlign w:val="superscript"/>
              </w:rPr>
              <w:t>(1)</w:t>
            </w:r>
          </w:p>
        </w:tc>
        <w:tc>
          <w:tcPr>
            <w:tcW w:w="220" w:type="dxa"/>
            <w:vAlign w:val="bottom"/>
            <w:tcBorders>
              <w:bottom w:val="single" w:sz="8" w:color="F2F2F2"/>
            </w:tcBorders>
            <w:shd w:val="clear" w:color="auto" w:fill="F2F2F2"/>
          </w:tcPr>
          <w:p>
            <w:pPr>
              <w:spacing w:after="0"/>
              <w:rPr>
                <w:sz w:val="16"/>
                <w:szCs w:val="16"/>
                <w:color w:val="auto"/>
              </w:rPr>
            </w:pPr>
          </w:p>
        </w:tc>
        <w:tc>
          <w:tcPr>
            <w:tcW w:w="900" w:type="dxa"/>
            <w:vAlign w:val="bottom"/>
            <w:tcBorders>
              <w:bottom w:val="single" w:sz="8" w:color="F2F2F2"/>
            </w:tcBorders>
            <w:shd w:val="clear" w:color="auto" w:fill="F2F2F2"/>
          </w:tcPr>
          <w:p>
            <w:pPr>
              <w:jc w:val="center"/>
              <w:spacing w:after="0" w:line="189" w:lineRule="exact"/>
              <w:rPr>
                <w:sz w:val="20"/>
                <w:szCs w:val="20"/>
                <w:color w:val="auto"/>
              </w:rPr>
            </w:pPr>
            <w:r>
              <w:rPr>
                <w:rFonts w:ascii="Arial" w:cs="Arial" w:eastAsia="Arial" w:hAnsi="Arial"/>
                <w:sz w:val="21"/>
                <w:szCs w:val="21"/>
                <w:b w:val="1"/>
                <w:bCs w:val="1"/>
                <w:color w:val="auto"/>
                <w:w w:val="96"/>
                <w:vertAlign w:val="subscript"/>
              </w:rPr>
              <w:t>($)</w:t>
            </w:r>
            <w:r>
              <w:rPr>
                <w:rFonts w:ascii="Arial" w:cs="Arial" w:eastAsia="Arial" w:hAnsi="Arial"/>
                <w:sz w:val="8"/>
                <w:szCs w:val="8"/>
                <w:b w:val="1"/>
                <w:bCs w:val="1"/>
                <w:color w:val="auto"/>
                <w:w w:val="96"/>
              </w:rPr>
              <w:t>(2)</w:t>
            </w:r>
          </w:p>
        </w:tc>
        <w:tc>
          <w:tcPr>
            <w:tcW w:w="1100" w:type="dxa"/>
            <w:vAlign w:val="bottom"/>
            <w:tcBorders>
              <w:bottom w:val="single" w:sz="8" w:color="F2F2F2"/>
            </w:tcBorders>
            <w:shd w:val="clear" w:color="auto" w:fill="F2F2F2"/>
          </w:tcPr>
          <w:p>
            <w:pPr>
              <w:jc w:val="center"/>
              <w:ind w:left="183"/>
              <w:spacing w:after="0" w:line="189" w:lineRule="exact"/>
              <w:rPr>
                <w:sz w:val="20"/>
                <w:szCs w:val="20"/>
                <w:color w:val="auto"/>
              </w:rPr>
            </w:pPr>
            <w:r>
              <w:rPr>
                <w:rFonts w:ascii="Arial" w:cs="Arial" w:eastAsia="Arial" w:hAnsi="Arial"/>
                <w:sz w:val="21"/>
                <w:szCs w:val="21"/>
                <w:b w:val="1"/>
                <w:bCs w:val="1"/>
                <w:color w:val="auto"/>
                <w:w w:val="96"/>
                <w:vertAlign w:val="subscript"/>
              </w:rPr>
              <w:t>($)</w:t>
            </w:r>
            <w:r>
              <w:rPr>
                <w:rFonts w:ascii="Arial" w:cs="Arial" w:eastAsia="Arial" w:hAnsi="Arial"/>
                <w:sz w:val="8"/>
                <w:szCs w:val="8"/>
                <w:b w:val="1"/>
                <w:bCs w:val="1"/>
                <w:color w:val="auto"/>
                <w:w w:val="96"/>
              </w:rPr>
              <w:t>(3)</w:t>
            </w:r>
          </w:p>
        </w:tc>
        <w:tc>
          <w:tcPr>
            <w:tcW w:w="220" w:type="dxa"/>
            <w:vAlign w:val="bottom"/>
            <w:tcBorders>
              <w:bottom w:val="single" w:sz="8" w:color="F2F2F2"/>
            </w:tcBorders>
            <w:shd w:val="clear" w:color="auto" w:fill="F2F2F2"/>
          </w:tcPr>
          <w:p>
            <w:pPr>
              <w:spacing w:after="0"/>
              <w:rPr>
                <w:sz w:val="16"/>
                <w:szCs w:val="16"/>
                <w:color w:val="auto"/>
              </w:rPr>
            </w:pPr>
          </w:p>
        </w:tc>
        <w:tc>
          <w:tcPr>
            <w:tcW w:w="880" w:type="dxa"/>
            <w:vAlign w:val="bottom"/>
            <w:tcBorders>
              <w:bottom w:val="single" w:sz="8" w:color="F2F2F2"/>
            </w:tcBorders>
            <w:shd w:val="clear" w:color="auto" w:fill="F2F2F2"/>
          </w:tcPr>
          <w:p>
            <w:pPr>
              <w:jc w:val="center"/>
              <w:spacing w:after="0" w:line="189" w:lineRule="exact"/>
              <w:rPr>
                <w:sz w:val="20"/>
                <w:szCs w:val="20"/>
                <w:color w:val="auto"/>
              </w:rPr>
            </w:pPr>
            <w:r>
              <w:rPr>
                <w:rFonts w:ascii="Arial" w:cs="Arial" w:eastAsia="Arial" w:hAnsi="Arial"/>
                <w:sz w:val="21"/>
                <w:szCs w:val="21"/>
                <w:b w:val="1"/>
                <w:bCs w:val="1"/>
                <w:color w:val="auto"/>
                <w:w w:val="89"/>
                <w:vertAlign w:val="subscript"/>
              </w:rPr>
              <w:t>($)</w:t>
            </w:r>
            <w:r>
              <w:rPr>
                <w:rFonts w:ascii="Arial" w:cs="Arial" w:eastAsia="Arial" w:hAnsi="Arial"/>
                <w:sz w:val="8"/>
                <w:szCs w:val="8"/>
                <w:b w:val="1"/>
                <w:bCs w:val="1"/>
                <w:color w:val="auto"/>
                <w:w w:val="89"/>
              </w:rPr>
              <w:t>(2)</w:t>
            </w:r>
          </w:p>
        </w:tc>
        <w:tc>
          <w:tcPr>
            <w:tcW w:w="1100" w:type="dxa"/>
            <w:vAlign w:val="bottom"/>
            <w:tcBorders>
              <w:bottom w:val="single" w:sz="8" w:color="F2F2F2"/>
            </w:tcBorders>
            <w:shd w:val="clear" w:color="auto" w:fill="F2F2F2"/>
          </w:tcPr>
          <w:p>
            <w:pPr>
              <w:jc w:val="center"/>
              <w:ind w:left="143"/>
              <w:spacing w:after="0" w:line="189" w:lineRule="exact"/>
              <w:rPr>
                <w:sz w:val="20"/>
                <w:szCs w:val="20"/>
                <w:color w:val="auto"/>
              </w:rPr>
            </w:pPr>
            <w:r>
              <w:rPr>
                <w:rFonts w:ascii="Arial" w:cs="Arial" w:eastAsia="Arial" w:hAnsi="Arial"/>
                <w:sz w:val="21"/>
                <w:szCs w:val="21"/>
                <w:b w:val="1"/>
                <w:bCs w:val="1"/>
                <w:color w:val="auto"/>
                <w:w w:val="96"/>
                <w:vertAlign w:val="subscript"/>
              </w:rPr>
              <w:t>($)</w:t>
            </w:r>
            <w:r>
              <w:rPr>
                <w:rFonts w:ascii="Arial" w:cs="Arial" w:eastAsia="Arial" w:hAnsi="Arial"/>
                <w:sz w:val="8"/>
                <w:szCs w:val="8"/>
                <w:b w:val="1"/>
                <w:bCs w:val="1"/>
                <w:color w:val="auto"/>
                <w:w w:val="96"/>
              </w:rPr>
              <w:t>(3)</w:t>
            </w:r>
          </w:p>
        </w:tc>
        <w:tc>
          <w:tcPr>
            <w:tcW w:w="1120" w:type="dxa"/>
            <w:vAlign w:val="bottom"/>
            <w:tcBorders>
              <w:bottom w:val="single" w:sz="8" w:color="F2F2F2"/>
            </w:tcBorders>
            <w:gridSpan w:val="2"/>
            <w:shd w:val="clear" w:color="auto" w:fill="F2F2F2"/>
          </w:tcPr>
          <w:p>
            <w:pPr>
              <w:jc w:val="center"/>
              <w:ind w:left="122"/>
              <w:spacing w:after="0"/>
              <w:rPr>
                <w:sz w:val="20"/>
                <w:szCs w:val="20"/>
                <w:color w:val="auto"/>
              </w:rPr>
            </w:pPr>
            <w:r>
              <w:rPr>
                <w:rFonts w:ascii="Arial" w:cs="Arial" w:eastAsia="Arial" w:hAnsi="Arial"/>
                <w:sz w:val="12"/>
                <w:szCs w:val="12"/>
                <w:b w:val="1"/>
                <w:bCs w:val="1"/>
                <w:color w:val="auto"/>
                <w:w w:val="95"/>
              </w:rPr>
              <w:t>($)</w:t>
            </w:r>
          </w:p>
        </w:tc>
        <w:tc>
          <w:tcPr>
            <w:tcW w:w="1060" w:type="dxa"/>
            <w:vAlign w:val="bottom"/>
            <w:tcBorders>
              <w:bottom w:val="single" w:sz="8" w:color="F2F2F2"/>
            </w:tcBorders>
            <w:shd w:val="clear" w:color="auto" w:fill="F2F2F2"/>
          </w:tcPr>
          <w:p>
            <w:pPr>
              <w:jc w:val="center"/>
              <w:ind w:left="123"/>
              <w:spacing w:after="0" w:line="189" w:lineRule="exact"/>
              <w:rPr>
                <w:sz w:val="20"/>
                <w:szCs w:val="20"/>
                <w:color w:val="auto"/>
              </w:rPr>
            </w:pPr>
            <w:r>
              <w:rPr>
                <w:rFonts w:ascii="Arial" w:cs="Arial" w:eastAsia="Arial" w:hAnsi="Arial"/>
                <w:sz w:val="21"/>
                <w:szCs w:val="21"/>
                <w:b w:val="1"/>
                <w:bCs w:val="1"/>
                <w:color w:val="auto"/>
                <w:w w:val="89"/>
                <w:vertAlign w:val="subscript"/>
              </w:rPr>
              <w:t>($)</w:t>
            </w:r>
            <w:r>
              <w:rPr>
                <w:rFonts w:ascii="Arial" w:cs="Arial" w:eastAsia="Arial" w:hAnsi="Arial"/>
                <w:sz w:val="8"/>
                <w:szCs w:val="8"/>
                <w:b w:val="1"/>
                <w:bCs w:val="1"/>
                <w:color w:val="auto"/>
                <w:w w:val="89"/>
              </w:rPr>
              <w:t>(5)</w:t>
            </w:r>
          </w:p>
        </w:tc>
        <w:tc>
          <w:tcPr>
            <w:tcW w:w="300" w:type="dxa"/>
            <w:vAlign w:val="bottom"/>
            <w:tcBorders>
              <w:bottom w:val="single" w:sz="8" w:color="F2F2F2"/>
            </w:tcBorders>
            <w:shd w:val="clear" w:color="auto" w:fill="F2F2F2"/>
          </w:tcPr>
          <w:p>
            <w:pPr>
              <w:spacing w:after="0"/>
              <w:rPr>
                <w:sz w:val="16"/>
                <w:szCs w:val="16"/>
                <w:color w:val="auto"/>
              </w:rPr>
            </w:pPr>
          </w:p>
        </w:tc>
        <w:tc>
          <w:tcPr>
            <w:tcW w:w="860" w:type="dxa"/>
            <w:vAlign w:val="bottom"/>
            <w:tcBorders>
              <w:bottom w:val="single" w:sz="8" w:color="F2F2F2"/>
            </w:tcBorders>
            <w:shd w:val="clear" w:color="auto" w:fill="F2F2F2"/>
          </w:tcPr>
          <w:p>
            <w:pPr>
              <w:jc w:val="center"/>
              <w:ind w:right="102"/>
              <w:spacing w:after="0"/>
              <w:rPr>
                <w:sz w:val="20"/>
                <w:szCs w:val="20"/>
                <w:color w:val="auto"/>
              </w:rPr>
            </w:pPr>
            <w:r>
              <w:rPr>
                <w:rFonts w:ascii="Arial" w:cs="Arial" w:eastAsia="Arial" w:hAnsi="Arial"/>
                <w:sz w:val="12"/>
                <w:szCs w:val="12"/>
                <w:b w:val="1"/>
                <w:bCs w:val="1"/>
                <w:color w:val="auto"/>
                <w:w w:val="95"/>
              </w:rPr>
              <w:t>($)</w:t>
            </w:r>
          </w:p>
        </w:tc>
        <w:tc>
          <w:tcPr>
            <w:tcW w:w="1280" w:type="dxa"/>
            <w:vAlign w:val="bottom"/>
            <w:tcBorders>
              <w:bottom w:val="single" w:sz="8" w:color="F2F2F2"/>
            </w:tcBorders>
            <w:shd w:val="clear" w:color="auto" w:fill="F2F2F2"/>
          </w:tcPr>
          <w:p>
            <w:pPr>
              <w:jc w:val="center"/>
              <w:ind w:left="43"/>
              <w:spacing w:after="0" w:line="189" w:lineRule="exact"/>
              <w:rPr>
                <w:sz w:val="20"/>
                <w:szCs w:val="20"/>
                <w:color w:val="auto"/>
              </w:rPr>
            </w:pPr>
            <w:r>
              <w:rPr>
                <w:rFonts w:ascii="Arial" w:cs="Arial" w:eastAsia="Arial" w:hAnsi="Arial"/>
                <w:sz w:val="21"/>
                <w:szCs w:val="21"/>
                <w:b w:val="1"/>
                <w:bCs w:val="1"/>
                <w:color w:val="auto"/>
                <w:w w:val="96"/>
                <w:vertAlign w:val="subscript"/>
              </w:rPr>
              <w:t>($)</w:t>
            </w:r>
            <w:r>
              <w:rPr>
                <w:rFonts w:ascii="Arial" w:cs="Arial" w:eastAsia="Arial" w:hAnsi="Arial"/>
                <w:sz w:val="8"/>
                <w:szCs w:val="8"/>
                <w:b w:val="1"/>
                <w:bCs w:val="1"/>
                <w:color w:val="auto"/>
                <w:w w:val="96"/>
              </w:rPr>
              <w:t>(6)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80" w:type="dxa"/>
            <w:vAlign w:val="bottom"/>
            <w:tcBorders>
              <w:bottom w:val="single" w:sz="8" w:color="808080"/>
            </w:tcBorders>
          </w:tcPr>
          <w:p>
            <w:pPr>
              <w:ind w:left="120"/>
              <w:spacing w:after="0"/>
              <w:rPr>
                <w:sz w:val="20"/>
                <w:szCs w:val="20"/>
                <w:color w:val="auto"/>
              </w:rPr>
            </w:pPr>
            <w:r>
              <w:rPr>
                <w:rFonts w:ascii="Arial" w:cs="Arial" w:eastAsia="Arial" w:hAnsi="Arial"/>
                <w:sz w:val="12"/>
                <w:szCs w:val="12"/>
                <w:color w:val="auto"/>
              </w:rPr>
              <w:t>2025</w:t>
            </w:r>
          </w:p>
        </w:tc>
        <w:tc>
          <w:tcPr>
            <w:tcW w:w="1120" w:type="dxa"/>
            <w:vAlign w:val="bottom"/>
            <w:tcBorders>
              <w:bottom w:val="single" w:sz="8" w:color="808080"/>
            </w:tcBorders>
            <w:gridSpan w:val="2"/>
          </w:tcPr>
          <w:p>
            <w:pPr>
              <w:jc w:val="right"/>
              <w:spacing w:after="0"/>
              <w:rPr>
                <w:sz w:val="20"/>
                <w:szCs w:val="20"/>
                <w:color w:val="auto"/>
              </w:rPr>
            </w:pPr>
            <w:r>
              <w:rPr>
                <w:rFonts w:ascii="Arial" w:cs="Arial" w:eastAsia="Arial" w:hAnsi="Arial"/>
                <w:sz w:val="12"/>
                <w:szCs w:val="12"/>
                <w:color w:val="auto"/>
              </w:rPr>
              <w:t>32,282,253</w:t>
            </w:r>
          </w:p>
        </w:tc>
        <w:tc>
          <w:tcPr>
            <w:tcW w:w="1100" w:type="dxa"/>
            <w:vAlign w:val="bottom"/>
            <w:tcBorders>
              <w:bottom w:val="single" w:sz="8" w:color="808080"/>
            </w:tcBorders>
          </w:tcPr>
          <w:p>
            <w:pPr>
              <w:jc w:val="right"/>
              <w:spacing w:after="0"/>
              <w:rPr>
                <w:sz w:val="20"/>
                <w:szCs w:val="20"/>
                <w:color w:val="auto"/>
              </w:rPr>
            </w:pPr>
            <w:r>
              <w:rPr>
                <w:rFonts w:ascii="Arial" w:cs="Arial" w:eastAsia="Arial" w:hAnsi="Arial"/>
                <w:sz w:val="12"/>
                <w:szCs w:val="12"/>
                <w:color w:val="auto"/>
              </w:rPr>
              <w:t>45,643,992</w:t>
            </w:r>
          </w:p>
        </w:tc>
        <w:tc>
          <w:tcPr>
            <w:tcW w:w="220" w:type="dxa"/>
            <w:vAlign w:val="bottom"/>
            <w:tcBorders>
              <w:bottom w:val="single" w:sz="8" w:color="808080"/>
            </w:tcBorders>
          </w:tcPr>
          <w:p>
            <w:pPr>
              <w:spacing w:after="0"/>
              <w:rPr>
                <w:sz w:val="16"/>
                <w:szCs w:val="16"/>
                <w:color w:val="auto"/>
              </w:rPr>
            </w:pPr>
          </w:p>
        </w:tc>
        <w:tc>
          <w:tcPr>
            <w:tcW w:w="880" w:type="dxa"/>
            <w:vAlign w:val="bottom"/>
            <w:tcBorders>
              <w:bottom w:val="single" w:sz="8" w:color="808080"/>
            </w:tcBorders>
          </w:tcPr>
          <w:p>
            <w:pPr>
              <w:jc w:val="right"/>
              <w:spacing w:after="0"/>
              <w:rPr>
                <w:sz w:val="20"/>
                <w:szCs w:val="20"/>
                <w:color w:val="auto"/>
              </w:rPr>
            </w:pPr>
            <w:r>
              <w:rPr>
                <w:rFonts w:ascii="Arial" w:cs="Arial" w:eastAsia="Arial" w:hAnsi="Arial"/>
                <w:sz w:val="12"/>
                <w:szCs w:val="12"/>
                <w:color w:val="auto"/>
              </w:rPr>
              <w:t>11,950,030</w:t>
            </w:r>
          </w:p>
        </w:tc>
        <w:tc>
          <w:tcPr>
            <w:tcW w:w="1100" w:type="dxa"/>
            <w:vAlign w:val="bottom"/>
            <w:tcBorders>
              <w:bottom w:val="single" w:sz="8" w:color="808080"/>
            </w:tcBorders>
          </w:tcPr>
          <w:p>
            <w:pPr>
              <w:jc w:val="right"/>
              <w:spacing w:after="0"/>
              <w:rPr>
                <w:sz w:val="20"/>
                <w:szCs w:val="20"/>
                <w:color w:val="auto"/>
              </w:rPr>
            </w:pPr>
            <w:r>
              <w:rPr>
                <w:rFonts w:ascii="Arial" w:cs="Arial" w:eastAsia="Arial" w:hAnsi="Arial"/>
                <w:sz w:val="12"/>
                <w:szCs w:val="12"/>
                <w:color w:val="auto"/>
              </w:rPr>
              <w:t>16,789,892</w:t>
            </w:r>
          </w:p>
        </w:tc>
        <w:tc>
          <w:tcPr>
            <w:tcW w:w="1120" w:type="dxa"/>
            <w:vAlign w:val="bottom"/>
            <w:tcBorders>
              <w:bottom w:val="single" w:sz="8" w:color="808080"/>
            </w:tcBorders>
            <w:gridSpan w:val="2"/>
          </w:tcPr>
          <w:p>
            <w:pPr>
              <w:jc w:val="right"/>
              <w:ind w:right="22"/>
              <w:spacing w:after="0"/>
              <w:rPr>
                <w:sz w:val="20"/>
                <w:szCs w:val="20"/>
                <w:color w:val="auto"/>
              </w:rPr>
            </w:pPr>
            <w:r>
              <w:rPr>
                <w:rFonts w:ascii="Arial" w:cs="Arial" w:eastAsia="Arial" w:hAnsi="Arial"/>
                <w:sz w:val="12"/>
                <w:szCs w:val="12"/>
                <w:color w:val="auto"/>
              </w:rPr>
              <w:t>258.54</w:t>
            </w:r>
          </w:p>
        </w:tc>
        <w:tc>
          <w:tcPr>
            <w:tcW w:w="1060" w:type="dxa"/>
            <w:vAlign w:val="bottom"/>
            <w:tcBorders>
              <w:bottom w:val="single" w:sz="8" w:color="808080"/>
            </w:tcBorders>
          </w:tcPr>
          <w:p>
            <w:pPr>
              <w:jc w:val="right"/>
              <w:spacing w:after="0"/>
              <w:rPr>
                <w:sz w:val="20"/>
                <w:szCs w:val="20"/>
                <w:color w:val="auto"/>
              </w:rPr>
            </w:pPr>
            <w:r>
              <w:rPr>
                <w:rFonts w:ascii="Arial" w:cs="Arial" w:eastAsia="Arial" w:hAnsi="Arial"/>
                <w:sz w:val="12"/>
                <w:szCs w:val="12"/>
                <w:color w:val="auto"/>
              </w:rPr>
              <w:t>87.62</w:t>
            </w:r>
          </w:p>
        </w:tc>
        <w:tc>
          <w:tcPr>
            <w:tcW w:w="300" w:type="dxa"/>
            <w:vAlign w:val="bottom"/>
            <w:tcBorders>
              <w:bottom w:val="single" w:sz="8" w:color="808080"/>
            </w:tcBorders>
          </w:tcPr>
          <w:p>
            <w:pPr>
              <w:spacing w:after="0"/>
              <w:rPr>
                <w:sz w:val="16"/>
                <w:szCs w:val="16"/>
                <w:color w:val="auto"/>
              </w:rPr>
            </w:pPr>
          </w:p>
        </w:tc>
        <w:tc>
          <w:tcPr>
            <w:tcW w:w="860" w:type="dxa"/>
            <w:vAlign w:val="bottom"/>
            <w:tcBorders>
              <w:bottom w:val="single" w:sz="8" w:color="808080"/>
            </w:tcBorders>
          </w:tcPr>
          <w:p>
            <w:pPr>
              <w:jc w:val="right"/>
              <w:ind w:right="42"/>
              <w:spacing w:after="0"/>
              <w:rPr>
                <w:sz w:val="20"/>
                <w:szCs w:val="20"/>
                <w:color w:val="auto"/>
              </w:rPr>
            </w:pPr>
            <w:r>
              <w:rPr>
                <w:rFonts w:ascii="Arial" w:cs="Arial" w:eastAsia="Arial" w:hAnsi="Arial"/>
                <w:sz w:val="12"/>
                <w:szCs w:val="12"/>
                <w:color w:val="auto"/>
              </w:rPr>
              <w:t>3,353</w:t>
            </w:r>
          </w:p>
        </w:tc>
        <w:tc>
          <w:tcPr>
            <w:tcW w:w="1280" w:type="dxa"/>
            <w:vAlign w:val="bottom"/>
            <w:tcBorders>
              <w:bottom w:val="single" w:sz="8" w:color="808080"/>
            </w:tcBorders>
          </w:tcPr>
          <w:p>
            <w:pPr>
              <w:jc w:val="right"/>
              <w:ind w:right="43"/>
              <w:spacing w:after="0"/>
              <w:rPr>
                <w:sz w:val="20"/>
                <w:szCs w:val="20"/>
                <w:color w:val="auto"/>
              </w:rPr>
            </w:pPr>
            <w:r>
              <w:rPr>
                <w:rFonts w:ascii="Arial" w:cs="Arial" w:eastAsia="Arial" w:hAnsi="Arial"/>
                <w:sz w:val="12"/>
                <w:szCs w:val="12"/>
                <w:color w:val="auto"/>
              </w:rPr>
              <w:t>10.62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80" w:type="dxa"/>
            <w:vAlign w:val="bottom"/>
            <w:tcBorders>
              <w:bottom w:val="single" w:sz="8" w:color="808080"/>
            </w:tcBorders>
          </w:tcPr>
          <w:p>
            <w:pPr>
              <w:ind w:left="120"/>
              <w:spacing w:after="0"/>
              <w:rPr>
                <w:sz w:val="20"/>
                <w:szCs w:val="20"/>
                <w:color w:val="auto"/>
              </w:rPr>
            </w:pPr>
            <w:r>
              <w:rPr>
                <w:rFonts w:ascii="Arial" w:cs="Arial" w:eastAsia="Arial" w:hAnsi="Arial"/>
                <w:sz w:val="12"/>
                <w:szCs w:val="12"/>
                <w:color w:val="auto"/>
              </w:rPr>
              <w:t>2024</w:t>
            </w:r>
          </w:p>
        </w:tc>
        <w:tc>
          <w:tcPr>
            <w:tcW w:w="1120" w:type="dxa"/>
            <w:vAlign w:val="bottom"/>
            <w:tcBorders>
              <w:bottom w:val="single" w:sz="8" w:color="808080"/>
            </w:tcBorders>
            <w:gridSpan w:val="2"/>
          </w:tcPr>
          <w:p>
            <w:pPr>
              <w:jc w:val="right"/>
              <w:spacing w:after="0"/>
              <w:rPr>
                <w:sz w:val="20"/>
                <w:szCs w:val="20"/>
                <w:color w:val="auto"/>
              </w:rPr>
            </w:pPr>
            <w:r>
              <w:rPr>
                <w:rFonts w:ascii="Arial" w:cs="Arial" w:eastAsia="Arial" w:hAnsi="Arial"/>
                <w:sz w:val="12"/>
                <w:szCs w:val="12"/>
                <w:color w:val="auto"/>
              </w:rPr>
              <w:t>33,924,988</w:t>
            </w:r>
          </w:p>
        </w:tc>
        <w:tc>
          <w:tcPr>
            <w:tcW w:w="1100" w:type="dxa"/>
            <w:vAlign w:val="bottom"/>
            <w:tcBorders>
              <w:bottom w:val="single" w:sz="8" w:color="808080"/>
            </w:tcBorders>
          </w:tcPr>
          <w:p>
            <w:pPr>
              <w:jc w:val="right"/>
              <w:spacing w:after="0"/>
              <w:rPr>
                <w:sz w:val="20"/>
                <w:szCs w:val="20"/>
                <w:color w:val="auto"/>
              </w:rPr>
            </w:pPr>
            <w:r>
              <w:rPr>
                <w:rFonts w:ascii="Arial" w:cs="Arial" w:eastAsia="Arial" w:hAnsi="Arial"/>
                <w:sz w:val="12"/>
                <w:szCs w:val="12"/>
                <w:color w:val="auto"/>
              </w:rPr>
              <w:t>96,724,681</w:t>
            </w:r>
          </w:p>
        </w:tc>
        <w:tc>
          <w:tcPr>
            <w:tcW w:w="220" w:type="dxa"/>
            <w:vAlign w:val="bottom"/>
            <w:tcBorders>
              <w:bottom w:val="single" w:sz="8" w:color="808080"/>
            </w:tcBorders>
          </w:tcPr>
          <w:p>
            <w:pPr>
              <w:spacing w:after="0"/>
              <w:rPr>
                <w:sz w:val="15"/>
                <w:szCs w:val="15"/>
                <w:color w:val="auto"/>
              </w:rPr>
            </w:pPr>
          </w:p>
        </w:tc>
        <w:tc>
          <w:tcPr>
            <w:tcW w:w="880" w:type="dxa"/>
            <w:vAlign w:val="bottom"/>
            <w:tcBorders>
              <w:bottom w:val="single" w:sz="8" w:color="808080"/>
            </w:tcBorders>
          </w:tcPr>
          <w:p>
            <w:pPr>
              <w:jc w:val="right"/>
              <w:spacing w:after="0"/>
              <w:rPr>
                <w:sz w:val="20"/>
                <w:szCs w:val="20"/>
                <w:color w:val="auto"/>
              </w:rPr>
            </w:pPr>
            <w:r>
              <w:rPr>
                <w:rFonts w:ascii="Arial" w:cs="Arial" w:eastAsia="Arial" w:hAnsi="Arial"/>
                <w:sz w:val="12"/>
                <w:szCs w:val="12"/>
                <w:color w:val="auto"/>
              </w:rPr>
              <w:t>14,012,053</w:t>
            </w:r>
          </w:p>
        </w:tc>
        <w:tc>
          <w:tcPr>
            <w:tcW w:w="1100" w:type="dxa"/>
            <w:vAlign w:val="bottom"/>
            <w:tcBorders>
              <w:bottom w:val="single" w:sz="8" w:color="808080"/>
            </w:tcBorders>
          </w:tcPr>
          <w:p>
            <w:pPr>
              <w:jc w:val="right"/>
              <w:spacing w:after="0"/>
              <w:rPr>
                <w:sz w:val="20"/>
                <w:szCs w:val="20"/>
                <w:color w:val="auto"/>
              </w:rPr>
            </w:pPr>
            <w:r>
              <w:rPr>
                <w:rFonts w:ascii="Arial" w:cs="Arial" w:eastAsia="Arial" w:hAnsi="Arial"/>
                <w:sz w:val="12"/>
                <w:szCs w:val="12"/>
                <w:color w:val="auto"/>
              </w:rPr>
              <w:t>30,524,710</w:t>
            </w:r>
          </w:p>
        </w:tc>
        <w:tc>
          <w:tcPr>
            <w:tcW w:w="1120" w:type="dxa"/>
            <w:vAlign w:val="bottom"/>
            <w:tcBorders>
              <w:bottom w:val="single" w:sz="8" w:color="808080"/>
            </w:tcBorders>
            <w:gridSpan w:val="2"/>
          </w:tcPr>
          <w:p>
            <w:pPr>
              <w:jc w:val="right"/>
              <w:ind w:right="22"/>
              <w:spacing w:after="0"/>
              <w:rPr>
                <w:sz w:val="20"/>
                <w:szCs w:val="20"/>
                <w:color w:val="auto"/>
              </w:rPr>
            </w:pPr>
            <w:r>
              <w:rPr>
                <w:rFonts w:ascii="Arial" w:cs="Arial" w:eastAsia="Arial" w:hAnsi="Arial"/>
                <w:sz w:val="12"/>
                <w:szCs w:val="12"/>
                <w:color w:val="auto"/>
              </w:rPr>
              <w:t>224.51</w:t>
            </w:r>
          </w:p>
        </w:tc>
        <w:tc>
          <w:tcPr>
            <w:tcW w:w="1060" w:type="dxa"/>
            <w:vAlign w:val="bottom"/>
            <w:tcBorders>
              <w:bottom w:val="single" w:sz="8" w:color="808080"/>
            </w:tcBorders>
          </w:tcPr>
          <w:p>
            <w:pPr>
              <w:jc w:val="right"/>
              <w:spacing w:after="0"/>
              <w:rPr>
                <w:sz w:val="20"/>
                <w:szCs w:val="20"/>
                <w:color w:val="auto"/>
              </w:rPr>
            </w:pPr>
            <w:r>
              <w:rPr>
                <w:rFonts w:ascii="Arial" w:cs="Arial" w:eastAsia="Arial" w:hAnsi="Arial"/>
                <w:sz w:val="12"/>
                <w:szCs w:val="12"/>
                <w:color w:val="auto"/>
              </w:rPr>
              <w:t>82.68</w:t>
            </w:r>
          </w:p>
        </w:tc>
        <w:tc>
          <w:tcPr>
            <w:tcW w:w="300" w:type="dxa"/>
            <w:vAlign w:val="bottom"/>
            <w:tcBorders>
              <w:bottom w:val="single" w:sz="8" w:color="808080"/>
            </w:tcBorders>
          </w:tcPr>
          <w:p>
            <w:pPr>
              <w:spacing w:after="0"/>
              <w:rPr>
                <w:sz w:val="15"/>
                <w:szCs w:val="15"/>
                <w:color w:val="auto"/>
              </w:rPr>
            </w:pPr>
          </w:p>
        </w:tc>
        <w:tc>
          <w:tcPr>
            <w:tcW w:w="860" w:type="dxa"/>
            <w:vAlign w:val="bottom"/>
            <w:tcBorders>
              <w:bottom w:val="single" w:sz="8" w:color="808080"/>
            </w:tcBorders>
          </w:tcPr>
          <w:p>
            <w:pPr>
              <w:jc w:val="right"/>
              <w:ind w:right="42"/>
              <w:spacing w:after="0"/>
              <w:rPr>
                <w:sz w:val="20"/>
                <w:szCs w:val="20"/>
                <w:color w:val="auto"/>
              </w:rPr>
            </w:pPr>
            <w:r>
              <w:rPr>
                <w:rFonts w:ascii="Arial" w:cs="Arial" w:eastAsia="Arial" w:hAnsi="Arial"/>
                <w:sz w:val="12"/>
                <w:szCs w:val="12"/>
                <w:color w:val="auto"/>
              </w:rPr>
              <w:t>3,149</w:t>
            </w:r>
          </w:p>
        </w:tc>
        <w:tc>
          <w:tcPr>
            <w:tcW w:w="1280" w:type="dxa"/>
            <w:vAlign w:val="bottom"/>
            <w:tcBorders>
              <w:bottom w:val="single" w:sz="8" w:color="808080"/>
            </w:tcBorders>
          </w:tcPr>
          <w:p>
            <w:pPr>
              <w:jc w:val="right"/>
              <w:ind w:right="43"/>
              <w:spacing w:after="0"/>
              <w:rPr>
                <w:sz w:val="20"/>
                <w:szCs w:val="20"/>
                <w:color w:val="auto"/>
              </w:rPr>
            </w:pPr>
            <w:r>
              <w:rPr>
                <w:rFonts w:ascii="Arial" w:cs="Arial" w:eastAsia="Arial" w:hAnsi="Arial"/>
                <w:sz w:val="12"/>
                <w:szCs w:val="12"/>
                <w:color w:val="auto"/>
              </w:rPr>
              <w:t>10.61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80" w:type="dxa"/>
            <w:vAlign w:val="bottom"/>
            <w:tcBorders>
              <w:bottom w:val="single" w:sz="8" w:color="808080"/>
            </w:tcBorders>
          </w:tcPr>
          <w:p>
            <w:pPr>
              <w:ind w:left="120"/>
              <w:spacing w:after="0"/>
              <w:rPr>
                <w:sz w:val="20"/>
                <w:szCs w:val="20"/>
                <w:color w:val="auto"/>
              </w:rPr>
            </w:pPr>
            <w:r>
              <w:rPr>
                <w:rFonts w:ascii="Arial" w:cs="Arial" w:eastAsia="Arial" w:hAnsi="Arial"/>
                <w:sz w:val="12"/>
                <w:szCs w:val="12"/>
                <w:color w:val="auto"/>
              </w:rPr>
              <w:t>2023</w:t>
            </w:r>
          </w:p>
        </w:tc>
        <w:tc>
          <w:tcPr>
            <w:tcW w:w="1120" w:type="dxa"/>
            <w:vAlign w:val="bottom"/>
            <w:tcBorders>
              <w:bottom w:val="single" w:sz="8" w:color="808080"/>
            </w:tcBorders>
            <w:gridSpan w:val="2"/>
          </w:tcPr>
          <w:p>
            <w:pPr>
              <w:jc w:val="right"/>
              <w:spacing w:after="0"/>
              <w:rPr>
                <w:sz w:val="20"/>
                <w:szCs w:val="20"/>
                <w:color w:val="auto"/>
              </w:rPr>
            </w:pPr>
            <w:r>
              <w:rPr>
                <w:rFonts w:ascii="Arial" w:cs="Arial" w:eastAsia="Arial" w:hAnsi="Arial"/>
                <w:sz w:val="12"/>
                <w:szCs w:val="12"/>
                <w:color w:val="auto"/>
              </w:rPr>
              <w:t>18,573,299</w:t>
            </w:r>
          </w:p>
        </w:tc>
        <w:tc>
          <w:tcPr>
            <w:tcW w:w="1100" w:type="dxa"/>
            <w:vAlign w:val="bottom"/>
            <w:tcBorders>
              <w:bottom w:val="single" w:sz="8" w:color="808080"/>
            </w:tcBorders>
          </w:tcPr>
          <w:p>
            <w:pPr>
              <w:jc w:val="right"/>
              <w:spacing w:after="0"/>
              <w:rPr>
                <w:sz w:val="20"/>
                <w:szCs w:val="20"/>
                <w:color w:val="auto"/>
              </w:rPr>
            </w:pPr>
            <w:r>
              <w:rPr>
                <w:rFonts w:ascii="Arial" w:cs="Arial" w:eastAsia="Arial" w:hAnsi="Arial"/>
                <w:sz w:val="12"/>
                <w:szCs w:val="12"/>
                <w:color w:val="auto"/>
              </w:rPr>
              <w:t>23,055,816</w:t>
            </w:r>
          </w:p>
        </w:tc>
        <w:tc>
          <w:tcPr>
            <w:tcW w:w="220" w:type="dxa"/>
            <w:vAlign w:val="bottom"/>
            <w:tcBorders>
              <w:bottom w:val="single" w:sz="8" w:color="808080"/>
            </w:tcBorders>
          </w:tcPr>
          <w:p>
            <w:pPr>
              <w:spacing w:after="0"/>
              <w:rPr>
                <w:sz w:val="15"/>
                <w:szCs w:val="15"/>
                <w:color w:val="auto"/>
              </w:rPr>
            </w:pPr>
          </w:p>
        </w:tc>
        <w:tc>
          <w:tcPr>
            <w:tcW w:w="880" w:type="dxa"/>
            <w:vAlign w:val="bottom"/>
            <w:tcBorders>
              <w:bottom w:val="single" w:sz="8" w:color="808080"/>
            </w:tcBorders>
          </w:tcPr>
          <w:p>
            <w:pPr>
              <w:jc w:val="right"/>
              <w:spacing w:after="0"/>
              <w:rPr>
                <w:sz w:val="20"/>
                <w:szCs w:val="20"/>
                <w:color w:val="auto"/>
              </w:rPr>
            </w:pPr>
            <w:r>
              <w:rPr>
                <w:rFonts w:ascii="Arial" w:cs="Arial" w:eastAsia="Arial" w:hAnsi="Arial"/>
                <w:sz w:val="12"/>
                <w:szCs w:val="12"/>
                <w:color w:val="auto"/>
              </w:rPr>
              <w:t>7,471,150</w:t>
            </w:r>
          </w:p>
        </w:tc>
        <w:tc>
          <w:tcPr>
            <w:tcW w:w="1100" w:type="dxa"/>
            <w:vAlign w:val="bottom"/>
            <w:tcBorders>
              <w:bottom w:val="single" w:sz="8" w:color="808080"/>
            </w:tcBorders>
          </w:tcPr>
          <w:p>
            <w:pPr>
              <w:jc w:val="right"/>
              <w:spacing w:after="0"/>
              <w:rPr>
                <w:sz w:val="20"/>
                <w:szCs w:val="20"/>
                <w:color w:val="auto"/>
              </w:rPr>
            </w:pPr>
            <w:r>
              <w:rPr>
                <w:rFonts w:ascii="Arial" w:cs="Arial" w:eastAsia="Arial" w:hAnsi="Arial"/>
                <w:sz w:val="12"/>
                <w:szCs w:val="12"/>
                <w:color w:val="auto"/>
              </w:rPr>
              <w:t>8,328,720</w:t>
            </w:r>
          </w:p>
        </w:tc>
        <w:tc>
          <w:tcPr>
            <w:tcW w:w="1120" w:type="dxa"/>
            <w:vAlign w:val="bottom"/>
            <w:tcBorders>
              <w:bottom w:val="single" w:sz="8" w:color="808080"/>
            </w:tcBorders>
            <w:gridSpan w:val="2"/>
          </w:tcPr>
          <w:p>
            <w:pPr>
              <w:jc w:val="right"/>
              <w:ind w:right="22"/>
              <w:spacing w:after="0"/>
              <w:rPr>
                <w:sz w:val="20"/>
                <w:szCs w:val="20"/>
                <w:color w:val="auto"/>
              </w:rPr>
            </w:pPr>
            <w:r>
              <w:rPr>
                <w:rFonts w:ascii="Arial" w:cs="Arial" w:eastAsia="Arial" w:hAnsi="Arial"/>
                <w:sz w:val="12"/>
                <w:szCs w:val="12"/>
                <w:color w:val="auto"/>
              </w:rPr>
              <w:t>95.40</w:t>
            </w:r>
          </w:p>
        </w:tc>
        <w:tc>
          <w:tcPr>
            <w:tcW w:w="1060" w:type="dxa"/>
            <w:vAlign w:val="bottom"/>
            <w:tcBorders>
              <w:bottom w:val="single" w:sz="8" w:color="808080"/>
            </w:tcBorders>
          </w:tcPr>
          <w:p>
            <w:pPr>
              <w:jc w:val="right"/>
              <w:spacing w:after="0"/>
              <w:rPr>
                <w:sz w:val="20"/>
                <w:szCs w:val="20"/>
                <w:color w:val="auto"/>
              </w:rPr>
            </w:pPr>
            <w:r>
              <w:rPr>
                <w:rFonts w:ascii="Arial" w:cs="Arial" w:eastAsia="Arial" w:hAnsi="Arial"/>
                <w:sz w:val="12"/>
                <w:szCs w:val="12"/>
                <w:color w:val="auto"/>
              </w:rPr>
              <w:t>82.72</w:t>
            </w:r>
          </w:p>
        </w:tc>
        <w:tc>
          <w:tcPr>
            <w:tcW w:w="300" w:type="dxa"/>
            <w:vAlign w:val="bottom"/>
            <w:tcBorders>
              <w:bottom w:val="single" w:sz="8" w:color="808080"/>
            </w:tcBorders>
          </w:tcPr>
          <w:p>
            <w:pPr>
              <w:spacing w:after="0"/>
              <w:rPr>
                <w:sz w:val="15"/>
                <w:szCs w:val="15"/>
                <w:color w:val="auto"/>
              </w:rPr>
            </w:pPr>
          </w:p>
        </w:tc>
        <w:tc>
          <w:tcPr>
            <w:tcW w:w="860" w:type="dxa"/>
            <w:vAlign w:val="bottom"/>
            <w:tcBorders>
              <w:bottom w:val="single" w:sz="8" w:color="808080"/>
            </w:tcBorders>
          </w:tcPr>
          <w:p>
            <w:pPr>
              <w:jc w:val="right"/>
              <w:ind w:right="42"/>
              <w:spacing w:after="0"/>
              <w:rPr>
                <w:sz w:val="20"/>
                <w:szCs w:val="20"/>
                <w:color w:val="auto"/>
              </w:rPr>
            </w:pPr>
            <w:r>
              <w:rPr>
                <w:rFonts w:ascii="Arial" w:cs="Arial" w:eastAsia="Arial" w:hAnsi="Arial"/>
                <w:sz w:val="12"/>
                <w:szCs w:val="12"/>
                <w:color w:val="auto"/>
              </w:rPr>
              <w:t>2,618</w:t>
            </w:r>
          </w:p>
        </w:tc>
        <w:tc>
          <w:tcPr>
            <w:tcW w:w="1280" w:type="dxa"/>
            <w:vAlign w:val="bottom"/>
            <w:tcBorders>
              <w:bottom w:val="single" w:sz="8" w:color="808080"/>
            </w:tcBorders>
          </w:tcPr>
          <w:p>
            <w:pPr>
              <w:jc w:val="right"/>
              <w:ind w:right="43"/>
              <w:spacing w:after="0"/>
              <w:rPr>
                <w:sz w:val="20"/>
                <w:szCs w:val="20"/>
                <w:color w:val="auto"/>
              </w:rPr>
            </w:pPr>
            <w:r>
              <w:rPr>
                <w:rFonts w:ascii="Arial" w:cs="Arial" w:eastAsia="Arial" w:hAnsi="Arial"/>
                <w:sz w:val="12"/>
                <w:szCs w:val="12"/>
                <w:color w:val="auto"/>
              </w:rPr>
              <w:t>10.05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80" w:type="dxa"/>
            <w:vAlign w:val="bottom"/>
            <w:tcBorders>
              <w:bottom w:val="single" w:sz="8" w:color="808080"/>
            </w:tcBorders>
          </w:tcPr>
          <w:p>
            <w:pPr>
              <w:ind w:left="120"/>
              <w:spacing w:after="0"/>
              <w:rPr>
                <w:sz w:val="20"/>
                <w:szCs w:val="20"/>
                <w:color w:val="auto"/>
              </w:rPr>
            </w:pPr>
            <w:r>
              <w:rPr>
                <w:rFonts w:ascii="Arial" w:cs="Arial" w:eastAsia="Arial" w:hAnsi="Arial"/>
                <w:sz w:val="12"/>
                <w:szCs w:val="12"/>
                <w:color w:val="auto"/>
              </w:rPr>
              <w:t>2022</w:t>
            </w:r>
          </w:p>
        </w:tc>
        <w:tc>
          <w:tcPr>
            <w:tcW w:w="1120" w:type="dxa"/>
            <w:vAlign w:val="bottom"/>
            <w:tcBorders>
              <w:bottom w:val="single" w:sz="8" w:color="808080"/>
            </w:tcBorders>
            <w:gridSpan w:val="2"/>
          </w:tcPr>
          <w:p>
            <w:pPr>
              <w:jc w:val="right"/>
              <w:spacing w:after="0"/>
              <w:rPr>
                <w:sz w:val="20"/>
                <w:szCs w:val="20"/>
                <w:color w:val="auto"/>
              </w:rPr>
            </w:pPr>
            <w:r>
              <w:rPr>
                <w:rFonts w:ascii="Arial" w:cs="Arial" w:eastAsia="Arial" w:hAnsi="Arial"/>
                <w:sz w:val="12"/>
                <w:szCs w:val="12"/>
                <w:color w:val="auto"/>
              </w:rPr>
              <w:t>9,796,602</w:t>
            </w:r>
          </w:p>
        </w:tc>
        <w:tc>
          <w:tcPr>
            <w:tcW w:w="1100" w:type="dxa"/>
            <w:vAlign w:val="bottom"/>
            <w:tcBorders>
              <w:bottom w:val="single" w:sz="8" w:color="808080"/>
            </w:tcBorders>
          </w:tcPr>
          <w:p>
            <w:pPr>
              <w:jc w:val="right"/>
              <w:spacing w:after="0"/>
              <w:rPr>
                <w:sz w:val="20"/>
                <w:szCs w:val="20"/>
                <w:color w:val="auto"/>
              </w:rPr>
            </w:pPr>
            <w:r>
              <w:rPr>
                <w:rFonts w:ascii="Arial" w:cs="Arial" w:eastAsia="Arial" w:hAnsi="Arial"/>
                <w:sz w:val="12"/>
                <w:szCs w:val="12"/>
                <w:color w:val="auto"/>
              </w:rPr>
              <w:t>9,915,781</w:t>
            </w:r>
          </w:p>
        </w:tc>
        <w:tc>
          <w:tcPr>
            <w:tcW w:w="220" w:type="dxa"/>
            <w:vAlign w:val="bottom"/>
            <w:tcBorders>
              <w:bottom w:val="single" w:sz="8" w:color="808080"/>
            </w:tcBorders>
          </w:tcPr>
          <w:p>
            <w:pPr>
              <w:spacing w:after="0"/>
              <w:rPr>
                <w:sz w:val="15"/>
                <w:szCs w:val="15"/>
                <w:color w:val="auto"/>
              </w:rPr>
            </w:pPr>
          </w:p>
        </w:tc>
        <w:tc>
          <w:tcPr>
            <w:tcW w:w="880" w:type="dxa"/>
            <w:vAlign w:val="bottom"/>
            <w:tcBorders>
              <w:bottom w:val="single" w:sz="8" w:color="808080"/>
            </w:tcBorders>
          </w:tcPr>
          <w:p>
            <w:pPr>
              <w:jc w:val="right"/>
              <w:spacing w:after="0"/>
              <w:rPr>
                <w:sz w:val="20"/>
                <w:szCs w:val="20"/>
                <w:color w:val="auto"/>
              </w:rPr>
            </w:pPr>
            <w:r>
              <w:rPr>
                <w:rFonts w:ascii="Arial" w:cs="Arial" w:eastAsia="Arial" w:hAnsi="Arial"/>
                <w:sz w:val="12"/>
                <w:szCs w:val="12"/>
                <w:color w:val="auto"/>
              </w:rPr>
              <w:t>2,942,377</w:t>
            </w:r>
          </w:p>
        </w:tc>
        <w:tc>
          <w:tcPr>
            <w:tcW w:w="1100" w:type="dxa"/>
            <w:vAlign w:val="bottom"/>
            <w:tcBorders>
              <w:bottom w:val="single" w:sz="8" w:color="808080"/>
            </w:tcBorders>
          </w:tcPr>
          <w:p>
            <w:pPr>
              <w:jc w:val="right"/>
              <w:spacing w:after="0"/>
              <w:rPr>
                <w:sz w:val="20"/>
                <w:szCs w:val="20"/>
                <w:color w:val="auto"/>
              </w:rPr>
            </w:pPr>
            <w:r>
              <w:rPr>
                <w:rFonts w:ascii="Arial" w:cs="Arial" w:eastAsia="Arial" w:hAnsi="Arial"/>
                <w:sz w:val="12"/>
                <w:szCs w:val="12"/>
                <w:color w:val="auto"/>
              </w:rPr>
              <w:t>3,414,487</w:t>
            </w:r>
          </w:p>
        </w:tc>
        <w:tc>
          <w:tcPr>
            <w:tcW w:w="1120" w:type="dxa"/>
            <w:vAlign w:val="bottom"/>
            <w:tcBorders>
              <w:bottom w:val="single" w:sz="8" w:color="808080"/>
            </w:tcBorders>
            <w:gridSpan w:val="2"/>
          </w:tcPr>
          <w:p>
            <w:pPr>
              <w:jc w:val="right"/>
              <w:ind w:right="22"/>
              <w:spacing w:after="0"/>
              <w:rPr>
                <w:sz w:val="20"/>
                <w:szCs w:val="20"/>
                <w:color w:val="auto"/>
              </w:rPr>
            </w:pPr>
            <w:r>
              <w:rPr>
                <w:rFonts w:ascii="Arial" w:cs="Arial" w:eastAsia="Arial" w:hAnsi="Arial"/>
                <w:sz w:val="12"/>
                <w:szCs w:val="12"/>
                <w:color w:val="auto"/>
              </w:rPr>
              <w:t>87.17</w:t>
            </w:r>
          </w:p>
        </w:tc>
        <w:tc>
          <w:tcPr>
            <w:tcW w:w="1060" w:type="dxa"/>
            <w:vAlign w:val="bottom"/>
            <w:tcBorders>
              <w:bottom w:val="single" w:sz="8" w:color="808080"/>
            </w:tcBorders>
          </w:tcPr>
          <w:p>
            <w:pPr>
              <w:jc w:val="right"/>
              <w:spacing w:after="0"/>
              <w:rPr>
                <w:sz w:val="20"/>
                <w:szCs w:val="20"/>
                <w:color w:val="auto"/>
              </w:rPr>
            </w:pPr>
            <w:r>
              <w:rPr>
                <w:rFonts w:ascii="Arial" w:cs="Arial" w:eastAsia="Arial" w:hAnsi="Arial"/>
                <w:sz w:val="12"/>
                <w:szCs w:val="12"/>
                <w:color w:val="auto"/>
              </w:rPr>
              <w:t>63.99</w:t>
            </w:r>
          </w:p>
        </w:tc>
        <w:tc>
          <w:tcPr>
            <w:tcW w:w="300" w:type="dxa"/>
            <w:vAlign w:val="bottom"/>
            <w:tcBorders>
              <w:bottom w:val="single" w:sz="8" w:color="808080"/>
            </w:tcBorders>
          </w:tcPr>
          <w:p>
            <w:pPr>
              <w:spacing w:after="0"/>
              <w:rPr>
                <w:sz w:val="15"/>
                <w:szCs w:val="15"/>
                <w:color w:val="auto"/>
              </w:rPr>
            </w:pPr>
          </w:p>
        </w:tc>
        <w:tc>
          <w:tcPr>
            <w:tcW w:w="860" w:type="dxa"/>
            <w:vAlign w:val="bottom"/>
            <w:tcBorders>
              <w:bottom w:val="single" w:sz="8" w:color="808080"/>
            </w:tcBorders>
          </w:tcPr>
          <w:p>
            <w:pPr>
              <w:jc w:val="right"/>
              <w:ind w:right="42"/>
              <w:spacing w:after="0"/>
              <w:rPr>
                <w:sz w:val="20"/>
                <w:szCs w:val="20"/>
                <w:color w:val="auto"/>
              </w:rPr>
            </w:pPr>
            <w:r>
              <w:rPr>
                <w:rFonts w:ascii="Arial" w:cs="Arial" w:eastAsia="Arial" w:hAnsi="Arial"/>
                <w:sz w:val="12"/>
                <w:szCs w:val="12"/>
                <w:color w:val="auto"/>
              </w:rPr>
              <w:t>737</w:t>
            </w:r>
          </w:p>
        </w:tc>
        <w:tc>
          <w:tcPr>
            <w:tcW w:w="1280" w:type="dxa"/>
            <w:vAlign w:val="bottom"/>
            <w:tcBorders>
              <w:bottom w:val="single" w:sz="8" w:color="808080"/>
            </w:tcBorders>
          </w:tcPr>
          <w:p>
            <w:pPr>
              <w:jc w:val="right"/>
              <w:ind w:right="43"/>
              <w:spacing w:after="0"/>
              <w:rPr>
                <w:sz w:val="20"/>
                <w:szCs w:val="20"/>
                <w:color w:val="auto"/>
              </w:rPr>
            </w:pPr>
            <w:r>
              <w:rPr>
                <w:rFonts w:ascii="Arial" w:cs="Arial" w:eastAsia="Arial" w:hAnsi="Arial"/>
                <w:sz w:val="12"/>
                <w:szCs w:val="12"/>
                <w:color w:val="auto"/>
              </w:rPr>
              <w:t>2.52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80" w:type="dxa"/>
            <w:vAlign w:val="bottom"/>
            <w:tcBorders>
              <w:bottom w:val="single" w:sz="8" w:color="808080"/>
            </w:tcBorders>
          </w:tcPr>
          <w:p>
            <w:pPr>
              <w:ind w:left="120"/>
              <w:spacing w:after="0"/>
              <w:rPr>
                <w:sz w:val="20"/>
                <w:szCs w:val="20"/>
                <w:color w:val="auto"/>
              </w:rPr>
            </w:pPr>
            <w:r>
              <w:rPr>
                <w:rFonts w:ascii="Arial" w:cs="Arial" w:eastAsia="Arial" w:hAnsi="Arial"/>
                <w:sz w:val="12"/>
                <w:szCs w:val="12"/>
                <w:color w:val="auto"/>
              </w:rPr>
              <w:t>2021</w:t>
            </w:r>
          </w:p>
        </w:tc>
        <w:tc>
          <w:tcPr>
            <w:tcW w:w="1120" w:type="dxa"/>
            <w:vAlign w:val="bottom"/>
            <w:tcBorders>
              <w:bottom w:val="single" w:sz="8" w:color="808080"/>
            </w:tcBorders>
            <w:gridSpan w:val="2"/>
          </w:tcPr>
          <w:p>
            <w:pPr>
              <w:jc w:val="right"/>
              <w:spacing w:after="0"/>
              <w:rPr>
                <w:sz w:val="20"/>
                <w:szCs w:val="20"/>
                <w:color w:val="auto"/>
              </w:rPr>
            </w:pPr>
            <w:r>
              <w:rPr>
                <w:rFonts w:ascii="Arial" w:cs="Arial" w:eastAsia="Arial" w:hAnsi="Arial"/>
                <w:sz w:val="12"/>
                <w:szCs w:val="12"/>
                <w:color w:val="auto"/>
              </w:rPr>
              <w:t>9,845,064</w:t>
            </w:r>
          </w:p>
        </w:tc>
        <w:tc>
          <w:tcPr>
            <w:tcW w:w="1100" w:type="dxa"/>
            <w:vAlign w:val="bottom"/>
            <w:tcBorders>
              <w:bottom w:val="single" w:sz="8" w:color="808080"/>
            </w:tcBorders>
          </w:tcPr>
          <w:p>
            <w:pPr>
              <w:jc w:val="right"/>
              <w:spacing w:after="0"/>
              <w:rPr>
                <w:sz w:val="20"/>
                <w:szCs w:val="20"/>
                <w:color w:val="auto"/>
              </w:rPr>
            </w:pPr>
            <w:r>
              <w:rPr>
                <w:rFonts w:ascii="Arial" w:cs="Arial" w:eastAsia="Arial" w:hAnsi="Arial"/>
                <w:sz w:val="12"/>
                <w:szCs w:val="12"/>
                <w:color w:val="auto"/>
              </w:rPr>
              <w:t>11,099,444</w:t>
            </w:r>
          </w:p>
        </w:tc>
        <w:tc>
          <w:tcPr>
            <w:tcW w:w="220" w:type="dxa"/>
            <w:vAlign w:val="bottom"/>
            <w:tcBorders>
              <w:bottom w:val="single" w:sz="8" w:color="808080"/>
            </w:tcBorders>
          </w:tcPr>
          <w:p>
            <w:pPr>
              <w:spacing w:after="0"/>
              <w:rPr>
                <w:sz w:val="15"/>
                <w:szCs w:val="15"/>
                <w:color w:val="auto"/>
              </w:rPr>
            </w:pPr>
          </w:p>
        </w:tc>
        <w:tc>
          <w:tcPr>
            <w:tcW w:w="880" w:type="dxa"/>
            <w:vAlign w:val="bottom"/>
            <w:tcBorders>
              <w:bottom w:val="single" w:sz="8" w:color="808080"/>
            </w:tcBorders>
          </w:tcPr>
          <w:p>
            <w:pPr>
              <w:jc w:val="right"/>
              <w:spacing w:after="0"/>
              <w:rPr>
                <w:sz w:val="20"/>
                <w:szCs w:val="20"/>
                <w:color w:val="auto"/>
              </w:rPr>
            </w:pPr>
            <w:r>
              <w:rPr>
                <w:rFonts w:ascii="Arial" w:cs="Arial" w:eastAsia="Arial" w:hAnsi="Arial"/>
                <w:sz w:val="12"/>
                <w:szCs w:val="12"/>
                <w:color w:val="auto"/>
              </w:rPr>
              <w:t>3,220,759</w:t>
            </w:r>
          </w:p>
        </w:tc>
        <w:tc>
          <w:tcPr>
            <w:tcW w:w="1100" w:type="dxa"/>
            <w:vAlign w:val="bottom"/>
            <w:tcBorders>
              <w:bottom w:val="single" w:sz="8" w:color="808080"/>
            </w:tcBorders>
          </w:tcPr>
          <w:p>
            <w:pPr>
              <w:jc w:val="right"/>
              <w:spacing w:after="0"/>
              <w:rPr>
                <w:sz w:val="20"/>
                <w:szCs w:val="20"/>
                <w:color w:val="auto"/>
              </w:rPr>
            </w:pPr>
            <w:r>
              <w:rPr>
                <w:rFonts w:ascii="Arial" w:cs="Arial" w:eastAsia="Arial" w:hAnsi="Arial"/>
                <w:sz w:val="12"/>
                <w:szCs w:val="12"/>
                <w:color w:val="auto"/>
              </w:rPr>
              <w:t>4,011,244</w:t>
            </w:r>
          </w:p>
        </w:tc>
        <w:tc>
          <w:tcPr>
            <w:tcW w:w="1120" w:type="dxa"/>
            <w:vAlign w:val="bottom"/>
            <w:tcBorders>
              <w:bottom w:val="single" w:sz="8" w:color="808080"/>
            </w:tcBorders>
            <w:gridSpan w:val="2"/>
          </w:tcPr>
          <w:p>
            <w:pPr>
              <w:jc w:val="right"/>
              <w:ind w:right="22"/>
              <w:spacing w:after="0"/>
              <w:rPr>
                <w:sz w:val="20"/>
                <w:szCs w:val="20"/>
                <w:color w:val="auto"/>
              </w:rPr>
            </w:pPr>
            <w:r>
              <w:rPr>
                <w:rFonts w:ascii="Arial" w:cs="Arial" w:eastAsia="Arial" w:hAnsi="Arial"/>
                <w:sz w:val="12"/>
                <w:szCs w:val="12"/>
                <w:color w:val="auto"/>
              </w:rPr>
              <w:t>101.23</w:t>
            </w:r>
          </w:p>
        </w:tc>
        <w:tc>
          <w:tcPr>
            <w:tcW w:w="1060" w:type="dxa"/>
            <w:vAlign w:val="bottom"/>
            <w:tcBorders>
              <w:bottom w:val="single" w:sz="8" w:color="808080"/>
            </w:tcBorders>
          </w:tcPr>
          <w:p>
            <w:pPr>
              <w:jc w:val="right"/>
              <w:spacing w:after="0"/>
              <w:rPr>
                <w:sz w:val="20"/>
                <w:szCs w:val="20"/>
                <w:color w:val="auto"/>
              </w:rPr>
            </w:pPr>
            <w:r>
              <w:rPr>
                <w:rFonts w:ascii="Arial" w:cs="Arial" w:eastAsia="Arial" w:hAnsi="Arial"/>
                <w:sz w:val="12"/>
                <w:szCs w:val="12"/>
                <w:color w:val="auto"/>
              </w:rPr>
              <w:t>98.25</w:t>
            </w:r>
          </w:p>
        </w:tc>
        <w:tc>
          <w:tcPr>
            <w:tcW w:w="300" w:type="dxa"/>
            <w:vAlign w:val="bottom"/>
            <w:tcBorders>
              <w:bottom w:val="single" w:sz="8" w:color="808080"/>
            </w:tcBorders>
          </w:tcPr>
          <w:p>
            <w:pPr>
              <w:spacing w:after="0"/>
              <w:rPr>
                <w:sz w:val="15"/>
                <w:szCs w:val="15"/>
                <w:color w:val="auto"/>
              </w:rPr>
            </w:pPr>
          </w:p>
        </w:tc>
        <w:tc>
          <w:tcPr>
            <w:tcW w:w="860" w:type="dxa"/>
            <w:vAlign w:val="bottom"/>
            <w:tcBorders>
              <w:bottom w:val="single" w:sz="8" w:color="808080"/>
            </w:tcBorders>
          </w:tcPr>
          <w:p>
            <w:pPr>
              <w:jc w:val="right"/>
              <w:ind w:right="2"/>
              <w:spacing w:after="0"/>
              <w:rPr>
                <w:sz w:val="20"/>
                <w:szCs w:val="20"/>
                <w:color w:val="auto"/>
              </w:rPr>
            </w:pPr>
            <w:r>
              <w:rPr>
                <w:rFonts w:ascii="Arial" w:cs="Arial" w:eastAsia="Arial" w:hAnsi="Arial"/>
                <w:sz w:val="12"/>
                <w:szCs w:val="12"/>
                <w:color w:val="auto"/>
              </w:rPr>
              <w:t>(1,964)</w:t>
            </w:r>
          </w:p>
        </w:tc>
        <w:tc>
          <w:tcPr>
            <w:tcW w:w="1280" w:type="dxa"/>
            <w:vAlign w:val="bottom"/>
            <w:tcBorders>
              <w:bottom w:val="single" w:sz="8" w:color="808080"/>
            </w:tcBorders>
          </w:tcPr>
          <w:p>
            <w:pPr>
              <w:jc w:val="right"/>
              <w:ind w:right="3"/>
              <w:spacing w:after="0"/>
              <w:rPr>
                <w:sz w:val="20"/>
                <w:szCs w:val="20"/>
                <w:color w:val="auto"/>
              </w:rPr>
            </w:pPr>
            <w:r>
              <w:rPr>
                <w:rFonts w:ascii="Arial" w:cs="Arial" w:eastAsia="Arial" w:hAnsi="Arial"/>
                <w:sz w:val="12"/>
                <w:szCs w:val="12"/>
                <w:color w:val="auto"/>
              </w:rPr>
              <w:t>(13.94)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320" w:hanging="316"/>
        <w:spacing w:after="0"/>
        <w:tabs>
          <w:tab w:leader="none" w:pos="320" w:val="left"/>
        </w:tabs>
        <w:numPr>
          <w:ilvl w:val="0"/>
          <w:numId w:val="156"/>
        </w:numPr>
        <w:rPr>
          <w:rFonts w:ascii="Arial" w:cs="Arial" w:eastAsia="Arial" w:hAnsi="Arial"/>
          <w:sz w:val="22"/>
          <w:szCs w:val="22"/>
          <w:color w:val="auto"/>
          <w:vertAlign w:val="superscript"/>
        </w:rPr>
      </w:pPr>
      <w:r>
        <w:rPr>
          <w:rFonts w:ascii="Arial" w:cs="Arial" w:eastAsia="Arial" w:hAnsi="Arial"/>
          <w:sz w:val="14"/>
          <w:szCs w:val="14"/>
          <w:color w:val="auto"/>
        </w:rPr>
        <w:t>The  Principal  Executive  Ofcer  (“PEO”)  and  NEOs  for  the  applicable  years  were  as  follows:</w:t>
      </w:r>
    </w:p>
    <w:p>
      <w:pPr>
        <w:spacing w:after="0" w:line="183" w:lineRule="exact"/>
        <w:rPr>
          <w:rFonts w:ascii="Arial" w:cs="Arial" w:eastAsia="Arial" w:hAnsi="Arial"/>
          <w:sz w:val="22"/>
          <w:szCs w:val="22"/>
          <w:color w:val="auto"/>
          <w:vertAlign w:val="superscript"/>
        </w:rPr>
      </w:pPr>
    </w:p>
    <w:p>
      <w:pPr>
        <w:ind w:left="320" w:right="300"/>
        <w:spacing w:after="0" w:line="311" w:lineRule="auto"/>
        <w:rPr>
          <w:rFonts w:ascii="Arial" w:cs="Arial" w:eastAsia="Arial" w:hAnsi="Arial"/>
          <w:sz w:val="22"/>
          <w:szCs w:val="22"/>
          <w:color w:val="auto"/>
          <w:vertAlign w:val="superscript"/>
        </w:rPr>
      </w:pPr>
      <w:r>
        <w:rPr>
          <w:rFonts w:ascii="Arial" w:cs="Arial" w:eastAsia="Arial" w:hAnsi="Arial"/>
          <w:sz w:val="14"/>
          <w:szCs w:val="14"/>
          <w:b w:val="1"/>
          <w:bCs w:val="1"/>
          <w:i w:val="1"/>
          <w:iCs w:val="1"/>
          <w:u w:val="single" w:color="auto"/>
          <w:color w:val="auto"/>
        </w:rPr>
        <w:t>2025:</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Scott Kirby served as the Company's PEO and the Company's other NEOs were: Michael Leskinen, Brett Hart, Torbjorn Enqvist and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Andrew Nocella.</w:t>
      </w:r>
    </w:p>
    <w:p>
      <w:pPr>
        <w:spacing w:after="0" w:line="28" w:lineRule="exact"/>
        <w:rPr>
          <w:rFonts w:ascii="Arial" w:cs="Arial" w:eastAsia="Arial" w:hAnsi="Arial"/>
          <w:sz w:val="22"/>
          <w:szCs w:val="22"/>
          <w:color w:val="auto"/>
          <w:vertAlign w:val="superscript"/>
        </w:rPr>
      </w:pPr>
    </w:p>
    <w:p>
      <w:pPr>
        <w:ind w:left="320" w:right="300"/>
        <w:spacing w:after="0" w:line="331" w:lineRule="auto"/>
        <w:rPr>
          <w:rFonts w:ascii="Arial" w:cs="Arial" w:eastAsia="Arial" w:hAnsi="Arial"/>
          <w:sz w:val="22"/>
          <w:szCs w:val="22"/>
          <w:color w:val="auto"/>
          <w:vertAlign w:val="superscript"/>
        </w:rPr>
      </w:pPr>
      <w:r>
        <w:rPr>
          <w:rFonts w:ascii="Arial" w:cs="Arial" w:eastAsia="Arial" w:hAnsi="Arial"/>
          <w:sz w:val="14"/>
          <w:szCs w:val="14"/>
          <w:b w:val="1"/>
          <w:bCs w:val="1"/>
          <w:i w:val="1"/>
          <w:iCs w:val="1"/>
          <w:u w:val="single" w:color="auto"/>
          <w:color w:val="auto"/>
        </w:rPr>
        <w:t>2024:</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Scott Kirby served as the Company's PEO and the Company's other NEOs were: Michael Leskinen, Brett Hart, Torbjorn Enqvist and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Andrew Nocella.</w:t>
      </w:r>
    </w:p>
    <w:p>
      <w:pPr>
        <w:spacing w:after="0" w:line="1" w:lineRule="exact"/>
        <w:rPr>
          <w:rFonts w:ascii="Arial" w:cs="Arial" w:eastAsia="Arial" w:hAnsi="Arial"/>
          <w:sz w:val="22"/>
          <w:szCs w:val="22"/>
          <w:color w:val="auto"/>
          <w:vertAlign w:val="superscript"/>
        </w:rPr>
      </w:pPr>
    </w:p>
    <w:p>
      <w:pPr>
        <w:ind w:left="320" w:right="140"/>
        <w:spacing w:after="0" w:line="331" w:lineRule="auto"/>
        <w:rPr>
          <w:rFonts w:ascii="Arial" w:cs="Arial" w:eastAsia="Arial" w:hAnsi="Arial"/>
          <w:sz w:val="22"/>
          <w:szCs w:val="22"/>
          <w:color w:val="auto"/>
          <w:vertAlign w:val="superscript"/>
        </w:rPr>
      </w:pPr>
      <w:r>
        <w:rPr>
          <w:rFonts w:ascii="Arial" w:cs="Arial" w:eastAsia="Arial" w:hAnsi="Arial"/>
          <w:sz w:val="14"/>
          <w:szCs w:val="14"/>
          <w:b w:val="1"/>
          <w:bCs w:val="1"/>
          <w:i w:val="1"/>
          <w:iCs w:val="1"/>
          <w:u w:val="single" w:color="auto"/>
          <w:color w:val="auto"/>
        </w:rPr>
        <w:t>2023:</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Scott Kirby served as the Company's PEO and the Company's other NEOs were: Michael Leskinen, Brett Hart, Torbjorn Enqvist, Linda</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Jojo, Gerald Laderman and Gregory Hart.</w:t>
      </w:r>
    </w:p>
    <w:p>
      <w:pPr>
        <w:spacing w:after="0" w:line="14" w:lineRule="exact"/>
        <w:rPr>
          <w:rFonts w:ascii="Arial" w:cs="Arial" w:eastAsia="Arial" w:hAnsi="Arial"/>
          <w:sz w:val="22"/>
          <w:szCs w:val="22"/>
          <w:color w:val="auto"/>
          <w:vertAlign w:val="superscript"/>
        </w:rPr>
      </w:pPr>
    </w:p>
    <w:p>
      <w:pPr>
        <w:ind w:left="320" w:right="400"/>
        <w:spacing w:after="0" w:line="311" w:lineRule="auto"/>
        <w:rPr>
          <w:rFonts w:ascii="Arial" w:cs="Arial" w:eastAsia="Arial" w:hAnsi="Arial"/>
          <w:sz w:val="22"/>
          <w:szCs w:val="22"/>
          <w:color w:val="auto"/>
          <w:vertAlign w:val="superscript"/>
        </w:rPr>
      </w:pPr>
      <w:r>
        <w:rPr>
          <w:rFonts w:ascii="Arial" w:cs="Arial" w:eastAsia="Arial" w:hAnsi="Arial"/>
          <w:sz w:val="14"/>
          <w:szCs w:val="14"/>
          <w:b w:val="1"/>
          <w:bCs w:val="1"/>
          <w:i w:val="1"/>
          <w:iCs w:val="1"/>
          <w:u w:val="single" w:color="auto"/>
          <w:color w:val="auto"/>
        </w:rPr>
        <w:t>2022:</w:t>
      </w:r>
      <w:r>
        <w:rPr>
          <w:rFonts w:ascii="Arial" w:cs="Arial" w:eastAsia="Arial" w:hAnsi="Arial"/>
          <w:sz w:val="14"/>
          <w:szCs w:val="14"/>
          <w:color w:val="auto"/>
        </w:rPr>
        <w:t> Scott Kirby served as the Company’s PEO and the Company’s other NEOs were: Brett Hart, Gregory Hart, Gerald Laderman and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Linda Jojo.</w:t>
      </w:r>
    </w:p>
    <w:p>
      <w:pPr>
        <w:spacing w:after="0" w:line="28" w:lineRule="exact"/>
        <w:rPr>
          <w:rFonts w:ascii="Arial" w:cs="Arial" w:eastAsia="Arial" w:hAnsi="Arial"/>
          <w:sz w:val="22"/>
          <w:szCs w:val="22"/>
          <w:color w:val="auto"/>
          <w:vertAlign w:val="superscript"/>
        </w:rPr>
      </w:pPr>
    </w:p>
    <w:p>
      <w:pPr>
        <w:ind w:left="320" w:right="80"/>
        <w:spacing w:after="0" w:line="331" w:lineRule="auto"/>
        <w:rPr>
          <w:rFonts w:ascii="Arial" w:cs="Arial" w:eastAsia="Arial" w:hAnsi="Arial"/>
          <w:sz w:val="22"/>
          <w:szCs w:val="22"/>
          <w:color w:val="auto"/>
          <w:vertAlign w:val="superscript"/>
        </w:rPr>
      </w:pPr>
      <w:r>
        <w:rPr>
          <w:rFonts w:ascii="Arial" w:cs="Arial" w:eastAsia="Arial" w:hAnsi="Arial"/>
          <w:sz w:val="14"/>
          <w:szCs w:val="14"/>
          <w:b w:val="1"/>
          <w:bCs w:val="1"/>
          <w:i w:val="1"/>
          <w:iCs w:val="1"/>
          <w:u w:val="single" w:color="auto"/>
          <w:color w:val="auto"/>
        </w:rPr>
        <w:t>2021:</w:t>
      </w:r>
      <w:r>
        <w:rPr>
          <w:rFonts w:ascii="Arial" w:cs="Arial" w:eastAsia="Arial" w:hAnsi="Arial"/>
          <w:sz w:val="14"/>
          <w:szCs w:val="14"/>
          <w:color w:val="auto"/>
        </w:rPr>
        <w:t> Scott Kirby served as the Company’s PEO and the Company’s other NEOs were: Brett Hart, Gerald Laderman, Linda Jojo and Andrew</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Nocella.</w:t>
      </w:r>
    </w:p>
    <w:p>
      <w:pPr>
        <w:spacing w:after="0" w:line="109" w:lineRule="exact"/>
        <w:rPr>
          <w:rFonts w:ascii="Arial" w:cs="Arial" w:eastAsia="Arial" w:hAnsi="Arial"/>
          <w:sz w:val="22"/>
          <w:szCs w:val="22"/>
          <w:color w:val="auto"/>
          <w:vertAlign w:val="superscript"/>
        </w:rPr>
      </w:pPr>
    </w:p>
    <w:p>
      <w:pPr>
        <w:ind w:left="320" w:right="220" w:hanging="316"/>
        <w:spacing w:after="0" w:line="233" w:lineRule="auto"/>
        <w:tabs>
          <w:tab w:leader="none" w:pos="320" w:val="left"/>
        </w:tabs>
        <w:numPr>
          <w:ilvl w:val="0"/>
          <w:numId w:val="156"/>
        </w:numPr>
        <w:rPr>
          <w:rFonts w:ascii="Arial" w:cs="Arial" w:eastAsia="Arial" w:hAnsi="Arial"/>
          <w:sz w:val="22"/>
          <w:szCs w:val="22"/>
          <w:color w:val="auto"/>
          <w:vertAlign w:val="superscript"/>
        </w:rPr>
      </w:pPr>
      <w:r>
        <w:rPr>
          <w:rFonts w:ascii="Arial" w:cs="Arial" w:eastAsia="Arial" w:hAnsi="Arial"/>
          <w:sz w:val="14"/>
          <w:szCs w:val="14"/>
          <w:color w:val="auto"/>
        </w:rPr>
        <w:t>Amounts reported in this column represent (i) the total compensation reported in the Summary Compensation Table for the applicable year for Mr. Kirby and (ii) the average of the total compensation reported in the Summary Compensation Table for the applicable year for the Company’s non-PEO NEOs for the applicable year.</w:t>
      </w:r>
    </w:p>
    <w:p>
      <w:pPr>
        <w:spacing w:after="0" w:line="170" w:lineRule="exact"/>
        <w:rPr>
          <w:rFonts w:ascii="Arial" w:cs="Arial" w:eastAsia="Arial" w:hAnsi="Arial"/>
          <w:sz w:val="22"/>
          <w:szCs w:val="22"/>
          <w:color w:val="auto"/>
          <w:vertAlign w:val="superscript"/>
        </w:rPr>
      </w:pPr>
    </w:p>
    <w:p>
      <w:pPr>
        <w:ind w:left="320" w:right="260" w:hanging="316"/>
        <w:spacing w:after="0" w:line="233" w:lineRule="auto"/>
        <w:tabs>
          <w:tab w:leader="none" w:pos="320" w:val="left"/>
        </w:tabs>
        <w:numPr>
          <w:ilvl w:val="0"/>
          <w:numId w:val="156"/>
        </w:numPr>
        <w:rPr>
          <w:rFonts w:ascii="Arial" w:cs="Arial" w:eastAsia="Arial" w:hAnsi="Arial"/>
          <w:sz w:val="22"/>
          <w:szCs w:val="22"/>
          <w:color w:val="auto"/>
          <w:vertAlign w:val="superscript"/>
        </w:rPr>
      </w:pPr>
      <w:r>
        <w:rPr>
          <w:rFonts w:ascii="Arial" w:cs="Arial" w:eastAsia="Arial" w:hAnsi="Arial"/>
          <w:sz w:val="14"/>
          <w:szCs w:val="14"/>
          <w:color w:val="auto"/>
        </w:rPr>
        <w:t>To calculate the compensation actually paid (“CAP”) as required under SEC disclosure rules, adjustments were made to the amounts reported in the Summary Compensation Table for the applicable year. A reconciliation of the adjustments for each person who served as PEO during the covered period and for the average of the non-PEO NEOs is set forth following the footnotes to this table.</w:t>
      </w:r>
    </w:p>
    <w:p>
      <w:pPr>
        <w:spacing w:after="0" w:line="170" w:lineRule="exact"/>
        <w:rPr>
          <w:rFonts w:ascii="Arial" w:cs="Arial" w:eastAsia="Arial" w:hAnsi="Arial"/>
          <w:sz w:val="22"/>
          <w:szCs w:val="22"/>
          <w:color w:val="auto"/>
          <w:vertAlign w:val="superscript"/>
        </w:rPr>
      </w:pPr>
    </w:p>
    <w:p>
      <w:pPr>
        <w:ind w:left="320" w:right="260" w:hanging="316"/>
        <w:spacing w:after="0" w:line="222" w:lineRule="auto"/>
        <w:tabs>
          <w:tab w:leader="none" w:pos="320" w:val="left"/>
        </w:tabs>
        <w:numPr>
          <w:ilvl w:val="0"/>
          <w:numId w:val="156"/>
        </w:numPr>
        <w:rPr>
          <w:rFonts w:ascii="Arial" w:cs="Arial" w:eastAsia="Arial" w:hAnsi="Arial"/>
          <w:sz w:val="22"/>
          <w:szCs w:val="22"/>
          <w:color w:val="auto"/>
          <w:vertAlign w:val="superscript"/>
        </w:rPr>
      </w:pPr>
      <w:r>
        <w:rPr>
          <w:rFonts w:ascii="Arial" w:cs="Arial" w:eastAsia="Arial" w:hAnsi="Arial"/>
          <w:sz w:val="14"/>
          <w:szCs w:val="14"/>
          <w:color w:val="auto"/>
        </w:rPr>
        <w:t>Pursuant to rules of the SEC, the comparison assumes $100 was invested on December 31, 2020. Historic stock price performance is not necessarily indicative of future stock price performance.</w:t>
      </w:r>
    </w:p>
    <w:p>
      <w:pPr>
        <w:spacing w:after="0" w:line="170" w:lineRule="exact"/>
        <w:rPr>
          <w:rFonts w:ascii="Arial" w:cs="Arial" w:eastAsia="Arial" w:hAnsi="Arial"/>
          <w:sz w:val="22"/>
          <w:szCs w:val="22"/>
          <w:color w:val="auto"/>
          <w:vertAlign w:val="superscript"/>
        </w:rPr>
      </w:pPr>
    </w:p>
    <w:p>
      <w:pPr>
        <w:ind w:left="320" w:right="580" w:hanging="316"/>
        <w:spacing w:after="0" w:line="222" w:lineRule="auto"/>
        <w:tabs>
          <w:tab w:leader="none" w:pos="320" w:val="left"/>
        </w:tabs>
        <w:numPr>
          <w:ilvl w:val="0"/>
          <w:numId w:val="156"/>
        </w:numPr>
        <w:rPr>
          <w:rFonts w:ascii="Arial" w:cs="Arial" w:eastAsia="Arial" w:hAnsi="Arial"/>
          <w:sz w:val="22"/>
          <w:szCs w:val="22"/>
          <w:color w:val="auto"/>
          <w:vertAlign w:val="superscript"/>
        </w:rPr>
      </w:pPr>
      <w:r>
        <w:rPr>
          <w:rFonts w:ascii="Arial" w:cs="Arial" w:eastAsia="Arial" w:hAnsi="Arial"/>
          <w:sz w:val="14"/>
          <w:szCs w:val="14"/>
          <w:color w:val="auto"/>
        </w:rPr>
        <w:t>The TSR Peer Group consists of the NYSE Arca Airline Index, an independently prepared index that includes companies in the airline industry and which is used for the stock performance graph in the Company’s 2025 Annual Report on Form 10-K.</w:t>
      </w:r>
    </w:p>
    <w:p>
      <w:pPr>
        <w:spacing w:after="0" w:line="170" w:lineRule="exact"/>
        <w:rPr>
          <w:rFonts w:ascii="Arial" w:cs="Arial" w:eastAsia="Arial" w:hAnsi="Arial"/>
          <w:sz w:val="22"/>
          <w:szCs w:val="22"/>
          <w:color w:val="auto"/>
          <w:vertAlign w:val="superscript"/>
        </w:rPr>
      </w:pPr>
    </w:p>
    <w:p>
      <w:pPr>
        <w:jc w:val="both"/>
        <w:ind w:left="320" w:right="60" w:hanging="316"/>
        <w:spacing w:after="0" w:line="235" w:lineRule="auto"/>
        <w:tabs>
          <w:tab w:leader="none" w:pos="320" w:val="left"/>
        </w:tabs>
        <w:numPr>
          <w:ilvl w:val="0"/>
          <w:numId w:val="156"/>
        </w:numPr>
        <w:rPr>
          <w:rFonts w:ascii="Arial" w:cs="Arial" w:eastAsia="Arial" w:hAnsi="Arial"/>
          <w:sz w:val="22"/>
          <w:szCs w:val="22"/>
          <w:color w:val="auto"/>
          <w:vertAlign w:val="superscript"/>
        </w:rPr>
      </w:pPr>
      <w:r>
        <w:rPr>
          <w:rFonts w:ascii="Arial" w:cs="Arial" w:eastAsia="Arial" w:hAnsi="Arial"/>
          <w:sz w:val="14"/>
          <w:szCs w:val="14"/>
          <w:color w:val="auto"/>
        </w:rPr>
        <w:t xml:space="preserve">The Committee selected absolute Adjusted EPS as its Company-Selected Measure, because, in the Company’s assessment, it represents the most important fnancial performance measure used by the Company to link compensation actually paid to the NEOs for 2025 to Company performance. </w:t>
      </w:r>
      <w:r>
        <w:rPr>
          <w:rFonts w:ascii="Arial" w:cs="Arial" w:eastAsia="Arial" w:hAnsi="Arial"/>
          <w:sz w:val="14"/>
          <w:szCs w:val="14"/>
          <w:color w:val="auto"/>
          <w:highlight w:val="white"/>
        </w:rPr>
        <w:t>Adjusted EPS is a measure that is not calculated in accordance with GAAP. Please refer to Appendix A for additional information and</w:t>
      </w:r>
      <w:r>
        <w:rPr>
          <w:rFonts w:ascii="Arial" w:cs="Arial" w:eastAsia="Arial" w:hAnsi="Arial"/>
          <w:sz w:val="14"/>
          <w:szCs w:val="14"/>
          <w:color w:val="auto"/>
        </w:rPr>
        <w:t xml:space="preserve"> </w:t>
      </w:r>
      <w:r>
        <w:rPr>
          <w:rFonts w:ascii="Arial" w:cs="Arial" w:eastAsia="Arial" w:hAnsi="Arial"/>
          <w:sz w:val="14"/>
          <w:szCs w:val="14"/>
          <w:color w:val="auto"/>
          <w:highlight w:val="white"/>
        </w:rPr>
        <w:t>a reconciliation of Adjusted EPS to the most directly comparable GAAP fnancial measure.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2026  Proxy  Statement</w:t>
      </w:r>
    </w:p>
    <w:p>
      <w:pPr>
        <w:spacing w:after="0" w:line="167" w:lineRule="exact"/>
        <w:rPr>
          <w:sz w:val="20"/>
          <w:szCs w:val="20"/>
          <w:color w:val="auto"/>
        </w:rPr>
      </w:pPr>
    </w:p>
    <w:p>
      <w:pPr>
        <w:jc w:val="right"/>
        <w:ind w:right="40"/>
        <w:spacing w:after="0"/>
        <w:rPr>
          <w:sz w:val="20"/>
          <w:szCs w:val="20"/>
          <w:color w:val="auto"/>
        </w:rPr>
      </w:pPr>
      <w:r>
        <w:rPr>
          <w:rFonts w:ascii="Arial" w:cs="Arial" w:eastAsia="Arial" w:hAnsi="Arial"/>
          <w:sz w:val="16"/>
          <w:szCs w:val="16"/>
          <w:b w:val="1"/>
          <w:bCs w:val="1"/>
          <w:color w:val="1414D2"/>
        </w:rPr>
        <w:t>129</w:t>
      </w:r>
    </w:p>
    <w:p>
      <w:pPr>
        <w:sectPr>
          <w:pgSz w:w="11900" w:h="16838" w:orient="portrait"/>
          <w:cols w:equalWidth="0" w:num="1">
            <w:col w:w="9760"/>
          </w:cols>
          <w:pgMar w:left="1080" w:top="695" w:right="1059" w:bottom="1440" w:gutter="0" w:footer="0" w:header="0"/>
        </w:sectPr>
      </w:pPr>
    </w:p>
    <w:bookmarkStart w:id="140" w:name="page141"/>
    <w:bookmarkEnd w:id="140"/>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6D6F71"/>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RECONCILIATION OF CAP ADJUSTMENTS</w:t>
      </w:r>
    </w:p>
    <w:p>
      <w:pPr>
        <w:spacing w:after="0" w:line="192" w:lineRule="exact"/>
        <w:rPr>
          <w:sz w:val="20"/>
          <w:szCs w:val="20"/>
          <w:color w:val="auto"/>
        </w:rPr>
      </w:pPr>
    </w:p>
    <w:p>
      <w:pPr>
        <w:jc w:val="center"/>
        <w:ind w:right="40"/>
        <w:spacing w:after="0"/>
        <w:rPr>
          <w:sz w:val="20"/>
          <w:szCs w:val="20"/>
          <w:color w:val="auto"/>
        </w:rPr>
      </w:pPr>
      <w:r>
        <w:rPr>
          <w:rFonts w:ascii="Arial" w:cs="Arial" w:eastAsia="Arial" w:hAnsi="Arial"/>
          <w:sz w:val="13"/>
          <w:szCs w:val="13"/>
          <w:b w:val="1"/>
          <w:bCs w:val="1"/>
          <w:color w:val="auto"/>
        </w:rPr>
        <w:t>CAP Adjustments—PEO</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00" w:type="dxa"/>
            <w:vAlign w:val="bottom"/>
            <w:tcBorders>
              <w:top w:val="single" w:sz="8" w:color="1414D2"/>
            </w:tcBorders>
            <w:shd w:val="clear" w:color="auto" w:fill="F2F2F2"/>
          </w:tcPr>
          <w:p>
            <w:pPr>
              <w:spacing w:after="0"/>
              <w:rPr>
                <w:sz w:val="12"/>
                <w:szCs w:val="12"/>
                <w:color w:val="auto"/>
              </w:rPr>
            </w:pPr>
          </w:p>
        </w:tc>
        <w:tc>
          <w:tcPr>
            <w:tcW w:w="180" w:type="dxa"/>
            <w:vAlign w:val="bottom"/>
            <w:tcBorders>
              <w:top w:val="single" w:sz="8" w:color="1414D2"/>
            </w:tcBorders>
            <w:shd w:val="clear" w:color="auto" w:fill="F2F2F2"/>
          </w:tcPr>
          <w:p>
            <w:pPr>
              <w:spacing w:after="0"/>
              <w:rPr>
                <w:sz w:val="12"/>
                <w:szCs w:val="12"/>
                <w:color w:val="auto"/>
              </w:rPr>
            </w:pPr>
          </w:p>
        </w:tc>
        <w:tc>
          <w:tcPr>
            <w:tcW w:w="160" w:type="dxa"/>
            <w:vAlign w:val="bottom"/>
            <w:tcBorders>
              <w:top w:val="single" w:sz="8" w:color="1414D2"/>
            </w:tcBorders>
          </w:tcPr>
          <w:p>
            <w:pPr>
              <w:spacing w:after="0"/>
              <w:rPr>
                <w:sz w:val="12"/>
                <w:szCs w:val="12"/>
                <w:color w:val="auto"/>
              </w:rPr>
            </w:pPr>
          </w:p>
        </w:tc>
        <w:tc>
          <w:tcPr>
            <w:tcW w:w="820" w:type="dxa"/>
            <w:vAlign w:val="bottom"/>
            <w:tcBorders>
              <w:top w:val="single" w:sz="8" w:color="1414D2"/>
            </w:tcBorders>
          </w:tcPr>
          <w:p>
            <w:pPr>
              <w:spacing w:after="0"/>
              <w:rPr>
                <w:sz w:val="12"/>
                <w:szCs w:val="12"/>
                <w:color w:val="auto"/>
              </w:rPr>
            </w:pPr>
          </w:p>
        </w:tc>
        <w:tc>
          <w:tcPr>
            <w:tcW w:w="160" w:type="dxa"/>
            <w:vAlign w:val="bottom"/>
            <w:tcBorders>
              <w:top w:val="single" w:sz="8" w:color="1414D2"/>
            </w:tcBorders>
          </w:tcPr>
          <w:p>
            <w:pPr>
              <w:spacing w:after="0"/>
              <w:rPr>
                <w:sz w:val="12"/>
                <w:szCs w:val="12"/>
                <w:color w:val="auto"/>
              </w:rPr>
            </w:pPr>
          </w:p>
        </w:tc>
        <w:tc>
          <w:tcPr>
            <w:tcW w:w="560" w:type="dxa"/>
            <w:vAlign w:val="bottom"/>
            <w:tcBorders>
              <w:top w:val="single" w:sz="8" w:color="1414D2"/>
            </w:tcBorders>
          </w:tcPr>
          <w:p>
            <w:pPr>
              <w:spacing w:after="0"/>
              <w:rPr>
                <w:sz w:val="12"/>
                <w:szCs w:val="12"/>
                <w:color w:val="auto"/>
              </w:rPr>
            </w:pPr>
          </w:p>
        </w:tc>
        <w:tc>
          <w:tcPr>
            <w:tcW w:w="140" w:type="dxa"/>
            <w:vAlign w:val="bottom"/>
            <w:tcBorders>
              <w:top w:val="single" w:sz="8" w:color="1414D2"/>
            </w:tcBorders>
          </w:tcPr>
          <w:p>
            <w:pPr>
              <w:spacing w:after="0"/>
              <w:rPr>
                <w:sz w:val="12"/>
                <w:szCs w:val="12"/>
                <w:color w:val="auto"/>
              </w:rPr>
            </w:pPr>
          </w:p>
        </w:tc>
        <w:tc>
          <w:tcPr>
            <w:tcW w:w="320" w:type="dxa"/>
            <w:vAlign w:val="bottom"/>
            <w:tcBorders>
              <w:top w:val="single" w:sz="8" w:color="1414D2"/>
            </w:tcBorders>
          </w:tcPr>
          <w:p>
            <w:pPr>
              <w:spacing w:after="0"/>
              <w:rPr>
                <w:sz w:val="12"/>
                <w:szCs w:val="12"/>
                <w:color w:val="auto"/>
              </w:rPr>
            </w:pPr>
          </w:p>
        </w:tc>
        <w:tc>
          <w:tcPr>
            <w:tcW w:w="120" w:type="dxa"/>
            <w:vAlign w:val="bottom"/>
            <w:tcBorders>
              <w:top w:val="single" w:sz="8" w:color="1414D2"/>
            </w:tcBorders>
          </w:tcPr>
          <w:p>
            <w:pPr>
              <w:spacing w:after="0"/>
              <w:rPr>
                <w:sz w:val="12"/>
                <w:szCs w:val="12"/>
                <w:color w:val="auto"/>
              </w:rPr>
            </w:pPr>
          </w:p>
        </w:tc>
        <w:tc>
          <w:tcPr>
            <w:tcW w:w="320" w:type="dxa"/>
            <w:vAlign w:val="bottom"/>
            <w:tcBorders>
              <w:top w:val="single" w:sz="8" w:color="1414D2"/>
            </w:tcBorders>
          </w:tcPr>
          <w:p>
            <w:pPr>
              <w:spacing w:after="0"/>
              <w:rPr>
                <w:sz w:val="12"/>
                <w:szCs w:val="12"/>
                <w:color w:val="auto"/>
              </w:rPr>
            </w:pPr>
          </w:p>
        </w:tc>
        <w:tc>
          <w:tcPr>
            <w:tcW w:w="360" w:type="dxa"/>
            <w:vAlign w:val="bottom"/>
            <w:tcBorders>
              <w:top w:val="single" w:sz="8" w:color="1414D2"/>
            </w:tcBorders>
          </w:tcPr>
          <w:p>
            <w:pPr>
              <w:spacing w:after="0"/>
              <w:rPr>
                <w:sz w:val="12"/>
                <w:szCs w:val="12"/>
                <w:color w:val="auto"/>
              </w:rPr>
            </w:pPr>
          </w:p>
        </w:tc>
        <w:tc>
          <w:tcPr>
            <w:tcW w:w="400" w:type="dxa"/>
            <w:vAlign w:val="bottom"/>
            <w:tcBorders>
              <w:top w:val="single" w:sz="8" w:color="1414D2"/>
            </w:tcBorders>
          </w:tcPr>
          <w:p>
            <w:pPr>
              <w:spacing w:after="0"/>
              <w:rPr>
                <w:sz w:val="12"/>
                <w:szCs w:val="12"/>
                <w:color w:val="auto"/>
              </w:rPr>
            </w:pPr>
          </w:p>
        </w:tc>
        <w:tc>
          <w:tcPr>
            <w:tcW w:w="120" w:type="dxa"/>
            <w:vAlign w:val="bottom"/>
            <w:tcBorders>
              <w:top w:val="single" w:sz="8" w:color="1414D2"/>
            </w:tcBorders>
          </w:tcPr>
          <w:p>
            <w:pPr>
              <w:spacing w:after="0"/>
              <w:rPr>
                <w:sz w:val="12"/>
                <w:szCs w:val="12"/>
                <w:color w:val="auto"/>
              </w:rPr>
            </w:pPr>
          </w:p>
        </w:tc>
        <w:tc>
          <w:tcPr>
            <w:tcW w:w="40" w:type="dxa"/>
            <w:vAlign w:val="bottom"/>
            <w:tcBorders>
              <w:top w:val="single" w:sz="8" w:color="1414D2"/>
            </w:tcBorders>
          </w:tcPr>
          <w:p>
            <w:pPr>
              <w:spacing w:after="0"/>
              <w:rPr>
                <w:sz w:val="12"/>
                <w:szCs w:val="12"/>
                <w:color w:val="auto"/>
              </w:rPr>
            </w:pPr>
          </w:p>
        </w:tc>
        <w:tc>
          <w:tcPr>
            <w:tcW w:w="140" w:type="dxa"/>
            <w:vAlign w:val="bottom"/>
            <w:tcBorders>
              <w:top w:val="single" w:sz="8" w:color="1414D2"/>
            </w:tcBorders>
          </w:tcPr>
          <w:p>
            <w:pPr>
              <w:spacing w:after="0"/>
              <w:rPr>
                <w:sz w:val="12"/>
                <w:szCs w:val="12"/>
                <w:color w:val="auto"/>
              </w:rPr>
            </w:pPr>
          </w:p>
        </w:tc>
        <w:tc>
          <w:tcPr>
            <w:tcW w:w="820" w:type="dxa"/>
            <w:vAlign w:val="bottom"/>
            <w:tcBorders>
              <w:top w:val="single" w:sz="8" w:color="1414D2"/>
            </w:tcBorders>
          </w:tcPr>
          <w:p>
            <w:pPr>
              <w:spacing w:after="0"/>
              <w:rPr>
                <w:sz w:val="12"/>
                <w:szCs w:val="12"/>
                <w:color w:val="auto"/>
              </w:rPr>
            </w:pPr>
          </w:p>
        </w:tc>
        <w:tc>
          <w:tcPr>
            <w:tcW w:w="40" w:type="dxa"/>
            <w:vAlign w:val="bottom"/>
            <w:tcBorders>
              <w:top w:val="single" w:sz="8" w:color="1414D2"/>
            </w:tcBorders>
          </w:tcPr>
          <w:p>
            <w:pPr>
              <w:spacing w:after="0"/>
              <w:rPr>
                <w:sz w:val="12"/>
                <w:szCs w:val="12"/>
                <w:color w:val="auto"/>
              </w:rPr>
            </w:pPr>
          </w:p>
        </w:tc>
        <w:tc>
          <w:tcPr>
            <w:tcW w:w="120" w:type="dxa"/>
            <w:vAlign w:val="bottom"/>
            <w:tcBorders>
              <w:top w:val="single" w:sz="8" w:color="1414D2"/>
            </w:tcBorders>
          </w:tcPr>
          <w:p>
            <w:pPr>
              <w:spacing w:after="0"/>
              <w:rPr>
                <w:sz w:val="12"/>
                <w:szCs w:val="12"/>
                <w:color w:val="auto"/>
              </w:rPr>
            </w:pPr>
          </w:p>
        </w:tc>
        <w:tc>
          <w:tcPr>
            <w:tcW w:w="40" w:type="dxa"/>
            <w:vAlign w:val="bottom"/>
            <w:tcBorders>
              <w:top w:val="single" w:sz="8" w:color="1414D2"/>
            </w:tcBorders>
          </w:tcPr>
          <w:p>
            <w:pPr>
              <w:spacing w:after="0"/>
              <w:rPr>
                <w:sz w:val="12"/>
                <w:szCs w:val="12"/>
                <w:color w:val="auto"/>
              </w:rPr>
            </w:pPr>
          </w:p>
        </w:tc>
        <w:tc>
          <w:tcPr>
            <w:tcW w:w="840" w:type="dxa"/>
            <w:vAlign w:val="bottom"/>
            <w:tcBorders>
              <w:top w:val="single" w:sz="8" w:color="1414D2"/>
            </w:tcBorders>
          </w:tcPr>
          <w:p>
            <w:pPr>
              <w:spacing w:after="0"/>
              <w:rPr>
                <w:sz w:val="12"/>
                <w:szCs w:val="12"/>
                <w:color w:val="auto"/>
              </w:rPr>
            </w:pPr>
          </w:p>
        </w:tc>
        <w:tc>
          <w:tcPr>
            <w:tcW w:w="40" w:type="dxa"/>
            <w:vAlign w:val="bottom"/>
            <w:tcBorders>
              <w:top w:val="single" w:sz="8" w:color="1414D2"/>
            </w:tcBorders>
          </w:tcPr>
          <w:p>
            <w:pPr>
              <w:spacing w:after="0"/>
              <w:rPr>
                <w:sz w:val="12"/>
                <w:szCs w:val="12"/>
                <w:color w:val="auto"/>
              </w:rPr>
            </w:pPr>
          </w:p>
        </w:tc>
        <w:tc>
          <w:tcPr>
            <w:tcW w:w="100" w:type="dxa"/>
            <w:vAlign w:val="bottom"/>
            <w:tcBorders>
              <w:top w:val="single" w:sz="8" w:color="1414D2"/>
            </w:tcBorders>
          </w:tcPr>
          <w:p>
            <w:pPr>
              <w:spacing w:after="0"/>
              <w:rPr>
                <w:sz w:val="12"/>
                <w:szCs w:val="12"/>
                <w:color w:val="auto"/>
              </w:rPr>
            </w:pPr>
          </w:p>
        </w:tc>
        <w:tc>
          <w:tcPr>
            <w:tcW w:w="40" w:type="dxa"/>
            <w:vAlign w:val="bottom"/>
            <w:tcBorders>
              <w:top w:val="single" w:sz="8" w:color="1414D2"/>
            </w:tcBorders>
          </w:tcPr>
          <w:p>
            <w:pPr>
              <w:spacing w:after="0"/>
              <w:rPr>
                <w:sz w:val="12"/>
                <w:szCs w:val="12"/>
                <w:color w:val="auto"/>
              </w:rPr>
            </w:pPr>
          </w:p>
        </w:tc>
        <w:tc>
          <w:tcPr>
            <w:tcW w:w="120" w:type="dxa"/>
            <w:vAlign w:val="bottom"/>
            <w:tcBorders>
              <w:top w:val="single" w:sz="8" w:color="1414D2"/>
            </w:tcBorders>
          </w:tcPr>
          <w:p>
            <w:pPr>
              <w:spacing w:after="0"/>
              <w:rPr>
                <w:sz w:val="12"/>
                <w:szCs w:val="12"/>
                <w:color w:val="auto"/>
              </w:rPr>
            </w:pPr>
          </w:p>
        </w:tc>
        <w:tc>
          <w:tcPr>
            <w:tcW w:w="1100" w:type="dxa"/>
            <w:vAlign w:val="bottom"/>
            <w:tcBorders>
              <w:top w:val="single" w:sz="8" w:color="1414D2"/>
            </w:tcBorders>
            <w:gridSpan w:val="3"/>
          </w:tcPr>
          <w:p>
            <w:pPr>
              <w:jc w:val="center"/>
              <w:spacing w:after="0"/>
              <w:rPr>
                <w:sz w:val="20"/>
                <w:szCs w:val="20"/>
                <w:color w:val="auto"/>
              </w:rPr>
            </w:pPr>
            <w:r>
              <w:rPr>
                <w:rFonts w:ascii="Arial" w:cs="Arial" w:eastAsia="Arial" w:hAnsi="Arial"/>
                <w:sz w:val="12"/>
                <w:szCs w:val="12"/>
                <w:b w:val="1"/>
                <w:bCs w:val="1"/>
                <w:color w:val="auto"/>
              </w:rPr>
              <w:t>Plus/(Minus)</w:t>
            </w:r>
          </w:p>
        </w:tc>
        <w:tc>
          <w:tcPr>
            <w:tcW w:w="180" w:type="dxa"/>
            <w:vAlign w:val="bottom"/>
            <w:tcBorders>
              <w:top w:val="single" w:sz="8" w:color="1414D2"/>
            </w:tcBorders>
          </w:tcPr>
          <w:p>
            <w:pPr>
              <w:spacing w:after="0"/>
              <w:rPr>
                <w:sz w:val="12"/>
                <w:szCs w:val="12"/>
                <w:color w:val="auto"/>
              </w:rPr>
            </w:pPr>
          </w:p>
        </w:tc>
        <w:tc>
          <w:tcPr>
            <w:tcW w:w="100" w:type="dxa"/>
            <w:vAlign w:val="bottom"/>
            <w:tcBorders>
              <w:top w:val="single" w:sz="8" w:color="1414D2"/>
            </w:tcBorders>
          </w:tcPr>
          <w:p>
            <w:pPr>
              <w:spacing w:after="0"/>
              <w:rPr>
                <w:sz w:val="12"/>
                <w:szCs w:val="12"/>
                <w:color w:val="auto"/>
              </w:rPr>
            </w:pPr>
          </w:p>
        </w:tc>
        <w:tc>
          <w:tcPr>
            <w:tcW w:w="40" w:type="dxa"/>
            <w:vAlign w:val="bottom"/>
            <w:tcBorders>
              <w:top w:val="single" w:sz="8" w:color="1414D2"/>
            </w:tcBorders>
          </w:tcPr>
          <w:p>
            <w:pPr>
              <w:spacing w:after="0"/>
              <w:rPr>
                <w:sz w:val="12"/>
                <w:szCs w:val="12"/>
                <w:color w:val="auto"/>
              </w:rPr>
            </w:pPr>
          </w:p>
        </w:tc>
        <w:tc>
          <w:tcPr>
            <w:tcW w:w="100" w:type="dxa"/>
            <w:vAlign w:val="bottom"/>
            <w:tcBorders>
              <w:top w:val="single" w:sz="8" w:color="1414D2"/>
            </w:tcBorders>
          </w:tcPr>
          <w:p>
            <w:pPr>
              <w:spacing w:after="0"/>
              <w:rPr>
                <w:sz w:val="12"/>
                <w:szCs w:val="12"/>
                <w:color w:val="auto"/>
              </w:rPr>
            </w:pPr>
          </w:p>
        </w:tc>
        <w:tc>
          <w:tcPr>
            <w:tcW w:w="700" w:type="dxa"/>
            <w:vAlign w:val="bottom"/>
            <w:tcBorders>
              <w:top w:val="single" w:sz="8" w:color="1414D2"/>
            </w:tcBorders>
          </w:tcPr>
          <w:p>
            <w:pPr>
              <w:jc w:val="center"/>
              <w:ind w:right="125"/>
              <w:spacing w:after="0"/>
              <w:rPr>
                <w:sz w:val="20"/>
                <w:szCs w:val="20"/>
                <w:color w:val="auto"/>
              </w:rPr>
            </w:pPr>
            <w:r>
              <w:rPr>
                <w:rFonts w:ascii="Arial" w:cs="Arial" w:eastAsia="Arial" w:hAnsi="Arial"/>
                <w:sz w:val="12"/>
                <w:szCs w:val="12"/>
                <w:b w:val="1"/>
                <w:bCs w:val="1"/>
                <w:color w:val="auto"/>
              </w:rPr>
              <w:t>Minus</w:t>
            </w:r>
          </w:p>
        </w:tc>
        <w:tc>
          <w:tcPr>
            <w:tcW w:w="80" w:type="dxa"/>
            <w:vAlign w:val="bottom"/>
            <w:tcBorders>
              <w:top w:val="single" w:sz="8" w:color="1414D2"/>
            </w:tcBorders>
          </w:tcPr>
          <w:p>
            <w:pPr>
              <w:spacing w:after="0"/>
              <w:rPr>
                <w:sz w:val="12"/>
                <w:szCs w:val="12"/>
                <w:color w:val="auto"/>
              </w:rPr>
            </w:pPr>
          </w:p>
        </w:tc>
        <w:tc>
          <w:tcPr>
            <w:tcW w:w="40" w:type="dxa"/>
            <w:vAlign w:val="bottom"/>
            <w:tcBorders>
              <w:top w:val="single" w:sz="8" w:color="1414D2"/>
            </w:tcBorders>
          </w:tcPr>
          <w:p>
            <w:pPr>
              <w:spacing w:after="0"/>
              <w:rPr>
                <w:sz w:val="12"/>
                <w:szCs w:val="12"/>
                <w:color w:val="auto"/>
              </w:rPr>
            </w:pPr>
          </w:p>
        </w:tc>
        <w:tc>
          <w:tcPr>
            <w:tcW w:w="120" w:type="dxa"/>
            <w:vAlign w:val="bottom"/>
            <w:tcBorders>
              <w:top w:val="single" w:sz="8" w:color="1414D2"/>
            </w:tcBorders>
          </w:tcPr>
          <w:p>
            <w:pPr>
              <w:spacing w:after="0"/>
              <w:rPr>
                <w:sz w:val="12"/>
                <w:szCs w:val="12"/>
                <w:color w:val="auto"/>
              </w:rPr>
            </w:pPr>
          </w:p>
        </w:tc>
        <w:tc>
          <w:tcPr>
            <w:tcW w:w="780" w:type="dxa"/>
            <w:vAlign w:val="bottom"/>
            <w:tcBorders>
              <w:top w:val="single" w:sz="8" w:color="1414D2"/>
            </w:tcBorders>
          </w:tcPr>
          <w:p>
            <w:pPr>
              <w:spacing w:after="0"/>
              <w:rPr>
                <w:sz w:val="12"/>
                <w:szCs w:val="12"/>
                <w:color w:val="auto"/>
              </w:rPr>
            </w:pPr>
          </w:p>
        </w:tc>
        <w:tc>
          <w:tcPr>
            <w:tcW w:w="80" w:type="dxa"/>
            <w:vAlign w:val="bottom"/>
            <w:tcBorders>
              <w:top w:val="single" w:sz="8" w:color="1414D2"/>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jc w:val="right"/>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rPr>
                <w:sz w:val="1"/>
                <w:szCs w:val="1"/>
                <w:color w:val="auto"/>
              </w:rPr>
            </w:pPr>
          </w:p>
        </w:tc>
      </w:tr>
      <w:tr>
        <w:trPr>
          <w:trHeight w:val="135"/>
        </w:trPr>
        <w:tc>
          <w:tcPr>
            <w:tcW w:w="400" w:type="dxa"/>
            <w:vAlign w:val="bottom"/>
            <w:shd w:val="clear" w:color="auto" w:fill="F2F2F2"/>
          </w:tcPr>
          <w:p>
            <w:pPr>
              <w:spacing w:after="0"/>
              <w:rPr>
                <w:sz w:val="11"/>
                <w:szCs w:val="11"/>
                <w:color w:val="auto"/>
              </w:rPr>
            </w:pPr>
          </w:p>
        </w:tc>
        <w:tc>
          <w:tcPr>
            <w:tcW w:w="180" w:type="dxa"/>
            <w:vAlign w:val="bottom"/>
            <w:shd w:val="clear" w:color="auto" w:fill="F2F2F2"/>
          </w:tcPr>
          <w:p>
            <w:pPr>
              <w:spacing w:after="0"/>
              <w:rPr>
                <w:sz w:val="11"/>
                <w:szCs w:val="11"/>
                <w:color w:val="auto"/>
              </w:rPr>
            </w:pPr>
          </w:p>
        </w:tc>
        <w:tc>
          <w:tcPr>
            <w:tcW w:w="160" w:type="dxa"/>
            <w:vAlign w:val="bottom"/>
            <w:tcBorders>
              <w:right w:val="single" w:sz="8" w:color="F2F2F2"/>
            </w:tcBorders>
            <w:shd w:val="clear" w:color="auto" w:fill="F2F2F2"/>
          </w:tcPr>
          <w:p>
            <w:pPr>
              <w:spacing w:after="0"/>
              <w:rPr>
                <w:sz w:val="11"/>
                <w:szCs w:val="11"/>
                <w:color w:val="auto"/>
              </w:rPr>
            </w:pPr>
          </w:p>
        </w:tc>
        <w:tc>
          <w:tcPr>
            <w:tcW w:w="820" w:type="dxa"/>
            <w:vAlign w:val="bottom"/>
            <w:shd w:val="clear" w:color="auto" w:fill="F2F2F2"/>
          </w:tcPr>
          <w:p>
            <w:pPr>
              <w:spacing w:after="0"/>
              <w:rPr>
                <w:sz w:val="11"/>
                <w:szCs w:val="11"/>
                <w:color w:val="auto"/>
              </w:rPr>
            </w:pPr>
          </w:p>
        </w:tc>
        <w:tc>
          <w:tcPr>
            <w:tcW w:w="160" w:type="dxa"/>
            <w:vAlign w:val="bottom"/>
            <w:tcBorders>
              <w:right w:val="single" w:sz="8" w:color="F2F2F2"/>
            </w:tcBorders>
            <w:shd w:val="clear" w:color="auto" w:fill="F2F2F2"/>
          </w:tcPr>
          <w:p>
            <w:pPr>
              <w:spacing w:after="0"/>
              <w:rPr>
                <w:sz w:val="11"/>
                <w:szCs w:val="11"/>
                <w:color w:val="auto"/>
              </w:rPr>
            </w:pPr>
          </w:p>
        </w:tc>
        <w:tc>
          <w:tcPr>
            <w:tcW w:w="560" w:type="dxa"/>
            <w:vAlign w:val="bottom"/>
            <w:shd w:val="clear" w:color="auto" w:fill="F2F2F2"/>
          </w:tcPr>
          <w:p>
            <w:pPr>
              <w:spacing w:after="0"/>
              <w:rPr>
                <w:sz w:val="11"/>
                <w:szCs w:val="11"/>
                <w:color w:val="auto"/>
              </w:rPr>
            </w:pPr>
          </w:p>
        </w:tc>
        <w:tc>
          <w:tcPr>
            <w:tcW w:w="140" w:type="dxa"/>
            <w:vAlign w:val="bottom"/>
            <w:shd w:val="clear" w:color="auto" w:fill="F2F2F2"/>
          </w:tcPr>
          <w:p>
            <w:pPr>
              <w:spacing w:after="0"/>
              <w:rPr>
                <w:sz w:val="11"/>
                <w:szCs w:val="11"/>
                <w:color w:val="auto"/>
              </w:rPr>
            </w:pPr>
          </w:p>
        </w:tc>
        <w:tc>
          <w:tcPr>
            <w:tcW w:w="320" w:type="dxa"/>
            <w:vAlign w:val="bottom"/>
            <w:shd w:val="clear" w:color="auto" w:fill="F2F2F2"/>
          </w:tcPr>
          <w:p>
            <w:pPr>
              <w:spacing w:after="0"/>
              <w:rPr>
                <w:sz w:val="11"/>
                <w:szCs w:val="11"/>
                <w:color w:val="auto"/>
              </w:rPr>
            </w:pPr>
          </w:p>
        </w:tc>
        <w:tc>
          <w:tcPr>
            <w:tcW w:w="120" w:type="dxa"/>
            <w:vAlign w:val="bottom"/>
            <w:shd w:val="clear" w:color="auto" w:fill="F2F2F2"/>
          </w:tcPr>
          <w:p>
            <w:pPr>
              <w:spacing w:after="0"/>
              <w:rPr>
                <w:sz w:val="11"/>
                <w:szCs w:val="11"/>
                <w:color w:val="auto"/>
              </w:rPr>
            </w:pPr>
          </w:p>
        </w:tc>
        <w:tc>
          <w:tcPr>
            <w:tcW w:w="320" w:type="dxa"/>
            <w:vAlign w:val="bottom"/>
            <w:shd w:val="clear" w:color="auto" w:fill="F2F2F2"/>
          </w:tcPr>
          <w:p>
            <w:pPr>
              <w:spacing w:after="0"/>
              <w:rPr>
                <w:sz w:val="11"/>
                <w:szCs w:val="11"/>
                <w:color w:val="auto"/>
              </w:rPr>
            </w:pPr>
          </w:p>
        </w:tc>
        <w:tc>
          <w:tcPr>
            <w:tcW w:w="360" w:type="dxa"/>
            <w:vAlign w:val="bottom"/>
            <w:shd w:val="clear" w:color="auto" w:fill="F2F2F2"/>
          </w:tcPr>
          <w:p>
            <w:pPr>
              <w:spacing w:after="0"/>
              <w:rPr>
                <w:sz w:val="11"/>
                <w:szCs w:val="11"/>
                <w:color w:val="auto"/>
              </w:rPr>
            </w:pPr>
          </w:p>
        </w:tc>
        <w:tc>
          <w:tcPr>
            <w:tcW w:w="400" w:type="dxa"/>
            <w:vAlign w:val="bottom"/>
            <w:shd w:val="clear" w:color="auto" w:fill="F2F2F2"/>
          </w:tcPr>
          <w:p>
            <w:pPr>
              <w:spacing w:after="0"/>
              <w:rPr>
                <w:sz w:val="11"/>
                <w:szCs w:val="11"/>
                <w:color w:val="auto"/>
              </w:rPr>
            </w:pPr>
          </w:p>
        </w:tc>
        <w:tc>
          <w:tcPr>
            <w:tcW w:w="120" w:type="dxa"/>
            <w:vAlign w:val="bottom"/>
            <w:shd w:val="clear" w:color="auto" w:fill="F2F2F2"/>
          </w:tcPr>
          <w:p>
            <w:pPr>
              <w:spacing w:after="0"/>
              <w:rPr>
                <w:sz w:val="11"/>
                <w:szCs w:val="11"/>
                <w:color w:val="auto"/>
              </w:rPr>
            </w:pPr>
          </w:p>
        </w:tc>
        <w:tc>
          <w:tcPr>
            <w:tcW w:w="40" w:type="dxa"/>
            <w:vAlign w:val="bottom"/>
            <w:shd w:val="clear" w:color="auto" w:fill="F2F2F2"/>
          </w:tcPr>
          <w:p>
            <w:pPr>
              <w:spacing w:after="0"/>
              <w:rPr>
                <w:sz w:val="11"/>
                <w:szCs w:val="11"/>
                <w:color w:val="auto"/>
              </w:rPr>
            </w:pPr>
          </w:p>
        </w:tc>
        <w:tc>
          <w:tcPr>
            <w:tcW w:w="140" w:type="dxa"/>
            <w:vAlign w:val="bottom"/>
            <w:shd w:val="clear" w:color="auto" w:fill="F2F2F2"/>
          </w:tcPr>
          <w:p>
            <w:pPr>
              <w:spacing w:after="0"/>
              <w:rPr>
                <w:sz w:val="11"/>
                <w:szCs w:val="11"/>
                <w:color w:val="auto"/>
              </w:rPr>
            </w:pPr>
          </w:p>
        </w:tc>
        <w:tc>
          <w:tcPr>
            <w:tcW w:w="820" w:type="dxa"/>
            <w:vAlign w:val="bottom"/>
            <w:shd w:val="clear" w:color="auto" w:fill="F2F2F2"/>
          </w:tcPr>
          <w:p>
            <w:pPr>
              <w:spacing w:after="0"/>
              <w:rPr>
                <w:sz w:val="11"/>
                <w:szCs w:val="11"/>
                <w:color w:val="auto"/>
              </w:rPr>
            </w:pPr>
          </w:p>
        </w:tc>
        <w:tc>
          <w:tcPr>
            <w:tcW w:w="40" w:type="dxa"/>
            <w:vAlign w:val="bottom"/>
            <w:shd w:val="clear" w:color="auto" w:fill="F2F2F2"/>
          </w:tcPr>
          <w:p>
            <w:pPr>
              <w:spacing w:after="0"/>
              <w:rPr>
                <w:sz w:val="11"/>
                <w:szCs w:val="11"/>
                <w:color w:val="auto"/>
              </w:rPr>
            </w:pPr>
          </w:p>
        </w:tc>
        <w:tc>
          <w:tcPr>
            <w:tcW w:w="120" w:type="dxa"/>
            <w:vAlign w:val="bottom"/>
            <w:shd w:val="clear" w:color="auto" w:fill="F2F2F2"/>
          </w:tcPr>
          <w:p>
            <w:pPr>
              <w:spacing w:after="0"/>
              <w:rPr>
                <w:sz w:val="11"/>
                <w:szCs w:val="11"/>
                <w:color w:val="auto"/>
              </w:rPr>
            </w:pPr>
          </w:p>
        </w:tc>
        <w:tc>
          <w:tcPr>
            <w:tcW w:w="40" w:type="dxa"/>
            <w:vAlign w:val="bottom"/>
            <w:shd w:val="clear" w:color="auto" w:fill="F2F2F2"/>
          </w:tcPr>
          <w:p>
            <w:pPr>
              <w:spacing w:after="0"/>
              <w:rPr>
                <w:sz w:val="11"/>
                <w:szCs w:val="11"/>
                <w:color w:val="auto"/>
              </w:rPr>
            </w:pPr>
          </w:p>
        </w:tc>
        <w:tc>
          <w:tcPr>
            <w:tcW w:w="840" w:type="dxa"/>
            <w:vAlign w:val="bottom"/>
            <w:shd w:val="clear" w:color="auto" w:fill="F2F2F2"/>
          </w:tcPr>
          <w:p>
            <w:pPr>
              <w:spacing w:after="0"/>
              <w:rPr>
                <w:sz w:val="11"/>
                <w:szCs w:val="11"/>
                <w:color w:val="auto"/>
              </w:rPr>
            </w:pPr>
          </w:p>
        </w:tc>
        <w:tc>
          <w:tcPr>
            <w:tcW w:w="40" w:type="dxa"/>
            <w:vAlign w:val="bottom"/>
            <w:shd w:val="clear" w:color="auto" w:fill="F2F2F2"/>
          </w:tcPr>
          <w:p>
            <w:pPr>
              <w:spacing w:after="0"/>
              <w:rPr>
                <w:sz w:val="11"/>
                <w:szCs w:val="11"/>
                <w:color w:val="auto"/>
              </w:rPr>
            </w:pPr>
          </w:p>
        </w:tc>
        <w:tc>
          <w:tcPr>
            <w:tcW w:w="100" w:type="dxa"/>
            <w:vAlign w:val="bottom"/>
            <w:shd w:val="clear" w:color="auto" w:fill="F2F2F2"/>
          </w:tcPr>
          <w:p>
            <w:pPr>
              <w:spacing w:after="0"/>
              <w:rPr>
                <w:sz w:val="11"/>
                <w:szCs w:val="11"/>
                <w:color w:val="auto"/>
              </w:rPr>
            </w:pPr>
          </w:p>
        </w:tc>
        <w:tc>
          <w:tcPr>
            <w:tcW w:w="40" w:type="dxa"/>
            <w:vAlign w:val="bottom"/>
            <w:shd w:val="clear" w:color="auto" w:fill="F2F2F2"/>
          </w:tcPr>
          <w:p>
            <w:pPr>
              <w:spacing w:after="0"/>
              <w:rPr>
                <w:sz w:val="11"/>
                <w:szCs w:val="11"/>
                <w:color w:val="auto"/>
              </w:rPr>
            </w:pPr>
          </w:p>
        </w:tc>
        <w:tc>
          <w:tcPr>
            <w:tcW w:w="120" w:type="dxa"/>
            <w:vAlign w:val="bottom"/>
            <w:shd w:val="clear" w:color="auto" w:fill="F2F2F2"/>
          </w:tcPr>
          <w:p>
            <w:pPr>
              <w:spacing w:after="0"/>
              <w:rPr>
                <w:sz w:val="11"/>
                <w:szCs w:val="11"/>
                <w:color w:val="auto"/>
              </w:rPr>
            </w:pPr>
          </w:p>
        </w:tc>
        <w:tc>
          <w:tcPr>
            <w:tcW w:w="1100" w:type="dxa"/>
            <w:vAlign w:val="bottom"/>
            <w:gridSpan w:val="3"/>
            <w:shd w:val="clear" w:color="auto" w:fill="F2F2F2"/>
          </w:tcPr>
          <w:p>
            <w:pPr>
              <w:jc w:val="center"/>
              <w:spacing w:after="0" w:line="118" w:lineRule="exact"/>
              <w:rPr>
                <w:sz w:val="20"/>
                <w:szCs w:val="20"/>
                <w:color w:val="auto"/>
              </w:rPr>
            </w:pPr>
            <w:r>
              <w:rPr>
                <w:rFonts w:ascii="Arial" w:cs="Arial" w:eastAsia="Arial" w:hAnsi="Arial"/>
                <w:sz w:val="12"/>
                <w:szCs w:val="12"/>
                <w:b w:val="1"/>
                <w:bCs w:val="1"/>
                <w:color w:val="auto"/>
              </w:rPr>
              <w:t>Change in Fair</w:t>
            </w:r>
          </w:p>
        </w:tc>
        <w:tc>
          <w:tcPr>
            <w:tcW w:w="180" w:type="dxa"/>
            <w:vAlign w:val="bottom"/>
            <w:shd w:val="clear" w:color="auto" w:fill="F2F2F2"/>
          </w:tcPr>
          <w:p>
            <w:pPr>
              <w:spacing w:after="0"/>
              <w:rPr>
                <w:sz w:val="11"/>
                <w:szCs w:val="11"/>
                <w:color w:val="auto"/>
              </w:rPr>
            </w:pPr>
          </w:p>
        </w:tc>
        <w:tc>
          <w:tcPr>
            <w:tcW w:w="940" w:type="dxa"/>
            <w:vAlign w:val="bottom"/>
            <w:gridSpan w:val="4"/>
            <w:shd w:val="clear" w:color="auto" w:fill="F2F2F2"/>
          </w:tcPr>
          <w:p>
            <w:pPr>
              <w:jc w:val="center"/>
              <w:spacing w:after="0" w:line="118" w:lineRule="exact"/>
              <w:rPr>
                <w:sz w:val="20"/>
                <w:szCs w:val="20"/>
                <w:color w:val="auto"/>
              </w:rPr>
            </w:pPr>
            <w:r>
              <w:rPr>
                <w:rFonts w:ascii="Arial" w:cs="Arial" w:eastAsia="Arial" w:hAnsi="Arial"/>
                <w:sz w:val="12"/>
                <w:szCs w:val="12"/>
                <w:b w:val="1"/>
                <w:bCs w:val="1"/>
                <w:color w:val="auto"/>
              </w:rPr>
              <w:t>Fair Value as of</w:t>
            </w:r>
          </w:p>
        </w:tc>
        <w:tc>
          <w:tcPr>
            <w:tcW w:w="80" w:type="dxa"/>
            <w:vAlign w:val="bottom"/>
            <w:shd w:val="clear" w:color="auto" w:fill="F2F2F2"/>
          </w:tcPr>
          <w:p>
            <w:pPr>
              <w:spacing w:after="0"/>
              <w:rPr>
                <w:sz w:val="11"/>
                <w:szCs w:val="11"/>
                <w:color w:val="auto"/>
              </w:rPr>
            </w:pPr>
          </w:p>
        </w:tc>
        <w:tc>
          <w:tcPr>
            <w:tcW w:w="40" w:type="dxa"/>
            <w:vAlign w:val="bottom"/>
            <w:shd w:val="clear" w:color="auto" w:fill="F2F2F2"/>
          </w:tcPr>
          <w:p>
            <w:pPr>
              <w:spacing w:after="0"/>
              <w:rPr>
                <w:sz w:val="11"/>
                <w:szCs w:val="11"/>
                <w:color w:val="auto"/>
              </w:rPr>
            </w:pPr>
          </w:p>
        </w:tc>
        <w:tc>
          <w:tcPr>
            <w:tcW w:w="120" w:type="dxa"/>
            <w:vAlign w:val="bottom"/>
            <w:shd w:val="clear" w:color="auto" w:fill="F2F2F2"/>
          </w:tcPr>
          <w:p>
            <w:pPr>
              <w:spacing w:after="0"/>
              <w:rPr>
                <w:sz w:val="11"/>
                <w:szCs w:val="11"/>
                <w:color w:val="auto"/>
              </w:rPr>
            </w:pPr>
          </w:p>
        </w:tc>
        <w:tc>
          <w:tcPr>
            <w:tcW w:w="780" w:type="dxa"/>
            <w:vAlign w:val="bottom"/>
            <w:shd w:val="clear" w:color="auto" w:fill="F2F2F2"/>
          </w:tcPr>
          <w:p>
            <w:pPr>
              <w:spacing w:after="0"/>
              <w:rPr>
                <w:sz w:val="11"/>
                <w:szCs w:val="11"/>
                <w:color w:val="auto"/>
              </w:rPr>
            </w:pPr>
          </w:p>
        </w:tc>
        <w:tc>
          <w:tcPr>
            <w:tcW w:w="80" w:type="dxa"/>
            <w:vAlign w:val="bottom"/>
            <w:shd w:val="clear" w:color="auto" w:fill="F2F2F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0" w:type="dxa"/>
            <w:vAlign w:val="bottom"/>
            <w:shd w:val="clear" w:color="auto" w:fill="F2F2F2"/>
          </w:tcPr>
          <w:p>
            <w:pPr>
              <w:spacing w:after="0"/>
              <w:rPr>
                <w:sz w:val="11"/>
                <w:szCs w:val="11"/>
                <w:color w:val="auto"/>
              </w:rPr>
            </w:pPr>
          </w:p>
        </w:tc>
        <w:tc>
          <w:tcPr>
            <w:tcW w:w="180" w:type="dxa"/>
            <w:vAlign w:val="bottom"/>
            <w:shd w:val="clear" w:color="auto" w:fill="F2F2F2"/>
          </w:tcPr>
          <w:p>
            <w:pPr>
              <w:spacing w:after="0"/>
              <w:rPr>
                <w:sz w:val="11"/>
                <w:szCs w:val="11"/>
                <w:color w:val="auto"/>
              </w:rPr>
            </w:pPr>
          </w:p>
        </w:tc>
        <w:tc>
          <w:tcPr>
            <w:tcW w:w="160" w:type="dxa"/>
            <w:vAlign w:val="bottom"/>
            <w:tcBorders>
              <w:right w:val="single" w:sz="8" w:color="F2F2F2"/>
            </w:tcBorders>
          </w:tcPr>
          <w:p>
            <w:pPr>
              <w:spacing w:after="0"/>
              <w:rPr>
                <w:sz w:val="11"/>
                <w:szCs w:val="11"/>
                <w:color w:val="auto"/>
              </w:rPr>
            </w:pPr>
          </w:p>
        </w:tc>
        <w:tc>
          <w:tcPr>
            <w:tcW w:w="820" w:type="dxa"/>
            <w:vAlign w:val="bottom"/>
            <w:shd w:val="clear" w:color="auto" w:fill="F2F2F2"/>
          </w:tcPr>
          <w:p>
            <w:pPr>
              <w:spacing w:after="0"/>
              <w:rPr>
                <w:sz w:val="11"/>
                <w:szCs w:val="11"/>
                <w:color w:val="auto"/>
              </w:rPr>
            </w:pPr>
          </w:p>
        </w:tc>
        <w:tc>
          <w:tcPr>
            <w:tcW w:w="160" w:type="dxa"/>
            <w:vAlign w:val="bottom"/>
            <w:tcBorders>
              <w:right w:val="single" w:sz="8" w:color="F2F2F2"/>
            </w:tcBorders>
            <w:shd w:val="clear" w:color="auto" w:fill="F2F2F2"/>
          </w:tcPr>
          <w:p>
            <w:pPr>
              <w:spacing w:after="0"/>
              <w:rPr>
                <w:sz w:val="11"/>
                <w:szCs w:val="11"/>
                <w:color w:val="auto"/>
              </w:rPr>
            </w:pPr>
          </w:p>
        </w:tc>
        <w:tc>
          <w:tcPr>
            <w:tcW w:w="560" w:type="dxa"/>
            <w:vAlign w:val="bottom"/>
            <w:shd w:val="clear" w:color="auto" w:fill="F2F2F2"/>
          </w:tcPr>
          <w:p>
            <w:pPr>
              <w:spacing w:after="0"/>
              <w:rPr>
                <w:sz w:val="11"/>
                <w:szCs w:val="11"/>
                <w:color w:val="auto"/>
              </w:rPr>
            </w:pPr>
          </w:p>
        </w:tc>
        <w:tc>
          <w:tcPr>
            <w:tcW w:w="140" w:type="dxa"/>
            <w:vAlign w:val="bottom"/>
            <w:shd w:val="clear" w:color="auto" w:fill="F2F2F2"/>
          </w:tcPr>
          <w:p>
            <w:pPr>
              <w:spacing w:after="0"/>
              <w:rPr>
                <w:sz w:val="11"/>
                <w:szCs w:val="11"/>
                <w:color w:val="auto"/>
              </w:rPr>
            </w:pPr>
          </w:p>
        </w:tc>
        <w:tc>
          <w:tcPr>
            <w:tcW w:w="320" w:type="dxa"/>
            <w:vAlign w:val="bottom"/>
            <w:shd w:val="clear" w:color="auto" w:fill="F2F2F2"/>
          </w:tcPr>
          <w:p>
            <w:pPr>
              <w:spacing w:after="0"/>
              <w:rPr>
                <w:sz w:val="11"/>
                <w:szCs w:val="11"/>
                <w:color w:val="auto"/>
              </w:rPr>
            </w:pPr>
          </w:p>
        </w:tc>
        <w:tc>
          <w:tcPr>
            <w:tcW w:w="120" w:type="dxa"/>
            <w:vAlign w:val="bottom"/>
            <w:shd w:val="clear" w:color="auto" w:fill="F2F2F2"/>
          </w:tcPr>
          <w:p>
            <w:pPr>
              <w:spacing w:after="0"/>
              <w:rPr>
                <w:sz w:val="11"/>
                <w:szCs w:val="11"/>
                <w:color w:val="auto"/>
              </w:rPr>
            </w:pPr>
          </w:p>
        </w:tc>
        <w:tc>
          <w:tcPr>
            <w:tcW w:w="320" w:type="dxa"/>
            <w:vAlign w:val="bottom"/>
            <w:shd w:val="clear" w:color="auto" w:fill="F2F2F2"/>
          </w:tcPr>
          <w:p>
            <w:pPr>
              <w:spacing w:after="0"/>
              <w:rPr>
                <w:sz w:val="11"/>
                <w:szCs w:val="11"/>
                <w:color w:val="auto"/>
              </w:rPr>
            </w:pPr>
          </w:p>
        </w:tc>
        <w:tc>
          <w:tcPr>
            <w:tcW w:w="360" w:type="dxa"/>
            <w:vAlign w:val="bottom"/>
            <w:shd w:val="clear" w:color="auto" w:fill="F2F2F2"/>
          </w:tcPr>
          <w:p>
            <w:pPr>
              <w:spacing w:after="0"/>
              <w:rPr>
                <w:sz w:val="11"/>
                <w:szCs w:val="11"/>
                <w:color w:val="auto"/>
              </w:rPr>
            </w:pPr>
          </w:p>
        </w:tc>
        <w:tc>
          <w:tcPr>
            <w:tcW w:w="400" w:type="dxa"/>
            <w:vAlign w:val="bottom"/>
            <w:shd w:val="clear" w:color="auto" w:fill="F2F2F2"/>
          </w:tcPr>
          <w:p>
            <w:pPr>
              <w:spacing w:after="0"/>
              <w:rPr>
                <w:sz w:val="11"/>
                <w:szCs w:val="11"/>
                <w:color w:val="auto"/>
              </w:rPr>
            </w:pPr>
          </w:p>
        </w:tc>
        <w:tc>
          <w:tcPr>
            <w:tcW w:w="120" w:type="dxa"/>
            <w:vAlign w:val="bottom"/>
            <w:shd w:val="clear" w:color="auto" w:fill="F2F2F2"/>
          </w:tcPr>
          <w:p>
            <w:pPr>
              <w:spacing w:after="0"/>
              <w:rPr>
                <w:sz w:val="11"/>
                <w:szCs w:val="11"/>
                <w:color w:val="auto"/>
              </w:rPr>
            </w:pPr>
          </w:p>
        </w:tc>
        <w:tc>
          <w:tcPr>
            <w:tcW w:w="40" w:type="dxa"/>
            <w:vAlign w:val="bottom"/>
            <w:shd w:val="clear" w:color="auto" w:fill="F2F2F2"/>
          </w:tcPr>
          <w:p>
            <w:pPr>
              <w:spacing w:after="0"/>
              <w:rPr>
                <w:sz w:val="11"/>
                <w:szCs w:val="11"/>
                <w:color w:val="auto"/>
              </w:rPr>
            </w:pPr>
          </w:p>
        </w:tc>
        <w:tc>
          <w:tcPr>
            <w:tcW w:w="140" w:type="dxa"/>
            <w:vAlign w:val="bottom"/>
            <w:shd w:val="clear" w:color="auto" w:fill="F2F2F2"/>
          </w:tcPr>
          <w:p>
            <w:pPr>
              <w:spacing w:after="0"/>
              <w:rPr>
                <w:sz w:val="11"/>
                <w:szCs w:val="11"/>
                <w:color w:val="auto"/>
              </w:rPr>
            </w:pPr>
          </w:p>
        </w:tc>
        <w:tc>
          <w:tcPr>
            <w:tcW w:w="820" w:type="dxa"/>
            <w:vAlign w:val="bottom"/>
            <w:shd w:val="clear" w:color="auto" w:fill="F2F2F2"/>
          </w:tcPr>
          <w:p>
            <w:pPr>
              <w:spacing w:after="0"/>
              <w:rPr>
                <w:sz w:val="11"/>
                <w:szCs w:val="11"/>
                <w:color w:val="auto"/>
              </w:rPr>
            </w:pPr>
          </w:p>
        </w:tc>
        <w:tc>
          <w:tcPr>
            <w:tcW w:w="40" w:type="dxa"/>
            <w:vAlign w:val="bottom"/>
            <w:shd w:val="clear" w:color="auto" w:fill="F2F2F2"/>
          </w:tcPr>
          <w:p>
            <w:pPr>
              <w:spacing w:after="0"/>
              <w:rPr>
                <w:sz w:val="11"/>
                <w:szCs w:val="11"/>
                <w:color w:val="auto"/>
              </w:rPr>
            </w:pPr>
          </w:p>
        </w:tc>
        <w:tc>
          <w:tcPr>
            <w:tcW w:w="120" w:type="dxa"/>
            <w:vAlign w:val="bottom"/>
            <w:shd w:val="clear" w:color="auto" w:fill="F2F2F2"/>
          </w:tcPr>
          <w:p>
            <w:pPr>
              <w:spacing w:after="0"/>
              <w:rPr>
                <w:sz w:val="11"/>
                <w:szCs w:val="11"/>
                <w:color w:val="auto"/>
              </w:rPr>
            </w:pPr>
          </w:p>
        </w:tc>
        <w:tc>
          <w:tcPr>
            <w:tcW w:w="40" w:type="dxa"/>
            <w:vAlign w:val="bottom"/>
            <w:shd w:val="clear" w:color="auto" w:fill="F2F2F2"/>
          </w:tcPr>
          <w:p>
            <w:pPr>
              <w:spacing w:after="0"/>
              <w:rPr>
                <w:sz w:val="11"/>
                <w:szCs w:val="11"/>
                <w:color w:val="auto"/>
              </w:rPr>
            </w:pPr>
          </w:p>
        </w:tc>
        <w:tc>
          <w:tcPr>
            <w:tcW w:w="840" w:type="dxa"/>
            <w:vAlign w:val="bottom"/>
            <w:shd w:val="clear" w:color="auto" w:fill="F2F2F2"/>
          </w:tcPr>
          <w:p>
            <w:pPr>
              <w:spacing w:after="0"/>
              <w:rPr>
                <w:sz w:val="11"/>
                <w:szCs w:val="11"/>
                <w:color w:val="auto"/>
              </w:rPr>
            </w:pPr>
          </w:p>
        </w:tc>
        <w:tc>
          <w:tcPr>
            <w:tcW w:w="40" w:type="dxa"/>
            <w:vAlign w:val="bottom"/>
            <w:shd w:val="clear" w:color="auto" w:fill="F2F2F2"/>
          </w:tcPr>
          <w:p>
            <w:pPr>
              <w:spacing w:after="0"/>
              <w:rPr>
                <w:sz w:val="11"/>
                <w:szCs w:val="11"/>
                <w:color w:val="auto"/>
              </w:rPr>
            </w:pPr>
          </w:p>
        </w:tc>
        <w:tc>
          <w:tcPr>
            <w:tcW w:w="100" w:type="dxa"/>
            <w:vAlign w:val="bottom"/>
            <w:shd w:val="clear" w:color="auto" w:fill="F2F2F2"/>
          </w:tcPr>
          <w:p>
            <w:pPr>
              <w:spacing w:after="0"/>
              <w:rPr>
                <w:sz w:val="11"/>
                <w:szCs w:val="11"/>
                <w:color w:val="auto"/>
              </w:rPr>
            </w:pPr>
          </w:p>
        </w:tc>
        <w:tc>
          <w:tcPr>
            <w:tcW w:w="40" w:type="dxa"/>
            <w:vAlign w:val="bottom"/>
            <w:shd w:val="clear" w:color="auto" w:fill="F2F2F2"/>
          </w:tcPr>
          <w:p>
            <w:pPr>
              <w:spacing w:after="0"/>
              <w:rPr>
                <w:sz w:val="11"/>
                <w:szCs w:val="11"/>
                <w:color w:val="auto"/>
              </w:rPr>
            </w:pPr>
          </w:p>
        </w:tc>
        <w:tc>
          <w:tcPr>
            <w:tcW w:w="120" w:type="dxa"/>
            <w:vAlign w:val="bottom"/>
            <w:shd w:val="clear" w:color="auto" w:fill="F2F2F2"/>
          </w:tcPr>
          <w:p>
            <w:pPr>
              <w:spacing w:after="0"/>
              <w:rPr>
                <w:sz w:val="11"/>
                <w:szCs w:val="11"/>
                <w:color w:val="auto"/>
              </w:rPr>
            </w:pPr>
          </w:p>
        </w:tc>
        <w:tc>
          <w:tcPr>
            <w:tcW w:w="1280" w:type="dxa"/>
            <w:vAlign w:val="bottom"/>
            <w:gridSpan w:val="4"/>
            <w:shd w:val="clear" w:color="auto" w:fill="F2F2F2"/>
          </w:tcPr>
          <w:p>
            <w:pPr>
              <w:jc w:val="center"/>
              <w:ind w:right="123"/>
              <w:spacing w:after="0" w:line="135" w:lineRule="exact"/>
              <w:rPr>
                <w:sz w:val="20"/>
                <w:szCs w:val="20"/>
                <w:color w:val="auto"/>
              </w:rPr>
            </w:pPr>
            <w:r>
              <w:rPr>
                <w:rFonts w:ascii="Arial" w:cs="Arial" w:eastAsia="Arial" w:hAnsi="Arial"/>
                <w:sz w:val="12"/>
                <w:szCs w:val="12"/>
                <w:b w:val="1"/>
                <w:bCs w:val="1"/>
                <w:color w:val="auto"/>
                <w:w w:val="99"/>
              </w:rPr>
              <w:t>Value as of Vesting</w:t>
            </w:r>
          </w:p>
        </w:tc>
        <w:tc>
          <w:tcPr>
            <w:tcW w:w="1060" w:type="dxa"/>
            <w:vAlign w:val="bottom"/>
            <w:gridSpan w:val="6"/>
            <w:shd w:val="clear" w:color="auto" w:fill="F2F2F2"/>
          </w:tcPr>
          <w:p>
            <w:pPr>
              <w:jc w:val="center"/>
              <w:ind w:right="80"/>
              <w:spacing w:after="0" w:line="135" w:lineRule="exact"/>
              <w:rPr>
                <w:sz w:val="20"/>
                <w:szCs w:val="20"/>
                <w:color w:val="auto"/>
              </w:rPr>
            </w:pPr>
            <w:r>
              <w:rPr>
                <w:rFonts w:ascii="Arial" w:cs="Arial" w:eastAsia="Arial" w:hAnsi="Arial"/>
                <w:sz w:val="12"/>
                <w:szCs w:val="12"/>
                <w:b w:val="1"/>
                <w:bCs w:val="1"/>
                <w:color w:val="auto"/>
                <w:w w:val="99"/>
              </w:rPr>
              <w:t>Prior Fiscal Year-</w:t>
            </w:r>
          </w:p>
        </w:tc>
        <w:tc>
          <w:tcPr>
            <w:tcW w:w="120" w:type="dxa"/>
            <w:vAlign w:val="bottom"/>
            <w:shd w:val="clear" w:color="auto" w:fill="F2F2F2"/>
          </w:tcPr>
          <w:p>
            <w:pPr>
              <w:spacing w:after="0"/>
              <w:rPr>
                <w:sz w:val="11"/>
                <w:szCs w:val="11"/>
                <w:color w:val="auto"/>
              </w:rPr>
            </w:pPr>
          </w:p>
        </w:tc>
        <w:tc>
          <w:tcPr>
            <w:tcW w:w="780" w:type="dxa"/>
            <w:vAlign w:val="bottom"/>
            <w:shd w:val="clear" w:color="auto" w:fill="F2F2F2"/>
          </w:tcPr>
          <w:p>
            <w:pPr>
              <w:spacing w:after="0"/>
              <w:rPr>
                <w:sz w:val="11"/>
                <w:szCs w:val="11"/>
                <w:color w:val="auto"/>
              </w:rPr>
            </w:pPr>
          </w:p>
        </w:tc>
        <w:tc>
          <w:tcPr>
            <w:tcW w:w="80" w:type="dxa"/>
            <w:vAlign w:val="bottom"/>
            <w:shd w:val="clear" w:color="auto" w:fill="F2F2F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0" w:type="dxa"/>
            <w:vAlign w:val="bottom"/>
            <w:shd w:val="clear" w:color="auto" w:fill="F2F2F2"/>
          </w:tcPr>
          <w:p>
            <w:pPr>
              <w:spacing w:after="0"/>
              <w:rPr>
                <w:sz w:val="11"/>
                <w:szCs w:val="11"/>
                <w:color w:val="auto"/>
              </w:rPr>
            </w:pPr>
          </w:p>
        </w:tc>
        <w:tc>
          <w:tcPr>
            <w:tcW w:w="180" w:type="dxa"/>
            <w:vAlign w:val="bottom"/>
            <w:shd w:val="clear" w:color="auto" w:fill="F2F2F2"/>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Borders>
              <w:right w:val="single" w:sz="8" w:color="F2F2F2"/>
            </w:tcBorders>
            <w:shd w:val="clear" w:color="auto" w:fill="F2F2F2"/>
          </w:tcPr>
          <w:p>
            <w:pPr>
              <w:spacing w:after="0"/>
              <w:rPr>
                <w:sz w:val="11"/>
                <w:szCs w:val="11"/>
                <w:color w:val="auto"/>
              </w:rPr>
            </w:pPr>
          </w:p>
        </w:tc>
        <w:tc>
          <w:tcPr>
            <w:tcW w:w="560" w:type="dxa"/>
            <w:vAlign w:val="bottom"/>
            <w:shd w:val="clear" w:color="auto" w:fill="F2F2F2"/>
          </w:tcPr>
          <w:p>
            <w:pPr>
              <w:spacing w:after="0"/>
              <w:rPr>
                <w:sz w:val="11"/>
                <w:szCs w:val="11"/>
                <w:color w:val="auto"/>
              </w:rPr>
            </w:pPr>
          </w:p>
        </w:tc>
        <w:tc>
          <w:tcPr>
            <w:tcW w:w="140" w:type="dxa"/>
            <w:vAlign w:val="bottom"/>
            <w:shd w:val="clear" w:color="auto" w:fill="F2F2F2"/>
          </w:tcPr>
          <w:p>
            <w:pPr>
              <w:spacing w:after="0"/>
              <w:rPr>
                <w:sz w:val="11"/>
                <w:szCs w:val="11"/>
                <w:color w:val="auto"/>
              </w:rPr>
            </w:pPr>
          </w:p>
        </w:tc>
        <w:tc>
          <w:tcPr>
            <w:tcW w:w="320" w:type="dxa"/>
            <w:vAlign w:val="bottom"/>
            <w:shd w:val="clear" w:color="auto" w:fill="F2F2F2"/>
          </w:tcPr>
          <w:p>
            <w:pPr>
              <w:spacing w:after="0"/>
              <w:rPr>
                <w:sz w:val="11"/>
                <w:szCs w:val="11"/>
                <w:color w:val="auto"/>
              </w:rPr>
            </w:pPr>
          </w:p>
        </w:tc>
        <w:tc>
          <w:tcPr>
            <w:tcW w:w="120" w:type="dxa"/>
            <w:vAlign w:val="bottom"/>
            <w:shd w:val="clear" w:color="auto" w:fill="F2F2F2"/>
          </w:tcPr>
          <w:p>
            <w:pPr>
              <w:spacing w:after="0"/>
              <w:rPr>
                <w:sz w:val="11"/>
                <w:szCs w:val="11"/>
                <w:color w:val="auto"/>
              </w:rPr>
            </w:pPr>
          </w:p>
        </w:tc>
        <w:tc>
          <w:tcPr>
            <w:tcW w:w="320" w:type="dxa"/>
            <w:vAlign w:val="bottom"/>
            <w:shd w:val="clear" w:color="auto" w:fill="F2F2F2"/>
          </w:tcPr>
          <w:p>
            <w:pPr>
              <w:spacing w:after="0"/>
              <w:rPr>
                <w:sz w:val="11"/>
                <w:szCs w:val="11"/>
                <w:color w:val="auto"/>
              </w:rPr>
            </w:pPr>
          </w:p>
        </w:tc>
        <w:tc>
          <w:tcPr>
            <w:tcW w:w="360" w:type="dxa"/>
            <w:vAlign w:val="bottom"/>
            <w:shd w:val="clear" w:color="auto" w:fill="F2F2F2"/>
          </w:tcPr>
          <w:p>
            <w:pPr>
              <w:jc w:val="center"/>
              <w:ind w:left="24"/>
              <w:spacing w:after="0" w:line="135" w:lineRule="exact"/>
              <w:rPr>
                <w:sz w:val="20"/>
                <w:szCs w:val="20"/>
                <w:color w:val="auto"/>
              </w:rPr>
            </w:pPr>
            <w:r>
              <w:rPr>
                <w:rFonts w:ascii="Arial" w:cs="Arial" w:eastAsia="Arial" w:hAnsi="Arial"/>
                <w:sz w:val="12"/>
                <w:szCs w:val="12"/>
                <w:b w:val="1"/>
                <w:bCs w:val="1"/>
                <w:color w:val="auto"/>
                <w:w w:val="94"/>
              </w:rPr>
              <w:t>Plus</w:t>
            </w:r>
          </w:p>
        </w:tc>
        <w:tc>
          <w:tcPr>
            <w:tcW w:w="400" w:type="dxa"/>
            <w:vAlign w:val="bottom"/>
            <w:shd w:val="clear" w:color="auto" w:fill="F2F2F2"/>
          </w:tcPr>
          <w:p>
            <w:pPr>
              <w:spacing w:after="0"/>
              <w:rPr>
                <w:sz w:val="11"/>
                <w:szCs w:val="11"/>
                <w:color w:val="auto"/>
              </w:rPr>
            </w:pPr>
          </w:p>
        </w:tc>
        <w:tc>
          <w:tcPr>
            <w:tcW w:w="120" w:type="dxa"/>
            <w:vAlign w:val="bottom"/>
            <w:shd w:val="clear" w:color="auto" w:fill="F2F2F2"/>
          </w:tcPr>
          <w:p>
            <w:pPr>
              <w:spacing w:after="0"/>
              <w:rPr>
                <w:sz w:val="11"/>
                <w:szCs w:val="11"/>
                <w:color w:val="auto"/>
              </w:rPr>
            </w:pPr>
          </w:p>
        </w:tc>
        <w:tc>
          <w:tcPr>
            <w:tcW w:w="40" w:type="dxa"/>
            <w:vAlign w:val="bottom"/>
            <w:shd w:val="clear" w:color="auto" w:fill="F2F2F2"/>
          </w:tcPr>
          <w:p>
            <w:pPr>
              <w:spacing w:after="0"/>
              <w:rPr>
                <w:sz w:val="11"/>
                <w:szCs w:val="11"/>
                <w:color w:val="auto"/>
              </w:rPr>
            </w:pPr>
          </w:p>
        </w:tc>
        <w:tc>
          <w:tcPr>
            <w:tcW w:w="1000" w:type="dxa"/>
            <w:vAlign w:val="bottom"/>
            <w:gridSpan w:val="3"/>
            <w:shd w:val="clear" w:color="auto" w:fill="F2F2F2"/>
          </w:tcPr>
          <w:p>
            <w:pPr>
              <w:jc w:val="center"/>
              <w:ind w:right="20"/>
              <w:spacing w:after="0" w:line="135" w:lineRule="exact"/>
              <w:rPr>
                <w:sz w:val="20"/>
                <w:szCs w:val="20"/>
                <w:color w:val="auto"/>
              </w:rPr>
            </w:pPr>
            <w:r>
              <w:rPr>
                <w:rFonts w:ascii="Arial" w:cs="Arial" w:eastAsia="Arial" w:hAnsi="Arial"/>
                <w:sz w:val="12"/>
                <w:szCs w:val="12"/>
                <w:b w:val="1"/>
                <w:bCs w:val="1"/>
                <w:color w:val="auto"/>
              </w:rPr>
              <w:t>Plus/(Minus)</w:t>
            </w:r>
          </w:p>
        </w:tc>
        <w:tc>
          <w:tcPr>
            <w:tcW w:w="120" w:type="dxa"/>
            <w:vAlign w:val="bottom"/>
            <w:shd w:val="clear" w:color="auto" w:fill="F2F2F2"/>
          </w:tcPr>
          <w:p>
            <w:pPr>
              <w:spacing w:after="0"/>
              <w:rPr>
                <w:sz w:val="11"/>
                <w:szCs w:val="11"/>
                <w:color w:val="auto"/>
              </w:rPr>
            </w:pPr>
          </w:p>
        </w:tc>
        <w:tc>
          <w:tcPr>
            <w:tcW w:w="40" w:type="dxa"/>
            <w:vAlign w:val="bottom"/>
            <w:shd w:val="clear" w:color="auto" w:fill="F2F2F2"/>
          </w:tcPr>
          <w:p>
            <w:pPr>
              <w:spacing w:after="0"/>
              <w:rPr>
                <w:sz w:val="11"/>
                <w:szCs w:val="11"/>
                <w:color w:val="auto"/>
              </w:rPr>
            </w:pPr>
          </w:p>
        </w:tc>
        <w:tc>
          <w:tcPr>
            <w:tcW w:w="840" w:type="dxa"/>
            <w:vAlign w:val="bottom"/>
            <w:shd w:val="clear" w:color="auto" w:fill="F2F2F2"/>
          </w:tcPr>
          <w:p>
            <w:pPr>
              <w:spacing w:after="0"/>
              <w:rPr>
                <w:sz w:val="11"/>
                <w:szCs w:val="11"/>
                <w:color w:val="auto"/>
              </w:rPr>
            </w:pPr>
          </w:p>
        </w:tc>
        <w:tc>
          <w:tcPr>
            <w:tcW w:w="40" w:type="dxa"/>
            <w:vAlign w:val="bottom"/>
            <w:shd w:val="clear" w:color="auto" w:fill="F2F2F2"/>
          </w:tcPr>
          <w:p>
            <w:pPr>
              <w:spacing w:after="0"/>
              <w:rPr>
                <w:sz w:val="11"/>
                <w:szCs w:val="11"/>
                <w:color w:val="auto"/>
              </w:rPr>
            </w:pPr>
          </w:p>
        </w:tc>
        <w:tc>
          <w:tcPr>
            <w:tcW w:w="100" w:type="dxa"/>
            <w:vAlign w:val="bottom"/>
            <w:shd w:val="clear" w:color="auto" w:fill="F2F2F2"/>
          </w:tcPr>
          <w:p>
            <w:pPr>
              <w:spacing w:after="0"/>
              <w:rPr>
                <w:sz w:val="11"/>
                <w:szCs w:val="11"/>
                <w:color w:val="auto"/>
              </w:rPr>
            </w:pPr>
          </w:p>
        </w:tc>
        <w:tc>
          <w:tcPr>
            <w:tcW w:w="40" w:type="dxa"/>
            <w:vAlign w:val="bottom"/>
            <w:shd w:val="clear" w:color="auto" w:fill="F2F2F2"/>
          </w:tcPr>
          <w:p>
            <w:pPr>
              <w:spacing w:after="0"/>
              <w:rPr>
                <w:sz w:val="11"/>
                <w:szCs w:val="11"/>
                <w:color w:val="auto"/>
              </w:rPr>
            </w:pPr>
          </w:p>
        </w:tc>
        <w:tc>
          <w:tcPr>
            <w:tcW w:w="120" w:type="dxa"/>
            <w:vAlign w:val="bottom"/>
            <w:shd w:val="clear" w:color="auto" w:fill="F2F2F2"/>
          </w:tcPr>
          <w:p>
            <w:pPr>
              <w:spacing w:after="0"/>
              <w:rPr>
                <w:sz w:val="11"/>
                <w:szCs w:val="11"/>
                <w:color w:val="auto"/>
              </w:rPr>
            </w:pPr>
          </w:p>
        </w:tc>
        <w:tc>
          <w:tcPr>
            <w:tcW w:w="2340" w:type="dxa"/>
            <w:vAlign w:val="bottom"/>
            <w:gridSpan w:val="10"/>
            <w:shd w:val="clear" w:color="auto" w:fill="F2F2F2"/>
          </w:tcPr>
          <w:p>
            <w:pPr>
              <w:spacing w:after="0" w:line="135" w:lineRule="exact"/>
              <w:rPr>
                <w:sz w:val="20"/>
                <w:szCs w:val="20"/>
                <w:color w:val="auto"/>
              </w:rPr>
            </w:pPr>
            <w:r>
              <w:rPr>
                <w:rFonts w:ascii="Arial" w:cs="Arial" w:eastAsia="Arial" w:hAnsi="Arial"/>
                <w:sz w:val="12"/>
                <w:szCs w:val="12"/>
                <w:b w:val="1"/>
                <w:bCs w:val="1"/>
                <w:color w:val="auto"/>
              </w:rPr>
              <w:t>Date of Option and  End of Option and</w:t>
            </w:r>
          </w:p>
        </w:tc>
        <w:tc>
          <w:tcPr>
            <w:tcW w:w="120" w:type="dxa"/>
            <w:vAlign w:val="bottom"/>
            <w:shd w:val="clear" w:color="auto" w:fill="F2F2F2"/>
          </w:tcPr>
          <w:p>
            <w:pPr>
              <w:spacing w:after="0"/>
              <w:rPr>
                <w:sz w:val="11"/>
                <w:szCs w:val="11"/>
                <w:color w:val="auto"/>
              </w:rPr>
            </w:pPr>
          </w:p>
        </w:tc>
        <w:tc>
          <w:tcPr>
            <w:tcW w:w="780" w:type="dxa"/>
            <w:vAlign w:val="bottom"/>
            <w:shd w:val="clear" w:color="auto" w:fill="F2F2F2"/>
          </w:tcPr>
          <w:p>
            <w:pPr>
              <w:spacing w:after="0"/>
              <w:rPr>
                <w:sz w:val="11"/>
                <w:szCs w:val="11"/>
                <w:color w:val="auto"/>
              </w:rPr>
            </w:pPr>
          </w:p>
        </w:tc>
        <w:tc>
          <w:tcPr>
            <w:tcW w:w="80" w:type="dxa"/>
            <w:vAlign w:val="bottom"/>
            <w:shd w:val="clear" w:color="auto" w:fill="F2F2F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0" w:type="dxa"/>
            <w:vAlign w:val="bottom"/>
            <w:shd w:val="clear" w:color="auto" w:fill="F2F2F2"/>
          </w:tcPr>
          <w:p>
            <w:pPr>
              <w:spacing w:after="0"/>
              <w:rPr>
                <w:sz w:val="11"/>
                <w:szCs w:val="11"/>
                <w:color w:val="auto"/>
              </w:rPr>
            </w:pPr>
          </w:p>
        </w:tc>
        <w:tc>
          <w:tcPr>
            <w:tcW w:w="180" w:type="dxa"/>
            <w:vAlign w:val="bottom"/>
            <w:shd w:val="clear" w:color="auto" w:fill="F2F2F2"/>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Borders>
              <w:right w:val="single" w:sz="8" w:color="F2F2F2"/>
            </w:tcBorders>
          </w:tcPr>
          <w:p>
            <w:pPr>
              <w:spacing w:after="0"/>
              <w:rPr>
                <w:sz w:val="11"/>
                <w:szCs w:val="11"/>
                <w:color w:val="auto"/>
              </w:rPr>
            </w:pPr>
          </w:p>
        </w:tc>
        <w:tc>
          <w:tcPr>
            <w:tcW w:w="560" w:type="dxa"/>
            <w:vAlign w:val="bottom"/>
            <w:shd w:val="clear" w:color="auto" w:fill="F2F2F2"/>
          </w:tcPr>
          <w:p>
            <w:pPr>
              <w:spacing w:after="0"/>
              <w:rPr>
                <w:sz w:val="11"/>
                <w:szCs w:val="11"/>
                <w:color w:val="auto"/>
              </w:rPr>
            </w:pPr>
          </w:p>
        </w:tc>
        <w:tc>
          <w:tcPr>
            <w:tcW w:w="140" w:type="dxa"/>
            <w:vAlign w:val="bottom"/>
            <w:shd w:val="clear" w:color="auto" w:fill="F2F2F2"/>
          </w:tcPr>
          <w:p>
            <w:pPr>
              <w:spacing w:after="0"/>
              <w:rPr>
                <w:sz w:val="11"/>
                <w:szCs w:val="11"/>
                <w:color w:val="auto"/>
              </w:rPr>
            </w:pPr>
          </w:p>
        </w:tc>
        <w:tc>
          <w:tcPr>
            <w:tcW w:w="320" w:type="dxa"/>
            <w:vAlign w:val="bottom"/>
            <w:shd w:val="clear" w:color="auto" w:fill="F2F2F2"/>
          </w:tcPr>
          <w:p>
            <w:pPr>
              <w:spacing w:after="0"/>
              <w:rPr>
                <w:sz w:val="11"/>
                <w:szCs w:val="11"/>
                <w:color w:val="auto"/>
              </w:rPr>
            </w:pPr>
          </w:p>
        </w:tc>
        <w:tc>
          <w:tcPr>
            <w:tcW w:w="120" w:type="dxa"/>
            <w:vAlign w:val="bottom"/>
            <w:shd w:val="clear" w:color="auto" w:fill="F2F2F2"/>
          </w:tcPr>
          <w:p>
            <w:pPr>
              <w:spacing w:after="0"/>
              <w:rPr>
                <w:sz w:val="11"/>
                <w:szCs w:val="11"/>
                <w:color w:val="auto"/>
              </w:rPr>
            </w:pPr>
          </w:p>
        </w:tc>
        <w:tc>
          <w:tcPr>
            <w:tcW w:w="1240" w:type="dxa"/>
            <w:vAlign w:val="bottom"/>
            <w:gridSpan w:val="5"/>
            <w:shd w:val="clear" w:color="auto" w:fill="F2F2F2"/>
          </w:tcPr>
          <w:p>
            <w:pPr>
              <w:jc w:val="center"/>
              <w:ind w:right="82"/>
              <w:spacing w:after="0" w:line="135" w:lineRule="exact"/>
              <w:rPr>
                <w:sz w:val="20"/>
                <w:szCs w:val="20"/>
                <w:color w:val="auto"/>
              </w:rPr>
            </w:pPr>
            <w:r>
              <w:rPr>
                <w:rFonts w:ascii="Arial" w:cs="Arial" w:eastAsia="Arial" w:hAnsi="Arial"/>
                <w:sz w:val="12"/>
                <w:szCs w:val="12"/>
                <w:b w:val="1"/>
                <w:bCs w:val="1"/>
                <w:color w:val="auto"/>
              </w:rPr>
              <w:t>Fair Value at Fiscal</w:t>
            </w:r>
          </w:p>
        </w:tc>
        <w:tc>
          <w:tcPr>
            <w:tcW w:w="1000" w:type="dxa"/>
            <w:vAlign w:val="bottom"/>
            <w:gridSpan w:val="3"/>
            <w:shd w:val="clear" w:color="auto" w:fill="F2F2F2"/>
          </w:tcPr>
          <w:p>
            <w:pPr>
              <w:jc w:val="center"/>
              <w:ind w:right="40"/>
              <w:spacing w:after="0" w:line="135" w:lineRule="exact"/>
              <w:rPr>
                <w:sz w:val="20"/>
                <w:szCs w:val="20"/>
                <w:color w:val="auto"/>
              </w:rPr>
            </w:pPr>
            <w:r>
              <w:rPr>
                <w:rFonts w:ascii="Arial" w:cs="Arial" w:eastAsia="Arial" w:hAnsi="Arial"/>
                <w:sz w:val="12"/>
                <w:szCs w:val="12"/>
                <w:b w:val="1"/>
                <w:bCs w:val="1"/>
                <w:color w:val="auto"/>
              </w:rPr>
              <w:t>Change in Fair</w:t>
            </w:r>
          </w:p>
        </w:tc>
        <w:tc>
          <w:tcPr>
            <w:tcW w:w="120" w:type="dxa"/>
            <w:vAlign w:val="bottom"/>
            <w:shd w:val="clear" w:color="auto" w:fill="F2F2F2"/>
          </w:tcPr>
          <w:p>
            <w:pPr>
              <w:spacing w:after="0"/>
              <w:rPr>
                <w:sz w:val="11"/>
                <w:szCs w:val="11"/>
                <w:color w:val="auto"/>
              </w:rPr>
            </w:pPr>
          </w:p>
        </w:tc>
        <w:tc>
          <w:tcPr>
            <w:tcW w:w="40" w:type="dxa"/>
            <w:vAlign w:val="bottom"/>
            <w:shd w:val="clear" w:color="auto" w:fill="F2F2F2"/>
          </w:tcPr>
          <w:p>
            <w:pPr>
              <w:spacing w:after="0"/>
              <w:rPr>
                <w:sz w:val="11"/>
                <w:szCs w:val="11"/>
                <w:color w:val="auto"/>
              </w:rPr>
            </w:pPr>
          </w:p>
        </w:tc>
        <w:tc>
          <w:tcPr>
            <w:tcW w:w="880" w:type="dxa"/>
            <w:vAlign w:val="bottom"/>
            <w:gridSpan w:val="2"/>
            <w:shd w:val="clear" w:color="auto" w:fill="F2F2F2"/>
          </w:tcPr>
          <w:p>
            <w:pPr>
              <w:jc w:val="center"/>
              <w:ind w:left="65"/>
              <w:spacing w:after="0" w:line="135" w:lineRule="exact"/>
              <w:rPr>
                <w:sz w:val="20"/>
                <w:szCs w:val="20"/>
                <w:color w:val="auto"/>
              </w:rPr>
            </w:pPr>
            <w:r>
              <w:rPr>
                <w:rFonts w:ascii="Arial" w:cs="Arial" w:eastAsia="Arial" w:hAnsi="Arial"/>
                <w:sz w:val="12"/>
                <w:szCs w:val="12"/>
                <w:b w:val="1"/>
                <w:bCs w:val="1"/>
                <w:color w:val="auto"/>
                <w:w w:val="94"/>
              </w:rPr>
              <w:t>Plus</w:t>
            </w:r>
          </w:p>
        </w:tc>
        <w:tc>
          <w:tcPr>
            <w:tcW w:w="100" w:type="dxa"/>
            <w:vAlign w:val="bottom"/>
            <w:shd w:val="clear" w:color="auto" w:fill="F2F2F2"/>
          </w:tcPr>
          <w:p>
            <w:pPr>
              <w:spacing w:after="0"/>
              <w:rPr>
                <w:sz w:val="11"/>
                <w:szCs w:val="11"/>
                <w:color w:val="auto"/>
              </w:rPr>
            </w:pPr>
          </w:p>
        </w:tc>
        <w:tc>
          <w:tcPr>
            <w:tcW w:w="40" w:type="dxa"/>
            <w:vAlign w:val="bottom"/>
            <w:shd w:val="clear" w:color="auto" w:fill="F2F2F2"/>
          </w:tcPr>
          <w:p>
            <w:pPr>
              <w:spacing w:after="0"/>
              <w:rPr>
                <w:sz w:val="11"/>
                <w:szCs w:val="11"/>
                <w:color w:val="auto"/>
              </w:rPr>
            </w:pPr>
          </w:p>
        </w:tc>
        <w:tc>
          <w:tcPr>
            <w:tcW w:w="120" w:type="dxa"/>
            <w:vAlign w:val="bottom"/>
            <w:shd w:val="clear" w:color="auto" w:fill="F2F2F2"/>
          </w:tcPr>
          <w:p>
            <w:pPr>
              <w:spacing w:after="0"/>
              <w:rPr>
                <w:sz w:val="11"/>
                <w:szCs w:val="11"/>
                <w:color w:val="auto"/>
              </w:rPr>
            </w:pPr>
          </w:p>
        </w:tc>
        <w:tc>
          <w:tcPr>
            <w:tcW w:w="1100" w:type="dxa"/>
            <w:vAlign w:val="bottom"/>
            <w:gridSpan w:val="3"/>
            <w:shd w:val="clear" w:color="auto" w:fill="F2F2F2"/>
          </w:tcPr>
          <w:p>
            <w:pPr>
              <w:jc w:val="center"/>
              <w:spacing w:after="0" w:line="135" w:lineRule="exact"/>
              <w:rPr>
                <w:sz w:val="20"/>
                <w:szCs w:val="20"/>
                <w:color w:val="auto"/>
              </w:rPr>
            </w:pPr>
            <w:r>
              <w:rPr>
                <w:rFonts w:ascii="Arial" w:cs="Arial" w:eastAsia="Arial" w:hAnsi="Arial"/>
                <w:sz w:val="12"/>
                <w:szCs w:val="12"/>
                <w:b w:val="1"/>
                <w:bCs w:val="1"/>
                <w:color w:val="auto"/>
                <w:w w:val="98"/>
              </w:rPr>
              <w:t>Stock Awards</w:t>
            </w:r>
          </w:p>
        </w:tc>
        <w:tc>
          <w:tcPr>
            <w:tcW w:w="180" w:type="dxa"/>
            <w:vAlign w:val="bottom"/>
            <w:shd w:val="clear" w:color="auto" w:fill="F2F2F2"/>
          </w:tcPr>
          <w:p>
            <w:pPr>
              <w:spacing w:after="0"/>
              <w:rPr>
                <w:sz w:val="11"/>
                <w:szCs w:val="11"/>
                <w:color w:val="auto"/>
              </w:rPr>
            </w:pPr>
          </w:p>
        </w:tc>
        <w:tc>
          <w:tcPr>
            <w:tcW w:w="100" w:type="dxa"/>
            <w:vAlign w:val="bottom"/>
            <w:shd w:val="clear" w:color="auto" w:fill="F2F2F2"/>
          </w:tcPr>
          <w:p>
            <w:pPr>
              <w:spacing w:after="0"/>
              <w:rPr>
                <w:sz w:val="11"/>
                <w:szCs w:val="11"/>
                <w:color w:val="auto"/>
              </w:rPr>
            </w:pPr>
          </w:p>
        </w:tc>
        <w:tc>
          <w:tcPr>
            <w:tcW w:w="840" w:type="dxa"/>
            <w:vAlign w:val="bottom"/>
            <w:gridSpan w:val="3"/>
            <w:shd w:val="clear" w:color="auto" w:fill="F2F2F2"/>
          </w:tcPr>
          <w:p>
            <w:pPr>
              <w:jc w:val="center"/>
              <w:ind w:right="5"/>
              <w:spacing w:after="0" w:line="135" w:lineRule="exact"/>
              <w:rPr>
                <w:sz w:val="20"/>
                <w:szCs w:val="20"/>
                <w:color w:val="auto"/>
              </w:rPr>
            </w:pPr>
            <w:r>
              <w:rPr>
                <w:rFonts w:ascii="Arial" w:cs="Arial" w:eastAsia="Arial" w:hAnsi="Arial"/>
                <w:sz w:val="12"/>
                <w:szCs w:val="12"/>
                <w:b w:val="1"/>
                <w:bCs w:val="1"/>
                <w:color w:val="auto"/>
                <w:w w:val="98"/>
              </w:rPr>
              <w:t>Stock Awards</w:t>
            </w:r>
          </w:p>
        </w:tc>
        <w:tc>
          <w:tcPr>
            <w:tcW w:w="80" w:type="dxa"/>
            <w:vAlign w:val="bottom"/>
            <w:shd w:val="clear" w:color="auto" w:fill="F2F2F2"/>
          </w:tcPr>
          <w:p>
            <w:pPr>
              <w:spacing w:after="0"/>
              <w:rPr>
                <w:sz w:val="11"/>
                <w:szCs w:val="11"/>
                <w:color w:val="auto"/>
              </w:rPr>
            </w:pPr>
          </w:p>
        </w:tc>
        <w:tc>
          <w:tcPr>
            <w:tcW w:w="40" w:type="dxa"/>
            <w:vAlign w:val="bottom"/>
            <w:shd w:val="clear" w:color="auto" w:fill="F2F2F2"/>
          </w:tcPr>
          <w:p>
            <w:pPr>
              <w:spacing w:after="0"/>
              <w:rPr>
                <w:sz w:val="11"/>
                <w:szCs w:val="11"/>
                <w:color w:val="auto"/>
              </w:rPr>
            </w:pPr>
          </w:p>
        </w:tc>
        <w:tc>
          <w:tcPr>
            <w:tcW w:w="120" w:type="dxa"/>
            <w:vAlign w:val="bottom"/>
            <w:shd w:val="clear" w:color="auto" w:fill="F2F2F2"/>
          </w:tcPr>
          <w:p>
            <w:pPr>
              <w:spacing w:after="0"/>
              <w:rPr>
                <w:sz w:val="11"/>
                <w:szCs w:val="11"/>
                <w:color w:val="auto"/>
              </w:rPr>
            </w:pPr>
          </w:p>
        </w:tc>
        <w:tc>
          <w:tcPr>
            <w:tcW w:w="780" w:type="dxa"/>
            <w:vAlign w:val="bottom"/>
            <w:shd w:val="clear" w:color="auto" w:fill="F2F2F2"/>
          </w:tcPr>
          <w:p>
            <w:pPr>
              <w:spacing w:after="0"/>
              <w:rPr>
                <w:sz w:val="11"/>
                <w:szCs w:val="11"/>
                <w:color w:val="auto"/>
              </w:rPr>
            </w:pPr>
          </w:p>
        </w:tc>
        <w:tc>
          <w:tcPr>
            <w:tcW w:w="80" w:type="dxa"/>
            <w:vAlign w:val="bottom"/>
            <w:shd w:val="clear" w:color="auto" w:fill="F2F2F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0" w:type="dxa"/>
            <w:vAlign w:val="bottom"/>
            <w:shd w:val="clear" w:color="auto" w:fill="F2F2F2"/>
          </w:tcPr>
          <w:p>
            <w:pPr>
              <w:spacing w:after="0"/>
              <w:rPr>
                <w:sz w:val="11"/>
                <w:szCs w:val="11"/>
                <w:color w:val="auto"/>
              </w:rPr>
            </w:pPr>
          </w:p>
        </w:tc>
        <w:tc>
          <w:tcPr>
            <w:tcW w:w="180" w:type="dxa"/>
            <w:vAlign w:val="bottom"/>
            <w:shd w:val="clear" w:color="auto" w:fill="F2F2F2"/>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jc w:val="center"/>
              <w:ind w:left="243"/>
              <w:spacing w:after="0" w:line="118" w:lineRule="exact"/>
              <w:rPr>
                <w:sz w:val="20"/>
                <w:szCs w:val="20"/>
                <w:color w:val="auto"/>
              </w:rPr>
            </w:pPr>
            <w:r>
              <w:rPr>
                <w:rFonts w:ascii="Arial" w:cs="Arial" w:eastAsia="Arial" w:hAnsi="Arial"/>
                <w:sz w:val="12"/>
                <w:szCs w:val="12"/>
                <w:b w:val="1"/>
                <w:bCs w:val="1"/>
                <w:color w:val="auto"/>
              </w:rPr>
              <w:t>Minus</w:t>
            </w:r>
          </w:p>
        </w:tc>
        <w:tc>
          <w:tcPr>
            <w:tcW w:w="320" w:type="dxa"/>
            <w:vAlign w:val="bottom"/>
          </w:tcPr>
          <w:p>
            <w:pPr>
              <w:spacing w:after="0"/>
              <w:rPr>
                <w:sz w:val="11"/>
                <w:szCs w:val="11"/>
                <w:color w:val="auto"/>
              </w:rPr>
            </w:pPr>
          </w:p>
        </w:tc>
        <w:tc>
          <w:tcPr>
            <w:tcW w:w="120" w:type="dxa"/>
            <w:vAlign w:val="bottom"/>
            <w:shd w:val="clear" w:color="auto" w:fill="F2F2F2"/>
          </w:tcPr>
          <w:p>
            <w:pPr>
              <w:spacing w:after="0"/>
              <w:rPr>
                <w:sz w:val="11"/>
                <w:szCs w:val="11"/>
                <w:color w:val="auto"/>
              </w:rPr>
            </w:pPr>
          </w:p>
        </w:tc>
        <w:tc>
          <w:tcPr>
            <w:tcW w:w="1240" w:type="dxa"/>
            <w:vAlign w:val="bottom"/>
            <w:gridSpan w:val="5"/>
            <w:shd w:val="clear" w:color="auto" w:fill="F2F2F2"/>
          </w:tcPr>
          <w:p>
            <w:pPr>
              <w:jc w:val="center"/>
              <w:ind w:right="82"/>
              <w:spacing w:after="0" w:line="135" w:lineRule="exact"/>
              <w:rPr>
                <w:sz w:val="20"/>
                <w:szCs w:val="20"/>
                <w:color w:val="auto"/>
              </w:rPr>
            </w:pPr>
            <w:r>
              <w:rPr>
                <w:rFonts w:ascii="Arial" w:cs="Arial" w:eastAsia="Arial" w:hAnsi="Arial"/>
                <w:sz w:val="12"/>
                <w:szCs w:val="12"/>
                <w:b w:val="1"/>
                <w:bCs w:val="1"/>
                <w:color w:val="auto"/>
                <w:w w:val="97"/>
              </w:rPr>
              <w:t>Year-End of</w:t>
            </w:r>
          </w:p>
        </w:tc>
        <w:tc>
          <w:tcPr>
            <w:tcW w:w="140" w:type="dxa"/>
            <w:vAlign w:val="bottom"/>
            <w:shd w:val="clear" w:color="auto" w:fill="F2F2F2"/>
          </w:tcPr>
          <w:p>
            <w:pPr>
              <w:spacing w:after="0"/>
              <w:rPr>
                <w:sz w:val="11"/>
                <w:szCs w:val="11"/>
                <w:color w:val="auto"/>
              </w:rPr>
            </w:pPr>
          </w:p>
        </w:tc>
        <w:tc>
          <w:tcPr>
            <w:tcW w:w="860" w:type="dxa"/>
            <w:vAlign w:val="bottom"/>
            <w:gridSpan w:val="2"/>
            <w:shd w:val="clear" w:color="auto" w:fill="F2F2F2"/>
          </w:tcPr>
          <w:p>
            <w:pPr>
              <w:jc w:val="center"/>
              <w:ind w:right="160"/>
              <w:spacing w:after="0" w:line="135" w:lineRule="exact"/>
              <w:rPr>
                <w:sz w:val="20"/>
                <w:szCs w:val="20"/>
                <w:color w:val="auto"/>
              </w:rPr>
            </w:pPr>
            <w:r>
              <w:rPr>
                <w:rFonts w:ascii="Arial" w:cs="Arial" w:eastAsia="Arial" w:hAnsi="Arial"/>
                <w:sz w:val="12"/>
                <w:szCs w:val="12"/>
                <w:b w:val="1"/>
                <w:bCs w:val="1"/>
                <w:color w:val="auto"/>
                <w:w w:val="98"/>
              </w:rPr>
              <w:t>Value of</w:t>
            </w:r>
          </w:p>
        </w:tc>
        <w:tc>
          <w:tcPr>
            <w:tcW w:w="120" w:type="dxa"/>
            <w:vAlign w:val="bottom"/>
            <w:shd w:val="clear" w:color="auto" w:fill="F2F2F2"/>
          </w:tcPr>
          <w:p>
            <w:pPr>
              <w:spacing w:after="0"/>
              <w:rPr>
                <w:sz w:val="11"/>
                <w:szCs w:val="11"/>
                <w:color w:val="auto"/>
              </w:rPr>
            </w:pPr>
          </w:p>
        </w:tc>
        <w:tc>
          <w:tcPr>
            <w:tcW w:w="40" w:type="dxa"/>
            <w:vAlign w:val="bottom"/>
            <w:shd w:val="clear" w:color="auto" w:fill="F2F2F2"/>
          </w:tcPr>
          <w:p>
            <w:pPr>
              <w:spacing w:after="0"/>
              <w:rPr>
                <w:sz w:val="11"/>
                <w:szCs w:val="11"/>
                <w:color w:val="auto"/>
              </w:rPr>
            </w:pPr>
          </w:p>
        </w:tc>
        <w:tc>
          <w:tcPr>
            <w:tcW w:w="880" w:type="dxa"/>
            <w:vAlign w:val="bottom"/>
            <w:gridSpan w:val="2"/>
            <w:shd w:val="clear" w:color="auto" w:fill="F2F2F2"/>
          </w:tcPr>
          <w:p>
            <w:pPr>
              <w:jc w:val="center"/>
              <w:ind w:left="45"/>
              <w:spacing w:after="0" w:line="135" w:lineRule="exact"/>
              <w:rPr>
                <w:sz w:val="20"/>
                <w:szCs w:val="20"/>
                <w:color w:val="auto"/>
              </w:rPr>
            </w:pPr>
            <w:r>
              <w:rPr>
                <w:rFonts w:ascii="Arial" w:cs="Arial" w:eastAsia="Arial" w:hAnsi="Arial"/>
                <w:sz w:val="12"/>
                <w:szCs w:val="12"/>
                <w:b w:val="1"/>
                <w:bCs w:val="1"/>
                <w:color w:val="auto"/>
              </w:rPr>
              <w:t>Fair Value at</w:t>
            </w:r>
          </w:p>
        </w:tc>
        <w:tc>
          <w:tcPr>
            <w:tcW w:w="100" w:type="dxa"/>
            <w:vAlign w:val="bottom"/>
            <w:shd w:val="clear" w:color="auto" w:fill="F2F2F2"/>
          </w:tcPr>
          <w:p>
            <w:pPr>
              <w:spacing w:after="0"/>
              <w:rPr>
                <w:sz w:val="11"/>
                <w:szCs w:val="11"/>
                <w:color w:val="auto"/>
              </w:rPr>
            </w:pPr>
          </w:p>
        </w:tc>
        <w:tc>
          <w:tcPr>
            <w:tcW w:w="40" w:type="dxa"/>
            <w:vAlign w:val="bottom"/>
            <w:shd w:val="clear" w:color="auto" w:fill="F2F2F2"/>
          </w:tcPr>
          <w:p>
            <w:pPr>
              <w:spacing w:after="0"/>
              <w:rPr>
                <w:sz w:val="11"/>
                <w:szCs w:val="11"/>
                <w:color w:val="auto"/>
              </w:rPr>
            </w:pPr>
          </w:p>
        </w:tc>
        <w:tc>
          <w:tcPr>
            <w:tcW w:w="120" w:type="dxa"/>
            <w:vAlign w:val="bottom"/>
            <w:shd w:val="clear" w:color="auto" w:fill="F2F2F2"/>
          </w:tcPr>
          <w:p>
            <w:pPr>
              <w:spacing w:after="0"/>
              <w:rPr>
                <w:sz w:val="11"/>
                <w:szCs w:val="11"/>
                <w:color w:val="auto"/>
              </w:rPr>
            </w:pPr>
          </w:p>
        </w:tc>
        <w:tc>
          <w:tcPr>
            <w:tcW w:w="1100" w:type="dxa"/>
            <w:vAlign w:val="bottom"/>
            <w:gridSpan w:val="3"/>
            <w:shd w:val="clear" w:color="auto" w:fill="F2F2F2"/>
          </w:tcPr>
          <w:p>
            <w:pPr>
              <w:jc w:val="center"/>
              <w:spacing w:after="0" w:line="135" w:lineRule="exact"/>
              <w:rPr>
                <w:sz w:val="20"/>
                <w:szCs w:val="20"/>
                <w:color w:val="auto"/>
              </w:rPr>
            </w:pPr>
            <w:r>
              <w:rPr>
                <w:rFonts w:ascii="Arial" w:cs="Arial" w:eastAsia="Arial" w:hAnsi="Arial"/>
                <w:sz w:val="12"/>
                <w:szCs w:val="12"/>
                <w:b w:val="1"/>
                <w:bCs w:val="1"/>
                <w:color w:val="auto"/>
              </w:rPr>
              <w:t>Granted in Prior</w:t>
            </w:r>
          </w:p>
        </w:tc>
        <w:tc>
          <w:tcPr>
            <w:tcW w:w="180" w:type="dxa"/>
            <w:vAlign w:val="bottom"/>
            <w:shd w:val="clear" w:color="auto" w:fill="F2F2F2"/>
          </w:tcPr>
          <w:p>
            <w:pPr>
              <w:spacing w:after="0"/>
              <w:rPr>
                <w:sz w:val="11"/>
                <w:szCs w:val="11"/>
                <w:color w:val="auto"/>
              </w:rPr>
            </w:pPr>
          </w:p>
        </w:tc>
        <w:tc>
          <w:tcPr>
            <w:tcW w:w="1060" w:type="dxa"/>
            <w:vAlign w:val="bottom"/>
            <w:gridSpan w:val="6"/>
            <w:shd w:val="clear" w:color="auto" w:fill="F2F2F2"/>
          </w:tcPr>
          <w:p>
            <w:pPr>
              <w:jc w:val="center"/>
              <w:ind w:right="80"/>
              <w:spacing w:after="0" w:line="135" w:lineRule="exact"/>
              <w:rPr>
                <w:sz w:val="20"/>
                <w:szCs w:val="20"/>
                <w:color w:val="auto"/>
              </w:rPr>
            </w:pPr>
            <w:r>
              <w:rPr>
                <w:rFonts w:ascii="Arial" w:cs="Arial" w:eastAsia="Arial" w:hAnsi="Arial"/>
                <w:sz w:val="12"/>
                <w:szCs w:val="12"/>
                <w:b w:val="1"/>
                <w:bCs w:val="1"/>
                <w:color w:val="auto"/>
              </w:rPr>
              <w:t>Granted in Prior</w:t>
            </w:r>
          </w:p>
        </w:tc>
        <w:tc>
          <w:tcPr>
            <w:tcW w:w="120" w:type="dxa"/>
            <w:vAlign w:val="bottom"/>
            <w:shd w:val="clear" w:color="auto" w:fill="F2F2F2"/>
          </w:tcPr>
          <w:p>
            <w:pPr>
              <w:spacing w:after="0"/>
              <w:rPr>
                <w:sz w:val="11"/>
                <w:szCs w:val="11"/>
                <w:color w:val="auto"/>
              </w:rPr>
            </w:pPr>
          </w:p>
        </w:tc>
        <w:tc>
          <w:tcPr>
            <w:tcW w:w="780" w:type="dxa"/>
            <w:vAlign w:val="bottom"/>
            <w:shd w:val="clear" w:color="auto" w:fill="F2F2F2"/>
          </w:tcPr>
          <w:p>
            <w:pPr>
              <w:spacing w:after="0"/>
              <w:rPr>
                <w:sz w:val="11"/>
                <w:szCs w:val="11"/>
                <w:color w:val="auto"/>
              </w:rPr>
            </w:pPr>
          </w:p>
        </w:tc>
        <w:tc>
          <w:tcPr>
            <w:tcW w:w="80" w:type="dxa"/>
            <w:vAlign w:val="bottom"/>
            <w:shd w:val="clear" w:color="auto" w:fill="F2F2F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0" w:type="dxa"/>
            <w:vAlign w:val="bottom"/>
            <w:shd w:val="clear" w:color="auto" w:fill="F2F2F2"/>
          </w:tcPr>
          <w:p>
            <w:pPr>
              <w:spacing w:after="0"/>
              <w:rPr>
                <w:sz w:val="11"/>
                <w:szCs w:val="11"/>
                <w:color w:val="auto"/>
              </w:rPr>
            </w:pPr>
          </w:p>
        </w:tc>
        <w:tc>
          <w:tcPr>
            <w:tcW w:w="180" w:type="dxa"/>
            <w:vAlign w:val="bottom"/>
            <w:shd w:val="clear" w:color="auto" w:fill="F2F2F2"/>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3"/>
          </w:tcPr>
          <w:p>
            <w:pPr>
              <w:jc w:val="center"/>
              <w:spacing w:after="0" w:line="135" w:lineRule="exact"/>
              <w:rPr>
                <w:sz w:val="20"/>
                <w:szCs w:val="20"/>
                <w:color w:val="auto"/>
              </w:rPr>
            </w:pPr>
            <w:r>
              <w:rPr>
                <w:rFonts w:ascii="Arial" w:cs="Arial" w:eastAsia="Arial" w:hAnsi="Arial"/>
                <w:sz w:val="12"/>
                <w:szCs w:val="12"/>
                <w:b w:val="1"/>
                <w:bCs w:val="1"/>
                <w:color w:val="auto"/>
              </w:rPr>
              <w:t>Grant Date Fair</w:t>
            </w:r>
          </w:p>
        </w:tc>
        <w:tc>
          <w:tcPr>
            <w:tcW w:w="120" w:type="dxa"/>
            <w:vAlign w:val="bottom"/>
          </w:tcPr>
          <w:p>
            <w:pPr>
              <w:spacing w:after="0"/>
              <w:rPr>
                <w:sz w:val="11"/>
                <w:szCs w:val="11"/>
                <w:color w:val="auto"/>
              </w:rPr>
            </w:pPr>
          </w:p>
        </w:tc>
        <w:tc>
          <w:tcPr>
            <w:tcW w:w="1080" w:type="dxa"/>
            <w:vAlign w:val="bottom"/>
            <w:gridSpan w:val="3"/>
            <w:shd w:val="clear" w:color="auto" w:fill="F2F2F2"/>
          </w:tcPr>
          <w:p>
            <w:pPr>
              <w:jc w:val="center"/>
              <w:spacing w:after="0" w:line="135" w:lineRule="exact"/>
              <w:rPr>
                <w:sz w:val="20"/>
                <w:szCs w:val="20"/>
                <w:color w:val="auto"/>
              </w:rPr>
            </w:pPr>
            <w:r>
              <w:rPr>
                <w:rFonts w:ascii="Arial" w:cs="Arial" w:eastAsia="Arial" w:hAnsi="Arial"/>
                <w:sz w:val="12"/>
                <w:szCs w:val="12"/>
                <w:b w:val="1"/>
                <w:bCs w:val="1"/>
                <w:color w:val="auto"/>
              </w:rPr>
              <w:t>Outstanding and</w:t>
            </w:r>
          </w:p>
        </w:tc>
        <w:tc>
          <w:tcPr>
            <w:tcW w:w="160" w:type="dxa"/>
            <w:vAlign w:val="bottom"/>
            <w:gridSpan w:val="2"/>
            <w:shd w:val="clear" w:color="auto" w:fill="F2F2F2"/>
          </w:tcPr>
          <w:p>
            <w:pPr>
              <w:spacing w:after="0"/>
              <w:rPr>
                <w:sz w:val="11"/>
                <w:szCs w:val="11"/>
                <w:color w:val="auto"/>
              </w:rPr>
            </w:pPr>
          </w:p>
        </w:tc>
        <w:tc>
          <w:tcPr>
            <w:tcW w:w="1000" w:type="dxa"/>
            <w:vAlign w:val="bottom"/>
            <w:gridSpan w:val="3"/>
            <w:shd w:val="clear" w:color="auto" w:fill="F2F2F2"/>
          </w:tcPr>
          <w:p>
            <w:pPr>
              <w:jc w:val="center"/>
              <w:ind w:right="20"/>
              <w:spacing w:after="0" w:line="135" w:lineRule="exact"/>
              <w:rPr>
                <w:sz w:val="20"/>
                <w:szCs w:val="20"/>
                <w:color w:val="auto"/>
              </w:rPr>
            </w:pPr>
            <w:r>
              <w:rPr>
                <w:rFonts w:ascii="Arial" w:cs="Arial" w:eastAsia="Arial" w:hAnsi="Arial"/>
                <w:sz w:val="12"/>
                <w:szCs w:val="12"/>
                <w:b w:val="1"/>
                <w:bCs w:val="1"/>
                <w:color w:val="auto"/>
              </w:rPr>
              <w:t>Outstanding and</w:t>
            </w:r>
          </w:p>
        </w:tc>
        <w:tc>
          <w:tcPr>
            <w:tcW w:w="120" w:type="dxa"/>
            <w:vAlign w:val="bottom"/>
            <w:shd w:val="clear" w:color="auto" w:fill="F2F2F2"/>
          </w:tcPr>
          <w:p>
            <w:pPr>
              <w:spacing w:after="0"/>
              <w:rPr>
                <w:sz w:val="11"/>
                <w:szCs w:val="11"/>
                <w:color w:val="auto"/>
              </w:rPr>
            </w:pPr>
          </w:p>
        </w:tc>
        <w:tc>
          <w:tcPr>
            <w:tcW w:w="1060" w:type="dxa"/>
            <w:vAlign w:val="bottom"/>
            <w:gridSpan w:val="5"/>
            <w:shd w:val="clear" w:color="auto" w:fill="F2F2F2"/>
          </w:tcPr>
          <w:p>
            <w:pPr>
              <w:jc w:val="center"/>
              <w:spacing w:after="0" w:line="135" w:lineRule="exact"/>
              <w:rPr>
                <w:sz w:val="20"/>
                <w:szCs w:val="20"/>
                <w:color w:val="auto"/>
              </w:rPr>
            </w:pPr>
            <w:r>
              <w:rPr>
                <w:rFonts w:ascii="Arial" w:cs="Arial" w:eastAsia="Arial" w:hAnsi="Arial"/>
                <w:sz w:val="12"/>
                <w:szCs w:val="12"/>
                <w:b w:val="1"/>
                <w:bCs w:val="1"/>
                <w:color w:val="auto"/>
              </w:rPr>
              <w:t>Vesting of Option</w:t>
            </w:r>
          </w:p>
        </w:tc>
        <w:tc>
          <w:tcPr>
            <w:tcW w:w="120" w:type="dxa"/>
            <w:vAlign w:val="bottom"/>
            <w:shd w:val="clear" w:color="auto" w:fill="F2F2F2"/>
          </w:tcPr>
          <w:p>
            <w:pPr>
              <w:spacing w:after="0"/>
              <w:rPr>
                <w:sz w:val="11"/>
                <w:szCs w:val="11"/>
                <w:color w:val="auto"/>
              </w:rPr>
            </w:pPr>
          </w:p>
        </w:tc>
        <w:tc>
          <w:tcPr>
            <w:tcW w:w="1100" w:type="dxa"/>
            <w:vAlign w:val="bottom"/>
            <w:gridSpan w:val="3"/>
            <w:shd w:val="clear" w:color="auto" w:fill="F2F2F2"/>
          </w:tcPr>
          <w:p>
            <w:pPr>
              <w:jc w:val="center"/>
              <w:spacing w:after="0" w:line="135" w:lineRule="exact"/>
              <w:rPr>
                <w:sz w:val="20"/>
                <w:szCs w:val="20"/>
                <w:color w:val="auto"/>
              </w:rPr>
            </w:pPr>
            <w:r>
              <w:rPr>
                <w:rFonts w:ascii="Arial" w:cs="Arial" w:eastAsia="Arial" w:hAnsi="Arial"/>
                <w:sz w:val="12"/>
                <w:szCs w:val="12"/>
                <w:b w:val="1"/>
                <w:bCs w:val="1"/>
                <w:color w:val="auto"/>
              </w:rPr>
              <w:t>Years for which</w:t>
            </w:r>
          </w:p>
        </w:tc>
        <w:tc>
          <w:tcPr>
            <w:tcW w:w="180" w:type="dxa"/>
            <w:vAlign w:val="bottom"/>
            <w:shd w:val="clear" w:color="auto" w:fill="F2F2F2"/>
          </w:tcPr>
          <w:p>
            <w:pPr>
              <w:spacing w:after="0"/>
              <w:rPr>
                <w:sz w:val="11"/>
                <w:szCs w:val="11"/>
                <w:color w:val="auto"/>
              </w:rPr>
            </w:pPr>
          </w:p>
        </w:tc>
        <w:tc>
          <w:tcPr>
            <w:tcW w:w="1060" w:type="dxa"/>
            <w:vAlign w:val="bottom"/>
            <w:gridSpan w:val="6"/>
            <w:shd w:val="clear" w:color="auto" w:fill="F2F2F2"/>
          </w:tcPr>
          <w:p>
            <w:pPr>
              <w:jc w:val="center"/>
              <w:ind w:right="80"/>
              <w:spacing w:after="0" w:line="135" w:lineRule="exact"/>
              <w:rPr>
                <w:sz w:val="20"/>
                <w:szCs w:val="20"/>
                <w:color w:val="auto"/>
              </w:rPr>
            </w:pPr>
            <w:r>
              <w:rPr>
                <w:rFonts w:ascii="Arial" w:cs="Arial" w:eastAsia="Arial" w:hAnsi="Arial"/>
                <w:sz w:val="12"/>
                <w:szCs w:val="12"/>
                <w:b w:val="1"/>
                <w:bCs w:val="1"/>
                <w:color w:val="auto"/>
                <w:w w:val="98"/>
              </w:rPr>
              <w:t>Fiscal Years that</w:t>
            </w:r>
          </w:p>
        </w:tc>
        <w:tc>
          <w:tcPr>
            <w:tcW w:w="120" w:type="dxa"/>
            <w:vAlign w:val="bottom"/>
            <w:shd w:val="clear" w:color="auto" w:fill="F2F2F2"/>
          </w:tcPr>
          <w:p>
            <w:pPr>
              <w:spacing w:after="0"/>
              <w:rPr>
                <w:sz w:val="11"/>
                <w:szCs w:val="11"/>
                <w:color w:val="auto"/>
              </w:rPr>
            </w:pPr>
          </w:p>
        </w:tc>
        <w:tc>
          <w:tcPr>
            <w:tcW w:w="780" w:type="dxa"/>
            <w:vAlign w:val="bottom"/>
            <w:shd w:val="clear" w:color="auto" w:fill="F2F2F2"/>
          </w:tcPr>
          <w:p>
            <w:pPr>
              <w:spacing w:after="0"/>
              <w:rPr>
                <w:sz w:val="11"/>
                <w:szCs w:val="11"/>
                <w:color w:val="auto"/>
              </w:rPr>
            </w:pPr>
          </w:p>
        </w:tc>
        <w:tc>
          <w:tcPr>
            <w:tcW w:w="80" w:type="dxa"/>
            <w:vAlign w:val="bottom"/>
            <w:shd w:val="clear" w:color="auto" w:fill="F2F2F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0" w:type="dxa"/>
            <w:vAlign w:val="bottom"/>
            <w:shd w:val="clear" w:color="auto" w:fill="F2F2F2"/>
          </w:tcPr>
          <w:p>
            <w:pPr>
              <w:spacing w:after="0"/>
              <w:rPr>
                <w:sz w:val="11"/>
                <w:szCs w:val="11"/>
                <w:color w:val="auto"/>
              </w:rPr>
            </w:pPr>
          </w:p>
        </w:tc>
        <w:tc>
          <w:tcPr>
            <w:tcW w:w="180" w:type="dxa"/>
            <w:vAlign w:val="bottom"/>
            <w:shd w:val="clear" w:color="auto" w:fill="F2F2F2"/>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Summary</w:t>
            </w:r>
          </w:p>
        </w:tc>
        <w:tc>
          <w:tcPr>
            <w:tcW w:w="160" w:type="dxa"/>
            <w:vAlign w:val="bottom"/>
          </w:tcPr>
          <w:p>
            <w:pPr>
              <w:spacing w:after="0"/>
              <w:rPr>
                <w:sz w:val="11"/>
                <w:szCs w:val="11"/>
                <w:color w:val="auto"/>
              </w:rPr>
            </w:pPr>
          </w:p>
        </w:tc>
        <w:tc>
          <w:tcPr>
            <w:tcW w:w="1020" w:type="dxa"/>
            <w:vAlign w:val="bottom"/>
            <w:gridSpan w:val="3"/>
          </w:tcPr>
          <w:p>
            <w:pPr>
              <w:jc w:val="center"/>
              <w:spacing w:after="0" w:line="135" w:lineRule="exact"/>
              <w:rPr>
                <w:sz w:val="20"/>
                <w:szCs w:val="20"/>
                <w:color w:val="auto"/>
              </w:rPr>
            </w:pPr>
            <w:r>
              <w:rPr>
                <w:rFonts w:ascii="Arial" w:cs="Arial" w:eastAsia="Arial" w:hAnsi="Arial"/>
                <w:sz w:val="12"/>
                <w:szCs w:val="12"/>
                <w:b w:val="1"/>
                <w:bCs w:val="1"/>
                <w:color w:val="auto"/>
              </w:rPr>
              <w:t>Value of Option</w:t>
            </w:r>
          </w:p>
        </w:tc>
        <w:tc>
          <w:tcPr>
            <w:tcW w:w="120" w:type="dxa"/>
            <w:vAlign w:val="bottom"/>
          </w:tcPr>
          <w:p>
            <w:pPr>
              <w:spacing w:after="0"/>
              <w:rPr>
                <w:sz w:val="11"/>
                <w:szCs w:val="11"/>
                <w:color w:val="auto"/>
              </w:rPr>
            </w:pPr>
          </w:p>
        </w:tc>
        <w:tc>
          <w:tcPr>
            <w:tcW w:w="1080" w:type="dxa"/>
            <w:vAlign w:val="bottom"/>
            <w:gridSpan w:val="3"/>
          </w:tcPr>
          <w:p>
            <w:pPr>
              <w:jc w:val="center"/>
              <w:spacing w:after="0" w:line="118" w:lineRule="exact"/>
              <w:rPr>
                <w:sz w:val="20"/>
                <w:szCs w:val="20"/>
                <w:color w:val="auto"/>
              </w:rPr>
            </w:pPr>
            <w:r>
              <w:rPr>
                <w:rFonts w:ascii="Arial" w:cs="Arial" w:eastAsia="Arial" w:hAnsi="Arial"/>
                <w:sz w:val="12"/>
                <w:szCs w:val="12"/>
                <w:b w:val="1"/>
                <w:bCs w:val="1"/>
                <w:color w:val="auto"/>
              </w:rPr>
              <w:t>Unvested Option</w:t>
            </w:r>
          </w:p>
        </w:tc>
        <w:tc>
          <w:tcPr>
            <w:tcW w:w="120" w:type="dxa"/>
            <w:vAlign w:val="bottom"/>
            <w:shd w:val="clear" w:color="auto" w:fill="F2F2F2"/>
          </w:tcPr>
          <w:p>
            <w:pPr>
              <w:spacing w:after="0"/>
              <w:rPr>
                <w:sz w:val="11"/>
                <w:szCs w:val="11"/>
                <w:color w:val="auto"/>
              </w:rPr>
            </w:pPr>
          </w:p>
        </w:tc>
        <w:tc>
          <w:tcPr>
            <w:tcW w:w="40" w:type="dxa"/>
            <w:vAlign w:val="bottom"/>
            <w:shd w:val="clear" w:color="auto" w:fill="F2F2F2"/>
          </w:tcPr>
          <w:p>
            <w:pPr>
              <w:spacing w:after="0"/>
              <w:rPr>
                <w:sz w:val="11"/>
                <w:szCs w:val="11"/>
                <w:color w:val="auto"/>
              </w:rPr>
            </w:pPr>
          </w:p>
        </w:tc>
        <w:tc>
          <w:tcPr>
            <w:tcW w:w="1000" w:type="dxa"/>
            <w:vAlign w:val="bottom"/>
            <w:gridSpan w:val="3"/>
            <w:shd w:val="clear" w:color="auto" w:fill="F2F2F2"/>
          </w:tcPr>
          <w:p>
            <w:pPr>
              <w:jc w:val="center"/>
              <w:ind w:right="20"/>
              <w:spacing w:after="0" w:line="135" w:lineRule="exact"/>
              <w:rPr>
                <w:sz w:val="20"/>
                <w:szCs w:val="20"/>
                <w:color w:val="auto"/>
              </w:rPr>
            </w:pPr>
            <w:r>
              <w:rPr>
                <w:rFonts w:ascii="Arial" w:cs="Arial" w:eastAsia="Arial" w:hAnsi="Arial"/>
                <w:sz w:val="12"/>
                <w:szCs w:val="12"/>
                <w:b w:val="1"/>
                <w:bCs w:val="1"/>
                <w:color w:val="auto"/>
              </w:rPr>
              <w:t>Unvested Option</w:t>
            </w:r>
          </w:p>
        </w:tc>
        <w:tc>
          <w:tcPr>
            <w:tcW w:w="120" w:type="dxa"/>
            <w:vAlign w:val="bottom"/>
            <w:shd w:val="clear" w:color="auto" w:fill="F2F2F2"/>
          </w:tcPr>
          <w:p>
            <w:pPr>
              <w:spacing w:after="0"/>
              <w:rPr>
                <w:sz w:val="11"/>
                <w:szCs w:val="11"/>
                <w:color w:val="auto"/>
              </w:rPr>
            </w:pPr>
          </w:p>
        </w:tc>
        <w:tc>
          <w:tcPr>
            <w:tcW w:w="1060" w:type="dxa"/>
            <w:vAlign w:val="bottom"/>
            <w:gridSpan w:val="5"/>
            <w:shd w:val="clear" w:color="auto" w:fill="F2F2F2"/>
          </w:tcPr>
          <w:p>
            <w:pPr>
              <w:jc w:val="center"/>
              <w:spacing w:after="0" w:line="135" w:lineRule="exact"/>
              <w:rPr>
                <w:sz w:val="20"/>
                <w:szCs w:val="20"/>
                <w:color w:val="auto"/>
              </w:rPr>
            </w:pPr>
            <w:r>
              <w:rPr>
                <w:rFonts w:ascii="Arial" w:cs="Arial" w:eastAsia="Arial" w:hAnsi="Arial"/>
                <w:sz w:val="12"/>
                <w:szCs w:val="12"/>
                <w:b w:val="1"/>
                <w:bCs w:val="1"/>
                <w:color w:val="auto"/>
                <w:w w:val="99"/>
              </w:rPr>
              <w:t>and Stock Awards</w:t>
            </w:r>
          </w:p>
        </w:tc>
        <w:tc>
          <w:tcPr>
            <w:tcW w:w="120" w:type="dxa"/>
            <w:vAlign w:val="bottom"/>
            <w:shd w:val="clear" w:color="auto" w:fill="F2F2F2"/>
          </w:tcPr>
          <w:p>
            <w:pPr>
              <w:spacing w:after="0"/>
              <w:rPr>
                <w:sz w:val="11"/>
                <w:szCs w:val="11"/>
                <w:color w:val="auto"/>
              </w:rPr>
            </w:pPr>
          </w:p>
        </w:tc>
        <w:tc>
          <w:tcPr>
            <w:tcW w:w="1100" w:type="dxa"/>
            <w:vAlign w:val="bottom"/>
            <w:gridSpan w:val="3"/>
            <w:shd w:val="clear" w:color="auto" w:fill="F2F2F2"/>
          </w:tcPr>
          <w:p>
            <w:pPr>
              <w:jc w:val="center"/>
              <w:spacing w:after="0" w:line="135" w:lineRule="exact"/>
              <w:rPr>
                <w:sz w:val="20"/>
                <w:szCs w:val="20"/>
                <w:color w:val="auto"/>
              </w:rPr>
            </w:pPr>
            <w:r>
              <w:rPr>
                <w:rFonts w:ascii="Arial" w:cs="Arial" w:eastAsia="Arial" w:hAnsi="Arial"/>
                <w:sz w:val="12"/>
                <w:szCs w:val="12"/>
                <w:b w:val="1"/>
                <w:bCs w:val="1"/>
                <w:color w:val="auto"/>
              </w:rPr>
              <w:t>Applicable Vesting</w:t>
            </w:r>
          </w:p>
        </w:tc>
        <w:tc>
          <w:tcPr>
            <w:tcW w:w="180" w:type="dxa"/>
            <w:vAlign w:val="bottom"/>
            <w:shd w:val="clear" w:color="auto" w:fill="F2F2F2"/>
          </w:tcPr>
          <w:p>
            <w:pPr>
              <w:spacing w:after="0"/>
              <w:rPr>
                <w:sz w:val="11"/>
                <w:szCs w:val="11"/>
                <w:color w:val="auto"/>
              </w:rPr>
            </w:pPr>
          </w:p>
        </w:tc>
        <w:tc>
          <w:tcPr>
            <w:tcW w:w="940" w:type="dxa"/>
            <w:vAlign w:val="bottom"/>
            <w:gridSpan w:val="4"/>
            <w:shd w:val="clear" w:color="auto" w:fill="F2F2F2"/>
          </w:tcPr>
          <w:p>
            <w:pPr>
              <w:jc w:val="center"/>
              <w:spacing w:after="0" w:line="135" w:lineRule="exact"/>
              <w:rPr>
                <w:sz w:val="20"/>
                <w:szCs w:val="20"/>
                <w:color w:val="auto"/>
              </w:rPr>
            </w:pPr>
            <w:r>
              <w:rPr>
                <w:rFonts w:ascii="Arial" w:cs="Arial" w:eastAsia="Arial" w:hAnsi="Arial"/>
                <w:sz w:val="12"/>
                <w:szCs w:val="12"/>
                <w:b w:val="1"/>
                <w:bCs w:val="1"/>
                <w:color w:val="auto"/>
              </w:rPr>
              <w:t>Failed to Meet</w:t>
            </w:r>
          </w:p>
        </w:tc>
        <w:tc>
          <w:tcPr>
            <w:tcW w:w="80" w:type="dxa"/>
            <w:vAlign w:val="bottom"/>
            <w:shd w:val="clear" w:color="auto" w:fill="F2F2F2"/>
          </w:tcPr>
          <w:p>
            <w:pPr>
              <w:spacing w:after="0"/>
              <w:rPr>
                <w:sz w:val="11"/>
                <w:szCs w:val="11"/>
                <w:color w:val="auto"/>
              </w:rPr>
            </w:pPr>
          </w:p>
        </w:tc>
        <w:tc>
          <w:tcPr>
            <w:tcW w:w="40" w:type="dxa"/>
            <w:vAlign w:val="bottom"/>
            <w:shd w:val="clear" w:color="auto" w:fill="F2F2F2"/>
          </w:tcPr>
          <w:p>
            <w:pPr>
              <w:spacing w:after="0"/>
              <w:rPr>
                <w:sz w:val="11"/>
                <w:szCs w:val="11"/>
                <w:color w:val="auto"/>
              </w:rPr>
            </w:pPr>
          </w:p>
        </w:tc>
        <w:tc>
          <w:tcPr>
            <w:tcW w:w="120" w:type="dxa"/>
            <w:vAlign w:val="bottom"/>
            <w:shd w:val="clear" w:color="auto" w:fill="F2F2F2"/>
          </w:tcPr>
          <w:p>
            <w:pPr>
              <w:spacing w:after="0"/>
              <w:rPr>
                <w:sz w:val="11"/>
                <w:szCs w:val="11"/>
                <w:color w:val="auto"/>
              </w:rPr>
            </w:pPr>
          </w:p>
        </w:tc>
        <w:tc>
          <w:tcPr>
            <w:tcW w:w="780" w:type="dxa"/>
            <w:vAlign w:val="bottom"/>
            <w:shd w:val="clear" w:color="auto" w:fill="F2F2F2"/>
          </w:tcPr>
          <w:p>
            <w:pPr>
              <w:spacing w:after="0"/>
              <w:rPr>
                <w:sz w:val="11"/>
                <w:szCs w:val="11"/>
                <w:color w:val="auto"/>
              </w:rPr>
            </w:pPr>
          </w:p>
        </w:tc>
        <w:tc>
          <w:tcPr>
            <w:tcW w:w="80" w:type="dxa"/>
            <w:vAlign w:val="bottom"/>
            <w:shd w:val="clear" w:color="auto" w:fill="F2F2F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0" w:type="dxa"/>
            <w:vAlign w:val="bottom"/>
            <w:shd w:val="clear" w:color="auto" w:fill="F2F2F2"/>
          </w:tcPr>
          <w:p>
            <w:pPr>
              <w:spacing w:after="0"/>
              <w:rPr>
                <w:sz w:val="11"/>
                <w:szCs w:val="11"/>
                <w:color w:val="auto"/>
              </w:rPr>
            </w:pPr>
          </w:p>
        </w:tc>
        <w:tc>
          <w:tcPr>
            <w:tcW w:w="180" w:type="dxa"/>
            <w:vAlign w:val="bottom"/>
            <w:shd w:val="clear" w:color="auto" w:fill="F2F2F2"/>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8"/>
              </w:rPr>
              <w:t>Compensation</w:t>
            </w:r>
          </w:p>
        </w:tc>
        <w:tc>
          <w:tcPr>
            <w:tcW w:w="160" w:type="dxa"/>
            <w:vAlign w:val="bottom"/>
          </w:tcPr>
          <w:p>
            <w:pPr>
              <w:spacing w:after="0"/>
              <w:rPr>
                <w:sz w:val="11"/>
                <w:szCs w:val="11"/>
                <w:color w:val="auto"/>
              </w:rPr>
            </w:pPr>
          </w:p>
        </w:tc>
        <w:tc>
          <w:tcPr>
            <w:tcW w:w="1020" w:type="dxa"/>
            <w:vAlign w:val="bottom"/>
            <w:gridSpan w:val="3"/>
          </w:tcPr>
          <w:p>
            <w:pPr>
              <w:jc w:val="center"/>
              <w:spacing w:after="0" w:line="135" w:lineRule="exact"/>
              <w:rPr>
                <w:sz w:val="20"/>
                <w:szCs w:val="20"/>
                <w:color w:val="auto"/>
              </w:rPr>
            </w:pPr>
            <w:r>
              <w:rPr>
                <w:rFonts w:ascii="Arial" w:cs="Arial" w:eastAsia="Arial" w:hAnsi="Arial"/>
                <w:sz w:val="12"/>
                <w:szCs w:val="12"/>
                <w:b w:val="1"/>
                <w:bCs w:val="1"/>
                <w:color w:val="auto"/>
                <w:w w:val="98"/>
              </w:rPr>
              <w:t>and Stock Awards</w:t>
            </w:r>
          </w:p>
        </w:tc>
        <w:tc>
          <w:tcPr>
            <w:tcW w:w="120" w:type="dxa"/>
            <w:vAlign w:val="bottom"/>
          </w:tcPr>
          <w:p>
            <w:pPr>
              <w:spacing w:after="0"/>
              <w:rPr>
                <w:sz w:val="11"/>
                <w:szCs w:val="11"/>
                <w:color w:val="auto"/>
              </w:rPr>
            </w:pPr>
          </w:p>
        </w:tc>
        <w:tc>
          <w:tcPr>
            <w:tcW w:w="1080" w:type="dxa"/>
            <w:vAlign w:val="bottom"/>
            <w:gridSpan w:val="3"/>
          </w:tcPr>
          <w:p>
            <w:pPr>
              <w:jc w:val="center"/>
              <w:spacing w:after="0" w:line="135" w:lineRule="exact"/>
              <w:rPr>
                <w:sz w:val="20"/>
                <w:szCs w:val="20"/>
                <w:color w:val="auto"/>
              </w:rPr>
            </w:pPr>
            <w:r>
              <w:rPr>
                <w:rFonts w:ascii="Arial" w:cs="Arial" w:eastAsia="Arial" w:hAnsi="Arial"/>
                <w:sz w:val="12"/>
                <w:szCs w:val="12"/>
                <w:b w:val="1"/>
                <w:bCs w:val="1"/>
                <w:color w:val="auto"/>
                <w:w w:val="99"/>
              </w:rPr>
              <w:t>and Stock Awards</w:t>
            </w:r>
          </w:p>
        </w:tc>
        <w:tc>
          <w:tcPr>
            <w:tcW w:w="120" w:type="dxa"/>
            <w:vAlign w:val="bottom"/>
          </w:tcPr>
          <w:p>
            <w:pPr>
              <w:spacing w:after="0"/>
              <w:rPr>
                <w:sz w:val="11"/>
                <w:szCs w:val="11"/>
                <w:color w:val="auto"/>
              </w:rPr>
            </w:pPr>
          </w:p>
        </w:tc>
        <w:tc>
          <w:tcPr>
            <w:tcW w:w="1040" w:type="dxa"/>
            <w:vAlign w:val="bottom"/>
            <w:gridSpan w:val="4"/>
            <w:shd w:val="clear" w:color="auto" w:fill="F2F2F2"/>
          </w:tcPr>
          <w:p>
            <w:pPr>
              <w:jc w:val="center"/>
              <w:spacing w:after="0" w:line="135" w:lineRule="exact"/>
              <w:rPr>
                <w:sz w:val="20"/>
                <w:szCs w:val="20"/>
                <w:color w:val="auto"/>
              </w:rPr>
            </w:pPr>
            <w:r>
              <w:rPr>
                <w:rFonts w:ascii="Arial" w:cs="Arial" w:eastAsia="Arial" w:hAnsi="Arial"/>
                <w:sz w:val="12"/>
                <w:szCs w:val="12"/>
                <w:b w:val="1"/>
                <w:bCs w:val="1"/>
                <w:color w:val="auto"/>
                <w:w w:val="99"/>
              </w:rPr>
              <w:t>and Stock Awards</w:t>
            </w:r>
          </w:p>
        </w:tc>
        <w:tc>
          <w:tcPr>
            <w:tcW w:w="120" w:type="dxa"/>
            <w:vAlign w:val="bottom"/>
            <w:shd w:val="clear" w:color="auto" w:fill="F2F2F2"/>
          </w:tcPr>
          <w:p>
            <w:pPr>
              <w:spacing w:after="0"/>
              <w:rPr>
                <w:sz w:val="11"/>
                <w:szCs w:val="11"/>
                <w:color w:val="auto"/>
              </w:rPr>
            </w:pPr>
          </w:p>
        </w:tc>
        <w:tc>
          <w:tcPr>
            <w:tcW w:w="40" w:type="dxa"/>
            <w:vAlign w:val="bottom"/>
            <w:shd w:val="clear" w:color="auto" w:fill="F2F2F2"/>
          </w:tcPr>
          <w:p>
            <w:pPr>
              <w:spacing w:after="0"/>
              <w:rPr>
                <w:sz w:val="11"/>
                <w:szCs w:val="11"/>
                <w:color w:val="auto"/>
              </w:rPr>
            </w:pPr>
          </w:p>
        </w:tc>
        <w:tc>
          <w:tcPr>
            <w:tcW w:w="980" w:type="dxa"/>
            <w:vAlign w:val="bottom"/>
            <w:gridSpan w:val="3"/>
            <w:shd w:val="clear" w:color="auto" w:fill="F2F2F2"/>
          </w:tcPr>
          <w:p>
            <w:pPr>
              <w:jc w:val="center"/>
              <w:spacing w:after="0" w:line="135" w:lineRule="exact"/>
              <w:rPr>
                <w:sz w:val="20"/>
                <w:szCs w:val="20"/>
                <w:color w:val="auto"/>
              </w:rPr>
            </w:pPr>
            <w:r>
              <w:rPr>
                <w:rFonts w:ascii="Arial" w:cs="Arial" w:eastAsia="Arial" w:hAnsi="Arial"/>
                <w:sz w:val="12"/>
                <w:szCs w:val="12"/>
                <w:b w:val="1"/>
                <w:bCs w:val="1"/>
                <w:color w:val="auto"/>
              </w:rPr>
              <w:t>Granted in Fiscal</w:t>
            </w:r>
          </w:p>
        </w:tc>
        <w:tc>
          <w:tcPr>
            <w:tcW w:w="40" w:type="dxa"/>
            <w:vAlign w:val="bottom"/>
            <w:shd w:val="clear" w:color="auto" w:fill="F2F2F2"/>
          </w:tcPr>
          <w:p>
            <w:pPr>
              <w:spacing w:after="0"/>
              <w:rPr>
                <w:sz w:val="11"/>
                <w:szCs w:val="11"/>
                <w:color w:val="auto"/>
              </w:rPr>
            </w:pPr>
          </w:p>
        </w:tc>
        <w:tc>
          <w:tcPr>
            <w:tcW w:w="120" w:type="dxa"/>
            <w:vAlign w:val="bottom"/>
            <w:shd w:val="clear" w:color="auto" w:fill="F2F2F2"/>
          </w:tcPr>
          <w:p>
            <w:pPr>
              <w:spacing w:after="0"/>
              <w:rPr>
                <w:sz w:val="11"/>
                <w:szCs w:val="11"/>
                <w:color w:val="auto"/>
              </w:rPr>
            </w:pPr>
          </w:p>
        </w:tc>
        <w:tc>
          <w:tcPr>
            <w:tcW w:w="1100" w:type="dxa"/>
            <w:vAlign w:val="bottom"/>
            <w:gridSpan w:val="3"/>
            <w:shd w:val="clear" w:color="auto" w:fill="F2F2F2"/>
          </w:tcPr>
          <w:p>
            <w:pPr>
              <w:jc w:val="center"/>
              <w:spacing w:after="0" w:line="135" w:lineRule="exact"/>
              <w:rPr>
                <w:sz w:val="20"/>
                <w:szCs w:val="20"/>
                <w:color w:val="auto"/>
              </w:rPr>
            </w:pPr>
            <w:r>
              <w:rPr>
                <w:rFonts w:ascii="Arial" w:cs="Arial" w:eastAsia="Arial" w:hAnsi="Arial"/>
                <w:sz w:val="12"/>
                <w:szCs w:val="12"/>
                <w:b w:val="1"/>
                <w:bCs w:val="1"/>
                <w:color w:val="auto"/>
              </w:rPr>
              <w:t>Conditions Were</w:t>
            </w:r>
          </w:p>
        </w:tc>
        <w:tc>
          <w:tcPr>
            <w:tcW w:w="1240" w:type="dxa"/>
            <w:vAlign w:val="bottom"/>
            <w:gridSpan w:val="7"/>
            <w:shd w:val="clear" w:color="auto" w:fill="F2F2F2"/>
          </w:tcPr>
          <w:p>
            <w:pPr>
              <w:jc w:val="center"/>
              <w:ind w:left="63"/>
              <w:spacing w:after="0" w:line="135" w:lineRule="exact"/>
              <w:rPr>
                <w:sz w:val="20"/>
                <w:szCs w:val="20"/>
                <w:color w:val="auto"/>
              </w:rPr>
            </w:pPr>
            <w:r>
              <w:rPr>
                <w:rFonts w:ascii="Arial" w:cs="Arial" w:eastAsia="Arial" w:hAnsi="Arial"/>
                <w:sz w:val="12"/>
                <w:szCs w:val="12"/>
                <w:b w:val="1"/>
                <w:bCs w:val="1"/>
                <w:color w:val="auto"/>
              </w:rPr>
              <w:t>Applicable Vesting</w:t>
            </w:r>
          </w:p>
        </w:tc>
        <w:tc>
          <w:tcPr>
            <w:tcW w:w="120" w:type="dxa"/>
            <w:vAlign w:val="bottom"/>
            <w:shd w:val="clear" w:color="auto" w:fill="F2F2F2"/>
          </w:tcPr>
          <w:p>
            <w:pPr>
              <w:spacing w:after="0"/>
              <w:rPr>
                <w:sz w:val="11"/>
                <w:szCs w:val="11"/>
                <w:color w:val="auto"/>
              </w:rPr>
            </w:pPr>
          </w:p>
        </w:tc>
        <w:tc>
          <w:tcPr>
            <w:tcW w:w="780" w:type="dxa"/>
            <w:vAlign w:val="bottom"/>
            <w:shd w:val="clear" w:color="auto" w:fill="F2F2F2"/>
          </w:tcPr>
          <w:p>
            <w:pPr>
              <w:jc w:val="center"/>
              <w:spacing w:after="0" w:line="135" w:lineRule="exact"/>
              <w:rPr>
                <w:sz w:val="20"/>
                <w:szCs w:val="20"/>
                <w:color w:val="auto"/>
              </w:rPr>
            </w:pPr>
            <w:r>
              <w:rPr>
                <w:rFonts w:ascii="Arial" w:cs="Arial" w:eastAsia="Arial" w:hAnsi="Arial"/>
                <w:sz w:val="12"/>
                <w:szCs w:val="12"/>
                <w:b w:val="1"/>
                <w:bCs w:val="1"/>
                <w:color w:val="auto"/>
                <w:w w:val="96"/>
              </w:rPr>
              <w:t>Equals</w:t>
            </w:r>
          </w:p>
        </w:tc>
        <w:tc>
          <w:tcPr>
            <w:tcW w:w="80" w:type="dxa"/>
            <w:vAlign w:val="bottom"/>
            <w:shd w:val="clear" w:color="auto" w:fill="F2F2F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0" w:type="dxa"/>
            <w:vAlign w:val="bottom"/>
            <w:shd w:val="clear" w:color="auto" w:fill="F2F2F2"/>
          </w:tcPr>
          <w:p>
            <w:pPr>
              <w:spacing w:after="0"/>
              <w:rPr>
                <w:sz w:val="11"/>
                <w:szCs w:val="11"/>
                <w:color w:val="auto"/>
              </w:rPr>
            </w:pPr>
          </w:p>
        </w:tc>
        <w:tc>
          <w:tcPr>
            <w:tcW w:w="180" w:type="dxa"/>
            <w:vAlign w:val="bottom"/>
            <w:shd w:val="clear" w:color="auto" w:fill="F2F2F2"/>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5"/>
              </w:rPr>
              <w:t>Table</w:t>
            </w:r>
          </w:p>
        </w:tc>
        <w:tc>
          <w:tcPr>
            <w:tcW w:w="160" w:type="dxa"/>
            <w:vAlign w:val="bottom"/>
          </w:tcPr>
          <w:p>
            <w:pPr>
              <w:spacing w:after="0"/>
              <w:rPr>
                <w:sz w:val="11"/>
                <w:szCs w:val="11"/>
                <w:color w:val="auto"/>
              </w:rPr>
            </w:pPr>
          </w:p>
        </w:tc>
        <w:tc>
          <w:tcPr>
            <w:tcW w:w="1020" w:type="dxa"/>
            <w:vAlign w:val="bottom"/>
            <w:gridSpan w:val="3"/>
          </w:tcPr>
          <w:p>
            <w:pPr>
              <w:jc w:val="center"/>
              <w:spacing w:after="0" w:line="135" w:lineRule="exact"/>
              <w:rPr>
                <w:sz w:val="20"/>
                <w:szCs w:val="20"/>
                <w:color w:val="auto"/>
              </w:rPr>
            </w:pPr>
            <w:r>
              <w:rPr>
                <w:rFonts w:ascii="Arial" w:cs="Arial" w:eastAsia="Arial" w:hAnsi="Arial"/>
                <w:sz w:val="12"/>
                <w:szCs w:val="12"/>
                <w:b w:val="1"/>
                <w:bCs w:val="1"/>
                <w:color w:val="auto"/>
                <w:w w:val="98"/>
              </w:rPr>
              <w:t>Granted in Fiscal</w:t>
            </w:r>
          </w:p>
        </w:tc>
        <w:tc>
          <w:tcPr>
            <w:tcW w:w="120" w:type="dxa"/>
            <w:vAlign w:val="bottom"/>
          </w:tcPr>
          <w:p>
            <w:pPr>
              <w:spacing w:after="0"/>
              <w:rPr>
                <w:sz w:val="11"/>
                <w:szCs w:val="11"/>
                <w:color w:val="auto"/>
              </w:rPr>
            </w:pPr>
          </w:p>
        </w:tc>
        <w:tc>
          <w:tcPr>
            <w:tcW w:w="1080" w:type="dxa"/>
            <w:vAlign w:val="bottom"/>
            <w:gridSpan w:val="3"/>
          </w:tcPr>
          <w:p>
            <w:pPr>
              <w:jc w:val="center"/>
              <w:spacing w:after="0" w:line="135" w:lineRule="exact"/>
              <w:rPr>
                <w:sz w:val="20"/>
                <w:szCs w:val="20"/>
                <w:color w:val="auto"/>
              </w:rPr>
            </w:pPr>
            <w:r>
              <w:rPr>
                <w:rFonts w:ascii="Arial" w:cs="Arial" w:eastAsia="Arial" w:hAnsi="Arial"/>
                <w:sz w:val="12"/>
                <w:szCs w:val="12"/>
                <w:b w:val="1"/>
                <w:bCs w:val="1"/>
                <w:color w:val="auto"/>
              </w:rPr>
              <w:t>Granted in Fiscal</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0" w:type="dxa"/>
            <w:vAlign w:val="bottom"/>
            <w:gridSpan w:val="3"/>
          </w:tcPr>
          <w:p>
            <w:pPr>
              <w:jc w:val="center"/>
              <w:ind w:right="20"/>
              <w:spacing w:after="0" w:line="118" w:lineRule="exact"/>
              <w:rPr>
                <w:sz w:val="20"/>
                <w:szCs w:val="20"/>
                <w:color w:val="auto"/>
              </w:rPr>
            </w:pPr>
            <w:r>
              <w:rPr>
                <w:rFonts w:ascii="Arial" w:cs="Arial" w:eastAsia="Arial" w:hAnsi="Arial"/>
                <w:sz w:val="12"/>
                <w:szCs w:val="12"/>
                <w:b w:val="1"/>
                <w:bCs w:val="1"/>
                <w:color w:val="auto"/>
              </w:rPr>
              <w:t>Granted in Prior</w:t>
            </w:r>
          </w:p>
        </w:tc>
        <w:tc>
          <w:tcPr>
            <w:tcW w:w="120" w:type="dxa"/>
            <w:vAlign w:val="bottom"/>
            <w:shd w:val="clear" w:color="auto" w:fill="F2F2F2"/>
          </w:tcPr>
          <w:p>
            <w:pPr>
              <w:spacing w:after="0"/>
              <w:rPr>
                <w:sz w:val="11"/>
                <w:szCs w:val="11"/>
                <w:color w:val="auto"/>
              </w:rPr>
            </w:pPr>
          </w:p>
        </w:tc>
        <w:tc>
          <w:tcPr>
            <w:tcW w:w="40" w:type="dxa"/>
            <w:vAlign w:val="bottom"/>
            <w:shd w:val="clear" w:color="auto" w:fill="F2F2F2"/>
          </w:tcPr>
          <w:p>
            <w:pPr>
              <w:spacing w:after="0"/>
              <w:rPr>
                <w:sz w:val="11"/>
                <w:szCs w:val="11"/>
                <w:color w:val="auto"/>
              </w:rPr>
            </w:pPr>
          </w:p>
        </w:tc>
        <w:tc>
          <w:tcPr>
            <w:tcW w:w="980" w:type="dxa"/>
            <w:vAlign w:val="bottom"/>
            <w:gridSpan w:val="3"/>
            <w:shd w:val="clear" w:color="auto" w:fill="F2F2F2"/>
          </w:tcPr>
          <w:p>
            <w:pPr>
              <w:jc w:val="center"/>
              <w:spacing w:after="0" w:line="135" w:lineRule="exact"/>
              <w:rPr>
                <w:sz w:val="20"/>
                <w:szCs w:val="20"/>
                <w:color w:val="auto"/>
              </w:rPr>
            </w:pPr>
            <w:r>
              <w:rPr>
                <w:rFonts w:ascii="Arial" w:cs="Arial" w:eastAsia="Arial" w:hAnsi="Arial"/>
                <w:sz w:val="12"/>
                <w:szCs w:val="12"/>
                <w:b w:val="1"/>
                <w:bCs w:val="1"/>
                <w:color w:val="auto"/>
              </w:rPr>
              <w:t>Year that Vested</w:t>
            </w:r>
          </w:p>
        </w:tc>
        <w:tc>
          <w:tcPr>
            <w:tcW w:w="40" w:type="dxa"/>
            <w:vAlign w:val="bottom"/>
            <w:shd w:val="clear" w:color="auto" w:fill="F2F2F2"/>
          </w:tcPr>
          <w:p>
            <w:pPr>
              <w:spacing w:after="0"/>
              <w:rPr>
                <w:sz w:val="11"/>
                <w:szCs w:val="11"/>
                <w:color w:val="auto"/>
              </w:rPr>
            </w:pPr>
          </w:p>
        </w:tc>
        <w:tc>
          <w:tcPr>
            <w:tcW w:w="120" w:type="dxa"/>
            <w:vAlign w:val="bottom"/>
            <w:shd w:val="clear" w:color="auto" w:fill="F2F2F2"/>
          </w:tcPr>
          <w:p>
            <w:pPr>
              <w:spacing w:after="0"/>
              <w:rPr>
                <w:sz w:val="11"/>
                <w:szCs w:val="11"/>
                <w:color w:val="auto"/>
              </w:rPr>
            </w:pPr>
          </w:p>
        </w:tc>
        <w:tc>
          <w:tcPr>
            <w:tcW w:w="1100" w:type="dxa"/>
            <w:vAlign w:val="bottom"/>
            <w:gridSpan w:val="3"/>
            <w:shd w:val="clear" w:color="auto" w:fill="F2F2F2"/>
          </w:tcPr>
          <w:p>
            <w:pPr>
              <w:jc w:val="center"/>
              <w:spacing w:after="0" w:line="135" w:lineRule="exact"/>
              <w:rPr>
                <w:sz w:val="20"/>
                <w:szCs w:val="20"/>
                <w:color w:val="auto"/>
              </w:rPr>
            </w:pPr>
            <w:r>
              <w:rPr>
                <w:rFonts w:ascii="Arial" w:cs="Arial" w:eastAsia="Arial" w:hAnsi="Arial"/>
                <w:sz w:val="12"/>
                <w:szCs w:val="12"/>
                <w:b w:val="1"/>
                <w:bCs w:val="1"/>
                <w:color w:val="auto"/>
              </w:rPr>
              <w:t>Satisfed During</w:t>
            </w:r>
          </w:p>
        </w:tc>
        <w:tc>
          <w:tcPr>
            <w:tcW w:w="1240" w:type="dxa"/>
            <w:vAlign w:val="bottom"/>
            <w:gridSpan w:val="7"/>
            <w:shd w:val="clear" w:color="auto" w:fill="F2F2F2"/>
          </w:tcPr>
          <w:p>
            <w:pPr>
              <w:jc w:val="center"/>
              <w:ind w:left="43"/>
              <w:spacing w:after="0" w:line="135" w:lineRule="exact"/>
              <w:rPr>
                <w:sz w:val="20"/>
                <w:szCs w:val="20"/>
                <w:color w:val="auto"/>
              </w:rPr>
            </w:pPr>
            <w:r>
              <w:rPr>
                <w:rFonts w:ascii="Arial" w:cs="Arial" w:eastAsia="Arial" w:hAnsi="Arial"/>
                <w:sz w:val="12"/>
                <w:szCs w:val="12"/>
                <w:b w:val="1"/>
                <w:bCs w:val="1"/>
                <w:color w:val="auto"/>
              </w:rPr>
              <w:t>Conditions During</w:t>
            </w:r>
          </w:p>
        </w:tc>
        <w:tc>
          <w:tcPr>
            <w:tcW w:w="980" w:type="dxa"/>
            <w:vAlign w:val="bottom"/>
            <w:gridSpan w:val="3"/>
            <w:shd w:val="clear" w:color="auto" w:fill="F2F2F2"/>
          </w:tcPr>
          <w:p>
            <w:pPr>
              <w:jc w:val="center"/>
              <w:ind w:left="5"/>
              <w:spacing w:after="0" w:line="135" w:lineRule="exact"/>
              <w:rPr>
                <w:sz w:val="20"/>
                <w:szCs w:val="20"/>
                <w:color w:val="auto"/>
              </w:rPr>
            </w:pPr>
            <w:r>
              <w:rPr>
                <w:rFonts w:ascii="Arial" w:cs="Arial" w:eastAsia="Arial" w:hAnsi="Arial"/>
                <w:sz w:val="12"/>
                <w:szCs w:val="12"/>
                <w:b w:val="1"/>
                <w:bCs w:val="1"/>
                <w:color w:val="auto"/>
              </w:rPr>
              <w:t>Compensation</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400" w:type="dxa"/>
            <w:vAlign w:val="bottom"/>
            <w:tcBorders>
              <w:bottom w:val="single" w:sz="8" w:color="F2F2F2"/>
            </w:tcBorders>
            <w:shd w:val="clear" w:color="auto" w:fill="F2F2F2"/>
          </w:tcPr>
          <w:p>
            <w:pPr>
              <w:spacing w:after="0"/>
              <w:rPr>
                <w:sz w:val="10"/>
                <w:szCs w:val="10"/>
                <w:color w:val="auto"/>
              </w:rPr>
            </w:pPr>
          </w:p>
        </w:tc>
        <w:tc>
          <w:tcPr>
            <w:tcW w:w="180" w:type="dxa"/>
            <w:vAlign w:val="bottom"/>
            <w:tcBorders>
              <w:bottom w:val="single" w:sz="8" w:color="F2F2F2"/>
            </w:tcBorders>
            <w:shd w:val="clear" w:color="auto" w:fill="F2F2F2"/>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jc w:val="center"/>
              <w:spacing w:after="0" w:line="109" w:lineRule="exact"/>
              <w:rPr>
                <w:sz w:val="20"/>
                <w:szCs w:val="20"/>
                <w:color w:val="auto"/>
              </w:rPr>
            </w:pPr>
            <w:r>
              <w:rPr>
                <w:rFonts w:ascii="Arial" w:cs="Arial" w:eastAsia="Arial" w:hAnsi="Arial"/>
                <w:sz w:val="12"/>
                <w:szCs w:val="12"/>
                <w:b w:val="1"/>
                <w:bCs w:val="1"/>
                <w:color w:val="auto"/>
              </w:rPr>
              <w:t>Total</w:t>
            </w:r>
          </w:p>
        </w:tc>
        <w:tc>
          <w:tcPr>
            <w:tcW w:w="160" w:type="dxa"/>
            <w:vAlign w:val="bottom"/>
          </w:tcPr>
          <w:p>
            <w:pPr>
              <w:spacing w:after="0"/>
              <w:rPr>
                <w:sz w:val="10"/>
                <w:szCs w:val="10"/>
                <w:color w:val="auto"/>
              </w:rPr>
            </w:pPr>
          </w:p>
        </w:tc>
        <w:tc>
          <w:tcPr>
            <w:tcW w:w="700" w:type="dxa"/>
            <w:vAlign w:val="bottom"/>
            <w:gridSpan w:val="2"/>
          </w:tcPr>
          <w:p>
            <w:pPr>
              <w:jc w:val="center"/>
              <w:ind w:left="223"/>
              <w:spacing w:after="0" w:line="109" w:lineRule="exact"/>
              <w:rPr>
                <w:sz w:val="20"/>
                <w:szCs w:val="20"/>
                <w:color w:val="auto"/>
              </w:rPr>
            </w:pPr>
            <w:r>
              <w:rPr>
                <w:rFonts w:ascii="Arial" w:cs="Arial" w:eastAsia="Arial" w:hAnsi="Arial"/>
                <w:sz w:val="12"/>
                <w:szCs w:val="12"/>
                <w:b w:val="1"/>
                <w:bCs w:val="1"/>
                <w:color w:val="auto"/>
                <w:w w:val="99"/>
              </w:rPr>
              <w:t>Year</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jc w:val="center"/>
              <w:ind w:left="44"/>
              <w:spacing w:after="0" w:line="109" w:lineRule="exact"/>
              <w:rPr>
                <w:sz w:val="20"/>
                <w:szCs w:val="20"/>
                <w:color w:val="auto"/>
              </w:rPr>
            </w:pPr>
            <w:r>
              <w:rPr>
                <w:rFonts w:ascii="Arial" w:cs="Arial" w:eastAsia="Arial" w:hAnsi="Arial"/>
                <w:sz w:val="12"/>
                <w:szCs w:val="12"/>
                <w:b w:val="1"/>
                <w:bCs w:val="1"/>
                <w:color w:val="auto"/>
                <w:w w:val="99"/>
              </w:rPr>
              <w:t>Year</w:t>
            </w: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tcPr>
          <w:p>
            <w:pPr>
              <w:jc w:val="center"/>
              <w:ind w:right="160"/>
              <w:spacing w:after="0" w:line="109" w:lineRule="exact"/>
              <w:rPr>
                <w:sz w:val="20"/>
                <w:szCs w:val="20"/>
                <w:color w:val="auto"/>
              </w:rPr>
            </w:pPr>
            <w:r>
              <w:rPr>
                <w:rFonts w:ascii="Arial" w:cs="Arial" w:eastAsia="Arial" w:hAnsi="Arial"/>
                <w:sz w:val="12"/>
                <w:szCs w:val="12"/>
                <w:b w:val="1"/>
                <w:bCs w:val="1"/>
                <w:color w:val="auto"/>
                <w:w w:val="94"/>
              </w:rPr>
              <w:t>Fiscal Years</w:t>
            </w:r>
          </w:p>
        </w:tc>
        <w:tc>
          <w:tcPr>
            <w:tcW w:w="120" w:type="dxa"/>
            <w:vAlign w:val="bottom"/>
          </w:tcPr>
          <w:p>
            <w:pPr>
              <w:spacing w:after="0"/>
              <w:rPr>
                <w:sz w:val="10"/>
                <w:szCs w:val="10"/>
                <w:color w:val="auto"/>
              </w:rPr>
            </w:pPr>
          </w:p>
        </w:tc>
        <w:tc>
          <w:tcPr>
            <w:tcW w:w="1060" w:type="dxa"/>
            <w:vAlign w:val="bottom"/>
            <w:tcBorders>
              <w:bottom w:val="single" w:sz="8" w:color="F2F2F2"/>
            </w:tcBorders>
            <w:gridSpan w:val="5"/>
            <w:shd w:val="clear" w:color="auto" w:fill="F2F2F2"/>
          </w:tcPr>
          <w:p>
            <w:pPr>
              <w:jc w:val="center"/>
              <w:spacing w:after="0" w:line="109" w:lineRule="exact"/>
              <w:rPr>
                <w:sz w:val="20"/>
                <w:szCs w:val="20"/>
                <w:color w:val="auto"/>
              </w:rPr>
            </w:pPr>
            <w:r>
              <w:rPr>
                <w:rFonts w:ascii="Arial" w:cs="Arial" w:eastAsia="Arial" w:hAnsi="Arial"/>
                <w:sz w:val="12"/>
                <w:szCs w:val="12"/>
                <w:b w:val="1"/>
                <w:bCs w:val="1"/>
                <w:color w:val="auto"/>
                <w:w w:val="98"/>
              </w:rPr>
              <w:t>During Fiscal Year</w:t>
            </w:r>
          </w:p>
        </w:tc>
        <w:tc>
          <w:tcPr>
            <w:tcW w:w="120" w:type="dxa"/>
            <w:vAlign w:val="bottom"/>
            <w:tcBorders>
              <w:bottom w:val="single" w:sz="8" w:color="F2F2F2"/>
            </w:tcBorders>
            <w:shd w:val="clear" w:color="auto" w:fill="F2F2F2"/>
          </w:tcPr>
          <w:p>
            <w:pPr>
              <w:spacing w:after="0"/>
              <w:rPr>
                <w:sz w:val="10"/>
                <w:szCs w:val="10"/>
                <w:color w:val="auto"/>
              </w:rPr>
            </w:pPr>
          </w:p>
        </w:tc>
        <w:tc>
          <w:tcPr>
            <w:tcW w:w="1100" w:type="dxa"/>
            <w:vAlign w:val="bottom"/>
            <w:tcBorders>
              <w:bottom w:val="single" w:sz="8" w:color="F2F2F2"/>
            </w:tcBorders>
            <w:gridSpan w:val="3"/>
            <w:shd w:val="clear" w:color="auto" w:fill="F2F2F2"/>
          </w:tcPr>
          <w:p>
            <w:pPr>
              <w:jc w:val="center"/>
              <w:spacing w:after="0" w:line="109" w:lineRule="exact"/>
              <w:rPr>
                <w:sz w:val="20"/>
                <w:szCs w:val="20"/>
                <w:color w:val="auto"/>
              </w:rPr>
            </w:pPr>
            <w:r>
              <w:rPr>
                <w:rFonts w:ascii="Arial" w:cs="Arial" w:eastAsia="Arial" w:hAnsi="Arial"/>
                <w:sz w:val="12"/>
                <w:szCs w:val="12"/>
                <w:b w:val="1"/>
                <w:bCs w:val="1"/>
                <w:color w:val="auto"/>
                <w:w w:val="97"/>
              </w:rPr>
              <w:t>Fiscal Year</w:t>
            </w:r>
          </w:p>
        </w:tc>
        <w:tc>
          <w:tcPr>
            <w:tcW w:w="180" w:type="dxa"/>
            <w:vAlign w:val="bottom"/>
            <w:tcBorders>
              <w:bottom w:val="single" w:sz="8" w:color="F2F2F2"/>
            </w:tcBorders>
            <w:shd w:val="clear" w:color="auto" w:fill="F2F2F2"/>
          </w:tcPr>
          <w:p>
            <w:pPr>
              <w:spacing w:after="0"/>
              <w:rPr>
                <w:sz w:val="10"/>
                <w:szCs w:val="10"/>
                <w:color w:val="auto"/>
              </w:rPr>
            </w:pPr>
          </w:p>
        </w:tc>
        <w:tc>
          <w:tcPr>
            <w:tcW w:w="100" w:type="dxa"/>
            <w:vAlign w:val="bottom"/>
            <w:tcBorders>
              <w:bottom w:val="single" w:sz="8" w:color="F2F2F2"/>
            </w:tcBorders>
            <w:shd w:val="clear" w:color="auto" w:fill="F2F2F2"/>
          </w:tcPr>
          <w:p>
            <w:pPr>
              <w:spacing w:after="0"/>
              <w:rPr>
                <w:sz w:val="10"/>
                <w:szCs w:val="10"/>
                <w:color w:val="auto"/>
              </w:rPr>
            </w:pPr>
          </w:p>
        </w:tc>
        <w:tc>
          <w:tcPr>
            <w:tcW w:w="40" w:type="dxa"/>
            <w:vAlign w:val="bottom"/>
            <w:tcBorders>
              <w:bottom w:val="single" w:sz="8" w:color="F2F2F2"/>
            </w:tcBorders>
            <w:shd w:val="clear" w:color="auto" w:fill="F2F2F2"/>
          </w:tcPr>
          <w:p>
            <w:pPr>
              <w:spacing w:after="0"/>
              <w:rPr>
                <w:sz w:val="10"/>
                <w:szCs w:val="10"/>
                <w:color w:val="auto"/>
              </w:rPr>
            </w:pPr>
          </w:p>
        </w:tc>
        <w:tc>
          <w:tcPr>
            <w:tcW w:w="800" w:type="dxa"/>
            <w:vAlign w:val="bottom"/>
            <w:tcBorders>
              <w:bottom w:val="single" w:sz="8" w:color="F2F2F2"/>
            </w:tcBorders>
            <w:gridSpan w:val="2"/>
            <w:shd w:val="clear" w:color="auto" w:fill="F2F2F2"/>
          </w:tcPr>
          <w:p>
            <w:pPr>
              <w:jc w:val="center"/>
              <w:ind w:right="45"/>
              <w:spacing w:after="0" w:line="109" w:lineRule="exact"/>
              <w:rPr>
                <w:sz w:val="20"/>
                <w:szCs w:val="20"/>
                <w:color w:val="auto"/>
              </w:rPr>
            </w:pPr>
            <w:r>
              <w:rPr>
                <w:rFonts w:ascii="Arial" w:cs="Arial" w:eastAsia="Arial" w:hAnsi="Arial"/>
                <w:sz w:val="12"/>
                <w:szCs w:val="12"/>
                <w:b w:val="1"/>
                <w:bCs w:val="1"/>
                <w:color w:val="auto"/>
                <w:w w:val="97"/>
              </w:rPr>
              <w:t>Fiscal Year</w:t>
            </w:r>
          </w:p>
        </w:tc>
        <w:tc>
          <w:tcPr>
            <w:tcW w:w="80" w:type="dxa"/>
            <w:vAlign w:val="bottom"/>
            <w:tcBorders>
              <w:bottom w:val="single" w:sz="8" w:color="F2F2F2"/>
            </w:tcBorders>
            <w:shd w:val="clear" w:color="auto" w:fill="F2F2F2"/>
          </w:tcPr>
          <w:p>
            <w:pPr>
              <w:spacing w:after="0"/>
              <w:rPr>
                <w:sz w:val="10"/>
                <w:szCs w:val="10"/>
                <w:color w:val="auto"/>
              </w:rPr>
            </w:pPr>
          </w:p>
        </w:tc>
        <w:tc>
          <w:tcPr>
            <w:tcW w:w="40" w:type="dxa"/>
            <w:vAlign w:val="bottom"/>
            <w:tcBorders>
              <w:bottom w:val="single" w:sz="8" w:color="F2F2F2"/>
            </w:tcBorders>
            <w:shd w:val="clear" w:color="auto" w:fill="F2F2F2"/>
          </w:tcPr>
          <w:p>
            <w:pPr>
              <w:spacing w:after="0"/>
              <w:rPr>
                <w:sz w:val="10"/>
                <w:szCs w:val="10"/>
                <w:color w:val="auto"/>
              </w:rPr>
            </w:pPr>
          </w:p>
        </w:tc>
        <w:tc>
          <w:tcPr>
            <w:tcW w:w="120" w:type="dxa"/>
            <w:vAlign w:val="bottom"/>
            <w:tcBorders>
              <w:bottom w:val="single" w:sz="8" w:color="F2F2F2"/>
            </w:tcBorders>
            <w:shd w:val="clear" w:color="auto" w:fill="F2F2F2"/>
          </w:tcPr>
          <w:p>
            <w:pPr>
              <w:spacing w:after="0"/>
              <w:rPr>
                <w:sz w:val="10"/>
                <w:szCs w:val="10"/>
                <w:color w:val="auto"/>
              </w:rPr>
            </w:pPr>
          </w:p>
        </w:tc>
        <w:tc>
          <w:tcPr>
            <w:tcW w:w="780" w:type="dxa"/>
            <w:vAlign w:val="bottom"/>
            <w:tcBorders>
              <w:bottom w:val="single" w:sz="8" w:color="F2F2F2"/>
            </w:tcBorders>
            <w:shd w:val="clear" w:color="auto" w:fill="F2F2F2"/>
          </w:tcPr>
          <w:p>
            <w:pPr>
              <w:jc w:val="center"/>
              <w:spacing w:after="0" w:line="109" w:lineRule="exact"/>
              <w:rPr>
                <w:sz w:val="20"/>
                <w:szCs w:val="20"/>
                <w:color w:val="auto"/>
              </w:rPr>
            </w:pPr>
            <w:r>
              <w:rPr>
                <w:rFonts w:ascii="Arial" w:cs="Arial" w:eastAsia="Arial" w:hAnsi="Arial"/>
                <w:sz w:val="12"/>
                <w:szCs w:val="12"/>
                <w:b w:val="1"/>
                <w:bCs w:val="1"/>
                <w:color w:val="auto"/>
              </w:rPr>
              <w:t>Actually Paid</w:t>
            </w:r>
          </w:p>
        </w:tc>
        <w:tc>
          <w:tcPr>
            <w:tcW w:w="80" w:type="dxa"/>
            <w:vAlign w:val="bottom"/>
            <w:tcBorders>
              <w:bottom w:val="single" w:sz="8" w:color="F2F2F2"/>
            </w:tcBorders>
            <w:shd w:val="clear" w:color="auto" w:fill="F2F2F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00" w:type="dxa"/>
            <w:vAlign w:val="bottom"/>
            <w:tcBorders>
              <w:bottom w:val="single" w:sz="8" w:color="auto"/>
            </w:tcBorders>
            <w:shd w:val="clear" w:color="auto" w:fill="F2F2F2"/>
          </w:tcPr>
          <w:p>
            <w:pPr>
              <w:ind w:left="120"/>
              <w:spacing w:after="0"/>
              <w:rPr>
                <w:sz w:val="20"/>
                <w:szCs w:val="20"/>
                <w:color w:val="auto"/>
              </w:rPr>
            </w:pPr>
            <w:r>
              <w:rPr>
                <w:rFonts w:ascii="Arial" w:cs="Arial" w:eastAsia="Arial" w:hAnsi="Arial"/>
                <w:sz w:val="12"/>
                <w:szCs w:val="12"/>
                <w:b w:val="1"/>
                <w:bCs w:val="1"/>
                <w:color w:val="auto"/>
                <w:w w:val="99"/>
              </w:rPr>
              <w:t>Year</w:t>
            </w:r>
          </w:p>
        </w:tc>
        <w:tc>
          <w:tcPr>
            <w:tcW w:w="180" w:type="dxa"/>
            <w:vAlign w:val="bottom"/>
            <w:tcBorders>
              <w:bottom w:val="single" w:sz="8" w:color="auto"/>
            </w:tcBorders>
            <w:shd w:val="clear" w:color="auto" w:fill="F2F2F2"/>
          </w:tcPr>
          <w:p>
            <w:pPr>
              <w:spacing w:after="0"/>
              <w:rPr>
                <w:sz w:val="16"/>
                <w:szCs w:val="16"/>
                <w:color w:val="auto"/>
              </w:rPr>
            </w:pPr>
          </w:p>
        </w:tc>
        <w:tc>
          <w:tcPr>
            <w:tcW w:w="160" w:type="dxa"/>
            <w:vAlign w:val="bottom"/>
            <w:tcBorders>
              <w:bottom w:val="single" w:sz="8" w:color="auto"/>
            </w:tcBorders>
          </w:tcPr>
          <w:p>
            <w:pPr>
              <w:ind w:left="60"/>
              <w:spacing w:after="0"/>
              <w:rPr>
                <w:sz w:val="20"/>
                <w:szCs w:val="20"/>
                <w:color w:val="auto"/>
              </w:rPr>
            </w:pPr>
            <w:r>
              <w:rPr>
                <w:rFonts w:ascii="Arial" w:cs="Arial" w:eastAsia="Arial" w:hAnsi="Arial"/>
                <w:sz w:val="12"/>
                <w:szCs w:val="12"/>
                <w:b w:val="1"/>
                <w:bCs w:val="1"/>
                <w:color w:val="auto"/>
              </w:rPr>
              <w:t>​​​</w:t>
            </w:r>
          </w:p>
        </w:tc>
        <w:tc>
          <w:tcPr>
            <w:tcW w:w="820" w:type="dxa"/>
            <w:vAlign w:val="bottom"/>
            <w:tcBorders>
              <w:bottom w:val="single" w:sz="8" w:color="auto"/>
            </w:tcBorders>
          </w:tcPr>
          <w:p>
            <w:pPr>
              <w:jc w:val="center"/>
              <w:spacing w:after="0" w:line="162" w:lineRule="exact"/>
              <w:rPr>
                <w:sz w:val="20"/>
                <w:szCs w:val="20"/>
                <w:color w:val="auto"/>
              </w:rPr>
            </w:pPr>
            <w:r>
              <w:rPr>
                <w:rFonts w:ascii="Arial" w:cs="Arial" w:eastAsia="Arial" w:hAnsi="Arial"/>
                <w:sz w:val="12"/>
                <w:szCs w:val="12"/>
                <w:b w:val="1"/>
                <w:bCs w:val="1"/>
                <w:color w:val="auto"/>
                <w:w w:val="91"/>
              </w:rPr>
              <w:t>($)</w:t>
            </w:r>
            <w:r>
              <w:rPr>
                <w:rFonts w:ascii="Arial" w:cs="Arial" w:eastAsia="Arial" w:hAnsi="Arial"/>
                <w:sz w:val="17"/>
                <w:szCs w:val="17"/>
                <w:b w:val="1"/>
                <w:bCs w:val="1"/>
                <w:color w:val="auto"/>
                <w:w w:val="91"/>
                <w:vertAlign w:val="superscript"/>
              </w:rPr>
              <w:t>(a)</w:t>
            </w:r>
          </w:p>
        </w:tc>
        <w:tc>
          <w:tcPr>
            <w:tcW w:w="160" w:type="dxa"/>
            <w:vAlign w:val="bottom"/>
            <w:tcBorders>
              <w:bottom w:val="single" w:sz="8" w:color="auto"/>
            </w:tcBorders>
          </w:tcPr>
          <w:p>
            <w:pPr>
              <w:ind w:left="60"/>
              <w:spacing w:after="0"/>
              <w:rPr>
                <w:sz w:val="20"/>
                <w:szCs w:val="20"/>
                <w:color w:val="auto"/>
              </w:rPr>
            </w:pPr>
            <w:r>
              <w:rPr>
                <w:rFonts w:ascii="Arial" w:cs="Arial" w:eastAsia="Arial" w:hAnsi="Arial"/>
                <w:sz w:val="12"/>
                <w:szCs w:val="12"/>
                <w:b w:val="1"/>
                <w:bCs w:val="1"/>
                <w:color w:val="auto"/>
              </w:rPr>
              <w:t>​​​</w:t>
            </w:r>
          </w:p>
        </w:tc>
        <w:tc>
          <w:tcPr>
            <w:tcW w:w="700" w:type="dxa"/>
            <w:vAlign w:val="bottom"/>
            <w:tcBorders>
              <w:bottom w:val="single" w:sz="8" w:color="auto"/>
            </w:tcBorders>
            <w:gridSpan w:val="2"/>
          </w:tcPr>
          <w:p>
            <w:pPr>
              <w:jc w:val="center"/>
              <w:ind w:left="223"/>
              <w:spacing w:after="0" w:line="162" w:lineRule="exact"/>
              <w:rPr>
                <w:sz w:val="20"/>
                <w:szCs w:val="20"/>
                <w:color w:val="auto"/>
              </w:rPr>
            </w:pPr>
            <w:r>
              <w:rPr>
                <w:rFonts w:ascii="Arial" w:cs="Arial" w:eastAsia="Arial" w:hAnsi="Arial"/>
                <w:sz w:val="12"/>
                <w:szCs w:val="12"/>
                <w:b w:val="1"/>
                <w:bCs w:val="1"/>
                <w:color w:val="auto"/>
                <w:w w:val="89"/>
              </w:rPr>
              <w:t>($)</w:t>
            </w:r>
            <w:r>
              <w:rPr>
                <w:rFonts w:ascii="Arial" w:cs="Arial" w:eastAsia="Arial" w:hAnsi="Arial"/>
                <w:sz w:val="17"/>
                <w:szCs w:val="17"/>
                <w:b w:val="1"/>
                <w:bCs w:val="1"/>
                <w:color w:val="auto"/>
                <w:w w:val="89"/>
                <w:vertAlign w:val="superscript"/>
              </w:rPr>
              <w:t>(b)</w:t>
            </w:r>
          </w:p>
        </w:tc>
        <w:tc>
          <w:tcPr>
            <w:tcW w:w="3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gridSpan w:val="2"/>
          </w:tcPr>
          <w:p>
            <w:pPr>
              <w:jc w:val="right"/>
              <w:ind w:right="222"/>
              <w:spacing w:after="0"/>
              <w:rPr>
                <w:sz w:val="20"/>
                <w:szCs w:val="20"/>
                <w:color w:val="auto"/>
              </w:rPr>
            </w:pPr>
            <w:r>
              <w:rPr>
                <w:rFonts w:ascii="Arial" w:cs="Arial" w:eastAsia="Arial" w:hAnsi="Arial"/>
                <w:sz w:val="12"/>
                <w:szCs w:val="12"/>
                <w:b w:val="1"/>
                <w:bCs w:val="1"/>
                <w:color w:val="auto"/>
              </w:rPr>
              <w:t>​​​</w:t>
            </w:r>
          </w:p>
        </w:tc>
        <w:tc>
          <w:tcPr>
            <w:tcW w:w="360" w:type="dxa"/>
            <w:vAlign w:val="bottom"/>
            <w:tcBorders>
              <w:bottom w:val="single" w:sz="8" w:color="auto"/>
            </w:tcBorders>
          </w:tcPr>
          <w:p>
            <w:pPr>
              <w:jc w:val="center"/>
              <w:ind w:left="44"/>
              <w:spacing w:after="0" w:line="162" w:lineRule="exact"/>
              <w:rPr>
                <w:sz w:val="20"/>
                <w:szCs w:val="20"/>
                <w:color w:val="auto"/>
              </w:rPr>
            </w:pPr>
            <w:r>
              <w:rPr>
                <w:rFonts w:ascii="Arial" w:cs="Arial" w:eastAsia="Arial" w:hAnsi="Arial"/>
                <w:sz w:val="12"/>
                <w:szCs w:val="12"/>
                <w:b w:val="1"/>
                <w:bCs w:val="1"/>
                <w:color w:val="auto"/>
                <w:w w:val="91"/>
              </w:rPr>
              <w:t>($)</w:t>
            </w:r>
            <w:r>
              <w:rPr>
                <w:rFonts w:ascii="Arial" w:cs="Arial" w:eastAsia="Arial" w:hAnsi="Arial"/>
                <w:sz w:val="17"/>
                <w:szCs w:val="17"/>
                <w:b w:val="1"/>
                <w:bCs w:val="1"/>
                <w:color w:val="auto"/>
                <w:w w:val="91"/>
                <w:vertAlign w:val="superscript"/>
              </w:rPr>
              <w:t>(c)</w:t>
            </w:r>
          </w:p>
        </w:tc>
        <w:tc>
          <w:tcPr>
            <w:tcW w:w="4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gridSpan w:val="3"/>
          </w:tcPr>
          <w:p>
            <w:pPr>
              <w:jc w:val="right"/>
              <w:ind w:right="84"/>
              <w:spacing w:after="0"/>
              <w:rPr>
                <w:sz w:val="20"/>
                <w:szCs w:val="20"/>
                <w:color w:val="auto"/>
              </w:rPr>
            </w:pPr>
            <w:r>
              <w:rPr>
                <w:rFonts w:ascii="Arial" w:cs="Arial" w:eastAsia="Arial" w:hAnsi="Arial"/>
                <w:sz w:val="12"/>
                <w:szCs w:val="12"/>
                <w:b w:val="1"/>
                <w:bCs w:val="1"/>
                <w:color w:val="auto"/>
              </w:rPr>
              <w:t>​​​</w:t>
            </w:r>
          </w:p>
        </w:tc>
        <w:tc>
          <w:tcPr>
            <w:tcW w:w="860" w:type="dxa"/>
            <w:vAlign w:val="bottom"/>
            <w:tcBorders>
              <w:bottom w:val="single" w:sz="8" w:color="auto"/>
            </w:tcBorders>
            <w:gridSpan w:val="2"/>
          </w:tcPr>
          <w:p>
            <w:pPr>
              <w:jc w:val="center"/>
              <w:ind w:right="160"/>
              <w:spacing w:after="0" w:line="162" w:lineRule="exact"/>
              <w:rPr>
                <w:sz w:val="20"/>
                <w:szCs w:val="20"/>
                <w:color w:val="auto"/>
              </w:rPr>
            </w:pPr>
            <w:r>
              <w:rPr>
                <w:rFonts w:ascii="Arial" w:cs="Arial" w:eastAsia="Arial" w:hAnsi="Arial"/>
                <w:sz w:val="12"/>
                <w:szCs w:val="12"/>
                <w:b w:val="1"/>
                <w:bCs w:val="1"/>
                <w:color w:val="auto"/>
                <w:w w:val="89"/>
              </w:rPr>
              <w:t>($)</w:t>
            </w:r>
            <w:r>
              <w:rPr>
                <w:rFonts w:ascii="Arial" w:cs="Arial" w:eastAsia="Arial" w:hAnsi="Arial"/>
                <w:sz w:val="17"/>
                <w:szCs w:val="17"/>
                <w:b w:val="1"/>
                <w:bCs w:val="1"/>
                <w:color w:val="auto"/>
                <w:w w:val="89"/>
                <w:vertAlign w:val="superscript"/>
              </w:rPr>
              <w:t>(d)</w:t>
            </w:r>
          </w:p>
        </w:tc>
        <w:tc>
          <w:tcPr>
            <w:tcW w:w="16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w:t>
            </w:r>
          </w:p>
        </w:tc>
        <w:tc>
          <w:tcPr>
            <w:tcW w:w="880" w:type="dxa"/>
            <w:vAlign w:val="bottom"/>
            <w:tcBorders>
              <w:bottom w:val="single" w:sz="8" w:color="auto"/>
            </w:tcBorders>
            <w:gridSpan w:val="2"/>
          </w:tcPr>
          <w:p>
            <w:pPr>
              <w:jc w:val="center"/>
              <w:ind w:left="45"/>
              <w:spacing w:after="0" w:line="162" w:lineRule="exact"/>
              <w:rPr>
                <w:sz w:val="20"/>
                <w:szCs w:val="20"/>
                <w:color w:val="auto"/>
              </w:rPr>
            </w:pPr>
            <w:r>
              <w:rPr>
                <w:rFonts w:ascii="Arial" w:cs="Arial" w:eastAsia="Arial" w:hAnsi="Arial"/>
                <w:sz w:val="12"/>
                <w:szCs w:val="12"/>
                <w:b w:val="1"/>
                <w:bCs w:val="1"/>
                <w:color w:val="auto"/>
                <w:w w:val="91"/>
              </w:rPr>
              <w:t>($)</w:t>
            </w:r>
            <w:r>
              <w:rPr>
                <w:rFonts w:ascii="Arial" w:cs="Arial" w:eastAsia="Arial" w:hAnsi="Arial"/>
                <w:sz w:val="17"/>
                <w:szCs w:val="17"/>
                <w:b w:val="1"/>
                <w:bCs w:val="1"/>
                <w:color w:val="auto"/>
                <w:w w:val="91"/>
                <w:vertAlign w:val="superscript"/>
              </w:rPr>
              <w:t>(e)</w:t>
            </w: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gridSpan w:val="2"/>
            <w:shd w:val="clear" w:color="auto" w:fill="F2F2F2"/>
          </w:tcPr>
          <w:p>
            <w:pPr>
              <w:ind w:left="60"/>
              <w:spacing w:after="0"/>
              <w:rPr>
                <w:sz w:val="20"/>
                <w:szCs w:val="20"/>
                <w:color w:val="auto"/>
              </w:rPr>
            </w:pPr>
            <w:r>
              <w:rPr>
                <w:rFonts w:ascii="Arial" w:cs="Arial" w:eastAsia="Arial" w:hAnsi="Arial"/>
                <w:sz w:val="12"/>
                <w:szCs w:val="12"/>
                <w:b w:val="1"/>
                <w:bCs w:val="1"/>
                <w:color w:val="auto"/>
                <w:shd w:val="clear" w:color="auto" w:fill="F2F2F2"/>
              </w:rPr>
              <w:t>​​​</w:t>
            </w:r>
          </w:p>
        </w:tc>
        <w:tc>
          <w:tcPr>
            <w:tcW w:w="660" w:type="dxa"/>
            <w:vAlign w:val="bottom"/>
            <w:tcBorders>
              <w:bottom w:val="single" w:sz="8" w:color="auto"/>
            </w:tcBorders>
            <w:gridSpan w:val="2"/>
            <w:shd w:val="clear" w:color="auto" w:fill="F2F2F2"/>
          </w:tcPr>
          <w:p>
            <w:pPr>
              <w:jc w:val="center"/>
              <w:ind w:right="365"/>
              <w:spacing w:after="0" w:line="162" w:lineRule="exact"/>
              <w:rPr>
                <w:sz w:val="20"/>
                <w:szCs w:val="20"/>
                <w:color w:val="auto"/>
              </w:rPr>
            </w:pPr>
            <w:r>
              <w:rPr>
                <w:rFonts w:ascii="Arial" w:cs="Arial" w:eastAsia="Arial" w:hAnsi="Arial"/>
                <w:sz w:val="12"/>
                <w:szCs w:val="12"/>
                <w:b w:val="1"/>
                <w:bCs w:val="1"/>
                <w:color w:val="auto"/>
                <w:w w:val="92"/>
              </w:rPr>
              <w:t>($)</w:t>
            </w:r>
            <w:r>
              <w:rPr>
                <w:rFonts w:ascii="Arial" w:cs="Arial" w:eastAsia="Arial" w:hAnsi="Arial"/>
                <w:sz w:val="17"/>
                <w:szCs w:val="17"/>
                <w:b w:val="1"/>
                <w:bCs w:val="1"/>
                <w:color w:val="auto"/>
                <w:w w:val="92"/>
                <w:vertAlign w:val="superscript"/>
              </w:rPr>
              <w:t>(f)</w:t>
            </w:r>
          </w:p>
        </w:tc>
        <w:tc>
          <w:tcPr>
            <w:tcW w:w="18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2"/>
                <w:szCs w:val="12"/>
                <w:b w:val="1"/>
                <w:bCs w:val="1"/>
                <w:color w:val="auto"/>
              </w:rPr>
              <w:t>​​​</w:t>
            </w:r>
          </w:p>
        </w:tc>
        <w:tc>
          <w:tcPr>
            <w:tcW w:w="100" w:type="dxa"/>
            <w:vAlign w:val="bottom"/>
            <w:tcBorders>
              <w:bottom w:val="single" w:sz="8" w:color="auto"/>
            </w:tcBorders>
            <w:shd w:val="clear" w:color="auto" w:fill="F2F2F2"/>
          </w:tcPr>
          <w:p>
            <w:pPr>
              <w:spacing w:after="0"/>
              <w:rPr>
                <w:sz w:val="16"/>
                <w:szCs w:val="16"/>
                <w:color w:val="auto"/>
              </w:rPr>
            </w:pPr>
          </w:p>
        </w:tc>
        <w:tc>
          <w:tcPr>
            <w:tcW w:w="40" w:type="dxa"/>
            <w:vAlign w:val="bottom"/>
            <w:tcBorders>
              <w:bottom w:val="single" w:sz="8" w:color="auto"/>
            </w:tcBorders>
            <w:shd w:val="clear" w:color="auto" w:fill="F2F2F2"/>
          </w:tcPr>
          <w:p>
            <w:pPr>
              <w:spacing w:after="0"/>
              <w:rPr>
                <w:sz w:val="16"/>
                <w:szCs w:val="16"/>
                <w:color w:val="auto"/>
              </w:rPr>
            </w:pPr>
          </w:p>
        </w:tc>
        <w:tc>
          <w:tcPr>
            <w:tcW w:w="100" w:type="dxa"/>
            <w:vAlign w:val="bottom"/>
            <w:tcBorders>
              <w:bottom w:val="single" w:sz="8" w:color="auto"/>
            </w:tcBorders>
            <w:shd w:val="clear" w:color="auto" w:fill="F2F2F2"/>
          </w:tcPr>
          <w:p>
            <w:pPr>
              <w:spacing w:after="0"/>
              <w:rPr>
                <w:sz w:val="16"/>
                <w:szCs w:val="16"/>
                <w:color w:val="auto"/>
              </w:rPr>
            </w:pPr>
          </w:p>
        </w:tc>
        <w:tc>
          <w:tcPr>
            <w:tcW w:w="700" w:type="dxa"/>
            <w:vAlign w:val="bottom"/>
            <w:tcBorders>
              <w:bottom w:val="single" w:sz="8" w:color="auto"/>
            </w:tcBorders>
            <w:shd w:val="clear" w:color="auto" w:fill="F2F2F2"/>
          </w:tcPr>
          <w:p>
            <w:pPr>
              <w:jc w:val="center"/>
              <w:ind w:right="145"/>
              <w:spacing w:after="0" w:line="162" w:lineRule="exact"/>
              <w:rPr>
                <w:sz w:val="20"/>
                <w:szCs w:val="20"/>
                <w:color w:val="auto"/>
              </w:rPr>
            </w:pPr>
            <w:r>
              <w:rPr>
                <w:rFonts w:ascii="Arial" w:cs="Arial" w:eastAsia="Arial" w:hAnsi="Arial"/>
                <w:sz w:val="12"/>
                <w:szCs w:val="12"/>
                <w:b w:val="1"/>
                <w:bCs w:val="1"/>
                <w:color w:val="auto"/>
                <w:w w:val="89"/>
              </w:rPr>
              <w:t>($)</w:t>
            </w:r>
            <w:r>
              <w:rPr>
                <w:rFonts w:ascii="Arial" w:cs="Arial" w:eastAsia="Arial" w:hAnsi="Arial"/>
                <w:sz w:val="17"/>
                <w:szCs w:val="17"/>
                <w:b w:val="1"/>
                <w:bCs w:val="1"/>
                <w:color w:val="auto"/>
                <w:w w:val="89"/>
                <w:vertAlign w:val="superscript"/>
              </w:rPr>
              <w:t>(g)</w:t>
            </w:r>
          </w:p>
        </w:tc>
        <w:tc>
          <w:tcPr>
            <w:tcW w:w="80" w:type="dxa"/>
            <w:vAlign w:val="bottom"/>
            <w:tcBorders>
              <w:bottom w:val="single" w:sz="8" w:color="auto"/>
            </w:tcBorders>
            <w:shd w:val="clear" w:color="auto" w:fill="F2F2F2"/>
          </w:tcPr>
          <w:p>
            <w:pPr>
              <w:spacing w:after="0"/>
              <w:rPr>
                <w:sz w:val="16"/>
                <w:szCs w:val="16"/>
                <w:color w:val="auto"/>
              </w:rPr>
            </w:pPr>
          </w:p>
        </w:tc>
        <w:tc>
          <w:tcPr>
            <w:tcW w:w="40" w:type="dxa"/>
            <w:vAlign w:val="bottom"/>
            <w:tcBorders>
              <w:bottom w:val="single" w:sz="8" w:color="auto"/>
            </w:tcBorders>
            <w:shd w:val="clear" w:color="auto" w:fill="F2F2F2"/>
          </w:tcPr>
          <w:p>
            <w:pPr>
              <w:spacing w:after="0"/>
              <w:rPr>
                <w:sz w:val="16"/>
                <w:szCs w:val="16"/>
                <w:color w:val="auto"/>
              </w:rPr>
            </w:pPr>
          </w:p>
        </w:tc>
        <w:tc>
          <w:tcPr>
            <w:tcW w:w="120" w:type="dxa"/>
            <w:vAlign w:val="bottom"/>
            <w:tcBorders>
              <w:bottom w:val="single" w:sz="8" w:color="auto"/>
            </w:tcBorders>
            <w:shd w:val="clear" w:color="auto" w:fill="F2F2F2"/>
          </w:tcPr>
          <w:p>
            <w:pPr>
              <w:ind w:left="40"/>
              <w:spacing w:after="0"/>
              <w:rPr>
                <w:sz w:val="20"/>
                <w:szCs w:val="20"/>
                <w:color w:val="auto"/>
              </w:rPr>
            </w:pPr>
            <w:r>
              <w:rPr>
                <w:rFonts w:ascii="Arial" w:cs="Arial" w:eastAsia="Arial" w:hAnsi="Arial"/>
                <w:sz w:val="12"/>
                <w:szCs w:val="12"/>
                <w:b w:val="1"/>
                <w:bCs w:val="1"/>
                <w:color w:val="auto"/>
              </w:rPr>
              <w:t>​​​</w:t>
            </w:r>
          </w:p>
        </w:tc>
        <w:tc>
          <w:tcPr>
            <w:tcW w:w="780" w:type="dxa"/>
            <w:vAlign w:val="bottom"/>
            <w:tcBorders>
              <w:bottom w:val="single" w:sz="8" w:color="auto"/>
            </w:tcBorders>
            <w:shd w:val="clear" w:color="auto" w:fill="F2F2F2"/>
          </w:tcPr>
          <w:p>
            <w:pPr>
              <w:jc w:val="center"/>
              <w:spacing w:after="0"/>
              <w:rPr>
                <w:sz w:val="20"/>
                <w:szCs w:val="20"/>
                <w:color w:val="auto"/>
              </w:rPr>
            </w:pPr>
            <w:r>
              <w:rPr>
                <w:rFonts w:ascii="Arial" w:cs="Arial" w:eastAsia="Arial" w:hAnsi="Arial"/>
                <w:sz w:val="12"/>
                <w:szCs w:val="12"/>
                <w:b w:val="1"/>
                <w:bCs w:val="1"/>
                <w:color w:val="auto"/>
                <w:w w:val="95"/>
              </w:rPr>
              <w:t>($)</w:t>
            </w:r>
          </w:p>
        </w:tc>
        <w:tc>
          <w:tcPr>
            <w:tcW w:w="80" w:type="dxa"/>
            <w:vAlign w:val="bottom"/>
            <w:tcBorders>
              <w:bottom w:val="single" w:sz="8" w:color="auto"/>
            </w:tcBorders>
            <w:shd w:val="clear" w:color="auto" w:fill="F2F2F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400" w:type="dxa"/>
            <w:vAlign w:val="bottom"/>
            <w:tcBorders>
              <w:bottom w:val="single" w:sz="8" w:color="808080"/>
            </w:tcBorders>
          </w:tcPr>
          <w:p>
            <w:pPr>
              <w:spacing w:after="0" w:line="129" w:lineRule="exact"/>
              <w:rPr>
                <w:sz w:val="20"/>
                <w:szCs w:val="20"/>
                <w:color w:val="auto"/>
              </w:rPr>
            </w:pPr>
            <w:r>
              <w:rPr>
                <w:rFonts w:ascii="Arial" w:cs="Arial" w:eastAsia="Arial" w:hAnsi="Arial"/>
                <w:sz w:val="12"/>
                <w:szCs w:val="12"/>
                <w:color w:val="auto"/>
              </w:rPr>
              <w:t>2025</w:t>
            </w:r>
          </w:p>
        </w:tc>
        <w:tc>
          <w:tcPr>
            <w:tcW w:w="1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jc w:val="right"/>
              <w:spacing w:after="0" w:line="129" w:lineRule="exact"/>
              <w:rPr>
                <w:sz w:val="20"/>
                <w:szCs w:val="20"/>
                <w:color w:val="auto"/>
              </w:rPr>
            </w:pPr>
            <w:r>
              <w:rPr>
                <w:rFonts w:ascii="Arial" w:cs="Arial" w:eastAsia="Arial" w:hAnsi="Arial"/>
                <w:sz w:val="12"/>
                <w:szCs w:val="12"/>
                <w:color w:val="auto"/>
              </w:rPr>
              <w:t>32,282,253</w:t>
            </w:r>
          </w:p>
        </w:tc>
        <w:tc>
          <w:tcPr>
            <w:tcW w:w="16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gridSpan w:val="3"/>
          </w:tcPr>
          <w:p>
            <w:pPr>
              <w:jc w:val="right"/>
              <w:spacing w:after="0" w:line="129" w:lineRule="exact"/>
              <w:rPr>
                <w:sz w:val="20"/>
                <w:szCs w:val="20"/>
                <w:color w:val="auto"/>
              </w:rPr>
            </w:pPr>
            <w:r>
              <w:rPr>
                <w:rFonts w:ascii="Arial" w:cs="Arial" w:eastAsia="Arial" w:hAnsi="Arial"/>
                <w:sz w:val="12"/>
                <w:szCs w:val="12"/>
                <w:color w:val="auto"/>
              </w:rPr>
              <w:t>22,565,804</w:t>
            </w:r>
          </w:p>
        </w:tc>
        <w:tc>
          <w:tcPr>
            <w:tcW w:w="12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gridSpan w:val="2"/>
          </w:tcPr>
          <w:p>
            <w:pPr>
              <w:jc w:val="right"/>
              <w:spacing w:after="0" w:line="129" w:lineRule="exact"/>
              <w:rPr>
                <w:sz w:val="20"/>
                <w:szCs w:val="20"/>
                <w:color w:val="auto"/>
              </w:rPr>
            </w:pPr>
            <w:r>
              <w:rPr>
                <w:rFonts w:ascii="Arial" w:cs="Arial" w:eastAsia="Arial" w:hAnsi="Arial"/>
                <w:sz w:val="12"/>
                <w:szCs w:val="12"/>
                <w:color w:val="auto"/>
              </w:rPr>
              <w:t>19,211,872</w:t>
            </w:r>
          </w:p>
        </w:tc>
        <w:tc>
          <w:tcPr>
            <w:tcW w:w="1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gridSpan w:val="2"/>
          </w:tcPr>
          <w:p>
            <w:pPr>
              <w:jc w:val="right"/>
              <w:ind w:right="40"/>
              <w:spacing w:after="0" w:line="129" w:lineRule="exact"/>
              <w:rPr>
                <w:sz w:val="20"/>
                <w:szCs w:val="20"/>
                <w:color w:val="auto"/>
              </w:rPr>
            </w:pPr>
            <w:r>
              <w:rPr>
                <w:rFonts w:ascii="Arial" w:cs="Arial" w:eastAsia="Arial" w:hAnsi="Arial"/>
                <w:sz w:val="12"/>
                <w:szCs w:val="12"/>
                <w:color w:val="auto"/>
              </w:rPr>
              <w:t>8,990,125</w:t>
            </w:r>
          </w:p>
        </w:tc>
        <w:tc>
          <w:tcPr>
            <w:tcW w:w="1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gridSpan w:val="3"/>
          </w:tcPr>
          <w:p>
            <w:pPr>
              <w:jc w:val="right"/>
              <w:spacing w:after="0" w:line="129" w:lineRule="exact"/>
              <w:rPr>
                <w:sz w:val="20"/>
                <w:szCs w:val="20"/>
                <w:color w:val="auto"/>
              </w:rPr>
            </w:pPr>
            <w:r>
              <w:rPr>
                <w:rFonts w:ascii="Arial" w:cs="Arial" w:eastAsia="Arial" w:hAnsi="Arial"/>
                <w:sz w:val="12"/>
                <w:szCs w:val="12"/>
                <w:color w:val="auto"/>
              </w:rPr>
              <w:t>7,426,161</w:t>
            </w:r>
          </w:p>
        </w:tc>
        <w:tc>
          <w:tcPr>
            <w:tcW w:w="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jc w:val="right"/>
              <w:spacing w:after="0" w:line="129" w:lineRule="exact"/>
              <w:rPr>
                <w:sz w:val="20"/>
                <w:szCs w:val="20"/>
                <w:color w:val="auto"/>
              </w:rPr>
            </w:pPr>
            <w:r>
              <w:rPr>
                <w:rFonts w:ascii="Arial" w:cs="Arial" w:eastAsia="Arial" w:hAnsi="Arial"/>
                <w:sz w:val="12"/>
                <w:szCs w:val="12"/>
                <w:color w:val="auto"/>
              </w:rPr>
              <w:t>299,385</w:t>
            </w:r>
          </w:p>
        </w:tc>
        <w:tc>
          <w:tcPr>
            <w:tcW w:w="1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jc w:val="right"/>
              <w:spacing w:after="0" w:line="129" w:lineRule="exact"/>
              <w:rPr>
                <w:sz w:val="20"/>
                <w:szCs w:val="20"/>
                <w:color w:val="auto"/>
              </w:rPr>
            </w:pPr>
            <w:r>
              <w:rPr>
                <w:rFonts w:ascii="Arial" w:cs="Arial" w:eastAsia="Arial" w:hAnsi="Arial"/>
                <w:sz w:val="12"/>
                <w:szCs w:val="12"/>
                <w:color w:val="auto"/>
                <w:w w:val="98"/>
              </w:rPr>
              <w:t>-</w:t>
            </w:r>
          </w:p>
        </w:tc>
        <w:tc>
          <w:tcPr>
            <w:tcW w:w="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jc w:val="center"/>
              <w:ind w:left="107"/>
              <w:spacing w:after="0" w:line="129" w:lineRule="exact"/>
              <w:rPr>
                <w:sz w:val="20"/>
                <w:szCs w:val="20"/>
                <w:color w:val="auto"/>
              </w:rPr>
            </w:pPr>
            <w:r>
              <w:rPr>
                <w:rFonts w:ascii="Arial" w:cs="Arial" w:eastAsia="Arial" w:hAnsi="Arial"/>
                <w:sz w:val="12"/>
                <w:szCs w:val="12"/>
                <w:color w:val="auto"/>
                <w:w w:val="96"/>
              </w:rPr>
              <w:t>45,643,992</w:t>
            </w:r>
          </w:p>
        </w:tc>
        <w:tc>
          <w:tcPr>
            <w:tcW w:w="80" w:type="dxa"/>
            <w:vAlign w:val="bottom"/>
            <w:tcBorders>
              <w:bottom w:val="single" w:sz="8" w:color="808080"/>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00" w:type="dxa"/>
            <w:vAlign w:val="bottom"/>
            <w:tcBorders>
              <w:bottom w:val="single" w:sz="8" w:color="808080"/>
            </w:tcBorders>
          </w:tcPr>
          <w:p>
            <w:pPr>
              <w:spacing w:after="0" w:line="129" w:lineRule="exact"/>
              <w:rPr>
                <w:sz w:val="20"/>
                <w:szCs w:val="20"/>
                <w:color w:val="auto"/>
              </w:rPr>
            </w:pPr>
            <w:r>
              <w:rPr>
                <w:rFonts w:ascii="Arial" w:cs="Arial" w:eastAsia="Arial" w:hAnsi="Arial"/>
                <w:sz w:val="12"/>
                <w:szCs w:val="12"/>
                <w:color w:val="auto"/>
              </w:rPr>
              <w:t>2024</w:t>
            </w:r>
          </w:p>
        </w:tc>
        <w:tc>
          <w:tcPr>
            <w:tcW w:w="1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jc w:val="right"/>
              <w:spacing w:after="0" w:line="129" w:lineRule="exact"/>
              <w:rPr>
                <w:sz w:val="20"/>
                <w:szCs w:val="20"/>
                <w:color w:val="auto"/>
              </w:rPr>
            </w:pPr>
            <w:r>
              <w:rPr>
                <w:rFonts w:ascii="Arial" w:cs="Arial" w:eastAsia="Arial" w:hAnsi="Arial"/>
                <w:sz w:val="12"/>
                <w:szCs w:val="12"/>
                <w:color w:val="auto"/>
              </w:rPr>
              <w:t>33,924,988</w:t>
            </w:r>
          </w:p>
        </w:tc>
        <w:tc>
          <w:tcPr>
            <w:tcW w:w="16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gridSpan w:val="3"/>
          </w:tcPr>
          <w:p>
            <w:pPr>
              <w:jc w:val="right"/>
              <w:spacing w:after="0" w:line="129" w:lineRule="exact"/>
              <w:rPr>
                <w:sz w:val="20"/>
                <w:szCs w:val="20"/>
                <w:color w:val="auto"/>
              </w:rPr>
            </w:pPr>
            <w:r>
              <w:rPr>
                <w:rFonts w:ascii="Arial" w:cs="Arial" w:eastAsia="Arial" w:hAnsi="Arial"/>
                <w:sz w:val="12"/>
                <w:szCs w:val="12"/>
                <w:color w:val="auto"/>
              </w:rPr>
              <w:t>24,405,267</w:t>
            </w:r>
          </w:p>
        </w:tc>
        <w:tc>
          <w:tcPr>
            <w:tcW w:w="12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gridSpan w:val="2"/>
          </w:tcPr>
          <w:p>
            <w:pPr>
              <w:jc w:val="right"/>
              <w:spacing w:after="0" w:line="129" w:lineRule="exact"/>
              <w:rPr>
                <w:sz w:val="20"/>
                <w:szCs w:val="20"/>
                <w:color w:val="auto"/>
              </w:rPr>
            </w:pPr>
            <w:r>
              <w:rPr>
                <w:rFonts w:ascii="Arial" w:cs="Arial" w:eastAsia="Arial" w:hAnsi="Arial"/>
                <w:sz w:val="12"/>
                <w:szCs w:val="12"/>
                <w:color w:val="auto"/>
              </w:rPr>
              <w:t>49,608,142</w:t>
            </w:r>
          </w:p>
        </w:tc>
        <w:tc>
          <w:tcPr>
            <w:tcW w:w="1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gridSpan w:val="2"/>
          </w:tcPr>
          <w:p>
            <w:pPr>
              <w:jc w:val="right"/>
              <w:ind w:right="40"/>
              <w:spacing w:after="0" w:line="129" w:lineRule="exact"/>
              <w:rPr>
                <w:sz w:val="20"/>
                <w:szCs w:val="20"/>
                <w:color w:val="auto"/>
              </w:rPr>
            </w:pPr>
            <w:r>
              <w:rPr>
                <w:rFonts w:ascii="Arial" w:cs="Arial" w:eastAsia="Arial" w:hAnsi="Arial"/>
                <w:sz w:val="12"/>
                <w:szCs w:val="12"/>
                <w:color w:val="auto"/>
              </w:rPr>
              <w:t>23,013,181</w:t>
            </w:r>
          </w:p>
        </w:tc>
        <w:tc>
          <w:tcPr>
            <w:tcW w:w="1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gridSpan w:val="3"/>
          </w:tcPr>
          <w:p>
            <w:pPr>
              <w:jc w:val="right"/>
              <w:spacing w:after="0" w:line="129" w:lineRule="exact"/>
              <w:rPr>
                <w:sz w:val="20"/>
                <w:szCs w:val="20"/>
                <w:color w:val="auto"/>
              </w:rPr>
            </w:pPr>
            <w:r>
              <w:rPr>
                <w:rFonts w:ascii="Arial" w:cs="Arial" w:eastAsia="Arial" w:hAnsi="Arial"/>
                <w:sz w:val="12"/>
                <w:szCs w:val="12"/>
                <w:color w:val="auto"/>
              </w:rPr>
              <w:t>6,328,122</w:t>
            </w:r>
          </w:p>
        </w:tc>
        <w:tc>
          <w:tcPr>
            <w:tcW w:w="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jc w:val="right"/>
              <w:spacing w:after="0" w:line="129" w:lineRule="exact"/>
              <w:rPr>
                <w:sz w:val="20"/>
                <w:szCs w:val="20"/>
                <w:color w:val="auto"/>
              </w:rPr>
            </w:pPr>
            <w:r>
              <w:rPr>
                <w:rFonts w:ascii="Arial" w:cs="Arial" w:eastAsia="Arial" w:hAnsi="Arial"/>
                <w:sz w:val="12"/>
                <w:szCs w:val="12"/>
                <w:color w:val="auto"/>
                <w:w w:val="97"/>
              </w:rPr>
              <w:t>8,255,515</w:t>
            </w:r>
          </w:p>
        </w:tc>
        <w:tc>
          <w:tcPr>
            <w:tcW w:w="1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jc w:val="right"/>
              <w:spacing w:after="0" w:line="129" w:lineRule="exact"/>
              <w:rPr>
                <w:sz w:val="20"/>
                <w:szCs w:val="20"/>
                <w:color w:val="auto"/>
              </w:rPr>
            </w:pPr>
            <w:r>
              <w:rPr>
                <w:rFonts w:ascii="Arial" w:cs="Arial" w:eastAsia="Arial" w:hAnsi="Arial"/>
                <w:sz w:val="12"/>
                <w:szCs w:val="12"/>
                <w:color w:val="auto"/>
                <w:w w:val="98"/>
              </w:rPr>
              <w:t>-</w:t>
            </w:r>
          </w:p>
        </w:tc>
        <w:tc>
          <w:tcPr>
            <w:tcW w:w="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jc w:val="center"/>
              <w:ind w:left="107"/>
              <w:spacing w:after="0" w:line="129" w:lineRule="exact"/>
              <w:rPr>
                <w:sz w:val="20"/>
                <w:szCs w:val="20"/>
                <w:color w:val="auto"/>
              </w:rPr>
            </w:pPr>
            <w:r>
              <w:rPr>
                <w:rFonts w:ascii="Arial" w:cs="Arial" w:eastAsia="Arial" w:hAnsi="Arial"/>
                <w:sz w:val="12"/>
                <w:szCs w:val="12"/>
                <w:color w:val="auto"/>
                <w:w w:val="96"/>
              </w:rPr>
              <w:t>96,724,681</w:t>
            </w:r>
          </w:p>
        </w:tc>
        <w:tc>
          <w:tcPr>
            <w:tcW w:w="80" w:type="dxa"/>
            <w:vAlign w:val="bottom"/>
            <w:tcBorders>
              <w:bottom w:val="single" w:sz="8" w:color="808080"/>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00" w:type="dxa"/>
            <w:vAlign w:val="bottom"/>
            <w:tcBorders>
              <w:bottom w:val="single" w:sz="8" w:color="808080"/>
            </w:tcBorders>
          </w:tcPr>
          <w:p>
            <w:pPr>
              <w:spacing w:after="0" w:line="129" w:lineRule="exact"/>
              <w:rPr>
                <w:sz w:val="20"/>
                <w:szCs w:val="20"/>
                <w:color w:val="auto"/>
              </w:rPr>
            </w:pPr>
            <w:r>
              <w:rPr>
                <w:rFonts w:ascii="Arial" w:cs="Arial" w:eastAsia="Arial" w:hAnsi="Arial"/>
                <w:sz w:val="12"/>
                <w:szCs w:val="12"/>
                <w:color w:val="auto"/>
              </w:rPr>
              <w:t>2023</w:t>
            </w:r>
          </w:p>
        </w:tc>
        <w:tc>
          <w:tcPr>
            <w:tcW w:w="1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jc w:val="right"/>
              <w:spacing w:after="0" w:line="129" w:lineRule="exact"/>
              <w:rPr>
                <w:sz w:val="20"/>
                <w:szCs w:val="20"/>
                <w:color w:val="auto"/>
              </w:rPr>
            </w:pPr>
            <w:r>
              <w:rPr>
                <w:rFonts w:ascii="Arial" w:cs="Arial" w:eastAsia="Arial" w:hAnsi="Arial"/>
                <w:sz w:val="12"/>
                <w:szCs w:val="12"/>
                <w:color w:val="auto"/>
              </w:rPr>
              <w:t>18,573,299</w:t>
            </w:r>
          </w:p>
        </w:tc>
        <w:tc>
          <w:tcPr>
            <w:tcW w:w="16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gridSpan w:val="3"/>
          </w:tcPr>
          <w:p>
            <w:pPr>
              <w:jc w:val="right"/>
              <w:spacing w:after="0" w:line="129" w:lineRule="exact"/>
              <w:rPr>
                <w:sz w:val="20"/>
                <w:szCs w:val="20"/>
                <w:color w:val="auto"/>
              </w:rPr>
            </w:pPr>
            <w:r>
              <w:rPr>
                <w:rFonts w:ascii="Arial" w:cs="Arial" w:eastAsia="Arial" w:hAnsi="Arial"/>
                <w:sz w:val="12"/>
                <w:szCs w:val="12"/>
                <w:color w:val="auto"/>
              </w:rPr>
              <w:t>10,705,744</w:t>
            </w:r>
          </w:p>
        </w:tc>
        <w:tc>
          <w:tcPr>
            <w:tcW w:w="12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gridSpan w:val="2"/>
          </w:tcPr>
          <w:p>
            <w:pPr>
              <w:jc w:val="right"/>
              <w:spacing w:after="0" w:line="129" w:lineRule="exact"/>
              <w:rPr>
                <w:sz w:val="20"/>
                <w:szCs w:val="20"/>
                <w:color w:val="auto"/>
              </w:rPr>
            </w:pPr>
            <w:r>
              <w:rPr>
                <w:rFonts w:ascii="Arial" w:cs="Arial" w:eastAsia="Arial" w:hAnsi="Arial"/>
                <w:sz w:val="12"/>
                <w:szCs w:val="12"/>
                <w:color w:val="auto"/>
              </w:rPr>
              <w:t>12,465,603</w:t>
            </w:r>
          </w:p>
        </w:tc>
        <w:tc>
          <w:tcPr>
            <w:tcW w:w="1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gridSpan w:val="2"/>
          </w:tcPr>
          <w:p>
            <w:pPr>
              <w:jc w:val="right"/>
              <w:ind w:right="40"/>
              <w:spacing w:after="0" w:line="129" w:lineRule="exact"/>
              <w:rPr>
                <w:sz w:val="20"/>
                <w:szCs w:val="20"/>
                <w:color w:val="auto"/>
              </w:rPr>
            </w:pPr>
            <w:r>
              <w:rPr>
                <w:rFonts w:ascii="Arial" w:cs="Arial" w:eastAsia="Arial" w:hAnsi="Arial"/>
                <w:sz w:val="12"/>
                <w:szCs w:val="12"/>
                <w:color w:val="auto"/>
              </w:rPr>
              <w:t>794,170</w:t>
            </w:r>
          </w:p>
        </w:tc>
        <w:tc>
          <w:tcPr>
            <w:tcW w:w="1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jc w:val="right"/>
              <w:spacing w:after="0" w:line="129" w:lineRule="exact"/>
              <w:rPr>
                <w:sz w:val="20"/>
                <w:szCs w:val="20"/>
                <w:color w:val="auto"/>
              </w:rPr>
            </w:pPr>
            <w:r>
              <w:rPr>
                <w:rFonts w:ascii="Arial" w:cs="Arial" w:eastAsia="Arial" w:hAnsi="Arial"/>
                <w:sz w:val="12"/>
                <w:szCs w:val="12"/>
                <w:color w:val="auto"/>
              </w:rPr>
              <w:t>-</w:t>
            </w:r>
          </w:p>
        </w:tc>
        <w:tc>
          <w:tcPr>
            <w:tcW w:w="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jc w:val="right"/>
              <w:spacing w:after="0" w:line="129" w:lineRule="exact"/>
              <w:rPr>
                <w:sz w:val="20"/>
                <w:szCs w:val="20"/>
                <w:color w:val="auto"/>
              </w:rPr>
            </w:pPr>
            <w:r>
              <w:rPr>
                <w:rFonts w:ascii="Arial" w:cs="Arial" w:eastAsia="Arial" w:hAnsi="Arial"/>
                <w:sz w:val="12"/>
                <w:szCs w:val="12"/>
                <w:color w:val="auto"/>
                <w:w w:val="97"/>
              </w:rPr>
              <w:t>1,928,488</w:t>
            </w:r>
          </w:p>
        </w:tc>
        <w:tc>
          <w:tcPr>
            <w:tcW w:w="1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jc w:val="right"/>
              <w:spacing w:after="0" w:line="129" w:lineRule="exact"/>
              <w:rPr>
                <w:sz w:val="20"/>
                <w:szCs w:val="20"/>
                <w:color w:val="auto"/>
              </w:rPr>
            </w:pPr>
            <w:r>
              <w:rPr>
                <w:rFonts w:ascii="Arial" w:cs="Arial" w:eastAsia="Arial" w:hAnsi="Arial"/>
                <w:sz w:val="12"/>
                <w:szCs w:val="12"/>
                <w:color w:val="auto"/>
                <w:w w:val="98"/>
              </w:rPr>
              <w:t>-</w:t>
            </w:r>
          </w:p>
        </w:tc>
        <w:tc>
          <w:tcPr>
            <w:tcW w:w="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jc w:val="center"/>
              <w:ind w:left="107"/>
              <w:spacing w:after="0" w:line="129" w:lineRule="exact"/>
              <w:rPr>
                <w:sz w:val="20"/>
                <w:szCs w:val="20"/>
                <w:color w:val="auto"/>
              </w:rPr>
            </w:pPr>
            <w:r>
              <w:rPr>
                <w:rFonts w:ascii="Arial" w:cs="Arial" w:eastAsia="Arial" w:hAnsi="Arial"/>
                <w:sz w:val="12"/>
                <w:szCs w:val="12"/>
                <w:color w:val="auto"/>
                <w:w w:val="96"/>
              </w:rPr>
              <w:t>23,055,816</w:t>
            </w:r>
          </w:p>
        </w:tc>
        <w:tc>
          <w:tcPr>
            <w:tcW w:w="80" w:type="dxa"/>
            <w:vAlign w:val="bottom"/>
            <w:tcBorders>
              <w:bottom w:val="single" w:sz="8" w:color="808080"/>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00" w:type="dxa"/>
            <w:vAlign w:val="bottom"/>
            <w:tcBorders>
              <w:bottom w:val="single" w:sz="8" w:color="808080"/>
            </w:tcBorders>
          </w:tcPr>
          <w:p>
            <w:pPr>
              <w:spacing w:after="0" w:line="129" w:lineRule="exact"/>
              <w:rPr>
                <w:sz w:val="20"/>
                <w:szCs w:val="20"/>
                <w:color w:val="auto"/>
              </w:rPr>
            </w:pPr>
            <w:r>
              <w:rPr>
                <w:rFonts w:ascii="Arial" w:cs="Arial" w:eastAsia="Arial" w:hAnsi="Arial"/>
                <w:sz w:val="12"/>
                <w:szCs w:val="12"/>
                <w:color w:val="auto"/>
              </w:rPr>
              <w:t>2022</w:t>
            </w:r>
          </w:p>
        </w:tc>
        <w:tc>
          <w:tcPr>
            <w:tcW w:w="1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jc w:val="right"/>
              <w:spacing w:after="0" w:line="129" w:lineRule="exact"/>
              <w:rPr>
                <w:sz w:val="20"/>
                <w:szCs w:val="20"/>
                <w:color w:val="auto"/>
              </w:rPr>
            </w:pPr>
            <w:r>
              <w:rPr>
                <w:rFonts w:ascii="Arial" w:cs="Arial" w:eastAsia="Arial" w:hAnsi="Arial"/>
                <w:sz w:val="12"/>
                <w:szCs w:val="12"/>
                <w:color w:val="auto"/>
              </w:rPr>
              <w:t>9,796,602</w:t>
            </w:r>
          </w:p>
        </w:tc>
        <w:tc>
          <w:tcPr>
            <w:tcW w:w="16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gridSpan w:val="3"/>
          </w:tcPr>
          <w:p>
            <w:pPr>
              <w:jc w:val="right"/>
              <w:spacing w:after="0" w:line="129" w:lineRule="exact"/>
              <w:rPr>
                <w:sz w:val="20"/>
                <w:szCs w:val="20"/>
                <w:color w:val="auto"/>
              </w:rPr>
            </w:pPr>
            <w:r>
              <w:rPr>
                <w:rFonts w:ascii="Arial" w:cs="Arial" w:eastAsia="Arial" w:hAnsi="Arial"/>
                <w:sz w:val="12"/>
                <w:szCs w:val="12"/>
                <w:color w:val="auto"/>
              </w:rPr>
              <w:t>8,666,624</w:t>
            </w:r>
          </w:p>
        </w:tc>
        <w:tc>
          <w:tcPr>
            <w:tcW w:w="12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gridSpan w:val="2"/>
          </w:tcPr>
          <w:p>
            <w:pPr>
              <w:jc w:val="right"/>
              <w:spacing w:after="0" w:line="129" w:lineRule="exact"/>
              <w:rPr>
                <w:sz w:val="20"/>
                <w:szCs w:val="20"/>
                <w:color w:val="auto"/>
              </w:rPr>
            </w:pPr>
            <w:r>
              <w:rPr>
                <w:rFonts w:ascii="Arial" w:cs="Arial" w:eastAsia="Arial" w:hAnsi="Arial"/>
                <w:sz w:val="12"/>
                <w:szCs w:val="12"/>
                <w:color w:val="auto"/>
              </w:rPr>
              <w:t>10,244,183</w:t>
            </w:r>
          </w:p>
        </w:tc>
        <w:tc>
          <w:tcPr>
            <w:tcW w:w="1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gridSpan w:val="2"/>
          </w:tcPr>
          <w:p>
            <w:pPr>
              <w:jc w:val="right"/>
              <w:spacing w:after="0" w:line="129" w:lineRule="exact"/>
              <w:rPr>
                <w:sz w:val="20"/>
                <w:szCs w:val="20"/>
                <w:color w:val="auto"/>
              </w:rPr>
            </w:pPr>
            <w:r>
              <w:rPr>
                <w:rFonts w:ascii="Arial" w:cs="Arial" w:eastAsia="Arial" w:hAnsi="Arial"/>
                <w:sz w:val="12"/>
                <w:szCs w:val="12"/>
                <w:color w:val="auto"/>
              </w:rPr>
              <w:t>(1,072,561)</w:t>
            </w:r>
          </w:p>
        </w:tc>
        <w:tc>
          <w:tcPr>
            <w:tcW w:w="1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jc w:val="right"/>
              <w:spacing w:after="0" w:line="129" w:lineRule="exact"/>
              <w:rPr>
                <w:sz w:val="20"/>
                <w:szCs w:val="20"/>
                <w:color w:val="auto"/>
              </w:rPr>
            </w:pPr>
            <w:r>
              <w:rPr>
                <w:rFonts w:ascii="Arial" w:cs="Arial" w:eastAsia="Arial" w:hAnsi="Arial"/>
                <w:sz w:val="12"/>
                <w:szCs w:val="12"/>
                <w:color w:val="auto"/>
              </w:rPr>
              <w:t>-</w:t>
            </w:r>
          </w:p>
        </w:tc>
        <w:tc>
          <w:tcPr>
            <w:tcW w:w="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gridSpan w:val="2"/>
          </w:tcPr>
          <w:p>
            <w:pPr>
              <w:jc w:val="right"/>
              <w:ind w:right="103"/>
              <w:spacing w:after="0" w:line="129" w:lineRule="exact"/>
              <w:rPr>
                <w:sz w:val="20"/>
                <w:szCs w:val="20"/>
                <w:color w:val="auto"/>
              </w:rPr>
            </w:pPr>
            <w:r>
              <w:rPr>
                <w:rFonts w:ascii="Arial" w:cs="Arial" w:eastAsia="Arial" w:hAnsi="Arial"/>
                <w:sz w:val="12"/>
                <w:szCs w:val="12"/>
                <w:color w:val="auto"/>
              </w:rPr>
              <w:t>(385,819)</w:t>
            </w: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jc w:val="right"/>
              <w:spacing w:after="0" w:line="129" w:lineRule="exact"/>
              <w:rPr>
                <w:sz w:val="20"/>
                <w:szCs w:val="20"/>
                <w:color w:val="auto"/>
              </w:rPr>
            </w:pPr>
            <w:r>
              <w:rPr>
                <w:rFonts w:ascii="Arial" w:cs="Arial" w:eastAsia="Arial" w:hAnsi="Arial"/>
                <w:sz w:val="12"/>
                <w:szCs w:val="12"/>
                <w:color w:val="auto"/>
                <w:w w:val="98"/>
              </w:rPr>
              <w:t>-</w:t>
            </w:r>
          </w:p>
        </w:tc>
        <w:tc>
          <w:tcPr>
            <w:tcW w:w="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jc w:val="right"/>
              <w:spacing w:after="0" w:line="129" w:lineRule="exact"/>
              <w:rPr>
                <w:sz w:val="20"/>
                <w:szCs w:val="20"/>
                <w:color w:val="auto"/>
              </w:rPr>
            </w:pPr>
            <w:r>
              <w:rPr>
                <w:rFonts w:ascii="Arial" w:cs="Arial" w:eastAsia="Arial" w:hAnsi="Arial"/>
                <w:sz w:val="12"/>
                <w:szCs w:val="12"/>
                <w:color w:val="auto"/>
              </w:rPr>
              <w:t>9,915,781</w:t>
            </w:r>
          </w:p>
        </w:tc>
        <w:tc>
          <w:tcPr>
            <w:tcW w:w="80" w:type="dxa"/>
            <w:vAlign w:val="bottom"/>
            <w:tcBorders>
              <w:bottom w:val="single" w:sz="8" w:color="808080"/>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00" w:type="dxa"/>
            <w:vAlign w:val="bottom"/>
            <w:tcBorders>
              <w:bottom w:val="single" w:sz="8" w:color="808080"/>
            </w:tcBorders>
          </w:tcPr>
          <w:p>
            <w:pPr>
              <w:spacing w:after="0" w:line="129" w:lineRule="exact"/>
              <w:rPr>
                <w:sz w:val="20"/>
                <w:szCs w:val="20"/>
                <w:color w:val="auto"/>
              </w:rPr>
            </w:pPr>
            <w:r>
              <w:rPr>
                <w:rFonts w:ascii="Arial" w:cs="Arial" w:eastAsia="Arial" w:hAnsi="Arial"/>
                <w:sz w:val="12"/>
                <w:szCs w:val="12"/>
                <w:color w:val="auto"/>
              </w:rPr>
              <w:t>2021</w:t>
            </w:r>
          </w:p>
        </w:tc>
        <w:tc>
          <w:tcPr>
            <w:tcW w:w="1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jc w:val="right"/>
              <w:spacing w:after="0" w:line="129" w:lineRule="exact"/>
              <w:rPr>
                <w:sz w:val="20"/>
                <w:szCs w:val="20"/>
                <w:color w:val="auto"/>
              </w:rPr>
            </w:pPr>
            <w:r>
              <w:rPr>
                <w:rFonts w:ascii="Arial" w:cs="Arial" w:eastAsia="Arial" w:hAnsi="Arial"/>
                <w:sz w:val="12"/>
                <w:szCs w:val="12"/>
                <w:color w:val="auto"/>
              </w:rPr>
              <w:t>9,845,064</w:t>
            </w:r>
          </w:p>
        </w:tc>
        <w:tc>
          <w:tcPr>
            <w:tcW w:w="16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gridSpan w:val="3"/>
          </w:tcPr>
          <w:p>
            <w:pPr>
              <w:jc w:val="right"/>
              <w:spacing w:after="0" w:line="129" w:lineRule="exact"/>
              <w:rPr>
                <w:sz w:val="20"/>
                <w:szCs w:val="20"/>
                <w:color w:val="auto"/>
              </w:rPr>
            </w:pPr>
            <w:r>
              <w:rPr>
                <w:rFonts w:ascii="Arial" w:cs="Arial" w:eastAsia="Arial" w:hAnsi="Arial"/>
                <w:sz w:val="12"/>
                <w:szCs w:val="12"/>
                <w:color w:val="auto"/>
              </w:rPr>
              <w:t>8,729,907</w:t>
            </w:r>
          </w:p>
        </w:tc>
        <w:tc>
          <w:tcPr>
            <w:tcW w:w="12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gridSpan w:val="2"/>
          </w:tcPr>
          <w:p>
            <w:pPr>
              <w:jc w:val="right"/>
              <w:spacing w:after="0" w:line="129" w:lineRule="exact"/>
              <w:rPr>
                <w:sz w:val="20"/>
                <w:szCs w:val="20"/>
                <w:color w:val="auto"/>
              </w:rPr>
            </w:pPr>
            <w:r>
              <w:rPr>
                <w:rFonts w:ascii="Arial" w:cs="Arial" w:eastAsia="Arial" w:hAnsi="Arial"/>
                <w:sz w:val="12"/>
                <w:szCs w:val="12"/>
                <w:color w:val="auto"/>
              </w:rPr>
              <w:t>3,741,920</w:t>
            </w:r>
          </w:p>
        </w:tc>
        <w:tc>
          <w:tcPr>
            <w:tcW w:w="1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gridSpan w:val="2"/>
          </w:tcPr>
          <w:p>
            <w:pPr>
              <w:jc w:val="right"/>
              <w:spacing w:after="0" w:line="129" w:lineRule="exact"/>
              <w:rPr>
                <w:sz w:val="20"/>
                <w:szCs w:val="20"/>
                <w:color w:val="auto"/>
              </w:rPr>
            </w:pPr>
            <w:r>
              <w:rPr>
                <w:rFonts w:ascii="Arial" w:cs="Arial" w:eastAsia="Arial" w:hAnsi="Arial"/>
                <w:sz w:val="12"/>
                <w:szCs w:val="12"/>
                <w:color w:val="auto"/>
              </w:rPr>
              <w:t>(117,988)</w:t>
            </w:r>
          </w:p>
        </w:tc>
        <w:tc>
          <w:tcPr>
            <w:tcW w:w="1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gridSpan w:val="3"/>
          </w:tcPr>
          <w:p>
            <w:pPr>
              <w:jc w:val="right"/>
              <w:spacing w:after="0" w:line="129" w:lineRule="exact"/>
              <w:rPr>
                <w:sz w:val="20"/>
                <w:szCs w:val="20"/>
                <w:color w:val="auto"/>
              </w:rPr>
            </w:pPr>
            <w:r>
              <w:rPr>
                <w:rFonts w:ascii="Arial" w:cs="Arial" w:eastAsia="Arial" w:hAnsi="Arial"/>
                <w:sz w:val="12"/>
                <w:szCs w:val="12"/>
                <w:color w:val="auto"/>
              </w:rPr>
              <w:t>5,656,806</w:t>
            </w:r>
          </w:p>
        </w:tc>
        <w:tc>
          <w:tcPr>
            <w:tcW w:w="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jc w:val="right"/>
              <w:spacing w:after="0" w:line="129" w:lineRule="exact"/>
              <w:rPr>
                <w:sz w:val="20"/>
                <w:szCs w:val="20"/>
                <w:color w:val="auto"/>
              </w:rPr>
            </w:pPr>
            <w:r>
              <w:rPr>
                <w:rFonts w:ascii="Arial" w:cs="Arial" w:eastAsia="Arial" w:hAnsi="Arial"/>
                <w:sz w:val="12"/>
                <w:szCs w:val="12"/>
                <w:color w:val="auto"/>
              </w:rPr>
              <w:t>703,549</w:t>
            </w:r>
          </w:p>
        </w:tc>
        <w:tc>
          <w:tcPr>
            <w:tcW w:w="1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jc w:val="right"/>
              <w:spacing w:after="0" w:line="129" w:lineRule="exact"/>
              <w:rPr>
                <w:sz w:val="20"/>
                <w:szCs w:val="20"/>
                <w:color w:val="auto"/>
              </w:rPr>
            </w:pPr>
            <w:r>
              <w:rPr>
                <w:rFonts w:ascii="Arial" w:cs="Arial" w:eastAsia="Arial" w:hAnsi="Arial"/>
                <w:sz w:val="12"/>
                <w:szCs w:val="12"/>
                <w:color w:val="auto"/>
                <w:w w:val="98"/>
              </w:rPr>
              <w:t>-</w:t>
            </w:r>
          </w:p>
        </w:tc>
        <w:tc>
          <w:tcPr>
            <w:tcW w:w="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jc w:val="center"/>
              <w:ind w:left="107"/>
              <w:spacing w:after="0" w:line="129" w:lineRule="exact"/>
              <w:rPr>
                <w:sz w:val="20"/>
                <w:szCs w:val="20"/>
                <w:color w:val="auto"/>
              </w:rPr>
            </w:pPr>
            <w:r>
              <w:rPr>
                <w:rFonts w:ascii="Arial" w:cs="Arial" w:eastAsia="Arial" w:hAnsi="Arial"/>
                <w:sz w:val="12"/>
                <w:szCs w:val="12"/>
                <w:color w:val="auto"/>
                <w:w w:val="96"/>
              </w:rPr>
              <w:t>11,099,444</w:t>
            </w:r>
          </w:p>
        </w:tc>
        <w:tc>
          <w:tcPr>
            <w:tcW w:w="80" w:type="dxa"/>
            <w:vAlign w:val="bottom"/>
            <w:tcBorders>
              <w:bottom w:val="single" w:sz="8" w:color="808080"/>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4"/>
        </w:trPr>
        <w:tc>
          <w:tcPr>
            <w:tcW w:w="400" w:type="dxa"/>
            <w:vAlign w:val="bottom"/>
            <w:tcBorders>
              <w:bottom w:val="single" w:sz="8" w:color="1414D2"/>
            </w:tcBorders>
          </w:tcPr>
          <w:p>
            <w:pPr>
              <w:spacing w:after="0"/>
              <w:rPr>
                <w:sz w:val="21"/>
                <w:szCs w:val="21"/>
                <w:color w:val="auto"/>
              </w:rPr>
            </w:pPr>
          </w:p>
        </w:tc>
        <w:tc>
          <w:tcPr>
            <w:tcW w:w="180" w:type="dxa"/>
            <w:vAlign w:val="bottom"/>
            <w:tcBorders>
              <w:bottom w:val="single" w:sz="8" w:color="1414D2"/>
            </w:tcBorders>
          </w:tcPr>
          <w:p>
            <w:pPr>
              <w:spacing w:after="0"/>
              <w:rPr>
                <w:sz w:val="21"/>
                <w:szCs w:val="21"/>
                <w:color w:val="auto"/>
              </w:rPr>
            </w:pPr>
          </w:p>
        </w:tc>
        <w:tc>
          <w:tcPr>
            <w:tcW w:w="160" w:type="dxa"/>
            <w:vAlign w:val="bottom"/>
            <w:tcBorders>
              <w:bottom w:val="single" w:sz="8" w:color="1414D2"/>
            </w:tcBorders>
          </w:tcPr>
          <w:p>
            <w:pPr>
              <w:spacing w:after="0"/>
              <w:rPr>
                <w:sz w:val="21"/>
                <w:szCs w:val="21"/>
                <w:color w:val="auto"/>
              </w:rPr>
            </w:pPr>
          </w:p>
        </w:tc>
        <w:tc>
          <w:tcPr>
            <w:tcW w:w="820" w:type="dxa"/>
            <w:vAlign w:val="bottom"/>
            <w:tcBorders>
              <w:bottom w:val="single" w:sz="8" w:color="1414D2"/>
            </w:tcBorders>
          </w:tcPr>
          <w:p>
            <w:pPr>
              <w:spacing w:after="0"/>
              <w:rPr>
                <w:sz w:val="21"/>
                <w:szCs w:val="21"/>
                <w:color w:val="auto"/>
              </w:rPr>
            </w:pPr>
          </w:p>
        </w:tc>
        <w:tc>
          <w:tcPr>
            <w:tcW w:w="160" w:type="dxa"/>
            <w:vAlign w:val="bottom"/>
            <w:tcBorders>
              <w:bottom w:val="single" w:sz="8" w:color="1414D2"/>
            </w:tcBorders>
          </w:tcPr>
          <w:p>
            <w:pPr>
              <w:spacing w:after="0"/>
              <w:rPr>
                <w:sz w:val="21"/>
                <w:szCs w:val="21"/>
                <w:color w:val="auto"/>
              </w:rPr>
            </w:pPr>
          </w:p>
        </w:tc>
        <w:tc>
          <w:tcPr>
            <w:tcW w:w="560" w:type="dxa"/>
            <w:vAlign w:val="bottom"/>
            <w:tcBorders>
              <w:bottom w:val="single" w:sz="8" w:color="1414D2"/>
            </w:tcBorders>
          </w:tcPr>
          <w:p>
            <w:pPr>
              <w:spacing w:after="0"/>
              <w:rPr>
                <w:sz w:val="21"/>
                <w:szCs w:val="21"/>
                <w:color w:val="auto"/>
              </w:rPr>
            </w:pPr>
          </w:p>
        </w:tc>
        <w:tc>
          <w:tcPr>
            <w:tcW w:w="140" w:type="dxa"/>
            <w:vAlign w:val="bottom"/>
            <w:tcBorders>
              <w:bottom w:val="single" w:sz="8" w:color="1414D2"/>
            </w:tcBorders>
          </w:tcPr>
          <w:p>
            <w:pPr>
              <w:spacing w:after="0"/>
              <w:rPr>
                <w:sz w:val="21"/>
                <w:szCs w:val="21"/>
                <w:color w:val="auto"/>
              </w:rPr>
            </w:pPr>
          </w:p>
        </w:tc>
        <w:tc>
          <w:tcPr>
            <w:tcW w:w="320" w:type="dxa"/>
            <w:vAlign w:val="bottom"/>
            <w:tcBorders>
              <w:bottom w:val="single" w:sz="8" w:color="1414D2"/>
            </w:tcBorders>
          </w:tcPr>
          <w:p>
            <w:pPr>
              <w:spacing w:after="0"/>
              <w:rPr>
                <w:sz w:val="21"/>
                <w:szCs w:val="21"/>
                <w:color w:val="auto"/>
              </w:rPr>
            </w:pPr>
          </w:p>
        </w:tc>
        <w:tc>
          <w:tcPr>
            <w:tcW w:w="120" w:type="dxa"/>
            <w:vAlign w:val="bottom"/>
            <w:tcBorders>
              <w:bottom w:val="single" w:sz="8" w:color="1414D2"/>
            </w:tcBorders>
          </w:tcPr>
          <w:p>
            <w:pPr>
              <w:spacing w:after="0"/>
              <w:rPr>
                <w:sz w:val="21"/>
                <w:szCs w:val="21"/>
                <w:color w:val="auto"/>
              </w:rPr>
            </w:pPr>
          </w:p>
        </w:tc>
        <w:tc>
          <w:tcPr>
            <w:tcW w:w="320" w:type="dxa"/>
            <w:vAlign w:val="bottom"/>
            <w:tcBorders>
              <w:bottom w:val="single" w:sz="8" w:color="1414D2"/>
            </w:tcBorders>
          </w:tcPr>
          <w:p>
            <w:pPr>
              <w:spacing w:after="0"/>
              <w:rPr>
                <w:sz w:val="21"/>
                <w:szCs w:val="21"/>
                <w:color w:val="auto"/>
              </w:rPr>
            </w:pPr>
          </w:p>
        </w:tc>
        <w:tc>
          <w:tcPr>
            <w:tcW w:w="920" w:type="dxa"/>
            <w:vAlign w:val="bottom"/>
            <w:tcBorders>
              <w:bottom w:val="single" w:sz="8" w:color="1414D2"/>
            </w:tcBorders>
            <w:gridSpan w:val="4"/>
          </w:tcPr>
          <w:p>
            <w:pPr>
              <w:spacing w:after="0"/>
              <w:rPr>
                <w:sz w:val="21"/>
                <w:szCs w:val="21"/>
                <w:color w:val="auto"/>
              </w:rPr>
            </w:pPr>
          </w:p>
        </w:tc>
        <w:tc>
          <w:tcPr>
            <w:tcW w:w="960" w:type="dxa"/>
            <w:vAlign w:val="bottom"/>
            <w:tcBorders>
              <w:bottom w:val="single" w:sz="8" w:color="1414D2"/>
            </w:tcBorders>
            <w:gridSpan w:val="2"/>
          </w:tcPr>
          <w:p>
            <w:pPr>
              <w:spacing w:after="0"/>
              <w:rPr>
                <w:sz w:val="21"/>
                <w:szCs w:val="21"/>
                <w:color w:val="auto"/>
              </w:rPr>
            </w:pPr>
          </w:p>
        </w:tc>
        <w:tc>
          <w:tcPr>
            <w:tcW w:w="40" w:type="dxa"/>
            <w:vAlign w:val="bottom"/>
            <w:tcBorders>
              <w:bottom w:val="single" w:sz="8" w:color="1414D2"/>
            </w:tcBorders>
          </w:tcPr>
          <w:p>
            <w:pPr>
              <w:spacing w:after="0"/>
              <w:rPr>
                <w:sz w:val="21"/>
                <w:szCs w:val="21"/>
                <w:color w:val="auto"/>
              </w:rPr>
            </w:pPr>
          </w:p>
        </w:tc>
        <w:tc>
          <w:tcPr>
            <w:tcW w:w="1000" w:type="dxa"/>
            <w:vAlign w:val="bottom"/>
            <w:tcBorders>
              <w:bottom w:val="single" w:sz="8" w:color="1414D2"/>
            </w:tcBorders>
            <w:gridSpan w:val="3"/>
          </w:tcPr>
          <w:p>
            <w:pPr>
              <w:spacing w:after="0"/>
              <w:rPr>
                <w:sz w:val="21"/>
                <w:szCs w:val="21"/>
                <w:color w:val="auto"/>
              </w:rPr>
            </w:pPr>
          </w:p>
        </w:tc>
        <w:tc>
          <w:tcPr>
            <w:tcW w:w="40" w:type="dxa"/>
            <w:vAlign w:val="bottom"/>
            <w:tcBorders>
              <w:bottom w:val="single" w:sz="8" w:color="1414D2"/>
            </w:tcBorders>
          </w:tcPr>
          <w:p>
            <w:pPr>
              <w:spacing w:after="0"/>
              <w:rPr>
                <w:sz w:val="21"/>
                <w:szCs w:val="21"/>
                <w:color w:val="auto"/>
              </w:rPr>
            </w:pPr>
          </w:p>
        </w:tc>
        <w:tc>
          <w:tcPr>
            <w:tcW w:w="100" w:type="dxa"/>
            <w:vAlign w:val="bottom"/>
            <w:tcBorders>
              <w:bottom w:val="single" w:sz="8" w:color="1414D2"/>
            </w:tcBorders>
          </w:tcPr>
          <w:p>
            <w:pPr>
              <w:spacing w:after="0"/>
              <w:rPr>
                <w:sz w:val="21"/>
                <w:szCs w:val="21"/>
                <w:color w:val="auto"/>
              </w:rPr>
            </w:pPr>
          </w:p>
        </w:tc>
        <w:tc>
          <w:tcPr>
            <w:tcW w:w="40" w:type="dxa"/>
            <w:vAlign w:val="bottom"/>
            <w:tcBorders>
              <w:bottom w:val="single" w:sz="8" w:color="1414D2"/>
            </w:tcBorders>
          </w:tcPr>
          <w:p>
            <w:pPr>
              <w:spacing w:after="0"/>
              <w:rPr>
                <w:sz w:val="21"/>
                <w:szCs w:val="21"/>
                <w:color w:val="auto"/>
              </w:rPr>
            </w:pPr>
          </w:p>
        </w:tc>
        <w:tc>
          <w:tcPr>
            <w:tcW w:w="120" w:type="dxa"/>
            <w:vAlign w:val="bottom"/>
            <w:tcBorders>
              <w:bottom w:val="single" w:sz="8" w:color="1414D2"/>
            </w:tcBorders>
          </w:tcPr>
          <w:p>
            <w:pPr>
              <w:spacing w:after="0"/>
              <w:rPr>
                <w:sz w:val="21"/>
                <w:szCs w:val="21"/>
                <w:color w:val="auto"/>
              </w:rPr>
            </w:pPr>
          </w:p>
        </w:tc>
        <w:tc>
          <w:tcPr>
            <w:tcW w:w="440" w:type="dxa"/>
            <w:vAlign w:val="bottom"/>
            <w:tcBorders>
              <w:bottom w:val="single" w:sz="8" w:color="1414D2"/>
            </w:tcBorders>
          </w:tcPr>
          <w:p>
            <w:pPr>
              <w:spacing w:after="0"/>
              <w:rPr>
                <w:sz w:val="21"/>
                <w:szCs w:val="21"/>
                <w:color w:val="auto"/>
              </w:rPr>
            </w:pPr>
          </w:p>
        </w:tc>
        <w:tc>
          <w:tcPr>
            <w:tcW w:w="80" w:type="dxa"/>
            <w:vAlign w:val="bottom"/>
            <w:tcBorders>
              <w:bottom w:val="single" w:sz="8" w:color="1414D2"/>
            </w:tcBorders>
          </w:tcPr>
          <w:p>
            <w:pPr>
              <w:spacing w:after="0"/>
              <w:rPr>
                <w:sz w:val="21"/>
                <w:szCs w:val="21"/>
                <w:color w:val="auto"/>
              </w:rPr>
            </w:pPr>
          </w:p>
        </w:tc>
        <w:tc>
          <w:tcPr>
            <w:tcW w:w="580" w:type="dxa"/>
            <w:vAlign w:val="bottom"/>
            <w:tcBorders>
              <w:bottom w:val="single" w:sz="8" w:color="1414D2"/>
            </w:tcBorders>
          </w:tcPr>
          <w:p>
            <w:pPr>
              <w:spacing w:after="0"/>
              <w:rPr>
                <w:sz w:val="21"/>
                <w:szCs w:val="21"/>
                <w:color w:val="auto"/>
              </w:rPr>
            </w:pPr>
          </w:p>
        </w:tc>
        <w:tc>
          <w:tcPr>
            <w:tcW w:w="180" w:type="dxa"/>
            <w:vAlign w:val="bottom"/>
            <w:tcBorders>
              <w:bottom w:val="single" w:sz="8" w:color="1414D2"/>
            </w:tcBorders>
          </w:tcPr>
          <w:p>
            <w:pPr>
              <w:spacing w:after="0"/>
              <w:rPr>
                <w:sz w:val="21"/>
                <w:szCs w:val="21"/>
                <w:color w:val="auto"/>
              </w:rPr>
            </w:pPr>
          </w:p>
        </w:tc>
        <w:tc>
          <w:tcPr>
            <w:tcW w:w="100" w:type="dxa"/>
            <w:vAlign w:val="bottom"/>
            <w:tcBorders>
              <w:bottom w:val="single" w:sz="8" w:color="1414D2"/>
            </w:tcBorders>
          </w:tcPr>
          <w:p>
            <w:pPr>
              <w:spacing w:after="0"/>
              <w:rPr>
                <w:sz w:val="21"/>
                <w:szCs w:val="21"/>
                <w:color w:val="auto"/>
              </w:rPr>
            </w:pPr>
          </w:p>
        </w:tc>
        <w:tc>
          <w:tcPr>
            <w:tcW w:w="40" w:type="dxa"/>
            <w:vAlign w:val="bottom"/>
            <w:tcBorders>
              <w:bottom w:val="single" w:sz="8" w:color="1414D2"/>
            </w:tcBorders>
          </w:tcPr>
          <w:p>
            <w:pPr>
              <w:spacing w:after="0"/>
              <w:rPr>
                <w:sz w:val="21"/>
                <w:szCs w:val="21"/>
                <w:color w:val="auto"/>
              </w:rPr>
            </w:pPr>
          </w:p>
        </w:tc>
        <w:tc>
          <w:tcPr>
            <w:tcW w:w="100" w:type="dxa"/>
            <w:vAlign w:val="bottom"/>
            <w:tcBorders>
              <w:bottom w:val="single" w:sz="8" w:color="1414D2"/>
            </w:tcBorders>
          </w:tcPr>
          <w:p>
            <w:pPr>
              <w:spacing w:after="0"/>
              <w:rPr>
                <w:sz w:val="21"/>
                <w:szCs w:val="21"/>
                <w:color w:val="auto"/>
              </w:rPr>
            </w:pPr>
          </w:p>
        </w:tc>
        <w:tc>
          <w:tcPr>
            <w:tcW w:w="700" w:type="dxa"/>
            <w:vAlign w:val="bottom"/>
            <w:tcBorders>
              <w:bottom w:val="single" w:sz="8" w:color="1414D2"/>
            </w:tcBorders>
          </w:tcPr>
          <w:p>
            <w:pPr>
              <w:spacing w:after="0"/>
              <w:rPr>
                <w:sz w:val="21"/>
                <w:szCs w:val="21"/>
                <w:color w:val="auto"/>
              </w:rPr>
            </w:pPr>
          </w:p>
        </w:tc>
        <w:tc>
          <w:tcPr>
            <w:tcW w:w="80" w:type="dxa"/>
            <w:vAlign w:val="bottom"/>
            <w:tcBorders>
              <w:bottom w:val="single" w:sz="8" w:color="1414D2"/>
            </w:tcBorders>
          </w:tcPr>
          <w:p>
            <w:pPr>
              <w:spacing w:after="0"/>
              <w:rPr>
                <w:sz w:val="21"/>
                <w:szCs w:val="21"/>
                <w:color w:val="auto"/>
              </w:rPr>
            </w:pPr>
          </w:p>
        </w:tc>
        <w:tc>
          <w:tcPr>
            <w:tcW w:w="40" w:type="dxa"/>
            <w:vAlign w:val="bottom"/>
            <w:tcBorders>
              <w:bottom w:val="single" w:sz="8" w:color="1414D2"/>
            </w:tcBorders>
          </w:tcPr>
          <w:p>
            <w:pPr>
              <w:spacing w:after="0"/>
              <w:rPr>
                <w:sz w:val="21"/>
                <w:szCs w:val="21"/>
                <w:color w:val="auto"/>
              </w:rPr>
            </w:pPr>
          </w:p>
        </w:tc>
        <w:tc>
          <w:tcPr>
            <w:tcW w:w="120" w:type="dxa"/>
            <w:vAlign w:val="bottom"/>
            <w:tcBorders>
              <w:bottom w:val="single" w:sz="8" w:color="1414D2"/>
            </w:tcBorders>
          </w:tcPr>
          <w:p>
            <w:pPr>
              <w:spacing w:after="0"/>
              <w:rPr>
                <w:sz w:val="21"/>
                <w:szCs w:val="21"/>
                <w:color w:val="auto"/>
              </w:rPr>
            </w:pPr>
          </w:p>
        </w:tc>
        <w:tc>
          <w:tcPr>
            <w:tcW w:w="780" w:type="dxa"/>
            <w:vAlign w:val="bottom"/>
            <w:tcBorders>
              <w:bottom w:val="single" w:sz="8" w:color="1414D2"/>
            </w:tcBorders>
          </w:tcPr>
          <w:p>
            <w:pPr>
              <w:spacing w:after="0"/>
              <w:rPr>
                <w:sz w:val="21"/>
                <w:szCs w:val="21"/>
                <w:color w:val="auto"/>
              </w:rPr>
            </w:pPr>
          </w:p>
        </w:tc>
        <w:tc>
          <w:tcPr>
            <w:tcW w:w="80" w:type="dxa"/>
            <w:vAlign w:val="bottom"/>
            <w:tcBorders>
              <w:bottom w:val="single" w:sz="8" w:color="1414D2"/>
            </w:tcBorders>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400" w:type="dxa"/>
            <w:vAlign w:val="bottom"/>
            <w:tcBorders>
              <w:bottom w:val="single" w:sz="8" w:color="1414D2"/>
            </w:tcBorders>
            <w:shd w:val="clear" w:color="auto" w:fill="F2F2F2"/>
          </w:tcPr>
          <w:p>
            <w:pPr>
              <w:spacing w:after="0"/>
              <w:rPr>
                <w:sz w:val="12"/>
                <w:szCs w:val="12"/>
                <w:color w:val="auto"/>
              </w:rPr>
            </w:pPr>
          </w:p>
        </w:tc>
        <w:tc>
          <w:tcPr>
            <w:tcW w:w="180" w:type="dxa"/>
            <w:vAlign w:val="bottom"/>
            <w:tcBorders>
              <w:bottom w:val="single" w:sz="8" w:color="1414D2"/>
            </w:tcBorders>
            <w:shd w:val="clear" w:color="auto" w:fill="F2F2F2"/>
          </w:tcPr>
          <w:p>
            <w:pPr>
              <w:spacing w:after="0"/>
              <w:rPr>
                <w:sz w:val="12"/>
                <w:szCs w:val="12"/>
                <w:color w:val="auto"/>
              </w:rPr>
            </w:pPr>
          </w:p>
        </w:tc>
        <w:tc>
          <w:tcPr>
            <w:tcW w:w="160" w:type="dxa"/>
            <w:vAlign w:val="bottom"/>
            <w:tcBorders>
              <w:bottom w:val="single" w:sz="8" w:color="1414D2"/>
              <w:right w:val="single" w:sz="8" w:color="F2F2F2"/>
            </w:tcBorders>
            <w:shd w:val="clear" w:color="auto" w:fill="F2F2F2"/>
          </w:tcPr>
          <w:p>
            <w:pPr>
              <w:spacing w:after="0"/>
              <w:rPr>
                <w:sz w:val="12"/>
                <w:szCs w:val="12"/>
                <w:color w:val="auto"/>
              </w:rPr>
            </w:pPr>
          </w:p>
        </w:tc>
        <w:tc>
          <w:tcPr>
            <w:tcW w:w="820" w:type="dxa"/>
            <w:vAlign w:val="bottom"/>
            <w:tcBorders>
              <w:bottom w:val="single" w:sz="8" w:color="1414D2"/>
            </w:tcBorders>
            <w:shd w:val="clear" w:color="auto" w:fill="F2F2F2"/>
          </w:tcPr>
          <w:p>
            <w:pPr>
              <w:spacing w:after="0"/>
              <w:rPr>
                <w:sz w:val="12"/>
                <w:szCs w:val="12"/>
                <w:color w:val="auto"/>
              </w:rPr>
            </w:pPr>
          </w:p>
        </w:tc>
        <w:tc>
          <w:tcPr>
            <w:tcW w:w="160" w:type="dxa"/>
            <w:vAlign w:val="bottom"/>
            <w:tcBorders>
              <w:bottom w:val="single" w:sz="8" w:color="1414D2"/>
              <w:right w:val="single" w:sz="8" w:color="F2F2F2"/>
            </w:tcBorders>
            <w:shd w:val="clear" w:color="auto" w:fill="F2F2F2"/>
          </w:tcPr>
          <w:p>
            <w:pPr>
              <w:spacing w:after="0"/>
              <w:rPr>
                <w:sz w:val="12"/>
                <w:szCs w:val="12"/>
                <w:color w:val="auto"/>
              </w:rPr>
            </w:pPr>
          </w:p>
        </w:tc>
        <w:tc>
          <w:tcPr>
            <w:tcW w:w="560" w:type="dxa"/>
            <w:vAlign w:val="bottom"/>
            <w:tcBorders>
              <w:bottom w:val="single" w:sz="8" w:color="1414D2"/>
            </w:tcBorders>
            <w:shd w:val="clear" w:color="auto" w:fill="F2F2F2"/>
          </w:tcPr>
          <w:p>
            <w:pPr>
              <w:spacing w:after="0"/>
              <w:rPr>
                <w:sz w:val="12"/>
                <w:szCs w:val="12"/>
                <w:color w:val="auto"/>
              </w:rPr>
            </w:pPr>
          </w:p>
        </w:tc>
        <w:tc>
          <w:tcPr>
            <w:tcW w:w="140" w:type="dxa"/>
            <w:vAlign w:val="bottom"/>
            <w:tcBorders>
              <w:bottom w:val="single" w:sz="8" w:color="1414D2"/>
            </w:tcBorders>
            <w:shd w:val="clear" w:color="auto" w:fill="F2F2F2"/>
          </w:tcPr>
          <w:p>
            <w:pPr>
              <w:spacing w:after="0"/>
              <w:rPr>
                <w:sz w:val="12"/>
                <w:szCs w:val="12"/>
                <w:color w:val="auto"/>
              </w:rPr>
            </w:pPr>
          </w:p>
        </w:tc>
        <w:tc>
          <w:tcPr>
            <w:tcW w:w="320" w:type="dxa"/>
            <w:vAlign w:val="bottom"/>
            <w:tcBorders>
              <w:bottom w:val="single" w:sz="8" w:color="1414D2"/>
            </w:tcBorders>
            <w:shd w:val="clear" w:color="auto" w:fill="F2F2F2"/>
          </w:tcPr>
          <w:p>
            <w:pPr>
              <w:spacing w:after="0"/>
              <w:rPr>
                <w:sz w:val="12"/>
                <w:szCs w:val="12"/>
                <w:color w:val="auto"/>
              </w:rPr>
            </w:pPr>
          </w:p>
        </w:tc>
        <w:tc>
          <w:tcPr>
            <w:tcW w:w="120" w:type="dxa"/>
            <w:vAlign w:val="bottom"/>
            <w:tcBorders>
              <w:bottom w:val="single" w:sz="8" w:color="1414D2"/>
            </w:tcBorders>
            <w:shd w:val="clear" w:color="auto" w:fill="F2F2F2"/>
          </w:tcPr>
          <w:p>
            <w:pPr>
              <w:spacing w:after="0"/>
              <w:rPr>
                <w:sz w:val="12"/>
                <w:szCs w:val="12"/>
                <w:color w:val="auto"/>
              </w:rPr>
            </w:pPr>
          </w:p>
        </w:tc>
        <w:tc>
          <w:tcPr>
            <w:tcW w:w="320" w:type="dxa"/>
            <w:vAlign w:val="bottom"/>
            <w:tcBorders>
              <w:bottom w:val="single" w:sz="8" w:color="1414D2"/>
            </w:tcBorders>
            <w:shd w:val="clear" w:color="auto" w:fill="F2F2F2"/>
          </w:tcPr>
          <w:p>
            <w:pPr>
              <w:spacing w:after="0"/>
              <w:rPr>
                <w:sz w:val="12"/>
                <w:szCs w:val="12"/>
                <w:color w:val="auto"/>
              </w:rPr>
            </w:pPr>
          </w:p>
        </w:tc>
        <w:tc>
          <w:tcPr>
            <w:tcW w:w="3060" w:type="dxa"/>
            <w:vAlign w:val="bottom"/>
            <w:tcBorders>
              <w:bottom w:val="single" w:sz="8" w:color="1414D2"/>
            </w:tcBorders>
            <w:gridSpan w:val="12"/>
            <w:shd w:val="clear" w:color="auto" w:fill="F2F2F2"/>
          </w:tcPr>
          <w:p>
            <w:pPr>
              <w:jc w:val="right"/>
              <w:spacing w:after="0"/>
              <w:rPr>
                <w:sz w:val="20"/>
                <w:szCs w:val="20"/>
                <w:color w:val="auto"/>
              </w:rPr>
            </w:pPr>
            <w:r>
              <w:rPr>
                <w:rFonts w:ascii="Arial" w:cs="Arial" w:eastAsia="Arial" w:hAnsi="Arial"/>
                <w:sz w:val="11"/>
                <w:szCs w:val="11"/>
                <w:b w:val="1"/>
                <w:bCs w:val="1"/>
                <w:color w:val="auto"/>
              </w:rPr>
              <w:t>CAP Adjustments—Other Non-PEO NEOs (Average)</w:t>
            </w:r>
          </w:p>
        </w:tc>
        <w:tc>
          <w:tcPr>
            <w:tcW w:w="40" w:type="dxa"/>
            <w:vAlign w:val="bottom"/>
            <w:tcBorders>
              <w:bottom w:val="single" w:sz="8" w:color="1414D2"/>
            </w:tcBorders>
            <w:shd w:val="clear" w:color="auto" w:fill="F2F2F2"/>
          </w:tcPr>
          <w:p>
            <w:pPr>
              <w:spacing w:after="0"/>
              <w:rPr>
                <w:sz w:val="12"/>
                <w:szCs w:val="12"/>
                <w:color w:val="auto"/>
              </w:rPr>
            </w:pPr>
          </w:p>
        </w:tc>
        <w:tc>
          <w:tcPr>
            <w:tcW w:w="120" w:type="dxa"/>
            <w:vAlign w:val="bottom"/>
            <w:tcBorders>
              <w:bottom w:val="single" w:sz="8" w:color="1414D2"/>
            </w:tcBorders>
            <w:shd w:val="clear" w:color="auto" w:fill="F2F2F2"/>
          </w:tcPr>
          <w:p>
            <w:pPr>
              <w:spacing w:after="0"/>
              <w:rPr>
                <w:sz w:val="12"/>
                <w:szCs w:val="12"/>
                <w:color w:val="auto"/>
              </w:rPr>
            </w:pPr>
          </w:p>
        </w:tc>
        <w:tc>
          <w:tcPr>
            <w:tcW w:w="440" w:type="dxa"/>
            <w:vAlign w:val="bottom"/>
            <w:tcBorders>
              <w:bottom w:val="single" w:sz="8" w:color="1414D2"/>
            </w:tcBorders>
            <w:shd w:val="clear" w:color="auto" w:fill="F2F2F2"/>
          </w:tcPr>
          <w:p>
            <w:pPr>
              <w:spacing w:after="0"/>
              <w:rPr>
                <w:sz w:val="12"/>
                <w:szCs w:val="12"/>
                <w:color w:val="auto"/>
              </w:rPr>
            </w:pPr>
          </w:p>
        </w:tc>
        <w:tc>
          <w:tcPr>
            <w:tcW w:w="80" w:type="dxa"/>
            <w:vAlign w:val="bottom"/>
            <w:tcBorders>
              <w:bottom w:val="single" w:sz="8" w:color="1414D2"/>
            </w:tcBorders>
            <w:shd w:val="clear" w:color="auto" w:fill="F2F2F2"/>
          </w:tcPr>
          <w:p>
            <w:pPr>
              <w:spacing w:after="0"/>
              <w:rPr>
                <w:sz w:val="12"/>
                <w:szCs w:val="12"/>
                <w:color w:val="auto"/>
              </w:rPr>
            </w:pPr>
          </w:p>
        </w:tc>
        <w:tc>
          <w:tcPr>
            <w:tcW w:w="580" w:type="dxa"/>
            <w:vAlign w:val="bottom"/>
            <w:tcBorders>
              <w:bottom w:val="single" w:sz="8" w:color="1414D2"/>
            </w:tcBorders>
            <w:shd w:val="clear" w:color="auto" w:fill="F2F2F2"/>
          </w:tcPr>
          <w:p>
            <w:pPr>
              <w:spacing w:after="0"/>
              <w:rPr>
                <w:sz w:val="12"/>
                <w:szCs w:val="12"/>
                <w:color w:val="auto"/>
              </w:rPr>
            </w:pPr>
          </w:p>
        </w:tc>
        <w:tc>
          <w:tcPr>
            <w:tcW w:w="180" w:type="dxa"/>
            <w:vAlign w:val="bottom"/>
            <w:tcBorders>
              <w:bottom w:val="single" w:sz="8" w:color="1414D2"/>
            </w:tcBorders>
            <w:shd w:val="clear" w:color="auto" w:fill="F2F2F2"/>
          </w:tcPr>
          <w:p>
            <w:pPr>
              <w:spacing w:after="0"/>
              <w:rPr>
                <w:sz w:val="12"/>
                <w:szCs w:val="12"/>
                <w:color w:val="auto"/>
              </w:rPr>
            </w:pPr>
          </w:p>
        </w:tc>
        <w:tc>
          <w:tcPr>
            <w:tcW w:w="100" w:type="dxa"/>
            <w:vAlign w:val="bottom"/>
            <w:tcBorders>
              <w:bottom w:val="single" w:sz="8" w:color="1414D2"/>
            </w:tcBorders>
            <w:shd w:val="clear" w:color="auto" w:fill="F2F2F2"/>
          </w:tcPr>
          <w:p>
            <w:pPr>
              <w:spacing w:after="0"/>
              <w:rPr>
                <w:sz w:val="12"/>
                <w:szCs w:val="12"/>
                <w:color w:val="auto"/>
              </w:rPr>
            </w:pPr>
          </w:p>
        </w:tc>
        <w:tc>
          <w:tcPr>
            <w:tcW w:w="40" w:type="dxa"/>
            <w:vAlign w:val="bottom"/>
            <w:tcBorders>
              <w:bottom w:val="single" w:sz="8" w:color="1414D2"/>
            </w:tcBorders>
            <w:shd w:val="clear" w:color="auto" w:fill="F2F2F2"/>
          </w:tcPr>
          <w:p>
            <w:pPr>
              <w:spacing w:after="0"/>
              <w:rPr>
                <w:sz w:val="12"/>
                <w:szCs w:val="12"/>
                <w:color w:val="auto"/>
              </w:rPr>
            </w:pPr>
          </w:p>
        </w:tc>
        <w:tc>
          <w:tcPr>
            <w:tcW w:w="100" w:type="dxa"/>
            <w:vAlign w:val="bottom"/>
            <w:tcBorders>
              <w:bottom w:val="single" w:sz="8" w:color="1414D2"/>
            </w:tcBorders>
            <w:shd w:val="clear" w:color="auto" w:fill="F2F2F2"/>
          </w:tcPr>
          <w:p>
            <w:pPr>
              <w:spacing w:after="0"/>
              <w:rPr>
                <w:sz w:val="12"/>
                <w:szCs w:val="12"/>
                <w:color w:val="auto"/>
              </w:rPr>
            </w:pPr>
          </w:p>
        </w:tc>
        <w:tc>
          <w:tcPr>
            <w:tcW w:w="700" w:type="dxa"/>
            <w:vAlign w:val="bottom"/>
            <w:tcBorders>
              <w:bottom w:val="single" w:sz="8" w:color="1414D2"/>
            </w:tcBorders>
            <w:shd w:val="clear" w:color="auto" w:fill="F2F2F2"/>
          </w:tcPr>
          <w:p>
            <w:pPr>
              <w:spacing w:after="0"/>
              <w:rPr>
                <w:sz w:val="12"/>
                <w:szCs w:val="12"/>
                <w:color w:val="auto"/>
              </w:rPr>
            </w:pPr>
          </w:p>
        </w:tc>
        <w:tc>
          <w:tcPr>
            <w:tcW w:w="80" w:type="dxa"/>
            <w:vAlign w:val="bottom"/>
            <w:tcBorders>
              <w:bottom w:val="single" w:sz="8" w:color="1414D2"/>
            </w:tcBorders>
            <w:shd w:val="clear" w:color="auto" w:fill="F2F2F2"/>
          </w:tcPr>
          <w:p>
            <w:pPr>
              <w:spacing w:after="0"/>
              <w:rPr>
                <w:sz w:val="12"/>
                <w:szCs w:val="12"/>
                <w:color w:val="auto"/>
              </w:rPr>
            </w:pPr>
          </w:p>
        </w:tc>
        <w:tc>
          <w:tcPr>
            <w:tcW w:w="40" w:type="dxa"/>
            <w:vAlign w:val="bottom"/>
            <w:tcBorders>
              <w:bottom w:val="single" w:sz="8" w:color="1414D2"/>
            </w:tcBorders>
            <w:shd w:val="clear" w:color="auto" w:fill="F2F2F2"/>
          </w:tcPr>
          <w:p>
            <w:pPr>
              <w:spacing w:after="0"/>
              <w:rPr>
                <w:sz w:val="12"/>
                <w:szCs w:val="12"/>
                <w:color w:val="auto"/>
              </w:rPr>
            </w:pPr>
          </w:p>
        </w:tc>
        <w:tc>
          <w:tcPr>
            <w:tcW w:w="120" w:type="dxa"/>
            <w:vAlign w:val="bottom"/>
            <w:tcBorders>
              <w:bottom w:val="single" w:sz="8" w:color="1414D2"/>
            </w:tcBorders>
            <w:shd w:val="clear" w:color="auto" w:fill="F2F2F2"/>
          </w:tcPr>
          <w:p>
            <w:pPr>
              <w:spacing w:after="0"/>
              <w:rPr>
                <w:sz w:val="12"/>
                <w:szCs w:val="12"/>
                <w:color w:val="auto"/>
              </w:rPr>
            </w:pPr>
          </w:p>
        </w:tc>
        <w:tc>
          <w:tcPr>
            <w:tcW w:w="780" w:type="dxa"/>
            <w:vAlign w:val="bottom"/>
            <w:tcBorders>
              <w:bottom w:val="single" w:sz="8" w:color="1414D2"/>
            </w:tcBorders>
            <w:shd w:val="clear" w:color="auto" w:fill="F2F2F2"/>
          </w:tcPr>
          <w:p>
            <w:pPr>
              <w:spacing w:after="0"/>
              <w:rPr>
                <w:sz w:val="12"/>
                <w:szCs w:val="12"/>
                <w:color w:val="auto"/>
              </w:rPr>
            </w:pPr>
          </w:p>
        </w:tc>
        <w:tc>
          <w:tcPr>
            <w:tcW w:w="80" w:type="dxa"/>
            <w:vAlign w:val="bottom"/>
            <w:tcBorders>
              <w:bottom w:val="single" w:sz="8" w:color="1414D2"/>
            </w:tcBorders>
            <w:shd w:val="clear" w:color="auto" w:fill="F2F2F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400" w:type="dxa"/>
            <w:vAlign w:val="bottom"/>
            <w:shd w:val="clear" w:color="auto" w:fill="F2F2F2"/>
          </w:tcPr>
          <w:p>
            <w:pPr>
              <w:spacing w:after="0"/>
              <w:rPr>
                <w:sz w:val="11"/>
                <w:szCs w:val="11"/>
                <w:color w:val="auto"/>
              </w:rPr>
            </w:pPr>
          </w:p>
        </w:tc>
        <w:tc>
          <w:tcPr>
            <w:tcW w:w="180" w:type="dxa"/>
            <w:vAlign w:val="bottom"/>
            <w:shd w:val="clear" w:color="auto" w:fill="F2F2F2"/>
          </w:tcPr>
          <w:p>
            <w:pPr>
              <w:spacing w:after="0"/>
              <w:rPr>
                <w:sz w:val="11"/>
                <w:szCs w:val="11"/>
                <w:color w:val="auto"/>
              </w:rPr>
            </w:pPr>
          </w:p>
        </w:tc>
        <w:tc>
          <w:tcPr>
            <w:tcW w:w="160" w:type="dxa"/>
            <w:vAlign w:val="bottom"/>
            <w:tcBorders>
              <w:right w:val="single" w:sz="8" w:color="F2F2F2"/>
            </w:tcBorders>
            <w:shd w:val="clear" w:color="auto" w:fill="F2F2F2"/>
          </w:tcPr>
          <w:p>
            <w:pPr>
              <w:spacing w:after="0"/>
              <w:rPr>
                <w:sz w:val="11"/>
                <w:szCs w:val="11"/>
                <w:color w:val="auto"/>
              </w:rPr>
            </w:pPr>
          </w:p>
        </w:tc>
        <w:tc>
          <w:tcPr>
            <w:tcW w:w="820" w:type="dxa"/>
            <w:vAlign w:val="bottom"/>
            <w:shd w:val="clear" w:color="auto" w:fill="F2F2F2"/>
          </w:tcPr>
          <w:p>
            <w:pPr>
              <w:spacing w:after="0"/>
              <w:rPr>
                <w:sz w:val="11"/>
                <w:szCs w:val="11"/>
                <w:color w:val="auto"/>
              </w:rPr>
            </w:pPr>
          </w:p>
        </w:tc>
        <w:tc>
          <w:tcPr>
            <w:tcW w:w="160" w:type="dxa"/>
            <w:vAlign w:val="bottom"/>
            <w:tcBorders>
              <w:right w:val="single" w:sz="8" w:color="F2F2F2"/>
            </w:tcBorders>
            <w:shd w:val="clear" w:color="auto" w:fill="F2F2F2"/>
          </w:tcPr>
          <w:p>
            <w:pPr>
              <w:spacing w:after="0"/>
              <w:rPr>
                <w:sz w:val="11"/>
                <w:szCs w:val="11"/>
                <w:color w:val="auto"/>
              </w:rPr>
            </w:pPr>
          </w:p>
        </w:tc>
        <w:tc>
          <w:tcPr>
            <w:tcW w:w="560" w:type="dxa"/>
            <w:vAlign w:val="bottom"/>
            <w:shd w:val="clear" w:color="auto" w:fill="F2F2F2"/>
          </w:tcPr>
          <w:p>
            <w:pPr>
              <w:spacing w:after="0"/>
              <w:rPr>
                <w:sz w:val="11"/>
                <w:szCs w:val="11"/>
                <w:color w:val="auto"/>
              </w:rPr>
            </w:pPr>
          </w:p>
        </w:tc>
        <w:tc>
          <w:tcPr>
            <w:tcW w:w="140" w:type="dxa"/>
            <w:vAlign w:val="bottom"/>
            <w:shd w:val="clear" w:color="auto" w:fill="F2F2F2"/>
          </w:tcPr>
          <w:p>
            <w:pPr>
              <w:spacing w:after="0"/>
              <w:rPr>
                <w:sz w:val="11"/>
                <w:szCs w:val="11"/>
                <w:color w:val="auto"/>
              </w:rPr>
            </w:pPr>
          </w:p>
        </w:tc>
        <w:tc>
          <w:tcPr>
            <w:tcW w:w="320" w:type="dxa"/>
            <w:vAlign w:val="bottom"/>
            <w:shd w:val="clear" w:color="auto" w:fill="F2F2F2"/>
          </w:tcPr>
          <w:p>
            <w:pPr>
              <w:spacing w:after="0"/>
              <w:rPr>
                <w:sz w:val="11"/>
                <w:szCs w:val="11"/>
                <w:color w:val="auto"/>
              </w:rPr>
            </w:pPr>
          </w:p>
        </w:tc>
        <w:tc>
          <w:tcPr>
            <w:tcW w:w="120" w:type="dxa"/>
            <w:vAlign w:val="bottom"/>
            <w:shd w:val="clear" w:color="auto" w:fill="F2F2F2"/>
          </w:tcPr>
          <w:p>
            <w:pPr>
              <w:spacing w:after="0"/>
              <w:rPr>
                <w:sz w:val="11"/>
                <w:szCs w:val="11"/>
                <w:color w:val="auto"/>
              </w:rPr>
            </w:pPr>
          </w:p>
        </w:tc>
        <w:tc>
          <w:tcPr>
            <w:tcW w:w="320" w:type="dxa"/>
            <w:vAlign w:val="bottom"/>
            <w:shd w:val="clear" w:color="auto" w:fill="F2F2F2"/>
          </w:tcPr>
          <w:p>
            <w:pPr>
              <w:spacing w:after="0"/>
              <w:rPr>
                <w:sz w:val="11"/>
                <w:szCs w:val="11"/>
                <w:color w:val="auto"/>
              </w:rPr>
            </w:pPr>
          </w:p>
        </w:tc>
        <w:tc>
          <w:tcPr>
            <w:tcW w:w="360" w:type="dxa"/>
            <w:vAlign w:val="bottom"/>
            <w:shd w:val="clear" w:color="auto" w:fill="F2F2F2"/>
          </w:tcPr>
          <w:p>
            <w:pPr>
              <w:spacing w:after="0"/>
              <w:rPr>
                <w:sz w:val="11"/>
                <w:szCs w:val="11"/>
                <w:color w:val="auto"/>
              </w:rPr>
            </w:pPr>
          </w:p>
        </w:tc>
        <w:tc>
          <w:tcPr>
            <w:tcW w:w="400" w:type="dxa"/>
            <w:vAlign w:val="bottom"/>
            <w:shd w:val="clear" w:color="auto" w:fill="F2F2F2"/>
          </w:tcPr>
          <w:p>
            <w:pPr>
              <w:spacing w:after="0"/>
              <w:rPr>
                <w:sz w:val="11"/>
                <w:szCs w:val="11"/>
                <w:color w:val="auto"/>
              </w:rPr>
            </w:pPr>
          </w:p>
        </w:tc>
        <w:tc>
          <w:tcPr>
            <w:tcW w:w="120" w:type="dxa"/>
            <w:vAlign w:val="bottom"/>
            <w:shd w:val="clear" w:color="auto" w:fill="F2F2F2"/>
          </w:tcPr>
          <w:p>
            <w:pPr>
              <w:spacing w:after="0"/>
              <w:rPr>
                <w:sz w:val="11"/>
                <w:szCs w:val="11"/>
                <w:color w:val="auto"/>
              </w:rPr>
            </w:pPr>
          </w:p>
        </w:tc>
        <w:tc>
          <w:tcPr>
            <w:tcW w:w="40" w:type="dxa"/>
            <w:vAlign w:val="bottom"/>
            <w:shd w:val="clear" w:color="auto" w:fill="F2F2F2"/>
          </w:tcPr>
          <w:p>
            <w:pPr>
              <w:spacing w:after="0"/>
              <w:rPr>
                <w:sz w:val="11"/>
                <w:szCs w:val="11"/>
                <w:color w:val="auto"/>
              </w:rPr>
            </w:pPr>
          </w:p>
        </w:tc>
        <w:tc>
          <w:tcPr>
            <w:tcW w:w="140" w:type="dxa"/>
            <w:vAlign w:val="bottom"/>
            <w:shd w:val="clear" w:color="auto" w:fill="F2F2F2"/>
          </w:tcPr>
          <w:p>
            <w:pPr>
              <w:spacing w:after="0"/>
              <w:rPr>
                <w:sz w:val="11"/>
                <w:szCs w:val="11"/>
                <w:color w:val="auto"/>
              </w:rPr>
            </w:pPr>
          </w:p>
        </w:tc>
        <w:tc>
          <w:tcPr>
            <w:tcW w:w="820" w:type="dxa"/>
            <w:vAlign w:val="bottom"/>
            <w:shd w:val="clear" w:color="auto" w:fill="F2F2F2"/>
          </w:tcPr>
          <w:p>
            <w:pPr>
              <w:spacing w:after="0"/>
              <w:rPr>
                <w:sz w:val="11"/>
                <w:szCs w:val="11"/>
                <w:color w:val="auto"/>
              </w:rPr>
            </w:pPr>
          </w:p>
        </w:tc>
        <w:tc>
          <w:tcPr>
            <w:tcW w:w="40" w:type="dxa"/>
            <w:vAlign w:val="bottom"/>
            <w:shd w:val="clear" w:color="auto" w:fill="F2F2F2"/>
          </w:tcPr>
          <w:p>
            <w:pPr>
              <w:spacing w:after="0"/>
              <w:rPr>
                <w:sz w:val="11"/>
                <w:szCs w:val="11"/>
                <w:color w:val="auto"/>
              </w:rPr>
            </w:pPr>
          </w:p>
        </w:tc>
        <w:tc>
          <w:tcPr>
            <w:tcW w:w="120" w:type="dxa"/>
            <w:vAlign w:val="bottom"/>
            <w:shd w:val="clear" w:color="auto" w:fill="F2F2F2"/>
          </w:tcPr>
          <w:p>
            <w:pPr>
              <w:spacing w:after="0"/>
              <w:rPr>
                <w:sz w:val="11"/>
                <w:szCs w:val="11"/>
                <w:color w:val="auto"/>
              </w:rPr>
            </w:pPr>
          </w:p>
        </w:tc>
        <w:tc>
          <w:tcPr>
            <w:tcW w:w="40" w:type="dxa"/>
            <w:vAlign w:val="bottom"/>
            <w:shd w:val="clear" w:color="auto" w:fill="F2F2F2"/>
          </w:tcPr>
          <w:p>
            <w:pPr>
              <w:spacing w:after="0"/>
              <w:rPr>
                <w:sz w:val="11"/>
                <w:szCs w:val="11"/>
                <w:color w:val="auto"/>
              </w:rPr>
            </w:pPr>
          </w:p>
        </w:tc>
        <w:tc>
          <w:tcPr>
            <w:tcW w:w="840" w:type="dxa"/>
            <w:vAlign w:val="bottom"/>
            <w:shd w:val="clear" w:color="auto" w:fill="F2F2F2"/>
          </w:tcPr>
          <w:p>
            <w:pPr>
              <w:spacing w:after="0"/>
              <w:rPr>
                <w:sz w:val="11"/>
                <w:szCs w:val="11"/>
                <w:color w:val="auto"/>
              </w:rPr>
            </w:pPr>
          </w:p>
        </w:tc>
        <w:tc>
          <w:tcPr>
            <w:tcW w:w="40" w:type="dxa"/>
            <w:vAlign w:val="bottom"/>
            <w:shd w:val="clear" w:color="auto" w:fill="F2F2F2"/>
          </w:tcPr>
          <w:p>
            <w:pPr>
              <w:spacing w:after="0"/>
              <w:rPr>
                <w:sz w:val="11"/>
                <w:szCs w:val="11"/>
                <w:color w:val="auto"/>
              </w:rPr>
            </w:pPr>
          </w:p>
        </w:tc>
        <w:tc>
          <w:tcPr>
            <w:tcW w:w="100" w:type="dxa"/>
            <w:vAlign w:val="bottom"/>
            <w:shd w:val="clear" w:color="auto" w:fill="F2F2F2"/>
          </w:tcPr>
          <w:p>
            <w:pPr>
              <w:spacing w:after="0"/>
              <w:rPr>
                <w:sz w:val="11"/>
                <w:szCs w:val="11"/>
                <w:color w:val="auto"/>
              </w:rPr>
            </w:pPr>
          </w:p>
        </w:tc>
        <w:tc>
          <w:tcPr>
            <w:tcW w:w="40" w:type="dxa"/>
            <w:vAlign w:val="bottom"/>
            <w:shd w:val="clear" w:color="auto" w:fill="F2F2F2"/>
          </w:tcPr>
          <w:p>
            <w:pPr>
              <w:spacing w:after="0"/>
              <w:rPr>
                <w:sz w:val="11"/>
                <w:szCs w:val="11"/>
                <w:color w:val="auto"/>
              </w:rPr>
            </w:pPr>
          </w:p>
        </w:tc>
        <w:tc>
          <w:tcPr>
            <w:tcW w:w="560" w:type="dxa"/>
            <w:vAlign w:val="bottom"/>
            <w:gridSpan w:val="2"/>
            <w:shd w:val="clear" w:color="auto" w:fill="F2F2F2"/>
          </w:tcPr>
          <w:p>
            <w:pPr>
              <w:jc w:val="center"/>
              <w:spacing w:after="0"/>
              <w:rPr>
                <w:sz w:val="20"/>
                <w:szCs w:val="20"/>
                <w:color w:val="auto"/>
              </w:rPr>
            </w:pPr>
            <w:r>
              <w:rPr>
                <w:rFonts w:ascii="Arial" w:cs="Arial" w:eastAsia="Arial" w:hAnsi="Arial"/>
                <w:sz w:val="11"/>
                <w:szCs w:val="11"/>
                <w:b w:val="1"/>
                <w:bCs w:val="1"/>
                <w:color w:val="auto"/>
              </w:rPr>
              <w:t>Minus</w:t>
            </w:r>
          </w:p>
        </w:tc>
        <w:tc>
          <w:tcPr>
            <w:tcW w:w="80" w:type="dxa"/>
            <w:vAlign w:val="bottom"/>
            <w:shd w:val="clear" w:color="auto" w:fill="F2F2F2"/>
          </w:tcPr>
          <w:p>
            <w:pPr>
              <w:spacing w:after="0"/>
              <w:rPr>
                <w:sz w:val="11"/>
                <w:szCs w:val="11"/>
                <w:color w:val="auto"/>
              </w:rPr>
            </w:pPr>
          </w:p>
        </w:tc>
        <w:tc>
          <w:tcPr>
            <w:tcW w:w="580" w:type="dxa"/>
            <w:vAlign w:val="bottom"/>
            <w:shd w:val="clear" w:color="auto" w:fill="F2F2F2"/>
          </w:tcPr>
          <w:p>
            <w:pPr>
              <w:spacing w:after="0"/>
              <w:rPr>
                <w:sz w:val="11"/>
                <w:szCs w:val="11"/>
                <w:color w:val="auto"/>
              </w:rPr>
            </w:pPr>
          </w:p>
        </w:tc>
        <w:tc>
          <w:tcPr>
            <w:tcW w:w="180" w:type="dxa"/>
            <w:vAlign w:val="bottom"/>
            <w:shd w:val="clear" w:color="auto" w:fill="F2F2F2"/>
          </w:tcPr>
          <w:p>
            <w:pPr>
              <w:spacing w:after="0"/>
              <w:rPr>
                <w:sz w:val="11"/>
                <w:szCs w:val="11"/>
                <w:color w:val="auto"/>
              </w:rPr>
            </w:pPr>
          </w:p>
        </w:tc>
        <w:tc>
          <w:tcPr>
            <w:tcW w:w="100" w:type="dxa"/>
            <w:vAlign w:val="bottom"/>
            <w:shd w:val="clear" w:color="auto" w:fill="F2F2F2"/>
          </w:tcPr>
          <w:p>
            <w:pPr>
              <w:spacing w:after="0"/>
              <w:rPr>
                <w:sz w:val="11"/>
                <w:szCs w:val="11"/>
                <w:color w:val="auto"/>
              </w:rPr>
            </w:pPr>
          </w:p>
        </w:tc>
        <w:tc>
          <w:tcPr>
            <w:tcW w:w="40" w:type="dxa"/>
            <w:vAlign w:val="bottom"/>
            <w:shd w:val="clear" w:color="auto" w:fill="F2F2F2"/>
          </w:tcPr>
          <w:p>
            <w:pPr>
              <w:spacing w:after="0"/>
              <w:rPr>
                <w:sz w:val="11"/>
                <w:szCs w:val="11"/>
                <w:color w:val="auto"/>
              </w:rPr>
            </w:pPr>
          </w:p>
        </w:tc>
        <w:tc>
          <w:tcPr>
            <w:tcW w:w="100" w:type="dxa"/>
            <w:vAlign w:val="bottom"/>
            <w:shd w:val="clear" w:color="auto" w:fill="F2F2F2"/>
          </w:tcPr>
          <w:p>
            <w:pPr>
              <w:spacing w:after="0"/>
              <w:rPr>
                <w:sz w:val="11"/>
                <w:szCs w:val="11"/>
                <w:color w:val="auto"/>
              </w:rPr>
            </w:pPr>
          </w:p>
        </w:tc>
        <w:tc>
          <w:tcPr>
            <w:tcW w:w="700" w:type="dxa"/>
            <w:vAlign w:val="bottom"/>
            <w:shd w:val="clear" w:color="auto" w:fill="F2F2F2"/>
          </w:tcPr>
          <w:p>
            <w:pPr>
              <w:spacing w:after="0"/>
              <w:rPr>
                <w:sz w:val="11"/>
                <w:szCs w:val="11"/>
                <w:color w:val="auto"/>
              </w:rPr>
            </w:pPr>
          </w:p>
        </w:tc>
        <w:tc>
          <w:tcPr>
            <w:tcW w:w="80" w:type="dxa"/>
            <w:vAlign w:val="bottom"/>
            <w:shd w:val="clear" w:color="auto" w:fill="F2F2F2"/>
          </w:tcPr>
          <w:p>
            <w:pPr>
              <w:spacing w:after="0"/>
              <w:rPr>
                <w:sz w:val="11"/>
                <w:szCs w:val="11"/>
                <w:color w:val="auto"/>
              </w:rPr>
            </w:pPr>
          </w:p>
        </w:tc>
        <w:tc>
          <w:tcPr>
            <w:tcW w:w="40" w:type="dxa"/>
            <w:vAlign w:val="bottom"/>
            <w:shd w:val="clear" w:color="auto" w:fill="F2F2F2"/>
          </w:tcPr>
          <w:p>
            <w:pPr>
              <w:spacing w:after="0"/>
              <w:rPr>
                <w:sz w:val="11"/>
                <w:szCs w:val="11"/>
                <w:color w:val="auto"/>
              </w:rPr>
            </w:pPr>
          </w:p>
        </w:tc>
        <w:tc>
          <w:tcPr>
            <w:tcW w:w="120" w:type="dxa"/>
            <w:vAlign w:val="bottom"/>
            <w:shd w:val="clear" w:color="auto" w:fill="F2F2F2"/>
          </w:tcPr>
          <w:p>
            <w:pPr>
              <w:spacing w:after="0"/>
              <w:rPr>
                <w:sz w:val="11"/>
                <w:szCs w:val="11"/>
                <w:color w:val="auto"/>
              </w:rPr>
            </w:pPr>
          </w:p>
        </w:tc>
        <w:tc>
          <w:tcPr>
            <w:tcW w:w="780" w:type="dxa"/>
            <w:vAlign w:val="bottom"/>
            <w:shd w:val="clear" w:color="auto" w:fill="F2F2F2"/>
          </w:tcPr>
          <w:p>
            <w:pPr>
              <w:spacing w:after="0"/>
              <w:rPr>
                <w:sz w:val="11"/>
                <w:szCs w:val="11"/>
                <w:color w:val="auto"/>
              </w:rPr>
            </w:pPr>
          </w:p>
        </w:tc>
        <w:tc>
          <w:tcPr>
            <w:tcW w:w="80" w:type="dxa"/>
            <w:vAlign w:val="bottom"/>
            <w:shd w:val="clear" w:color="auto" w:fill="F2F2F2"/>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0" w:type="dxa"/>
            <w:vAlign w:val="bottom"/>
            <w:shd w:val="clear" w:color="auto" w:fill="F2F2F2"/>
          </w:tcPr>
          <w:p>
            <w:pPr>
              <w:spacing w:after="0"/>
              <w:rPr>
                <w:sz w:val="11"/>
                <w:szCs w:val="11"/>
                <w:color w:val="auto"/>
              </w:rPr>
            </w:pPr>
          </w:p>
        </w:tc>
        <w:tc>
          <w:tcPr>
            <w:tcW w:w="180" w:type="dxa"/>
            <w:vAlign w:val="bottom"/>
            <w:shd w:val="clear" w:color="auto" w:fill="F2F2F2"/>
          </w:tcPr>
          <w:p>
            <w:pPr>
              <w:spacing w:after="0"/>
              <w:rPr>
                <w:sz w:val="11"/>
                <w:szCs w:val="11"/>
                <w:color w:val="auto"/>
              </w:rPr>
            </w:pPr>
          </w:p>
        </w:tc>
        <w:tc>
          <w:tcPr>
            <w:tcW w:w="160" w:type="dxa"/>
            <w:vAlign w:val="bottom"/>
            <w:tcBorders>
              <w:right w:val="single" w:sz="8" w:color="F2F2F2"/>
            </w:tcBorders>
            <w:shd w:val="clear" w:color="auto" w:fill="F2F2F2"/>
          </w:tcPr>
          <w:p>
            <w:pPr>
              <w:spacing w:after="0"/>
              <w:rPr>
                <w:sz w:val="11"/>
                <w:szCs w:val="11"/>
                <w:color w:val="auto"/>
              </w:rPr>
            </w:pPr>
          </w:p>
        </w:tc>
        <w:tc>
          <w:tcPr>
            <w:tcW w:w="820" w:type="dxa"/>
            <w:vAlign w:val="bottom"/>
            <w:shd w:val="clear" w:color="auto" w:fill="F2F2F2"/>
          </w:tcPr>
          <w:p>
            <w:pPr>
              <w:spacing w:after="0"/>
              <w:rPr>
                <w:sz w:val="11"/>
                <w:szCs w:val="11"/>
                <w:color w:val="auto"/>
              </w:rPr>
            </w:pPr>
          </w:p>
        </w:tc>
        <w:tc>
          <w:tcPr>
            <w:tcW w:w="160" w:type="dxa"/>
            <w:vAlign w:val="bottom"/>
            <w:tcBorders>
              <w:right w:val="single" w:sz="8" w:color="F2F2F2"/>
            </w:tcBorders>
            <w:shd w:val="clear" w:color="auto" w:fill="F2F2F2"/>
          </w:tcPr>
          <w:p>
            <w:pPr>
              <w:spacing w:after="0"/>
              <w:rPr>
                <w:sz w:val="11"/>
                <w:szCs w:val="11"/>
                <w:color w:val="auto"/>
              </w:rPr>
            </w:pPr>
          </w:p>
        </w:tc>
        <w:tc>
          <w:tcPr>
            <w:tcW w:w="560" w:type="dxa"/>
            <w:vAlign w:val="bottom"/>
            <w:shd w:val="clear" w:color="auto" w:fill="F2F2F2"/>
          </w:tcPr>
          <w:p>
            <w:pPr>
              <w:spacing w:after="0"/>
              <w:rPr>
                <w:sz w:val="11"/>
                <w:szCs w:val="11"/>
                <w:color w:val="auto"/>
              </w:rPr>
            </w:pPr>
          </w:p>
        </w:tc>
        <w:tc>
          <w:tcPr>
            <w:tcW w:w="140" w:type="dxa"/>
            <w:vAlign w:val="bottom"/>
            <w:shd w:val="clear" w:color="auto" w:fill="F2F2F2"/>
          </w:tcPr>
          <w:p>
            <w:pPr>
              <w:spacing w:after="0"/>
              <w:rPr>
                <w:sz w:val="11"/>
                <w:szCs w:val="11"/>
                <w:color w:val="auto"/>
              </w:rPr>
            </w:pPr>
          </w:p>
        </w:tc>
        <w:tc>
          <w:tcPr>
            <w:tcW w:w="320" w:type="dxa"/>
            <w:vAlign w:val="bottom"/>
            <w:shd w:val="clear" w:color="auto" w:fill="F2F2F2"/>
          </w:tcPr>
          <w:p>
            <w:pPr>
              <w:spacing w:after="0"/>
              <w:rPr>
                <w:sz w:val="11"/>
                <w:szCs w:val="11"/>
                <w:color w:val="auto"/>
              </w:rPr>
            </w:pPr>
          </w:p>
        </w:tc>
        <w:tc>
          <w:tcPr>
            <w:tcW w:w="120" w:type="dxa"/>
            <w:vAlign w:val="bottom"/>
            <w:shd w:val="clear" w:color="auto" w:fill="F2F2F2"/>
          </w:tcPr>
          <w:p>
            <w:pPr>
              <w:spacing w:after="0"/>
              <w:rPr>
                <w:sz w:val="11"/>
                <w:szCs w:val="11"/>
                <w:color w:val="auto"/>
              </w:rPr>
            </w:pPr>
          </w:p>
        </w:tc>
        <w:tc>
          <w:tcPr>
            <w:tcW w:w="320" w:type="dxa"/>
            <w:vAlign w:val="bottom"/>
            <w:shd w:val="clear" w:color="auto" w:fill="F2F2F2"/>
          </w:tcPr>
          <w:p>
            <w:pPr>
              <w:spacing w:after="0"/>
              <w:rPr>
                <w:sz w:val="11"/>
                <w:szCs w:val="11"/>
                <w:color w:val="auto"/>
              </w:rPr>
            </w:pPr>
          </w:p>
        </w:tc>
        <w:tc>
          <w:tcPr>
            <w:tcW w:w="360" w:type="dxa"/>
            <w:vAlign w:val="bottom"/>
            <w:shd w:val="clear" w:color="auto" w:fill="F2F2F2"/>
          </w:tcPr>
          <w:p>
            <w:pPr>
              <w:spacing w:after="0"/>
              <w:rPr>
                <w:sz w:val="11"/>
                <w:szCs w:val="11"/>
                <w:color w:val="auto"/>
              </w:rPr>
            </w:pPr>
          </w:p>
        </w:tc>
        <w:tc>
          <w:tcPr>
            <w:tcW w:w="400" w:type="dxa"/>
            <w:vAlign w:val="bottom"/>
            <w:shd w:val="clear" w:color="auto" w:fill="F2F2F2"/>
          </w:tcPr>
          <w:p>
            <w:pPr>
              <w:spacing w:after="0"/>
              <w:rPr>
                <w:sz w:val="11"/>
                <w:szCs w:val="11"/>
                <w:color w:val="auto"/>
              </w:rPr>
            </w:pPr>
          </w:p>
        </w:tc>
        <w:tc>
          <w:tcPr>
            <w:tcW w:w="120" w:type="dxa"/>
            <w:vAlign w:val="bottom"/>
            <w:shd w:val="clear" w:color="auto" w:fill="F2F2F2"/>
          </w:tcPr>
          <w:p>
            <w:pPr>
              <w:spacing w:after="0"/>
              <w:rPr>
                <w:sz w:val="11"/>
                <w:szCs w:val="11"/>
                <w:color w:val="auto"/>
              </w:rPr>
            </w:pPr>
          </w:p>
        </w:tc>
        <w:tc>
          <w:tcPr>
            <w:tcW w:w="40" w:type="dxa"/>
            <w:vAlign w:val="bottom"/>
            <w:shd w:val="clear" w:color="auto" w:fill="F2F2F2"/>
          </w:tcPr>
          <w:p>
            <w:pPr>
              <w:spacing w:after="0"/>
              <w:rPr>
                <w:sz w:val="11"/>
                <w:szCs w:val="11"/>
                <w:color w:val="auto"/>
              </w:rPr>
            </w:pPr>
          </w:p>
        </w:tc>
        <w:tc>
          <w:tcPr>
            <w:tcW w:w="140" w:type="dxa"/>
            <w:vAlign w:val="bottom"/>
            <w:shd w:val="clear" w:color="auto" w:fill="F2F2F2"/>
          </w:tcPr>
          <w:p>
            <w:pPr>
              <w:spacing w:after="0"/>
              <w:rPr>
                <w:sz w:val="11"/>
                <w:szCs w:val="11"/>
                <w:color w:val="auto"/>
              </w:rPr>
            </w:pPr>
          </w:p>
        </w:tc>
        <w:tc>
          <w:tcPr>
            <w:tcW w:w="820" w:type="dxa"/>
            <w:vAlign w:val="bottom"/>
            <w:shd w:val="clear" w:color="auto" w:fill="F2F2F2"/>
          </w:tcPr>
          <w:p>
            <w:pPr>
              <w:spacing w:after="0"/>
              <w:rPr>
                <w:sz w:val="11"/>
                <w:szCs w:val="11"/>
                <w:color w:val="auto"/>
              </w:rPr>
            </w:pPr>
          </w:p>
        </w:tc>
        <w:tc>
          <w:tcPr>
            <w:tcW w:w="40" w:type="dxa"/>
            <w:vAlign w:val="bottom"/>
            <w:shd w:val="clear" w:color="auto" w:fill="F2F2F2"/>
          </w:tcPr>
          <w:p>
            <w:pPr>
              <w:spacing w:after="0"/>
              <w:rPr>
                <w:sz w:val="11"/>
                <w:szCs w:val="11"/>
                <w:color w:val="auto"/>
              </w:rPr>
            </w:pPr>
          </w:p>
        </w:tc>
        <w:tc>
          <w:tcPr>
            <w:tcW w:w="120" w:type="dxa"/>
            <w:vAlign w:val="bottom"/>
            <w:shd w:val="clear" w:color="auto" w:fill="F2F2F2"/>
          </w:tcPr>
          <w:p>
            <w:pPr>
              <w:spacing w:after="0"/>
              <w:rPr>
                <w:sz w:val="11"/>
                <w:szCs w:val="11"/>
                <w:color w:val="auto"/>
              </w:rPr>
            </w:pPr>
          </w:p>
        </w:tc>
        <w:tc>
          <w:tcPr>
            <w:tcW w:w="40" w:type="dxa"/>
            <w:vAlign w:val="bottom"/>
            <w:shd w:val="clear" w:color="auto" w:fill="F2F2F2"/>
          </w:tcPr>
          <w:p>
            <w:pPr>
              <w:spacing w:after="0"/>
              <w:rPr>
                <w:sz w:val="11"/>
                <w:szCs w:val="11"/>
                <w:color w:val="auto"/>
              </w:rPr>
            </w:pPr>
          </w:p>
        </w:tc>
        <w:tc>
          <w:tcPr>
            <w:tcW w:w="840" w:type="dxa"/>
            <w:vAlign w:val="bottom"/>
            <w:shd w:val="clear" w:color="auto" w:fill="F2F2F2"/>
          </w:tcPr>
          <w:p>
            <w:pPr>
              <w:spacing w:after="0"/>
              <w:rPr>
                <w:sz w:val="11"/>
                <w:szCs w:val="11"/>
                <w:color w:val="auto"/>
              </w:rPr>
            </w:pPr>
          </w:p>
        </w:tc>
        <w:tc>
          <w:tcPr>
            <w:tcW w:w="40" w:type="dxa"/>
            <w:vAlign w:val="bottom"/>
            <w:shd w:val="clear" w:color="auto" w:fill="F2F2F2"/>
          </w:tcPr>
          <w:p>
            <w:pPr>
              <w:spacing w:after="0"/>
              <w:rPr>
                <w:sz w:val="11"/>
                <w:szCs w:val="11"/>
                <w:color w:val="auto"/>
              </w:rPr>
            </w:pPr>
          </w:p>
        </w:tc>
        <w:tc>
          <w:tcPr>
            <w:tcW w:w="100" w:type="dxa"/>
            <w:vAlign w:val="bottom"/>
            <w:shd w:val="clear" w:color="auto" w:fill="F2F2F2"/>
          </w:tcPr>
          <w:p>
            <w:pPr>
              <w:spacing w:after="0"/>
              <w:rPr>
                <w:sz w:val="11"/>
                <w:szCs w:val="11"/>
                <w:color w:val="auto"/>
              </w:rPr>
            </w:pPr>
          </w:p>
        </w:tc>
        <w:tc>
          <w:tcPr>
            <w:tcW w:w="600" w:type="dxa"/>
            <w:vAlign w:val="bottom"/>
            <w:gridSpan w:val="3"/>
            <w:shd w:val="clear" w:color="auto" w:fill="F2F2F2"/>
          </w:tcPr>
          <w:p>
            <w:pPr>
              <w:ind w:left="40"/>
              <w:spacing w:after="0"/>
              <w:rPr>
                <w:sz w:val="20"/>
                <w:szCs w:val="20"/>
                <w:color w:val="auto"/>
              </w:rPr>
            </w:pPr>
            <w:r>
              <w:rPr>
                <w:rFonts w:ascii="Arial" w:cs="Arial" w:eastAsia="Arial" w:hAnsi="Arial"/>
                <w:sz w:val="11"/>
                <w:szCs w:val="11"/>
                <w:b w:val="1"/>
                <w:bCs w:val="1"/>
                <w:color w:val="auto"/>
              </w:rPr>
              <w:t>Fair Value</w:t>
            </w:r>
          </w:p>
        </w:tc>
        <w:tc>
          <w:tcPr>
            <w:tcW w:w="80" w:type="dxa"/>
            <w:vAlign w:val="bottom"/>
            <w:shd w:val="clear" w:color="auto" w:fill="F2F2F2"/>
          </w:tcPr>
          <w:p>
            <w:pPr>
              <w:spacing w:after="0"/>
              <w:rPr>
                <w:sz w:val="11"/>
                <w:szCs w:val="11"/>
                <w:color w:val="auto"/>
              </w:rPr>
            </w:pPr>
          </w:p>
        </w:tc>
        <w:tc>
          <w:tcPr>
            <w:tcW w:w="580" w:type="dxa"/>
            <w:vAlign w:val="bottom"/>
            <w:shd w:val="clear" w:color="auto" w:fill="F2F2F2"/>
          </w:tcPr>
          <w:p>
            <w:pPr>
              <w:spacing w:after="0"/>
              <w:rPr>
                <w:sz w:val="11"/>
                <w:szCs w:val="11"/>
                <w:color w:val="auto"/>
              </w:rPr>
            </w:pPr>
          </w:p>
        </w:tc>
        <w:tc>
          <w:tcPr>
            <w:tcW w:w="180" w:type="dxa"/>
            <w:vAlign w:val="bottom"/>
            <w:shd w:val="clear" w:color="auto" w:fill="F2F2F2"/>
          </w:tcPr>
          <w:p>
            <w:pPr>
              <w:spacing w:after="0"/>
              <w:rPr>
                <w:sz w:val="11"/>
                <w:szCs w:val="11"/>
                <w:color w:val="auto"/>
              </w:rPr>
            </w:pPr>
          </w:p>
        </w:tc>
        <w:tc>
          <w:tcPr>
            <w:tcW w:w="100" w:type="dxa"/>
            <w:vAlign w:val="bottom"/>
            <w:shd w:val="clear" w:color="auto" w:fill="F2F2F2"/>
          </w:tcPr>
          <w:p>
            <w:pPr>
              <w:spacing w:after="0"/>
              <w:rPr>
                <w:sz w:val="11"/>
                <w:szCs w:val="11"/>
                <w:color w:val="auto"/>
              </w:rPr>
            </w:pPr>
          </w:p>
        </w:tc>
        <w:tc>
          <w:tcPr>
            <w:tcW w:w="40" w:type="dxa"/>
            <w:vAlign w:val="bottom"/>
            <w:shd w:val="clear" w:color="auto" w:fill="F2F2F2"/>
          </w:tcPr>
          <w:p>
            <w:pPr>
              <w:spacing w:after="0"/>
              <w:rPr>
                <w:sz w:val="11"/>
                <w:szCs w:val="11"/>
                <w:color w:val="auto"/>
              </w:rPr>
            </w:pPr>
          </w:p>
        </w:tc>
        <w:tc>
          <w:tcPr>
            <w:tcW w:w="100" w:type="dxa"/>
            <w:vAlign w:val="bottom"/>
            <w:shd w:val="clear" w:color="auto" w:fill="F2F2F2"/>
          </w:tcPr>
          <w:p>
            <w:pPr>
              <w:spacing w:after="0"/>
              <w:rPr>
                <w:sz w:val="11"/>
                <w:szCs w:val="11"/>
                <w:color w:val="auto"/>
              </w:rPr>
            </w:pPr>
          </w:p>
        </w:tc>
        <w:tc>
          <w:tcPr>
            <w:tcW w:w="700" w:type="dxa"/>
            <w:vAlign w:val="bottom"/>
            <w:shd w:val="clear" w:color="auto" w:fill="F2F2F2"/>
          </w:tcPr>
          <w:p>
            <w:pPr>
              <w:spacing w:after="0"/>
              <w:rPr>
                <w:sz w:val="11"/>
                <w:szCs w:val="11"/>
                <w:color w:val="auto"/>
              </w:rPr>
            </w:pPr>
          </w:p>
        </w:tc>
        <w:tc>
          <w:tcPr>
            <w:tcW w:w="80" w:type="dxa"/>
            <w:vAlign w:val="bottom"/>
            <w:shd w:val="clear" w:color="auto" w:fill="F2F2F2"/>
          </w:tcPr>
          <w:p>
            <w:pPr>
              <w:spacing w:after="0"/>
              <w:rPr>
                <w:sz w:val="11"/>
                <w:szCs w:val="11"/>
                <w:color w:val="auto"/>
              </w:rPr>
            </w:pPr>
          </w:p>
        </w:tc>
        <w:tc>
          <w:tcPr>
            <w:tcW w:w="40" w:type="dxa"/>
            <w:vAlign w:val="bottom"/>
            <w:shd w:val="clear" w:color="auto" w:fill="F2F2F2"/>
          </w:tcPr>
          <w:p>
            <w:pPr>
              <w:spacing w:after="0"/>
              <w:rPr>
                <w:sz w:val="11"/>
                <w:szCs w:val="11"/>
                <w:color w:val="auto"/>
              </w:rPr>
            </w:pPr>
          </w:p>
        </w:tc>
        <w:tc>
          <w:tcPr>
            <w:tcW w:w="120" w:type="dxa"/>
            <w:vAlign w:val="bottom"/>
            <w:shd w:val="clear" w:color="auto" w:fill="F2F2F2"/>
          </w:tcPr>
          <w:p>
            <w:pPr>
              <w:spacing w:after="0"/>
              <w:rPr>
                <w:sz w:val="11"/>
                <w:szCs w:val="11"/>
                <w:color w:val="auto"/>
              </w:rPr>
            </w:pPr>
          </w:p>
        </w:tc>
        <w:tc>
          <w:tcPr>
            <w:tcW w:w="780" w:type="dxa"/>
            <w:vAlign w:val="bottom"/>
            <w:shd w:val="clear" w:color="auto" w:fill="F2F2F2"/>
          </w:tcPr>
          <w:p>
            <w:pPr>
              <w:spacing w:after="0"/>
              <w:rPr>
                <w:sz w:val="11"/>
                <w:szCs w:val="11"/>
                <w:color w:val="auto"/>
              </w:rPr>
            </w:pPr>
          </w:p>
        </w:tc>
        <w:tc>
          <w:tcPr>
            <w:tcW w:w="80" w:type="dxa"/>
            <w:vAlign w:val="bottom"/>
            <w:shd w:val="clear" w:color="auto" w:fill="F2F2F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0" w:type="dxa"/>
            <w:vAlign w:val="bottom"/>
            <w:shd w:val="clear" w:color="auto" w:fill="F2F2F2"/>
          </w:tcPr>
          <w:p>
            <w:pPr>
              <w:spacing w:after="0"/>
              <w:rPr>
                <w:sz w:val="11"/>
                <w:szCs w:val="11"/>
                <w:color w:val="auto"/>
              </w:rPr>
            </w:pPr>
          </w:p>
        </w:tc>
        <w:tc>
          <w:tcPr>
            <w:tcW w:w="180" w:type="dxa"/>
            <w:vAlign w:val="bottom"/>
            <w:shd w:val="clear" w:color="auto" w:fill="F2F2F2"/>
          </w:tcPr>
          <w:p>
            <w:pPr>
              <w:spacing w:after="0"/>
              <w:rPr>
                <w:sz w:val="11"/>
                <w:szCs w:val="11"/>
                <w:color w:val="auto"/>
              </w:rPr>
            </w:pPr>
          </w:p>
        </w:tc>
        <w:tc>
          <w:tcPr>
            <w:tcW w:w="160" w:type="dxa"/>
            <w:vAlign w:val="bottom"/>
            <w:tcBorders>
              <w:right w:val="single" w:sz="8" w:color="F2F2F2"/>
            </w:tcBorders>
            <w:shd w:val="clear" w:color="auto" w:fill="F2F2F2"/>
          </w:tcPr>
          <w:p>
            <w:pPr>
              <w:spacing w:after="0"/>
              <w:rPr>
                <w:sz w:val="11"/>
                <w:szCs w:val="11"/>
                <w:color w:val="auto"/>
              </w:rPr>
            </w:pPr>
          </w:p>
        </w:tc>
        <w:tc>
          <w:tcPr>
            <w:tcW w:w="820" w:type="dxa"/>
            <w:vAlign w:val="bottom"/>
            <w:shd w:val="clear" w:color="auto" w:fill="F2F2F2"/>
          </w:tcPr>
          <w:p>
            <w:pPr>
              <w:spacing w:after="0"/>
              <w:rPr>
                <w:sz w:val="11"/>
                <w:szCs w:val="11"/>
                <w:color w:val="auto"/>
              </w:rPr>
            </w:pPr>
          </w:p>
        </w:tc>
        <w:tc>
          <w:tcPr>
            <w:tcW w:w="160" w:type="dxa"/>
            <w:vAlign w:val="bottom"/>
            <w:tcBorders>
              <w:right w:val="single" w:sz="8" w:color="F2F2F2"/>
            </w:tcBorders>
            <w:shd w:val="clear" w:color="auto" w:fill="F2F2F2"/>
          </w:tcPr>
          <w:p>
            <w:pPr>
              <w:spacing w:after="0"/>
              <w:rPr>
                <w:sz w:val="11"/>
                <w:szCs w:val="11"/>
                <w:color w:val="auto"/>
              </w:rPr>
            </w:pPr>
          </w:p>
        </w:tc>
        <w:tc>
          <w:tcPr>
            <w:tcW w:w="560" w:type="dxa"/>
            <w:vAlign w:val="bottom"/>
            <w:shd w:val="clear" w:color="auto" w:fill="F2F2F2"/>
          </w:tcPr>
          <w:p>
            <w:pPr>
              <w:spacing w:after="0"/>
              <w:rPr>
                <w:sz w:val="11"/>
                <w:szCs w:val="11"/>
                <w:color w:val="auto"/>
              </w:rPr>
            </w:pPr>
          </w:p>
        </w:tc>
        <w:tc>
          <w:tcPr>
            <w:tcW w:w="140" w:type="dxa"/>
            <w:vAlign w:val="bottom"/>
            <w:shd w:val="clear" w:color="auto" w:fill="F2F2F2"/>
          </w:tcPr>
          <w:p>
            <w:pPr>
              <w:spacing w:after="0"/>
              <w:rPr>
                <w:sz w:val="11"/>
                <w:szCs w:val="11"/>
                <w:color w:val="auto"/>
              </w:rPr>
            </w:pPr>
          </w:p>
        </w:tc>
        <w:tc>
          <w:tcPr>
            <w:tcW w:w="320" w:type="dxa"/>
            <w:vAlign w:val="bottom"/>
            <w:shd w:val="clear" w:color="auto" w:fill="F2F2F2"/>
          </w:tcPr>
          <w:p>
            <w:pPr>
              <w:spacing w:after="0"/>
              <w:rPr>
                <w:sz w:val="11"/>
                <w:szCs w:val="11"/>
                <w:color w:val="auto"/>
              </w:rPr>
            </w:pPr>
          </w:p>
        </w:tc>
        <w:tc>
          <w:tcPr>
            <w:tcW w:w="120" w:type="dxa"/>
            <w:vAlign w:val="bottom"/>
            <w:shd w:val="clear" w:color="auto" w:fill="F2F2F2"/>
          </w:tcPr>
          <w:p>
            <w:pPr>
              <w:spacing w:after="0"/>
              <w:rPr>
                <w:sz w:val="11"/>
                <w:szCs w:val="11"/>
                <w:color w:val="auto"/>
              </w:rPr>
            </w:pPr>
          </w:p>
        </w:tc>
        <w:tc>
          <w:tcPr>
            <w:tcW w:w="320" w:type="dxa"/>
            <w:vAlign w:val="bottom"/>
            <w:shd w:val="clear" w:color="auto" w:fill="F2F2F2"/>
          </w:tcPr>
          <w:p>
            <w:pPr>
              <w:spacing w:after="0"/>
              <w:rPr>
                <w:sz w:val="11"/>
                <w:szCs w:val="11"/>
                <w:color w:val="auto"/>
              </w:rPr>
            </w:pPr>
          </w:p>
        </w:tc>
        <w:tc>
          <w:tcPr>
            <w:tcW w:w="360" w:type="dxa"/>
            <w:vAlign w:val="bottom"/>
            <w:shd w:val="clear" w:color="auto" w:fill="F2F2F2"/>
          </w:tcPr>
          <w:p>
            <w:pPr>
              <w:spacing w:after="0"/>
              <w:rPr>
                <w:sz w:val="11"/>
                <w:szCs w:val="11"/>
                <w:color w:val="auto"/>
              </w:rPr>
            </w:pPr>
          </w:p>
        </w:tc>
        <w:tc>
          <w:tcPr>
            <w:tcW w:w="400" w:type="dxa"/>
            <w:vAlign w:val="bottom"/>
            <w:shd w:val="clear" w:color="auto" w:fill="F2F2F2"/>
          </w:tcPr>
          <w:p>
            <w:pPr>
              <w:spacing w:after="0"/>
              <w:rPr>
                <w:sz w:val="11"/>
                <w:szCs w:val="11"/>
                <w:color w:val="auto"/>
              </w:rPr>
            </w:pPr>
          </w:p>
        </w:tc>
        <w:tc>
          <w:tcPr>
            <w:tcW w:w="120" w:type="dxa"/>
            <w:vAlign w:val="bottom"/>
            <w:shd w:val="clear" w:color="auto" w:fill="F2F2F2"/>
          </w:tcPr>
          <w:p>
            <w:pPr>
              <w:spacing w:after="0"/>
              <w:rPr>
                <w:sz w:val="11"/>
                <w:szCs w:val="11"/>
                <w:color w:val="auto"/>
              </w:rPr>
            </w:pPr>
          </w:p>
        </w:tc>
        <w:tc>
          <w:tcPr>
            <w:tcW w:w="40" w:type="dxa"/>
            <w:vAlign w:val="bottom"/>
            <w:shd w:val="clear" w:color="auto" w:fill="F2F2F2"/>
          </w:tcPr>
          <w:p>
            <w:pPr>
              <w:spacing w:after="0"/>
              <w:rPr>
                <w:sz w:val="11"/>
                <w:szCs w:val="11"/>
                <w:color w:val="auto"/>
              </w:rPr>
            </w:pPr>
          </w:p>
        </w:tc>
        <w:tc>
          <w:tcPr>
            <w:tcW w:w="140" w:type="dxa"/>
            <w:vAlign w:val="bottom"/>
            <w:shd w:val="clear" w:color="auto" w:fill="F2F2F2"/>
          </w:tcPr>
          <w:p>
            <w:pPr>
              <w:spacing w:after="0"/>
              <w:rPr>
                <w:sz w:val="11"/>
                <w:szCs w:val="11"/>
                <w:color w:val="auto"/>
              </w:rPr>
            </w:pPr>
          </w:p>
        </w:tc>
        <w:tc>
          <w:tcPr>
            <w:tcW w:w="820" w:type="dxa"/>
            <w:vAlign w:val="bottom"/>
            <w:shd w:val="clear" w:color="auto" w:fill="F2F2F2"/>
          </w:tcPr>
          <w:p>
            <w:pPr>
              <w:spacing w:after="0"/>
              <w:rPr>
                <w:sz w:val="11"/>
                <w:szCs w:val="11"/>
                <w:color w:val="auto"/>
              </w:rPr>
            </w:pPr>
          </w:p>
        </w:tc>
        <w:tc>
          <w:tcPr>
            <w:tcW w:w="40" w:type="dxa"/>
            <w:vAlign w:val="bottom"/>
            <w:shd w:val="clear" w:color="auto" w:fill="F2F2F2"/>
          </w:tcPr>
          <w:p>
            <w:pPr>
              <w:spacing w:after="0"/>
              <w:rPr>
                <w:sz w:val="11"/>
                <w:szCs w:val="11"/>
                <w:color w:val="auto"/>
              </w:rPr>
            </w:pPr>
          </w:p>
        </w:tc>
        <w:tc>
          <w:tcPr>
            <w:tcW w:w="120" w:type="dxa"/>
            <w:vAlign w:val="bottom"/>
            <w:shd w:val="clear" w:color="auto" w:fill="F2F2F2"/>
          </w:tcPr>
          <w:p>
            <w:pPr>
              <w:spacing w:after="0"/>
              <w:rPr>
                <w:sz w:val="11"/>
                <w:szCs w:val="11"/>
                <w:color w:val="auto"/>
              </w:rPr>
            </w:pPr>
          </w:p>
        </w:tc>
        <w:tc>
          <w:tcPr>
            <w:tcW w:w="40" w:type="dxa"/>
            <w:vAlign w:val="bottom"/>
            <w:shd w:val="clear" w:color="auto" w:fill="F2F2F2"/>
          </w:tcPr>
          <w:p>
            <w:pPr>
              <w:spacing w:after="0"/>
              <w:rPr>
                <w:sz w:val="11"/>
                <w:szCs w:val="11"/>
                <w:color w:val="auto"/>
              </w:rPr>
            </w:pPr>
          </w:p>
        </w:tc>
        <w:tc>
          <w:tcPr>
            <w:tcW w:w="880" w:type="dxa"/>
            <w:vAlign w:val="bottom"/>
            <w:gridSpan w:val="2"/>
            <w:shd w:val="clear" w:color="auto" w:fill="F2F2F2"/>
          </w:tcPr>
          <w:p>
            <w:pPr>
              <w:jc w:val="center"/>
              <w:ind w:right="180"/>
              <w:spacing w:after="0"/>
              <w:rPr>
                <w:sz w:val="20"/>
                <w:szCs w:val="20"/>
                <w:color w:val="auto"/>
              </w:rPr>
            </w:pPr>
            <w:r>
              <w:rPr>
                <w:rFonts w:ascii="Arial" w:cs="Arial" w:eastAsia="Arial" w:hAnsi="Arial"/>
                <w:sz w:val="11"/>
                <w:szCs w:val="11"/>
                <w:b w:val="1"/>
                <w:bCs w:val="1"/>
                <w:color w:val="auto"/>
              </w:rPr>
              <w:t>Plus/(Minus)</w:t>
            </w:r>
          </w:p>
        </w:tc>
        <w:tc>
          <w:tcPr>
            <w:tcW w:w="100" w:type="dxa"/>
            <w:vAlign w:val="bottom"/>
            <w:shd w:val="clear" w:color="auto" w:fill="F2F2F2"/>
          </w:tcPr>
          <w:p>
            <w:pPr>
              <w:spacing w:after="0"/>
              <w:rPr>
                <w:sz w:val="11"/>
                <w:szCs w:val="11"/>
                <w:color w:val="auto"/>
              </w:rPr>
            </w:pPr>
          </w:p>
        </w:tc>
        <w:tc>
          <w:tcPr>
            <w:tcW w:w="40" w:type="dxa"/>
            <w:vAlign w:val="bottom"/>
            <w:shd w:val="clear" w:color="auto" w:fill="F2F2F2"/>
          </w:tcPr>
          <w:p>
            <w:pPr>
              <w:spacing w:after="0"/>
              <w:rPr>
                <w:sz w:val="11"/>
                <w:szCs w:val="11"/>
                <w:color w:val="auto"/>
              </w:rPr>
            </w:pPr>
          </w:p>
        </w:tc>
        <w:tc>
          <w:tcPr>
            <w:tcW w:w="120" w:type="dxa"/>
            <w:vAlign w:val="bottom"/>
            <w:shd w:val="clear" w:color="auto" w:fill="F2F2F2"/>
          </w:tcPr>
          <w:p>
            <w:pPr>
              <w:spacing w:after="0"/>
              <w:rPr>
                <w:sz w:val="11"/>
                <w:szCs w:val="11"/>
                <w:color w:val="auto"/>
              </w:rPr>
            </w:pPr>
          </w:p>
        </w:tc>
        <w:tc>
          <w:tcPr>
            <w:tcW w:w="440" w:type="dxa"/>
            <w:vAlign w:val="bottom"/>
            <w:shd w:val="clear" w:color="auto" w:fill="F2F2F2"/>
          </w:tcPr>
          <w:p>
            <w:pPr>
              <w:jc w:val="center"/>
              <w:ind w:right="62"/>
              <w:spacing w:after="0"/>
              <w:rPr>
                <w:sz w:val="20"/>
                <w:szCs w:val="20"/>
                <w:color w:val="auto"/>
              </w:rPr>
            </w:pPr>
            <w:r>
              <w:rPr>
                <w:rFonts w:ascii="Arial" w:cs="Arial" w:eastAsia="Arial" w:hAnsi="Arial"/>
                <w:sz w:val="11"/>
                <w:szCs w:val="11"/>
                <w:b w:val="1"/>
                <w:bCs w:val="1"/>
                <w:color w:val="auto"/>
                <w:w w:val="93"/>
              </w:rPr>
              <w:t>as of</w:t>
            </w:r>
          </w:p>
        </w:tc>
        <w:tc>
          <w:tcPr>
            <w:tcW w:w="80" w:type="dxa"/>
            <w:vAlign w:val="bottom"/>
            <w:shd w:val="clear" w:color="auto" w:fill="F2F2F2"/>
          </w:tcPr>
          <w:p>
            <w:pPr>
              <w:spacing w:after="0"/>
              <w:rPr>
                <w:sz w:val="11"/>
                <w:szCs w:val="11"/>
                <w:color w:val="auto"/>
              </w:rPr>
            </w:pPr>
          </w:p>
        </w:tc>
        <w:tc>
          <w:tcPr>
            <w:tcW w:w="580" w:type="dxa"/>
            <w:vAlign w:val="bottom"/>
            <w:shd w:val="clear" w:color="auto" w:fill="F2F2F2"/>
          </w:tcPr>
          <w:p>
            <w:pPr>
              <w:spacing w:after="0"/>
              <w:rPr>
                <w:sz w:val="11"/>
                <w:szCs w:val="11"/>
                <w:color w:val="auto"/>
              </w:rPr>
            </w:pPr>
          </w:p>
        </w:tc>
        <w:tc>
          <w:tcPr>
            <w:tcW w:w="180" w:type="dxa"/>
            <w:vAlign w:val="bottom"/>
            <w:shd w:val="clear" w:color="auto" w:fill="F2F2F2"/>
          </w:tcPr>
          <w:p>
            <w:pPr>
              <w:spacing w:after="0"/>
              <w:rPr>
                <w:sz w:val="11"/>
                <w:szCs w:val="11"/>
                <w:color w:val="auto"/>
              </w:rPr>
            </w:pPr>
          </w:p>
        </w:tc>
        <w:tc>
          <w:tcPr>
            <w:tcW w:w="100" w:type="dxa"/>
            <w:vAlign w:val="bottom"/>
            <w:shd w:val="clear" w:color="auto" w:fill="F2F2F2"/>
          </w:tcPr>
          <w:p>
            <w:pPr>
              <w:spacing w:after="0"/>
              <w:rPr>
                <w:sz w:val="11"/>
                <w:szCs w:val="11"/>
                <w:color w:val="auto"/>
              </w:rPr>
            </w:pPr>
          </w:p>
        </w:tc>
        <w:tc>
          <w:tcPr>
            <w:tcW w:w="40" w:type="dxa"/>
            <w:vAlign w:val="bottom"/>
            <w:shd w:val="clear" w:color="auto" w:fill="F2F2F2"/>
          </w:tcPr>
          <w:p>
            <w:pPr>
              <w:spacing w:after="0"/>
              <w:rPr>
                <w:sz w:val="11"/>
                <w:szCs w:val="11"/>
                <w:color w:val="auto"/>
              </w:rPr>
            </w:pPr>
          </w:p>
        </w:tc>
        <w:tc>
          <w:tcPr>
            <w:tcW w:w="100" w:type="dxa"/>
            <w:vAlign w:val="bottom"/>
            <w:shd w:val="clear" w:color="auto" w:fill="F2F2F2"/>
          </w:tcPr>
          <w:p>
            <w:pPr>
              <w:spacing w:after="0"/>
              <w:rPr>
                <w:sz w:val="11"/>
                <w:szCs w:val="11"/>
                <w:color w:val="auto"/>
              </w:rPr>
            </w:pPr>
          </w:p>
        </w:tc>
        <w:tc>
          <w:tcPr>
            <w:tcW w:w="700" w:type="dxa"/>
            <w:vAlign w:val="bottom"/>
            <w:shd w:val="clear" w:color="auto" w:fill="F2F2F2"/>
          </w:tcPr>
          <w:p>
            <w:pPr>
              <w:spacing w:after="0"/>
              <w:rPr>
                <w:sz w:val="11"/>
                <w:szCs w:val="11"/>
                <w:color w:val="auto"/>
              </w:rPr>
            </w:pPr>
          </w:p>
        </w:tc>
        <w:tc>
          <w:tcPr>
            <w:tcW w:w="80" w:type="dxa"/>
            <w:vAlign w:val="bottom"/>
            <w:shd w:val="clear" w:color="auto" w:fill="F2F2F2"/>
          </w:tcPr>
          <w:p>
            <w:pPr>
              <w:spacing w:after="0"/>
              <w:rPr>
                <w:sz w:val="11"/>
                <w:szCs w:val="11"/>
                <w:color w:val="auto"/>
              </w:rPr>
            </w:pPr>
          </w:p>
        </w:tc>
        <w:tc>
          <w:tcPr>
            <w:tcW w:w="40" w:type="dxa"/>
            <w:vAlign w:val="bottom"/>
            <w:shd w:val="clear" w:color="auto" w:fill="F2F2F2"/>
          </w:tcPr>
          <w:p>
            <w:pPr>
              <w:spacing w:after="0"/>
              <w:rPr>
                <w:sz w:val="11"/>
                <w:szCs w:val="11"/>
                <w:color w:val="auto"/>
              </w:rPr>
            </w:pPr>
          </w:p>
        </w:tc>
        <w:tc>
          <w:tcPr>
            <w:tcW w:w="120" w:type="dxa"/>
            <w:vAlign w:val="bottom"/>
            <w:shd w:val="clear" w:color="auto" w:fill="F2F2F2"/>
          </w:tcPr>
          <w:p>
            <w:pPr>
              <w:spacing w:after="0"/>
              <w:rPr>
                <w:sz w:val="11"/>
                <w:szCs w:val="11"/>
                <w:color w:val="auto"/>
              </w:rPr>
            </w:pPr>
          </w:p>
        </w:tc>
        <w:tc>
          <w:tcPr>
            <w:tcW w:w="780" w:type="dxa"/>
            <w:vAlign w:val="bottom"/>
            <w:shd w:val="clear" w:color="auto" w:fill="F2F2F2"/>
          </w:tcPr>
          <w:p>
            <w:pPr>
              <w:spacing w:after="0"/>
              <w:rPr>
                <w:sz w:val="11"/>
                <w:szCs w:val="11"/>
                <w:color w:val="auto"/>
              </w:rPr>
            </w:pPr>
          </w:p>
        </w:tc>
        <w:tc>
          <w:tcPr>
            <w:tcW w:w="80" w:type="dxa"/>
            <w:vAlign w:val="bottom"/>
            <w:shd w:val="clear" w:color="auto" w:fill="F2F2F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0" w:type="dxa"/>
            <w:vAlign w:val="bottom"/>
            <w:shd w:val="clear" w:color="auto" w:fill="F2F2F2"/>
          </w:tcPr>
          <w:p>
            <w:pPr>
              <w:spacing w:after="0"/>
              <w:rPr>
                <w:sz w:val="11"/>
                <w:szCs w:val="11"/>
                <w:color w:val="auto"/>
              </w:rPr>
            </w:pPr>
          </w:p>
        </w:tc>
        <w:tc>
          <w:tcPr>
            <w:tcW w:w="180" w:type="dxa"/>
            <w:vAlign w:val="bottom"/>
            <w:shd w:val="clear" w:color="auto" w:fill="F2F2F2"/>
          </w:tcPr>
          <w:p>
            <w:pPr>
              <w:spacing w:after="0"/>
              <w:rPr>
                <w:sz w:val="11"/>
                <w:szCs w:val="11"/>
                <w:color w:val="auto"/>
              </w:rPr>
            </w:pPr>
          </w:p>
        </w:tc>
        <w:tc>
          <w:tcPr>
            <w:tcW w:w="160" w:type="dxa"/>
            <w:vAlign w:val="bottom"/>
            <w:tcBorders>
              <w:right w:val="single" w:sz="8" w:color="F2F2F2"/>
            </w:tcBorders>
            <w:shd w:val="clear" w:color="auto" w:fill="F2F2F2"/>
          </w:tcPr>
          <w:p>
            <w:pPr>
              <w:spacing w:after="0"/>
              <w:rPr>
                <w:sz w:val="11"/>
                <w:szCs w:val="11"/>
                <w:color w:val="auto"/>
              </w:rPr>
            </w:pPr>
          </w:p>
        </w:tc>
        <w:tc>
          <w:tcPr>
            <w:tcW w:w="820" w:type="dxa"/>
            <w:vAlign w:val="bottom"/>
            <w:shd w:val="clear" w:color="auto" w:fill="F2F2F2"/>
          </w:tcPr>
          <w:p>
            <w:pPr>
              <w:spacing w:after="0"/>
              <w:rPr>
                <w:sz w:val="11"/>
                <w:szCs w:val="11"/>
                <w:color w:val="auto"/>
              </w:rPr>
            </w:pPr>
          </w:p>
        </w:tc>
        <w:tc>
          <w:tcPr>
            <w:tcW w:w="160" w:type="dxa"/>
            <w:vAlign w:val="bottom"/>
            <w:tcBorders>
              <w:right w:val="single" w:sz="8" w:color="F2F2F2"/>
            </w:tcBorders>
            <w:shd w:val="clear" w:color="auto" w:fill="F2F2F2"/>
          </w:tcPr>
          <w:p>
            <w:pPr>
              <w:spacing w:after="0"/>
              <w:rPr>
                <w:sz w:val="11"/>
                <w:szCs w:val="11"/>
                <w:color w:val="auto"/>
              </w:rPr>
            </w:pPr>
          </w:p>
        </w:tc>
        <w:tc>
          <w:tcPr>
            <w:tcW w:w="560" w:type="dxa"/>
            <w:vAlign w:val="bottom"/>
            <w:shd w:val="clear" w:color="auto" w:fill="F2F2F2"/>
          </w:tcPr>
          <w:p>
            <w:pPr>
              <w:spacing w:after="0"/>
              <w:rPr>
                <w:sz w:val="11"/>
                <w:szCs w:val="11"/>
                <w:color w:val="auto"/>
              </w:rPr>
            </w:pPr>
          </w:p>
        </w:tc>
        <w:tc>
          <w:tcPr>
            <w:tcW w:w="140" w:type="dxa"/>
            <w:vAlign w:val="bottom"/>
            <w:shd w:val="clear" w:color="auto" w:fill="F2F2F2"/>
          </w:tcPr>
          <w:p>
            <w:pPr>
              <w:spacing w:after="0"/>
              <w:rPr>
                <w:sz w:val="11"/>
                <w:szCs w:val="11"/>
                <w:color w:val="auto"/>
              </w:rPr>
            </w:pPr>
          </w:p>
        </w:tc>
        <w:tc>
          <w:tcPr>
            <w:tcW w:w="320" w:type="dxa"/>
            <w:vAlign w:val="bottom"/>
            <w:shd w:val="clear" w:color="auto" w:fill="F2F2F2"/>
          </w:tcPr>
          <w:p>
            <w:pPr>
              <w:spacing w:after="0"/>
              <w:rPr>
                <w:sz w:val="11"/>
                <w:szCs w:val="11"/>
                <w:color w:val="auto"/>
              </w:rPr>
            </w:pPr>
          </w:p>
        </w:tc>
        <w:tc>
          <w:tcPr>
            <w:tcW w:w="120" w:type="dxa"/>
            <w:vAlign w:val="bottom"/>
            <w:shd w:val="clear" w:color="auto" w:fill="F2F2F2"/>
          </w:tcPr>
          <w:p>
            <w:pPr>
              <w:spacing w:after="0"/>
              <w:rPr>
                <w:sz w:val="11"/>
                <w:szCs w:val="11"/>
                <w:color w:val="auto"/>
              </w:rPr>
            </w:pPr>
          </w:p>
        </w:tc>
        <w:tc>
          <w:tcPr>
            <w:tcW w:w="320" w:type="dxa"/>
            <w:vAlign w:val="bottom"/>
            <w:shd w:val="clear" w:color="auto" w:fill="F2F2F2"/>
          </w:tcPr>
          <w:p>
            <w:pPr>
              <w:spacing w:after="0"/>
              <w:rPr>
                <w:sz w:val="11"/>
                <w:szCs w:val="11"/>
                <w:color w:val="auto"/>
              </w:rPr>
            </w:pPr>
          </w:p>
        </w:tc>
        <w:tc>
          <w:tcPr>
            <w:tcW w:w="360" w:type="dxa"/>
            <w:vAlign w:val="bottom"/>
            <w:shd w:val="clear" w:color="auto" w:fill="F2F2F2"/>
          </w:tcPr>
          <w:p>
            <w:pPr>
              <w:spacing w:after="0"/>
              <w:rPr>
                <w:sz w:val="11"/>
                <w:szCs w:val="11"/>
                <w:color w:val="auto"/>
              </w:rPr>
            </w:pPr>
          </w:p>
        </w:tc>
        <w:tc>
          <w:tcPr>
            <w:tcW w:w="400" w:type="dxa"/>
            <w:vAlign w:val="bottom"/>
            <w:shd w:val="clear" w:color="auto" w:fill="F2F2F2"/>
          </w:tcPr>
          <w:p>
            <w:pPr>
              <w:spacing w:after="0"/>
              <w:rPr>
                <w:sz w:val="11"/>
                <w:szCs w:val="11"/>
                <w:color w:val="auto"/>
              </w:rPr>
            </w:pPr>
          </w:p>
        </w:tc>
        <w:tc>
          <w:tcPr>
            <w:tcW w:w="120" w:type="dxa"/>
            <w:vAlign w:val="bottom"/>
            <w:shd w:val="clear" w:color="auto" w:fill="F2F2F2"/>
          </w:tcPr>
          <w:p>
            <w:pPr>
              <w:spacing w:after="0"/>
              <w:rPr>
                <w:sz w:val="11"/>
                <w:szCs w:val="11"/>
                <w:color w:val="auto"/>
              </w:rPr>
            </w:pPr>
          </w:p>
        </w:tc>
        <w:tc>
          <w:tcPr>
            <w:tcW w:w="40" w:type="dxa"/>
            <w:vAlign w:val="bottom"/>
            <w:shd w:val="clear" w:color="auto" w:fill="F2F2F2"/>
          </w:tcPr>
          <w:p>
            <w:pPr>
              <w:spacing w:after="0"/>
              <w:rPr>
                <w:sz w:val="11"/>
                <w:szCs w:val="11"/>
                <w:color w:val="auto"/>
              </w:rPr>
            </w:pPr>
          </w:p>
        </w:tc>
        <w:tc>
          <w:tcPr>
            <w:tcW w:w="140" w:type="dxa"/>
            <w:vAlign w:val="bottom"/>
            <w:shd w:val="clear" w:color="auto" w:fill="F2F2F2"/>
          </w:tcPr>
          <w:p>
            <w:pPr>
              <w:spacing w:after="0"/>
              <w:rPr>
                <w:sz w:val="11"/>
                <w:szCs w:val="11"/>
                <w:color w:val="auto"/>
              </w:rPr>
            </w:pPr>
          </w:p>
        </w:tc>
        <w:tc>
          <w:tcPr>
            <w:tcW w:w="820" w:type="dxa"/>
            <w:vAlign w:val="bottom"/>
            <w:shd w:val="clear" w:color="auto" w:fill="F2F2F2"/>
          </w:tcPr>
          <w:p>
            <w:pPr>
              <w:spacing w:after="0"/>
              <w:rPr>
                <w:sz w:val="11"/>
                <w:szCs w:val="11"/>
                <w:color w:val="auto"/>
              </w:rPr>
            </w:pPr>
          </w:p>
        </w:tc>
        <w:tc>
          <w:tcPr>
            <w:tcW w:w="40" w:type="dxa"/>
            <w:vAlign w:val="bottom"/>
            <w:shd w:val="clear" w:color="auto" w:fill="F2F2F2"/>
          </w:tcPr>
          <w:p>
            <w:pPr>
              <w:spacing w:after="0"/>
              <w:rPr>
                <w:sz w:val="11"/>
                <w:szCs w:val="11"/>
                <w:color w:val="auto"/>
              </w:rPr>
            </w:pPr>
          </w:p>
        </w:tc>
        <w:tc>
          <w:tcPr>
            <w:tcW w:w="1040" w:type="dxa"/>
            <w:vAlign w:val="bottom"/>
            <w:gridSpan w:val="4"/>
            <w:shd w:val="clear" w:color="auto" w:fill="F2F2F2"/>
          </w:tcPr>
          <w:p>
            <w:pPr>
              <w:jc w:val="center"/>
              <w:ind w:right="20"/>
              <w:spacing w:after="0"/>
              <w:rPr>
                <w:sz w:val="20"/>
                <w:szCs w:val="20"/>
                <w:color w:val="auto"/>
              </w:rPr>
            </w:pPr>
            <w:r>
              <w:rPr>
                <w:rFonts w:ascii="Arial" w:cs="Arial" w:eastAsia="Arial" w:hAnsi="Arial"/>
                <w:sz w:val="11"/>
                <w:szCs w:val="11"/>
                <w:b w:val="1"/>
                <w:bCs w:val="1"/>
                <w:color w:val="auto"/>
              </w:rPr>
              <w:t>Change in Fair</w:t>
            </w:r>
          </w:p>
        </w:tc>
        <w:tc>
          <w:tcPr>
            <w:tcW w:w="100" w:type="dxa"/>
            <w:vAlign w:val="bottom"/>
            <w:shd w:val="clear" w:color="auto" w:fill="F2F2F2"/>
          </w:tcPr>
          <w:p>
            <w:pPr>
              <w:spacing w:after="0"/>
              <w:rPr>
                <w:sz w:val="11"/>
                <w:szCs w:val="11"/>
                <w:color w:val="auto"/>
              </w:rPr>
            </w:pPr>
          </w:p>
        </w:tc>
        <w:tc>
          <w:tcPr>
            <w:tcW w:w="680" w:type="dxa"/>
            <w:vAlign w:val="bottom"/>
            <w:gridSpan w:val="4"/>
            <w:shd w:val="clear" w:color="auto" w:fill="F2F2F2"/>
          </w:tcPr>
          <w:p>
            <w:pPr>
              <w:jc w:val="right"/>
              <w:ind w:right="5"/>
              <w:spacing w:after="0"/>
              <w:rPr>
                <w:sz w:val="20"/>
                <w:szCs w:val="20"/>
                <w:color w:val="auto"/>
              </w:rPr>
            </w:pPr>
            <w:r>
              <w:rPr>
                <w:rFonts w:ascii="Arial" w:cs="Arial" w:eastAsia="Arial" w:hAnsi="Arial"/>
                <w:sz w:val="11"/>
                <w:szCs w:val="11"/>
                <w:b w:val="1"/>
                <w:bCs w:val="1"/>
                <w:color w:val="auto"/>
              </w:rPr>
              <w:t>Prior Fiscal</w:t>
            </w:r>
          </w:p>
        </w:tc>
        <w:tc>
          <w:tcPr>
            <w:tcW w:w="580" w:type="dxa"/>
            <w:vAlign w:val="bottom"/>
            <w:shd w:val="clear" w:color="auto" w:fill="F2F2F2"/>
          </w:tcPr>
          <w:p>
            <w:pPr>
              <w:spacing w:after="0"/>
              <w:rPr>
                <w:sz w:val="11"/>
                <w:szCs w:val="11"/>
                <w:color w:val="auto"/>
              </w:rPr>
            </w:pPr>
          </w:p>
        </w:tc>
        <w:tc>
          <w:tcPr>
            <w:tcW w:w="180" w:type="dxa"/>
            <w:vAlign w:val="bottom"/>
            <w:shd w:val="clear" w:color="auto" w:fill="F2F2F2"/>
          </w:tcPr>
          <w:p>
            <w:pPr>
              <w:spacing w:after="0"/>
              <w:rPr>
                <w:sz w:val="11"/>
                <w:szCs w:val="11"/>
                <w:color w:val="auto"/>
              </w:rPr>
            </w:pPr>
          </w:p>
        </w:tc>
        <w:tc>
          <w:tcPr>
            <w:tcW w:w="100" w:type="dxa"/>
            <w:vAlign w:val="bottom"/>
            <w:shd w:val="clear" w:color="auto" w:fill="F2F2F2"/>
          </w:tcPr>
          <w:p>
            <w:pPr>
              <w:spacing w:after="0"/>
              <w:rPr>
                <w:sz w:val="11"/>
                <w:szCs w:val="11"/>
                <w:color w:val="auto"/>
              </w:rPr>
            </w:pPr>
          </w:p>
        </w:tc>
        <w:tc>
          <w:tcPr>
            <w:tcW w:w="40" w:type="dxa"/>
            <w:vAlign w:val="bottom"/>
            <w:shd w:val="clear" w:color="auto" w:fill="F2F2F2"/>
          </w:tcPr>
          <w:p>
            <w:pPr>
              <w:spacing w:after="0"/>
              <w:rPr>
                <w:sz w:val="11"/>
                <w:szCs w:val="11"/>
                <w:color w:val="auto"/>
              </w:rPr>
            </w:pPr>
          </w:p>
        </w:tc>
        <w:tc>
          <w:tcPr>
            <w:tcW w:w="100" w:type="dxa"/>
            <w:vAlign w:val="bottom"/>
            <w:shd w:val="clear" w:color="auto" w:fill="F2F2F2"/>
          </w:tcPr>
          <w:p>
            <w:pPr>
              <w:spacing w:after="0"/>
              <w:rPr>
                <w:sz w:val="11"/>
                <w:szCs w:val="11"/>
                <w:color w:val="auto"/>
              </w:rPr>
            </w:pPr>
          </w:p>
        </w:tc>
        <w:tc>
          <w:tcPr>
            <w:tcW w:w="700" w:type="dxa"/>
            <w:vAlign w:val="bottom"/>
            <w:shd w:val="clear" w:color="auto" w:fill="F2F2F2"/>
          </w:tcPr>
          <w:p>
            <w:pPr>
              <w:spacing w:after="0"/>
              <w:rPr>
                <w:sz w:val="11"/>
                <w:szCs w:val="11"/>
                <w:color w:val="auto"/>
              </w:rPr>
            </w:pPr>
          </w:p>
        </w:tc>
        <w:tc>
          <w:tcPr>
            <w:tcW w:w="80" w:type="dxa"/>
            <w:vAlign w:val="bottom"/>
            <w:shd w:val="clear" w:color="auto" w:fill="F2F2F2"/>
          </w:tcPr>
          <w:p>
            <w:pPr>
              <w:spacing w:after="0"/>
              <w:rPr>
                <w:sz w:val="11"/>
                <w:szCs w:val="11"/>
                <w:color w:val="auto"/>
              </w:rPr>
            </w:pPr>
          </w:p>
        </w:tc>
        <w:tc>
          <w:tcPr>
            <w:tcW w:w="40" w:type="dxa"/>
            <w:vAlign w:val="bottom"/>
            <w:shd w:val="clear" w:color="auto" w:fill="F2F2F2"/>
          </w:tcPr>
          <w:p>
            <w:pPr>
              <w:spacing w:after="0"/>
              <w:rPr>
                <w:sz w:val="11"/>
                <w:szCs w:val="11"/>
                <w:color w:val="auto"/>
              </w:rPr>
            </w:pPr>
          </w:p>
        </w:tc>
        <w:tc>
          <w:tcPr>
            <w:tcW w:w="120" w:type="dxa"/>
            <w:vAlign w:val="bottom"/>
            <w:shd w:val="clear" w:color="auto" w:fill="F2F2F2"/>
          </w:tcPr>
          <w:p>
            <w:pPr>
              <w:spacing w:after="0"/>
              <w:rPr>
                <w:sz w:val="11"/>
                <w:szCs w:val="11"/>
                <w:color w:val="auto"/>
              </w:rPr>
            </w:pPr>
          </w:p>
        </w:tc>
        <w:tc>
          <w:tcPr>
            <w:tcW w:w="780" w:type="dxa"/>
            <w:vAlign w:val="bottom"/>
            <w:shd w:val="clear" w:color="auto" w:fill="F2F2F2"/>
          </w:tcPr>
          <w:p>
            <w:pPr>
              <w:spacing w:after="0"/>
              <w:rPr>
                <w:sz w:val="11"/>
                <w:szCs w:val="11"/>
                <w:color w:val="auto"/>
              </w:rPr>
            </w:pPr>
          </w:p>
        </w:tc>
        <w:tc>
          <w:tcPr>
            <w:tcW w:w="80" w:type="dxa"/>
            <w:vAlign w:val="bottom"/>
            <w:shd w:val="clear" w:color="auto" w:fill="F2F2F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0" w:type="dxa"/>
            <w:vAlign w:val="bottom"/>
            <w:shd w:val="clear" w:color="auto" w:fill="F2F2F2"/>
          </w:tcPr>
          <w:p>
            <w:pPr>
              <w:spacing w:after="0"/>
              <w:rPr>
                <w:sz w:val="11"/>
                <w:szCs w:val="11"/>
                <w:color w:val="auto"/>
              </w:rPr>
            </w:pPr>
          </w:p>
        </w:tc>
        <w:tc>
          <w:tcPr>
            <w:tcW w:w="180" w:type="dxa"/>
            <w:vAlign w:val="bottom"/>
            <w:shd w:val="clear" w:color="auto" w:fill="F2F2F2"/>
          </w:tcPr>
          <w:p>
            <w:pPr>
              <w:spacing w:after="0"/>
              <w:rPr>
                <w:sz w:val="11"/>
                <w:szCs w:val="11"/>
                <w:color w:val="auto"/>
              </w:rPr>
            </w:pPr>
          </w:p>
        </w:tc>
        <w:tc>
          <w:tcPr>
            <w:tcW w:w="160" w:type="dxa"/>
            <w:vAlign w:val="bottom"/>
            <w:tcBorders>
              <w:right w:val="single" w:sz="8" w:color="F2F2F2"/>
            </w:tcBorders>
            <w:shd w:val="clear" w:color="auto" w:fill="F2F2F2"/>
          </w:tcPr>
          <w:p>
            <w:pPr>
              <w:spacing w:after="0"/>
              <w:rPr>
                <w:sz w:val="11"/>
                <w:szCs w:val="11"/>
                <w:color w:val="auto"/>
              </w:rPr>
            </w:pPr>
          </w:p>
        </w:tc>
        <w:tc>
          <w:tcPr>
            <w:tcW w:w="820" w:type="dxa"/>
            <w:vAlign w:val="bottom"/>
            <w:shd w:val="clear" w:color="auto" w:fill="F2F2F2"/>
          </w:tcPr>
          <w:p>
            <w:pPr>
              <w:spacing w:after="0"/>
              <w:rPr>
                <w:sz w:val="11"/>
                <w:szCs w:val="11"/>
                <w:color w:val="auto"/>
              </w:rPr>
            </w:pPr>
          </w:p>
        </w:tc>
        <w:tc>
          <w:tcPr>
            <w:tcW w:w="160" w:type="dxa"/>
            <w:vAlign w:val="bottom"/>
            <w:tcBorders>
              <w:right w:val="single" w:sz="8" w:color="F2F2F2"/>
            </w:tcBorders>
            <w:shd w:val="clear" w:color="auto" w:fill="F2F2F2"/>
          </w:tcPr>
          <w:p>
            <w:pPr>
              <w:spacing w:after="0"/>
              <w:rPr>
                <w:sz w:val="11"/>
                <w:szCs w:val="11"/>
                <w:color w:val="auto"/>
              </w:rPr>
            </w:pPr>
          </w:p>
        </w:tc>
        <w:tc>
          <w:tcPr>
            <w:tcW w:w="560" w:type="dxa"/>
            <w:vAlign w:val="bottom"/>
            <w:shd w:val="clear" w:color="auto" w:fill="F2F2F2"/>
          </w:tcPr>
          <w:p>
            <w:pPr>
              <w:spacing w:after="0"/>
              <w:rPr>
                <w:sz w:val="11"/>
                <w:szCs w:val="11"/>
                <w:color w:val="auto"/>
              </w:rPr>
            </w:pPr>
          </w:p>
        </w:tc>
        <w:tc>
          <w:tcPr>
            <w:tcW w:w="140" w:type="dxa"/>
            <w:vAlign w:val="bottom"/>
            <w:shd w:val="clear" w:color="auto" w:fill="F2F2F2"/>
          </w:tcPr>
          <w:p>
            <w:pPr>
              <w:spacing w:after="0"/>
              <w:rPr>
                <w:sz w:val="11"/>
                <w:szCs w:val="11"/>
                <w:color w:val="auto"/>
              </w:rPr>
            </w:pPr>
          </w:p>
        </w:tc>
        <w:tc>
          <w:tcPr>
            <w:tcW w:w="320" w:type="dxa"/>
            <w:vAlign w:val="bottom"/>
            <w:shd w:val="clear" w:color="auto" w:fill="F2F2F2"/>
          </w:tcPr>
          <w:p>
            <w:pPr>
              <w:spacing w:after="0"/>
              <w:rPr>
                <w:sz w:val="11"/>
                <w:szCs w:val="11"/>
                <w:color w:val="auto"/>
              </w:rPr>
            </w:pPr>
          </w:p>
        </w:tc>
        <w:tc>
          <w:tcPr>
            <w:tcW w:w="120" w:type="dxa"/>
            <w:vAlign w:val="bottom"/>
            <w:shd w:val="clear" w:color="auto" w:fill="F2F2F2"/>
          </w:tcPr>
          <w:p>
            <w:pPr>
              <w:spacing w:after="0"/>
              <w:rPr>
                <w:sz w:val="11"/>
                <w:szCs w:val="11"/>
                <w:color w:val="auto"/>
              </w:rPr>
            </w:pPr>
          </w:p>
        </w:tc>
        <w:tc>
          <w:tcPr>
            <w:tcW w:w="320" w:type="dxa"/>
            <w:vAlign w:val="bottom"/>
            <w:shd w:val="clear" w:color="auto" w:fill="F2F2F2"/>
          </w:tcPr>
          <w:p>
            <w:pPr>
              <w:spacing w:after="0"/>
              <w:rPr>
                <w:sz w:val="11"/>
                <w:szCs w:val="11"/>
                <w:color w:val="auto"/>
              </w:rPr>
            </w:pPr>
          </w:p>
        </w:tc>
        <w:tc>
          <w:tcPr>
            <w:tcW w:w="360" w:type="dxa"/>
            <w:vAlign w:val="bottom"/>
            <w:shd w:val="clear" w:color="auto" w:fill="F2F2F2"/>
          </w:tcPr>
          <w:p>
            <w:pPr>
              <w:spacing w:after="0"/>
              <w:rPr>
                <w:sz w:val="11"/>
                <w:szCs w:val="11"/>
                <w:color w:val="auto"/>
              </w:rPr>
            </w:pPr>
          </w:p>
        </w:tc>
        <w:tc>
          <w:tcPr>
            <w:tcW w:w="400" w:type="dxa"/>
            <w:vAlign w:val="bottom"/>
            <w:shd w:val="clear" w:color="auto" w:fill="F2F2F2"/>
          </w:tcPr>
          <w:p>
            <w:pPr>
              <w:spacing w:after="0"/>
              <w:rPr>
                <w:sz w:val="11"/>
                <w:szCs w:val="11"/>
                <w:color w:val="auto"/>
              </w:rPr>
            </w:pPr>
          </w:p>
        </w:tc>
        <w:tc>
          <w:tcPr>
            <w:tcW w:w="120" w:type="dxa"/>
            <w:vAlign w:val="bottom"/>
            <w:shd w:val="clear" w:color="auto" w:fill="F2F2F2"/>
          </w:tcPr>
          <w:p>
            <w:pPr>
              <w:spacing w:after="0"/>
              <w:rPr>
                <w:sz w:val="11"/>
                <w:szCs w:val="11"/>
                <w:color w:val="auto"/>
              </w:rPr>
            </w:pPr>
          </w:p>
        </w:tc>
        <w:tc>
          <w:tcPr>
            <w:tcW w:w="40" w:type="dxa"/>
            <w:vAlign w:val="bottom"/>
            <w:shd w:val="clear" w:color="auto" w:fill="F2F2F2"/>
          </w:tcPr>
          <w:p>
            <w:pPr>
              <w:spacing w:after="0"/>
              <w:rPr>
                <w:sz w:val="11"/>
                <w:szCs w:val="11"/>
                <w:color w:val="auto"/>
              </w:rPr>
            </w:pPr>
          </w:p>
        </w:tc>
        <w:tc>
          <w:tcPr>
            <w:tcW w:w="140" w:type="dxa"/>
            <w:vAlign w:val="bottom"/>
            <w:shd w:val="clear" w:color="auto" w:fill="F2F2F2"/>
          </w:tcPr>
          <w:p>
            <w:pPr>
              <w:spacing w:after="0"/>
              <w:rPr>
                <w:sz w:val="11"/>
                <w:szCs w:val="11"/>
                <w:color w:val="auto"/>
              </w:rPr>
            </w:pPr>
          </w:p>
        </w:tc>
        <w:tc>
          <w:tcPr>
            <w:tcW w:w="820" w:type="dxa"/>
            <w:vAlign w:val="bottom"/>
            <w:shd w:val="clear" w:color="auto" w:fill="F2F2F2"/>
          </w:tcPr>
          <w:p>
            <w:pPr>
              <w:spacing w:after="0"/>
              <w:rPr>
                <w:sz w:val="11"/>
                <w:szCs w:val="11"/>
                <w:color w:val="auto"/>
              </w:rPr>
            </w:pPr>
          </w:p>
        </w:tc>
        <w:tc>
          <w:tcPr>
            <w:tcW w:w="40" w:type="dxa"/>
            <w:vAlign w:val="bottom"/>
            <w:shd w:val="clear" w:color="auto" w:fill="F2F2F2"/>
          </w:tcPr>
          <w:p>
            <w:pPr>
              <w:spacing w:after="0"/>
              <w:rPr>
                <w:sz w:val="11"/>
                <w:szCs w:val="11"/>
                <w:color w:val="auto"/>
              </w:rPr>
            </w:pPr>
          </w:p>
        </w:tc>
        <w:tc>
          <w:tcPr>
            <w:tcW w:w="120" w:type="dxa"/>
            <w:vAlign w:val="bottom"/>
            <w:shd w:val="clear" w:color="auto" w:fill="F2F2F2"/>
          </w:tcPr>
          <w:p>
            <w:pPr>
              <w:spacing w:after="0"/>
              <w:rPr>
                <w:sz w:val="11"/>
                <w:szCs w:val="11"/>
                <w:color w:val="auto"/>
              </w:rPr>
            </w:pPr>
          </w:p>
        </w:tc>
        <w:tc>
          <w:tcPr>
            <w:tcW w:w="40" w:type="dxa"/>
            <w:vAlign w:val="bottom"/>
            <w:shd w:val="clear" w:color="auto" w:fill="F2F2F2"/>
          </w:tcPr>
          <w:p>
            <w:pPr>
              <w:spacing w:after="0"/>
              <w:rPr>
                <w:sz w:val="11"/>
                <w:szCs w:val="11"/>
                <w:color w:val="auto"/>
              </w:rPr>
            </w:pPr>
          </w:p>
        </w:tc>
        <w:tc>
          <w:tcPr>
            <w:tcW w:w="880" w:type="dxa"/>
            <w:vAlign w:val="bottom"/>
            <w:gridSpan w:val="2"/>
            <w:shd w:val="clear" w:color="auto" w:fill="F2F2F2"/>
          </w:tcPr>
          <w:p>
            <w:pPr>
              <w:jc w:val="center"/>
              <w:ind w:right="180"/>
              <w:spacing w:after="0"/>
              <w:rPr>
                <w:sz w:val="20"/>
                <w:szCs w:val="20"/>
                <w:color w:val="auto"/>
              </w:rPr>
            </w:pPr>
            <w:r>
              <w:rPr>
                <w:rFonts w:ascii="Arial" w:cs="Arial" w:eastAsia="Arial" w:hAnsi="Arial"/>
                <w:sz w:val="11"/>
                <w:szCs w:val="11"/>
                <w:b w:val="1"/>
                <w:bCs w:val="1"/>
                <w:color w:val="auto"/>
                <w:w w:val="99"/>
              </w:rPr>
              <w:t>Value as of</w:t>
            </w:r>
          </w:p>
        </w:tc>
        <w:tc>
          <w:tcPr>
            <w:tcW w:w="100" w:type="dxa"/>
            <w:vAlign w:val="bottom"/>
            <w:shd w:val="clear" w:color="auto" w:fill="F2F2F2"/>
          </w:tcPr>
          <w:p>
            <w:pPr>
              <w:spacing w:after="0"/>
              <w:rPr>
                <w:sz w:val="11"/>
                <w:szCs w:val="11"/>
                <w:color w:val="auto"/>
              </w:rPr>
            </w:pPr>
          </w:p>
        </w:tc>
        <w:tc>
          <w:tcPr>
            <w:tcW w:w="40" w:type="dxa"/>
            <w:vAlign w:val="bottom"/>
            <w:shd w:val="clear" w:color="auto" w:fill="F2F2F2"/>
          </w:tcPr>
          <w:p>
            <w:pPr>
              <w:spacing w:after="0"/>
              <w:rPr>
                <w:sz w:val="11"/>
                <w:szCs w:val="11"/>
                <w:color w:val="auto"/>
              </w:rPr>
            </w:pPr>
          </w:p>
        </w:tc>
        <w:tc>
          <w:tcPr>
            <w:tcW w:w="560" w:type="dxa"/>
            <w:vAlign w:val="bottom"/>
            <w:gridSpan w:val="2"/>
            <w:shd w:val="clear" w:color="auto" w:fill="F2F2F2"/>
          </w:tcPr>
          <w:p>
            <w:pPr>
              <w:jc w:val="center"/>
              <w:spacing w:after="0"/>
              <w:rPr>
                <w:sz w:val="20"/>
                <w:szCs w:val="20"/>
                <w:color w:val="auto"/>
              </w:rPr>
            </w:pPr>
            <w:r>
              <w:rPr>
                <w:rFonts w:ascii="Arial" w:cs="Arial" w:eastAsia="Arial" w:hAnsi="Arial"/>
                <w:sz w:val="11"/>
                <w:szCs w:val="11"/>
                <w:b w:val="1"/>
                <w:bCs w:val="1"/>
                <w:color w:val="auto"/>
                <w:w w:val="99"/>
              </w:rPr>
              <w:t>Year-End</w:t>
            </w:r>
          </w:p>
        </w:tc>
        <w:tc>
          <w:tcPr>
            <w:tcW w:w="80" w:type="dxa"/>
            <w:vAlign w:val="bottom"/>
            <w:shd w:val="clear" w:color="auto" w:fill="F2F2F2"/>
          </w:tcPr>
          <w:p>
            <w:pPr>
              <w:spacing w:after="0"/>
              <w:rPr>
                <w:sz w:val="11"/>
                <w:szCs w:val="11"/>
                <w:color w:val="auto"/>
              </w:rPr>
            </w:pPr>
          </w:p>
        </w:tc>
        <w:tc>
          <w:tcPr>
            <w:tcW w:w="580" w:type="dxa"/>
            <w:vAlign w:val="bottom"/>
            <w:shd w:val="clear" w:color="auto" w:fill="F2F2F2"/>
          </w:tcPr>
          <w:p>
            <w:pPr>
              <w:spacing w:after="0"/>
              <w:rPr>
                <w:sz w:val="11"/>
                <w:szCs w:val="11"/>
                <w:color w:val="auto"/>
              </w:rPr>
            </w:pPr>
          </w:p>
        </w:tc>
        <w:tc>
          <w:tcPr>
            <w:tcW w:w="180" w:type="dxa"/>
            <w:vAlign w:val="bottom"/>
            <w:shd w:val="clear" w:color="auto" w:fill="F2F2F2"/>
          </w:tcPr>
          <w:p>
            <w:pPr>
              <w:spacing w:after="0"/>
              <w:rPr>
                <w:sz w:val="11"/>
                <w:szCs w:val="11"/>
                <w:color w:val="auto"/>
              </w:rPr>
            </w:pPr>
          </w:p>
        </w:tc>
        <w:tc>
          <w:tcPr>
            <w:tcW w:w="100" w:type="dxa"/>
            <w:vAlign w:val="bottom"/>
            <w:shd w:val="clear" w:color="auto" w:fill="F2F2F2"/>
          </w:tcPr>
          <w:p>
            <w:pPr>
              <w:spacing w:after="0"/>
              <w:rPr>
                <w:sz w:val="11"/>
                <w:szCs w:val="11"/>
                <w:color w:val="auto"/>
              </w:rPr>
            </w:pPr>
          </w:p>
        </w:tc>
        <w:tc>
          <w:tcPr>
            <w:tcW w:w="40" w:type="dxa"/>
            <w:vAlign w:val="bottom"/>
            <w:shd w:val="clear" w:color="auto" w:fill="F2F2F2"/>
          </w:tcPr>
          <w:p>
            <w:pPr>
              <w:spacing w:after="0"/>
              <w:rPr>
                <w:sz w:val="11"/>
                <w:szCs w:val="11"/>
                <w:color w:val="auto"/>
              </w:rPr>
            </w:pPr>
          </w:p>
        </w:tc>
        <w:tc>
          <w:tcPr>
            <w:tcW w:w="100" w:type="dxa"/>
            <w:vAlign w:val="bottom"/>
            <w:shd w:val="clear" w:color="auto" w:fill="F2F2F2"/>
          </w:tcPr>
          <w:p>
            <w:pPr>
              <w:spacing w:after="0"/>
              <w:rPr>
                <w:sz w:val="11"/>
                <w:szCs w:val="11"/>
                <w:color w:val="auto"/>
              </w:rPr>
            </w:pPr>
          </w:p>
        </w:tc>
        <w:tc>
          <w:tcPr>
            <w:tcW w:w="700" w:type="dxa"/>
            <w:vAlign w:val="bottom"/>
            <w:shd w:val="clear" w:color="auto" w:fill="F2F2F2"/>
          </w:tcPr>
          <w:p>
            <w:pPr>
              <w:spacing w:after="0"/>
              <w:rPr>
                <w:sz w:val="11"/>
                <w:szCs w:val="11"/>
                <w:color w:val="auto"/>
              </w:rPr>
            </w:pPr>
          </w:p>
        </w:tc>
        <w:tc>
          <w:tcPr>
            <w:tcW w:w="80" w:type="dxa"/>
            <w:vAlign w:val="bottom"/>
            <w:shd w:val="clear" w:color="auto" w:fill="F2F2F2"/>
          </w:tcPr>
          <w:p>
            <w:pPr>
              <w:spacing w:after="0"/>
              <w:rPr>
                <w:sz w:val="11"/>
                <w:szCs w:val="11"/>
                <w:color w:val="auto"/>
              </w:rPr>
            </w:pPr>
          </w:p>
        </w:tc>
        <w:tc>
          <w:tcPr>
            <w:tcW w:w="40" w:type="dxa"/>
            <w:vAlign w:val="bottom"/>
            <w:shd w:val="clear" w:color="auto" w:fill="F2F2F2"/>
          </w:tcPr>
          <w:p>
            <w:pPr>
              <w:spacing w:after="0"/>
              <w:rPr>
                <w:sz w:val="11"/>
                <w:szCs w:val="11"/>
                <w:color w:val="auto"/>
              </w:rPr>
            </w:pPr>
          </w:p>
        </w:tc>
        <w:tc>
          <w:tcPr>
            <w:tcW w:w="120" w:type="dxa"/>
            <w:vAlign w:val="bottom"/>
            <w:shd w:val="clear" w:color="auto" w:fill="F2F2F2"/>
          </w:tcPr>
          <w:p>
            <w:pPr>
              <w:spacing w:after="0"/>
              <w:rPr>
                <w:sz w:val="11"/>
                <w:szCs w:val="11"/>
                <w:color w:val="auto"/>
              </w:rPr>
            </w:pPr>
          </w:p>
        </w:tc>
        <w:tc>
          <w:tcPr>
            <w:tcW w:w="780" w:type="dxa"/>
            <w:vAlign w:val="bottom"/>
            <w:shd w:val="clear" w:color="auto" w:fill="F2F2F2"/>
          </w:tcPr>
          <w:p>
            <w:pPr>
              <w:spacing w:after="0"/>
              <w:rPr>
                <w:sz w:val="11"/>
                <w:szCs w:val="11"/>
                <w:color w:val="auto"/>
              </w:rPr>
            </w:pPr>
          </w:p>
        </w:tc>
        <w:tc>
          <w:tcPr>
            <w:tcW w:w="80" w:type="dxa"/>
            <w:vAlign w:val="bottom"/>
            <w:shd w:val="clear" w:color="auto" w:fill="F2F2F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0" w:type="dxa"/>
            <w:vAlign w:val="bottom"/>
            <w:shd w:val="clear" w:color="auto" w:fill="F2F2F2"/>
          </w:tcPr>
          <w:p>
            <w:pPr>
              <w:spacing w:after="0"/>
              <w:rPr>
                <w:sz w:val="11"/>
                <w:szCs w:val="11"/>
                <w:color w:val="auto"/>
              </w:rPr>
            </w:pPr>
          </w:p>
        </w:tc>
        <w:tc>
          <w:tcPr>
            <w:tcW w:w="180" w:type="dxa"/>
            <w:vAlign w:val="bottom"/>
            <w:shd w:val="clear" w:color="auto" w:fill="F2F2F2"/>
          </w:tcPr>
          <w:p>
            <w:pPr>
              <w:spacing w:after="0"/>
              <w:rPr>
                <w:sz w:val="11"/>
                <w:szCs w:val="11"/>
                <w:color w:val="auto"/>
              </w:rPr>
            </w:pPr>
          </w:p>
        </w:tc>
        <w:tc>
          <w:tcPr>
            <w:tcW w:w="160" w:type="dxa"/>
            <w:vAlign w:val="bottom"/>
            <w:tcBorders>
              <w:right w:val="single" w:sz="8" w:color="F2F2F2"/>
            </w:tcBorders>
            <w:shd w:val="clear" w:color="auto" w:fill="F2F2F2"/>
          </w:tcPr>
          <w:p>
            <w:pPr>
              <w:spacing w:after="0"/>
              <w:rPr>
                <w:sz w:val="11"/>
                <w:szCs w:val="11"/>
                <w:color w:val="auto"/>
              </w:rPr>
            </w:pPr>
          </w:p>
        </w:tc>
        <w:tc>
          <w:tcPr>
            <w:tcW w:w="820" w:type="dxa"/>
            <w:vAlign w:val="bottom"/>
            <w:shd w:val="clear" w:color="auto" w:fill="F2F2F2"/>
          </w:tcPr>
          <w:p>
            <w:pPr>
              <w:spacing w:after="0"/>
              <w:rPr>
                <w:sz w:val="11"/>
                <w:szCs w:val="11"/>
                <w:color w:val="auto"/>
              </w:rPr>
            </w:pPr>
          </w:p>
        </w:tc>
        <w:tc>
          <w:tcPr>
            <w:tcW w:w="160" w:type="dxa"/>
            <w:vAlign w:val="bottom"/>
            <w:tcBorders>
              <w:right w:val="single" w:sz="8" w:color="F2F2F2"/>
            </w:tcBorders>
            <w:shd w:val="clear" w:color="auto" w:fill="F2F2F2"/>
          </w:tcPr>
          <w:p>
            <w:pPr>
              <w:spacing w:after="0"/>
              <w:rPr>
                <w:sz w:val="11"/>
                <w:szCs w:val="11"/>
                <w:color w:val="auto"/>
              </w:rPr>
            </w:pPr>
          </w:p>
        </w:tc>
        <w:tc>
          <w:tcPr>
            <w:tcW w:w="560" w:type="dxa"/>
            <w:vAlign w:val="bottom"/>
            <w:shd w:val="clear" w:color="auto" w:fill="F2F2F2"/>
          </w:tcPr>
          <w:p>
            <w:pPr>
              <w:spacing w:after="0"/>
              <w:rPr>
                <w:sz w:val="11"/>
                <w:szCs w:val="11"/>
                <w:color w:val="auto"/>
              </w:rPr>
            </w:pPr>
          </w:p>
        </w:tc>
        <w:tc>
          <w:tcPr>
            <w:tcW w:w="140" w:type="dxa"/>
            <w:vAlign w:val="bottom"/>
            <w:shd w:val="clear" w:color="auto" w:fill="F2F2F2"/>
          </w:tcPr>
          <w:p>
            <w:pPr>
              <w:spacing w:after="0"/>
              <w:rPr>
                <w:sz w:val="11"/>
                <w:szCs w:val="11"/>
                <w:color w:val="auto"/>
              </w:rPr>
            </w:pPr>
          </w:p>
        </w:tc>
        <w:tc>
          <w:tcPr>
            <w:tcW w:w="320" w:type="dxa"/>
            <w:vAlign w:val="bottom"/>
            <w:shd w:val="clear" w:color="auto" w:fill="F2F2F2"/>
          </w:tcPr>
          <w:p>
            <w:pPr>
              <w:spacing w:after="0"/>
              <w:rPr>
                <w:sz w:val="11"/>
                <w:szCs w:val="11"/>
                <w:color w:val="auto"/>
              </w:rPr>
            </w:pPr>
          </w:p>
        </w:tc>
        <w:tc>
          <w:tcPr>
            <w:tcW w:w="120" w:type="dxa"/>
            <w:vAlign w:val="bottom"/>
            <w:shd w:val="clear" w:color="auto" w:fill="F2F2F2"/>
          </w:tcPr>
          <w:p>
            <w:pPr>
              <w:spacing w:after="0"/>
              <w:rPr>
                <w:sz w:val="11"/>
                <w:szCs w:val="11"/>
                <w:color w:val="auto"/>
              </w:rPr>
            </w:pPr>
          </w:p>
        </w:tc>
        <w:tc>
          <w:tcPr>
            <w:tcW w:w="320" w:type="dxa"/>
            <w:vAlign w:val="bottom"/>
            <w:shd w:val="clear" w:color="auto" w:fill="F2F2F2"/>
          </w:tcPr>
          <w:p>
            <w:pPr>
              <w:spacing w:after="0"/>
              <w:rPr>
                <w:sz w:val="11"/>
                <w:szCs w:val="11"/>
                <w:color w:val="auto"/>
              </w:rPr>
            </w:pPr>
          </w:p>
        </w:tc>
        <w:tc>
          <w:tcPr>
            <w:tcW w:w="360" w:type="dxa"/>
            <w:vAlign w:val="bottom"/>
            <w:shd w:val="clear" w:color="auto" w:fill="F2F2F2"/>
          </w:tcPr>
          <w:p>
            <w:pPr>
              <w:spacing w:after="0"/>
              <w:rPr>
                <w:sz w:val="11"/>
                <w:szCs w:val="11"/>
                <w:color w:val="auto"/>
              </w:rPr>
            </w:pPr>
          </w:p>
        </w:tc>
        <w:tc>
          <w:tcPr>
            <w:tcW w:w="400" w:type="dxa"/>
            <w:vAlign w:val="bottom"/>
            <w:shd w:val="clear" w:color="auto" w:fill="F2F2F2"/>
          </w:tcPr>
          <w:p>
            <w:pPr>
              <w:spacing w:after="0"/>
              <w:rPr>
                <w:sz w:val="11"/>
                <w:szCs w:val="11"/>
                <w:color w:val="auto"/>
              </w:rPr>
            </w:pPr>
          </w:p>
        </w:tc>
        <w:tc>
          <w:tcPr>
            <w:tcW w:w="120" w:type="dxa"/>
            <w:vAlign w:val="bottom"/>
            <w:shd w:val="clear" w:color="auto" w:fill="F2F2F2"/>
          </w:tcPr>
          <w:p>
            <w:pPr>
              <w:spacing w:after="0"/>
              <w:rPr>
                <w:sz w:val="11"/>
                <w:szCs w:val="11"/>
                <w:color w:val="auto"/>
              </w:rPr>
            </w:pPr>
          </w:p>
        </w:tc>
        <w:tc>
          <w:tcPr>
            <w:tcW w:w="40" w:type="dxa"/>
            <w:vAlign w:val="bottom"/>
            <w:shd w:val="clear" w:color="auto" w:fill="F2F2F2"/>
          </w:tcPr>
          <w:p>
            <w:pPr>
              <w:spacing w:after="0"/>
              <w:rPr>
                <w:sz w:val="11"/>
                <w:szCs w:val="11"/>
                <w:color w:val="auto"/>
              </w:rPr>
            </w:pPr>
          </w:p>
        </w:tc>
        <w:tc>
          <w:tcPr>
            <w:tcW w:w="140" w:type="dxa"/>
            <w:vAlign w:val="bottom"/>
            <w:shd w:val="clear" w:color="auto" w:fill="F2F2F2"/>
          </w:tcPr>
          <w:p>
            <w:pPr>
              <w:spacing w:after="0"/>
              <w:rPr>
                <w:sz w:val="11"/>
                <w:szCs w:val="11"/>
                <w:color w:val="auto"/>
              </w:rPr>
            </w:pPr>
          </w:p>
        </w:tc>
        <w:tc>
          <w:tcPr>
            <w:tcW w:w="820" w:type="dxa"/>
            <w:vAlign w:val="bottom"/>
            <w:shd w:val="clear" w:color="auto" w:fill="F2F2F2"/>
          </w:tcPr>
          <w:p>
            <w:pPr>
              <w:spacing w:after="0"/>
              <w:rPr>
                <w:sz w:val="11"/>
                <w:szCs w:val="11"/>
                <w:color w:val="auto"/>
              </w:rPr>
            </w:pPr>
          </w:p>
        </w:tc>
        <w:tc>
          <w:tcPr>
            <w:tcW w:w="40" w:type="dxa"/>
            <w:vAlign w:val="bottom"/>
            <w:shd w:val="clear" w:color="auto" w:fill="F2F2F2"/>
          </w:tcPr>
          <w:p>
            <w:pPr>
              <w:spacing w:after="0"/>
              <w:rPr>
                <w:sz w:val="11"/>
                <w:szCs w:val="11"/>
                <w:color w:val="auto"/>
              </w:rPr>
            </w:pPr>
          </w:p>
        </w:tc>
        <w:tc>
          <w:tcPr>
            <w:tcW w:w="1040" w:type="dxa"/>
            <w:vAlign w:val="bottom"/>
            <w:gridSpan w:val="4"/>
            <w:shd w:val="clear" w:color="auto" w:fill="F2F2F2"/>
          </w:tcPr>
          <w:p>
            <w:pPr>
              <w:jc w:val="center"/>
              <w:ind w:right="20"/>
              <w:spacing w:after="0"/>
              <w:rPr>
                <w:sz w:val="20"/>
                <w:szCs w:val="20"/>
                <w:color w:val="auto"/>
              </w:rPr>
            </w:pPr>
            <w:r>
              <w:rPr>
                <w:rFonts w:ascii="Arial" w:cs="Arial" w:eastAsia="Arial" w:hAnsi="Arial"/>
                <w:sz w:val="11"/>
                <w:szCs w:val="11"/>
                <w:b w:val="1"/>
                <w:bCs w:val="1"/>
                <w:color w:val="auto"/>
              </w:rPr>
              <w:t>Vesting Date of</w:t>
            </w:r>
          </w:p>
        </w:tc>
        <w:tc>
          <w:tcPr>
            <w:tcW w:w="100" w:type="dxa"/>
            <w:vAlign w:val="bottom"/>
            <w:shd w:val="clear" w:color="auto" w:fill="F2F2F2"/>
          </w:tcPr>
          <w:p>
            <w:pPr>
              <w:spacing w:after="0"/>
              <w:rPr>
                <w:sz w:val="11"/>
                <w:szCs w:val="11"/>
                <w:color w:val="auto"/>
              </w:rPr>
            </w:pPr>
          </w:p>
        </w:tc>
        <w:tc>
          <w:tcPr>
            <w:tcW w:w="40" w:type="dxa"/>
            <w:vAlign w:val="bottom"/>
            <w:shd w:val="clear" w:color="auto" w:fill="F2F2F2"/>
          </w:tcPr>
          <w:p>
            <w:pPr>
              <w:spacing w:after="0"/>
              <w:rPr>
                <w:sz w:val="11"/>
                <w:szCs w:val="11"/>
                <w:color w:val="auto"/>
              </w:rPr>
            </w:pPr>
          </w:p>
        </w:tc>
        <w:tc>
          <w:tcPr>
            <w:tcW w:w="560" w:type="dxa"/>
            <w:vAlign w:val="bottom"/>
            <w:gridSpan w:val="2"/>
            <w:shd w:val="clear" w:color="auto" w:fill="F2F2F2"/>
          </w:tcPr>
          <w:p>
            <w:pPr>
              <w:jc w:val="center"/>
              <w:spacing w:after="0"/>
              <w:rPr>
                <w:sz w:val="20"/>
                <w:szCs w:val="20"/>
                <w:color w:val="auto"/>
              </w:rPr>
            </w:pPr>
            <w:r>
              <w:rPr>
                <w:rFonts w:ascii="Arial" w:cs="Arial" w:eastAsia="Arial" w:hAnsi="Arial"/>
                <w:sz w:val="11"/>
                <w:szCs w:val="11"/>
                <w:b w:val="1"/>
                <w:bCs w:val="1"/>
                <w:color w:val="auto"/>
              </w:rPr>
              <w:t>of Option</w:t>
            </w:r>
          </w:p>
        </w:tc>
        <w:tc>
          <w:tcPr>
            <w:tcW w:w="80" w:type="dxa"/>
            <w:vAlign w:val="bottom"/>
            <w:shd w:val="clear" w:color="auto" w:fill="F2F2F2"/>
          </w:tcPr>
          <w:p>
            <w:pPr>
              <w:spacing w:after="0"/>
              <w:rPr>
                <w:sz w:val="11"/>
                <w:szCs w:val="11"/>
                <w:color w:val="auto"/>
              </w:rPr>
            </w:pPr>
          </w:p>
        </w:tc>
        <w:tc>
          <w:tcPr>
            <w:tcW w:w="580" w:type="dxa"/>
            <w:vAlign w:val="bottom"/>
            <w:shd w:val="clear" w:color="auto" w:fill="F2F2F2"/>
          </w:tcPr>
          <w:p>
            <w:pPr>
              <w:spacing w:after="0"/>
              <w:rPr>
                <w:sz w:val="11"/>
                <w:szCs w:val="11"/>
                <w:color w:val="auto"/>
              </w:rPr>
            </w:pPr>
          </w:p>
        </w:tc>
        <w:tc>
          <w:tcPr>
            <w:tcW w:w="180" w:type="dxa"/>
            <w:vAlign w:val="bottom"/>
            <w:shd w:val="clear" w:color="auto" w:fill="F2F2F2"/>
          </w:tcPr>
          <w:p>
            <w:pPr>
              <w:spacing w:after="0"/>
              <w:rPr>
                <w:sz w:val="11"/>
                <w:szCs w:val="11"/>
                <w:color w:val="auto"/>
              </w:rPr>
            </w:pPr>
          </w:p>
        </w:tc>
        <w:tc>
          <w:tcPr>
            <w:tcW w:w="100" w:type="dxa"/>
            <w:vAlign w:val="bottom"/>
            <w:shd w:val="clear" w:color="auto" w:fill="F2F2F2"/>
          </w:tcPr>
          <w:p>
            <w:pPr>
              <w:spacing w:after="0"/>
              <w:rPr>
                <w:sz w:val="11"/>
                <w:szCs w:val="11"/>
                <w:color w:val="auto"/>
              </w:rPr>
            </w:pPr>
          </w:p>
        </w:tc>
        <w:tc>
          <w:tcPr>
            <w:tcW w:w="40" w:type="dxa"/>
            <w:vAlign w:val="bottom"/>
            <w:shd w:val="clear" w:color="auto" w:fill="F2F2F2"/>
          </w:tcPr>
          <w:p>
            <w:pPr>
              <w:spacing w:after="0"/>
              <w:rPr>
                <w:sz w:val="11"/>
                <w:szCs w:val="11"/>
                <w:color w:val="auto"/>
              </w:rPr>
            </w:pPr>
          </w:p>
        </w:tc>
        <w:tc>
          <w:tcPr>
            <w:tcW w:w="100" w:type="dxa"/>
            <w:vAlign w:val="bottom"/>
            <w:shd w:val="clear" w:color="auto" w:fill="F2F2F2"/>
          </w:tcPr>
          <w:p>
            <w:pPr>
              <w:spacing w:after="0"/>
              <w:rPr>
                <w:sz w:val="11"/>
                <w:szCs w:val="11"/>
                <w:color w:val="auto"/>
              </w:rPr>
            </w:pPr>
          </w:p>
        </w:tc>
        <w:tc>
          <w:tcPr>
            <w:tcW w:w="700" w:type="dxa"/>
            <w:vAlign w:val="bottom"/>
            <w:shd w:val="clear" w:color="auto" w:fill="F2F2F2"/>
          </w:tcPr>
          <w:p>
            <w:pPr>
              <w:spacing w:after="0"/>
              <w:rPr>
                <w:sz w:val="11"/>
                <w:szCs w:val="11"/>
                <w:color w:val="auto"/>
              </w:rPr>
            </w:pPr>
          </w:p>
        </w:tc>
        <w:tc>
          <w:tcPr>
            <w:tcW w:w="80" w:type="dxa"/>
            <w:vAlign w:val="bottom"/>
            <w:shd w:val="clear" w:color="auto" w:fill="F2F2F2"/>
          </w:tcPr>
          <w:p>
            <w:pPr>
              <w:spacing w:after="0"/>
              <w:rPr>
                <w:sz w:val="11"/>
                <w:szCs w:val="11"/>
                <w:color w:val="auto"/>
              </w:rPr>
            </w:pPr>
          </w:p>
        </w:tc>
        <w:tc>
          <w:tcPr>
            <w:tcW w:w="40" w:type="dxa"/>
            <w:vAlign w:val="bottom"/>
            <w:shd w:val="clear" w:color="auto" w:fill="F2F2F2"/>
          </w:tcPr>
          <w:p>
            <w:pPr>
              <w:spacing w:after="0"/>
              <w:rPr>
                <w:sz w:val="11"/>
                <w:szCs w:val="11"/>
                <w:color w:val="auto"/>
              </w:rPr>
            </w:pPr>
          </w:p>
        </w:tc>
        <w:tc>
          <w:tcPr>
            <w:tcW w:w="120" w:type="dxa"/>
            <w:vAlign w:val="bottom"/>
            <w:shd w:val="clear" w:color="auto" w:fill="F2F2F2"/>
          </w:tcPr>
          <w:p>
            <w:pPr>
              <w:spacing w:after="0"/>
              <w:rPr>
                <w:sz w:val="11"/>
                <w:szCs w:val="11"/>
                <w:color w:val="auto"/>
              </w:rPr>
            </w:pPr>
          </w:p>
        </w:tc>
        <w:tc>
          <w:tcPr>
            <w:tcW w:w="780" w:type="dxa"/>
            <w:vAlign w:val="bottom"/>
            <w:shd w:val="clear" w:color="auto" w:fill="F2F2F2"/>
          </w:tcPr>
          <w:p>
            <w:pPr>
              <w:spacing w:after="0"/>
              <w:rPr>
                <w:sz w:val="11"/>
                <w:szCs w:val="11"/>
                <w:color w:val="auto"/>
              </w:rPr>
            </w:pPr>
          </w:p>
        </w:tc>
        <w:tc>
          <w:tcPr>
            <w:tcW w:w="80" w:type="dxa"/>
            <w:vAlign w:val="bottom"/>
            <w:shd w:val="clear" w:color="auto" w:fill="F2F2F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0" w:type="dxa"/>
            <w:vAlign w:val="bottom"/>
            <w:shd w:val="clear" w:color="auto" w:fill="F2F2F2"/>
          </w:tcPr>
          <w:p>
            <w:pPr>
              <w:spacing w:after="0"/>
              <w:rPr>
                <w:sz w:val="11"/>
                <w:szCs w:val="11"/>
                <w:color w:val="auto"/>
              </w:rPr>
            </w:pPr>
          </w:p>
        </w:tc>
        <w:tc>
          <w:tcPr>
            <w:tcW w:w="180" w:type="dxa"/>
            <w:vAlign w:val="bottom"/>
            <w:shd w:val="clear" w:color="auto" w:fill="F2F2F2"/>
          </w:tcPr>
          <w:p>
            <w:pPr>
              <w:spacing w:after="0"/>
              <w:rPr>
                <w:sz w:val="11"/>
                <w:szCs w:val="11"/>
                <w:color w:val="auto"/>
              </w:rPr>
            </w:pPr>
          </w:p>
        </w:tc>
        <w:tc>
          <w:tcPr>
            <w:tcW w:w="160" w:type="dxa"/>
            <w:vAlign w:val="bottom"/>
            <w:tcBorders>
              <w:right w:val="single" w:sz="8" w:color="F2F2F2"/>
            </w:tcBorders>
            <w:shd w:val="clear" w:color="auto" w:fill="F2F2F2"/>
          </w:tcPr>
          <w:p>
            <w:pPr>
              <w:spacing w:after="0"/>
              <w:rPr>
                <w:sz w:val="11"/>
                <w:szCs w:val="11"/>
                <w:color w:val="auto"/>
              </w:rPr>
            </w:pPr>
          </w:p>
        </w:tc>
        <w:tc>
          <w:tcPr>
            <w:tcW w:w="820" w:type="dxa"/>
            <w:vAlign w:val="bottom"/>
            <w:shd w:val="clear" w:color="auto" w:fill="F2F2F2"/>
          </w:tcPr>
          <w:p>
            <w:pPr>
              <w:spacing w:after="0"/>
              <w:rPr>
                <w:sz w:val="11"/>
                <w:szCs w:val="11"/>
                <w:color w:val="auto"/>
              </w:rPr>
            </w:pPr>
          </w:p>
        </w:tc>
        <w:tc>
          <w:tcPr>
            <w:tcW w:w="160" w:type="dxa"/>
            <w:vAlign w:val="bottom"/>
            <w:tcBorders>
              <w:right w:val="single" w:sz="8" w:color="F2F2F2"/>
            </w:tcBorders>
            <w:shd w:val="clear" w:color="auto" w:fill="F2F2F2"/>
          </w:tcPr>
          <w:p>
            <w:pPr>
              <w:spacing w:after="0"/>
              <w:rPr>
                <w:sz w:val="11"/>
                <w:szCs w:val="11"/>
                <w:color w:val="auto"/>
              </w:rPr>
            </w:pPr>
          </w:p>
        </w:tc>
        <w:tc>
          <w:tcPr>
            <w:tcW w:w="560" w:type="dxa"/>
            <w:vAlign w:val="bottom"/>
            <w:shd w:val="clear" w:color="auto" w:fill="F2F2F2"/>
          </w:tcPr>
          <w:p>
            <w:pPr>
              <w:spacing w:after="0"/>
              <w:rPr>
                <w:sz w:val="11"/>
                <w:szCs w:val="11"/>
                <w:color w:val="auto"/>
              </w:rPr>
            </w:pPr>
          </w:p>
        </w:tc>
        <w:tc>
          <w:tcPr>
            <w:tcW w:w="140" w:type="dxa"/>
            <w:vAlign w:val="bottom"/>
            <w:shd w:val="clear" w:color="auto" w:fill="F2F2F2"/>
          </w:tcPr>
          <w:p>
            <w:pPr>
              <w:spacing w:after="0"/>
              <w:rPr>
                <w:sz w:val="11"/>
                <w:szCs w:val="11"/>
                <w:color w:val="auto"/>
              </w:rPr>
            </w:pPr>
          </w:p>
        </w:tc>
        <w:tc>
          <w:tcPr>
            <w:tcW w:w="320" w:type="dxa"/>
            <w:vAlign w:val="bottom"/>
            <w:shd w:val="clear" w:color="auto" w:fill="F2F2F2"/>
          </w:tcPr>
          <w:p>
            <w:pPr>
              <w:spacing w:after="0"/>
              <w:rPr>
                <w:sz w:val="11"/>
                <w:szCs w:val="11"/>
                <w:color w:val="auto"/>
              </w:rPr>
            </w:pPr>
          </w:p>
        </w:tc>
        <w:tc>
          <w:tcPr>
            <w:tcW w:w="120" w:type="dxa"/>
            <w:vAlign w:val="bottom"/>
            <w:shd w:val="clear" w:color="auto" w:fill="F2F2F2"/>
          </w:tcPr>
          <w:p>
            <w:pPr>
              <w:spacing w:after="0"/>
              <w:rPr>
                <w:sz w:val="11"/>
                <w:szCs w:val="11"/>
                <w:color w:val="auto"/>
              </w:rPr>
            </w:pPr>
          </w:p>
        </w:tc>
        <w:tc>
          <w:tcPr>
            <w:tcW w:w="320" w:type="dxa"/>
            <w:vAlign w:val="bottom"/>
            <w:shd w:val="clear" w:color="auto" w:fill="F2F2F2"/>
          </w:tcPr>
          <w:p>
            <w:pPr>
              <w:spacing w:after="0"/>
              <w:rPr>
                <w:sz w:val="11"/>
                <w:szCs w:val="11"/>
                <w:color w:val="auto"/>
              </w:rPr>
            </w:pPr>
          </w:p>
        </w:tc>
        <w:tc>
          <w:tcPr>
            <w:tcW w:w="360" w:type="dxa"/>
            <w:vAlign w:val="bottom"/>
            <w:shd w:val="clear" w:color="auto" w:fill="F2F2F2"/>
          </w:tcPr>
          <w:p>
            <w:pPr>
              <w:spacing w:after="0"/>
              <w:rPr>
                <w:sz w:val="11"/>
                <w:szCs w:val="11"/>
                <w:color w:val="auto"/>
              </w:rPr>
            </w:pPr>
          </w:p>
        </w:tc>
        <w:tc>
          <w:tcPr>
            <w:tcW w:w="400" w:type="dxa"/>
            <w:vAlign w:val="bottom"/>
            <w:shd w:val="clear" w:color="auto" w:fill="F2F2F2"/>
          </w:tcPr>
          <w:p>
            <w:pPr>
              <w:spacing w:after="0"/>
              <w:rPr>
                <w:sz w:val="11"/>
                <w:szCs w:val="11"/>
                <w:color w:val="auto"/>
              </w:rPr>
            </w:pPr>
          </w:p>
        </w:tc>
        <w:tc>
          <w:tcPr>
            <w:tcW w:w="120" w:type="dxa"/>
            <w:vAlign w:val="bottom"/>
            <w:shd w:val="clear" w:color="auto" w:fill="F2F2F2"/>
          </w:tcPr>
          <w:p>
            <w:pPr>
              <w:spacing w:after="0"/>
              <w:rPr>
                <w:sz w:val="11"/>
                <w:szCs w:val="11"/>
                <w:color w:val="auto"/>
              </w:rPr>
            </w:pPr>
          </w:p>
        </w:tc>
        <w:tc>
          <w:tcPr>
            <w:tcW w:w="40" w:type="dxa"/>
            <w:vAlign w:val="bottom"/>
            <w:shd w:val="clear" w:color="auto" w:fill="F2F2F2"/>
          </w:tcPr>
          <w:p>
            <w:pPr>
              <w:spacing w:after="0"/>
              <w:rPr>
                <w:sz w:val="11"/>
                <w:szCs w:val="11"/>
                <w:color w:val="auto"/>
              </w:rPr>
            </w:pPr>
          </w:p>
        </w:tc>
        <w:tc>
          <w:tcPr>
            <w:tcW w:w="140" w:type="dxa"/>
            <w:vAlign w:val="bottom"/>
            <w:shd w:val="clear" w:color="auto" w:fill="F2F2F2"/>
          </w:tcPr>
          <w:p>
            <w:pPr>
              <w:spacing w:after="0"/>
              <w:rPr>
                <w:sz w:val="11"/>
                <w:szCs w:val="11"/>
                <w:color w:val="auto"/>
              </w:rPr>
            </w:pPr>
          </w:p>
        </w:tc>
        <w:tc>
          <w:tcPr>
            <w:tcW w:w="820" w:type="dxa"/>
            <w:vAlign w:val="bottom"/>
            <w:shd w:val="clear" w:color="auto" w:fill="F2F2F2"/>
          </w:tcPr>
          <w:p>
            <w:pPr>
              <w:spacing w:after="0"/>
              <w:rPr>
                <w:sz w:val="11"/>
                <w:szCs w:val="11"/>
                <w:color w:val="auto"/>
              </w:rPr>
            </w:pPr>
          </w:p>
        </w:tc>
        <w:tc>
          <w:tcPr>
            <w:tcW w:w="40" w:type="dxa"/>
            <w:vAlign w:val="bottom"/>
            <w:shd w:val="clear" w:color="auto" w:fill="F2F2F2"/>
          </w:tcPr>
          <w:p>
            <w:pPr>
              <w:spacing w:after="0"/>
              <w:rPr>
                <w:sz w:val="11"/>
                <w:szCs w:val="11"/>
                <w:color w:val="auto"/>
              </w:rPr>
            </w:pPr>
          </w:p>
        </w:tc>
        <w:tc>
          <w:tcPr>
            <w:tcW w:w="120" w:type="dxa"/>
            <w:vAlign w:val="bottom"/>
            <w:shd w:val="clear" w:color="auto" w:fill="F2F2F2"/>
          </w:tcPr>
          <w:p>
            <w:pPr>
              <w:spacing w:after="0"/>
              <w:rPr>
                <w:sz w:val="11"/>
                <w:szCs w:val="11"/>
                <w:color w:val="auto"/>
              </w:rPr>
            </w:pPr>
          </w:p>
        </w:tc>
        <w:tc>
          <w:tcPr>
            <w:tcW w:w="40" w:type="dxa"/>
            <w:vAlign w:val="bottom"/>
            <w:shd w:val="clear" w:color="auto" w:fill="F2F2F2"/>
          </w:tcPr>
          <w:p>
            <w:pPr>
              <w:spacing w:after="0"/>
              <w:rPr>
                <w:sz w:val="11"/>
                <w:szCs w:val="11"/>
                <w:color w:val="auto"/>
              </w:rPr>
            </w:pPr>
          </w:p>
        </w:tc>
        <w:tc>
          <w:tcPr>
            <w:tcW w:w="880" w:type="dxa"/>
            <w:vAlign w:val="bottom"/>
            <w:gridSpan w:val="2"/>
            <w:shd w:val="clear" w:color="auto" w:fill="F2F2F2"/>
          </w:tcPr>
          <w:p>
            <w:pPr>
              <w:jc w:val="center"/>
              <w:ind w:right="140"/>
              <w:spacing w:after="0"/>
              <w:rPr>
                <w:sz w:val="20"/>
                <w:szCs w:val="20"/>
                <w:color w:val="auto"/>
              </w:rPr>
            </w:pPr>
            <w:r>
              <w:rPr>
                <w:rFonts w:ascii="Arial" w:cs="Arial" w:eastAsia="Arial" w:hAnsi="Arial"/>
                <w:sz w:val="11"/>
                <w:szCs w:val="11"/>
                <w:b w:val="1"/>
                <w:bCs w:val="1"/>
                <w:color w:val="auto"/>
              </w:rPr>
              <w:t>Option</w:t>
            </w:r>
          </w:p>
        </w:tc>
        <w:tc>
          <w:tcPr>
            <w:tcW w:w="100" w:type="dxa"/>
            <w:vAlign w:val="bottom"/>
            <w:shd w:val="clear" w:color="auto" w:fill="F2F2F2"/>
          </w:tcPr>
          <w:p>
            <w:pPr>
              <w:spacing w:after="0"/>
              <w:rPr>
                <w:sz w:val="11"/>
                <w:szCs w:val="11"/>
                <w:color w:val="auto"/>
              </w:rPr>
            </w:pPr>
          </w:p>
        </w:tc>
        <w:tc>
          <w:tcPr>
            <w:tcW w:w="40" w:type="dxa"/>
            <w:vAlign w:val="bottom"/>
            <w:shd w:val="clear" w:color="auto" w:fill="F2F2F2"/>
          </w:tcPr>
          <w:p>
            <w:pPr>
              <w:spacing w:after="0"/>
              <w:rPr>
                <w:sz w:val="11"/>
                <w:szCs w:val="11"/>
                <w:color w:val="auto"/>
              </w:rPr>
            </w:pPr>
          </w:p>
        </w:tc>
        <w:tc>
          <w:tcPr>
            <w:tcW w:w="560" w:type="dxa"/>
            <w:vAlign w:val="bottom"/>
            <w:gridSpan w:val="2"/>
            <w:shd w:val="clear" w:color="auto" w:fill="F2F2F2"/>
          </w:tcPr>
          <w:p>
            <w:pPr>
              <w:jc w:val="center"/>
              <w:spacing w:after="0"/>
              <w:rPr>
                <w:sz w:val="20"/>
                <w:szCs w:val="20"/>
                <w:color w:val="auto"/>
              </w:rPr>
            </w:pPr>
            <w:r>
              <w:rPr>
                <w:rFonts w:ascii="Arial" w:cs="Arial" w:eastAsia="Arial" w:hAnsi="Arial"/>
                <w:sz w:val="11"/>
                <w:szCs w:val="11"/>
                <w:b w:val="1"/>
                <w:bCs w:val="1"/>
                <w:color w:val="auto"/>
                <w:w w:val="98"/>
              </w:rPr>
              <w:t>and Stock</w:t>
            </w:r>
          </w:p>
        </w:tc>
        <w:tc>
          <w:tcPr>
            <w:tcW w:w="80" w:type="dxa"/>
            <w:vAlign w:val="bottom"/>
            <w:shd w:val="clear" w:color="auto" w:fill="F2F2F2"/>
          </w:tcPr>
          <w:p>
            <w:pPr>
              <w:spacing w:after="0"/>
              <w:rPr>
                <w:sz w:val="11"/>
                <w:szCs w:val="11"/>
                <w:color w:val="auto"/>
              </w:rPr>
            </w:pPr>
          </w:p>
        </w:tc>
        <w:tc>
          <w:tcPr>
            <w:tcW w:w="580" w:type="dxa"/>
            <w:vAlign w:val="bottom"/>
            <w:shd w:val="clear" w:color="auto" w:fill="F2F2F2"/>
          </w:tcPr>
          <w:p>
            <w:pPr>
              <w:spacing w:after="0"/>
              <w:rPr>
                <w:sz w:val="11"/>
                <w:szCs w:val="11"/>
                <w:color w:val="auto"/>
              </w:rPr>
            </w:pPr>
          </w:p>
        </w:tc>
        <w:tc>
          <w:tcPr>
            <w:tcW w:w="180" w:type="dxa"/>
            <w:vAlign w:val="bottom"/>
            <w:shd w:val="clear" w:color="auto" w:fill="F2F2F2"/>
          </w:tcPr>
          <w:p>
            <w:pPr>
              <w:spacing w:after="0"/>
              <w:rPr>
                <w:sz w:val="11"/>
                <w:szCs w:val="11"/>
                <w:color w:val="auto"/>
              </w:rPr>
            </w:pPr>
          </w:p>
        </w:tc>
        <w:tc>
          <w:tcPr>
            <w:tcW w:w="100" w:type="dxa"/>
            <w:vAlign w:val="bottom"/>
            <w:shd w:val="clear" w:color="auto" w:fill="F2F2F2"/>
          </w:tcPr>
          <w:p>
            <w:pPr>
              <w:spacing w:after="0"/>
              <w:rPr>
                <w:sz w:val="11"/>
                <w:szCs w:val="11"/>
                <w:color w:val="auto"/>
              </w:rPr>
            </w:pPr>
          </w:p>
        </w:tc>
        <w:tc>
          <w:tcPr>
            <w:tcW w:w="40" w:type="dxa"/>
            <w:vAlign w:val="bottom"/>
            <w:shd w:val="clear" w:color="auto" w:fill="F2F2F2"/>
          </w:tcPr>
          <w:p>
            <w:pPr>
              <w:spacing w:after="0"/>
              <w:rPr>
                <w:sz w:val="11"/>
                <w:szCs w:val="11"/>
                <w:color w:val="auto"/>
              </w:rPr>
            </w:pPr>
          </w:p>
        </w:tc>
        <w:tc>
          <w:tcPr>
            <w:tcW w:w="100" w:type="dxa"/>
            <w:vAlign w:val="bottom"/>
            <w:shd w:val="clear" w:color="auto" w:fill="F2F2F2"/>
          </w:tcPr>
          <w:p>
            <w:pPr>
              <w:spacing w:after="0"/>
              <w:rPr>
                <w:sz w:val="11"/>
                <w:szCs w:val="11"/>
                <w:color w:val="auto"/>
              </w:rPr>
            </w:pPr>
          </w:p>
        </w:tc>
        <w:tc>
          <w:tcPr>
            <w:tcW w:w="700" w:type="dxa"/>
            <w:vAlign w:val="bottom"/>
            <w:shd w:val="clear" w:color="auto" w:fill="F2F2F2"/>
          </w:tcPr>
          <w:p>
            <w:pPr>
              <w:spacing w:after="0"/>
              <w:rPr>
                <w:sz w:val="11"/>
                <w:szCs w:val="11"/>
                <w:color w:val="auto"/>
              </w:rPr>
            </w:pPr>
          </w:p>
        </w:tc>
        <w:tc>
          <w:tcPr>
            <w:tcW w:w="80" w:type="dxa"/>
            <w:vAlign w:val="bottom"/>
            <w:shd w:val="clear" w:color="auto" w:fill="F2F2F2"/>
          </w:tcPr>
          <w:p>
            <w:pPr>
              <w:spacing w:after="0"/>
              <w:rPr>
                <w:sz w:val="11"/>
                <w:szCs w:val="11"/>
                <w:color w:val="auto"/>
              </w:rPr>
            </w:pPr>
          </w:p>
        </w:tc>
        <w:tc>
          <w:tcPr>
            <w:tcW w:w="40" w:type="dxa"/>
            <w:vAlign w:val="bottom"/>
            <w:shd w:val="clear" w:color="auto" w:fill="F2F2F2"/>
          </w:tcPr>
          <w:p>
            <w:pPr>
              <w:spacing w:after="0"/>
              <w:rPr>
                <w:sz w:val="11"/>
                <w:szCs w:val="11"/>
                <w:color w:val="auto"/>
              </w:rPr>
            </w:pPr>
          </w:p>
        </w:tc>
        <w:tc>
          <w:tcPr>
            <w:tcW w:w="120" w:type="dxa"/>
            <w:vAlign w:val="bottom"/>
            <w:shd w:val="clear" w:color="auto" w:fill="F2F2F2"/>
          </w:tcPr>
          <w:p>
            <w:pPr>
              <w:spacing w:after="0"/>
              <w:rPr>
                <w:sz w:val="11"/>
                <w:szCs w:val="11"/>
                <w:color w:val="auto"/>
              </w:rPr>
            </w:pPr>
          </w:p>
        </w:tc>
        <w:tc>
          <w:tcPr>
            <w:tcW w:w="780" w:type="dxa"/>
            <w:vAlign w:val="bottom"/>
            <w:shd w:val="clear" w:color="auto" w:fill="F2F2F2"/>
          </w:tcPr>
          <w:p>
            <w:pPr>
              <w:spacing w:after="0"/>
              <w:rPr>
                <w:sz w:val="11"/>
                <w:szCs w:val="11"/>
                <w:color w:val="auto"/>
              </w:rPr>
            </w:pPr>
          </w:p>
        </w:tc>
        <w:tc>
          <w:tcPr>
            <w:tcW w:w="80" w:type="dxa"/>
            <w:vAlign w:val="bottom"/>
            <w:shd w:val="clear" w:color="auto" w:fill="F2F2F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0" w:type="dxa"/>
            <w:vAlign w:val="bottom"/>
            <w:shd w:val="clear" w:color="auto" w:fill="F2F2F2"/>
          </w:tcPr>
          <w:p>
            <w:pPr>
              <w:spacing w:after="0"/>
              <w:rPr>
                <w:sz w:val="11"/>
                <w:szCs w:val="11"/>
                <w:color w:val="auto"/>
              </w:rPr>
            </w:pPr>
          </w:p>
        </w:tc>
        <w:tc>
          <w:tcPr>
            <w:tcW w:w="180" w:type="dxa"/>
            <w:vAlign w:val="bottom"/>
            <w:shd w:val="clear" w:color="auto" w:fill="F2F2F2"/>
          </w:tcPr>
          <w:p>
            <w:pPr>
              <w:spacing w:after="0"/>
              <w:rPr>
                <w:sz w:val="11"/>
                <w:szCs w:val="11"/>
                <w:color w:val="auto"/>
              </w:rPr>
            </w:pPr>
          </w:p>
        </w:tc>
        <w:tc>
          <w:tcPr>
            <w:tcW w:w="160" w:type="dxa"/>
            <w:vAlign w:val="bottom"/>
            <w:tcBorders>
              <w:right w:val="single" w:sz="8" w:color="F2F2F2"/>
            </w:tcBorders>
            <w:shd w:val="clear" w:color="auto" w:fill="F2F2F2"/>
          </w:tcPr>
          <w:p>
            <w:pPr>
              <w:spacing w:after="0"/>
              <w:rPr>
                <w:sz w:val="11"/>
                <w:szCs w:val="11"/>
                <w:color w:val="auto"/>
              </w:rPr>
            </w:pPr>
          </w:p>
        </w:tc>
        <w:tc>
          <w:tcPr>
            <w:tcW w:w="820" w:type="dxa"/>
            <w:vAlign w:val="bottom"/>
            <w:shd w:val="clear" w:color="auto" w:fill="F2F2F2"/>
          </w:tcPr>
          <w:p>
            <w:pPr>
              <w:spacing w:after="0"/>
              <w:rPr>
                <w:sz w:val="11"/>
                <w:szCs w:val="11"/>
                <w:color w:val="auto"/>
              </w:rPr>
            </w:pPr>
          </w:p>
        </w:tc>
        <w:tc>
          <w:tcPr>
            <w:tcW w:w="160" w:type="dxa"/>
            <w:vAlign w:val="bottom"/>
            <w:tcBorders>
              <w:right w:val="single" w:sz="8" w:color="F2F2F2"/>
            </w:tcBorders>
            <w:shd w:val="clear" w:color="auto" w:fill="F2F2F2"/>
          </w:tcPr>
          <w:p>
            <w:pPr>
              <w:spacing w:after="0"/>
              <w:rPr>
                <w:sz w:val="11"/>
                <w:szCs w:val="11"/>
                <w:color w:val="auto"/>
              </w:rPr>
            </w:pPr>
          </w:p>
        </w:tc>
        <w:tc>
          <w:tcPr>
            <w:tcW w:w="560" w:type="dxa"/>
            <w:vAlign w:val="bottom"/>
            <w:shd w:val="clear" w:color="auto" w:fill="F2F2F2"/>
          </w:tcPr>
          <w:p>
            <w:pPr>
              <w:spacing w:after="0"/>
              <w:rPr>
                <w:sz w:val="11"/>
                <w:szCs w:val="11"/>
                <w:color w:val="auto"/>
              </w:rPr>
            </w:pPr>
          </w:p>
        </w:tc>
        <w:tc>
          <w:tcPr>
            <w:tcW w:w="140" w:type="dxa"/>
            <w:vAlign w:val="bottom"/>
            <w:shd w:val="clear" w:color="auto" w:fill="F2F2F2"/>
          </w:tcPr>
          <w:p>
            <w:pPr>
              <w:spacing w:after="0"/>
              <w:rPr>
                <w:sz w:val="11"/>
                <w:szCs w:val="11"/>
                <w:color w:val="auto"/>
              </w:rPr>
            </w:pPr>
          </w:p>
        </w:tc>
        <w:tc>
          <w:tcPr>
            <w:tcW w:w="320" w:type="dxa"/>
            <w:vAlign w:val="bottom"/>
            <w:shd w:val="clear" w:color="auto" w:fill="F2F2F2"/>
          </w:tcPr>
          <w:p>
            <w:pPr>
              <w:spacing w:after="0"/>
              <w:rPr>
                <w:sz w:val="11"/>
                <w:szCs w:val="11"/>
                <w:color w:val="auto"/>
              </w:rPr>
            </w:pPr>
          </w:p>
        </w:tc>
        <w:tc>
          <w:tcPr>
            <w:tcW w:w="120" w:type="dxa"/>
            <w:vAlign w:val="bottom"/>
            <w:shd w:val="clear" w:color="auto" w:fill="F2F2F2"/>
          </w:tcPr>
          <w:p>
            <w:pPr>
              <w:spacing w:after="0"/>
              <w:rPr>
                <w:sz w:val="11"/>
                <w:szCs w:val="11"/>
                <w:color w:val="auto"/>
              </w:rPr>
            </w:pPr>
          </w:p>
        </w:tc>
        <w:tc>
          <w:tcPr>
            <w:tcW w:w="320" w:type="dxa"/>
            <w:vAlign w:val="bottom"/>
            <w:shd w:val="clear" w:color="auto" w:fill="F2F2F2"/>
          </w:tcPr>
          <w:p>
            <w:pPr>
              <w:spacing w:after="0"/>
              <w:rPr>
                <w:sz w:val="11"/>
                <w:szCs w:val="11"/>
                <w:color w:val="auto"/>
              </w:rPr>
            </w:pPr>
          </w:p>
        </w:tc>
        <w:tc>
          <w:tcPr>
            <w:tcW w:w="920" w:type="dxa"/>
            <w:vAlign w:val="bottom"/>
            <w:gridSpan w:val="4"/>
            <w:shd w:val="clear" w:color="auto" w:fill="F2F2F2"/>
          </w:tcPr>
          <w:p>
            <w:pPr>
              <w:jc w:val="center"/>
              <w:ind w:left="24"/>
              <w:spacing w:after="0"/>
              <w:rPr>
                <w:sz w:val="20"/>
                <w:szCs w:val="20"/>
                <w:color w:val="auto"/>
              </w:rPr>
            </w:pPr>
            <w:r>
              <w:rPr>
                <w:rFonts w:ascii="Arial" w:cs="Arial" w:eastAsia="Arial" w:hAnsi="Arial"/>
                <w:sz w:val="11"/>
                <w:szCs w:val="11"/>
                <w:b w:val="1"/>
                <w:bCs w:val="1"/>
                <w:color w:val="auto"/>
              </w:rPr>
              <w:t>Plus/(Minus)</w:t>
            </w:r>
          </w:p>
        </w:tc>
        <w:tc>
          <w:tcPr>
            <w:tcW w:w="140" w:type="dxa"/>
            <w:vAlign w:val="bottom"/>
            <w:shd w:val="clear" w:color="auto" w:fill="F2F2F2"/>
          </w:tcPr>
          <w:p>
            <w:pPr>
              <w:spacing w:after="0"/>
              <w:rPr>
                <w:sz w:val="11"/>
                <w:szCs w:val="11"/>
                <w:color w:val="auto"/>
              </w:rPr>
            </w:pPr>
          </w:p>
        </w:tc>
        <w:tc>
          <w:tcPr>
            <w:tcW w:w="820" w:type="dxa"/>
            <w:vAlign w:val="bottom"/>
            <w:shd w:val="clear" w:color="auto" w:fill="F2F2F2"/>
          </w:tcPr>
          <w:p>
            <w:pPr>
              <w:spacing w:after="0"/>
              <w:rPr>
                <w:sz w:val="11"/>
                <w:szCs w:val="11"/>
                <w:color w:val="auto"/>
              </w:rPr>
            </w:pPr>
          </w:p>
        </w:tc>
        <w:tc>
          <w:tcPr>
            <w:tcW w:w="40" w:type="dxa"/>
            <w:vAlign w:val="bottom"/>
            <w:shd w:val="clear" w:color="auto" w:fill="F2F2F2"/>
          </w:tcPr>
          <w:p>
            <w:pPr>
              <w:spacing w:after="0"/>
              <w:rPr>
                <w:sz w:val="11"/>
                <w:szCs w:val="11"/>
                <w:color w:val="auto"/>
              </w:rPr>
            </w:pPr>
          </w:p>
        </w:tc>
        <w:tc>
          <w:tcPr>
            <w:tcW w:w="120" w:type="dxa"/>
            <w:vAlign w:val="bottom"/>
            <w:shd w:val="clear" w:color="auto" w:fill="F2F2F2"/>
          </w:tcPr>
          <w:p>
            <w:pPr>
              <w:spacing w:after="0"/>
              <w:rPr>
                <w:sz w:val="11"/>
                <w:szCs w:val="11"/>
                <w:color w:val="auto"/>
              </w:rPr>
            </w:pPr>
          </w:p>
        </w:tc>
        <w:tc>
          <w:tcPr>
            <w:tcW w:w="40" w:type="dxa"/>
            <w:vAlign w:val="bottom"/>
            <w:shd w:val="clear" w:color="auto" w:fill="F2F2F2"/>
          </w:tcPr>
          <w:p>
            <w:pPr>
              <w:spacing w:after="0"/>
              <w:rPr>
                <w:sz w:val="11"/>
                <w:szCs w:val="11"/>
                <w:color w:val="auto"/>
              </w:rPr>
            </w:pPr>
          </w:p>
        </w:tc>
        <w:tc>
          <w:tcPr>
            <w:tcW w:w="880" w:type="dxa"/>
            <w:vAlign w:val="bottom"/>
            <w:gridSpan w:val="2"/>
            <w:shd w:val="clear" w:color="auto" w:fill="F2F2F2"/>
          </w:tcPr>
          <w:p>
            <w:pPr>
              <w:jc w:val="center"/>
              <w:ind w:right="180"/>
              <w:spacing w:after="0"/>
              <w:rPr>
                <w:sz w:val="20"/>
                <w:szCs w:val="20"/>
                <w:color w:val="auto"/>
              </w:rPr>
            </w:pPr>
            <w:r>
              <w:rPr>
                <w:rFonts w:ascii="Arial" w:cs="Arial" w:eastAsia="Arial" w:hAnsi="Arial"/>
                <w:sz w:val="11"/>
                <w:szCs w:val="11"/>
                <w:b w:val="1"/>
                <w:bCs w:val="1"/>
                <w:color w:val="auto"/>
              </w:rPr>
              <w:t>and Stock</w:t>
            </w:r>
          </w:p>
        </w:tc>
        <w:tc>
          <w:tcPr>
            <w:tcW w:w="100" w:type="dxa"/>
            <w:vAlign w:val="bottom"/>
            <w:shd w:val="clear" w:color="auto" w:fill="F2F2F2"/>
          </w:tcPr>
          <w:p>
            <w:pPr>
              <w:spacing w:after="0"/>
              <w:rPr>
                <w:sz w:val="11"/>
                <w:szCs w:val="11"/>
                <w:color w:val="auto"/>
              </w:rPr>
            </w:pPr>
          </w:p>
        </w:tc>
        <w:tc>
          <w:tcPr>
            <w:tcW w:w="40" w:type="dxa"/>
            <w:vAlign w:val="bottom"/>
            <w:shd w:val="clear" w:color="auto" w:fill="F2F2F2"/>
          </w:tcPr>
          <w:p>
            <w:pPr>
              <w:spacing w:after="0"/>
              <w:rPr>
                <w:sz w:val="11"/>
                <w:szCs w:val="11"/>
                <w:color w:val="auto"/>
              </w:rPr>
            </w:pPr>
          </w:p>
        </w:tc>
        <w:tc>
          <w:tcPr>
            <w:tcW w:w="560" w:type="dxa"/>
            <w:vAlign w:val="bottom"/>
            <w:gridSpan w:val="2"/>
            <w:shd w:val="clear" w:color="auto" w:fill="F2F2F2"/>
          </w:tcPr>
          <w:p>
            <w:pPr>
              <w:jc w:val="center"/>
              <w:spacing w:after="0"/>
              <w:rPr>
                <w:sz w:val="20"/>
                <w:szCs w:val="20"/>
                <w:color w:val="auto"/>
              </w:rPr>
            </w:pPr>
            <w:r>
              <w:rPr>
                <w:rFonts w:ascii="Arial" w:cs="Arial" w:eastAsia="Arial" w:hAnsi="Arial"/>
                <w:sz w:val="11"/>
                <w:szCs w:val="11"/>
                <w:b w:val="1"/>
                <w:bCs w:val="1"/>
                <w:color w:val="auto"/>
              </w:rPr>
              <w:t>Awards</w:t>
            </w:r>
          </w:p>
        </w:tc>
        <w:tc>
          <w:tcPr>
            <w:tcW w:w="80" w:type="dxa"/>
            <w:vAlign w:val="bottom"/>
            <w:shd w:val="clear" w:color="auto" w:fill="F2F2F2"/>
          </w:tcPr>
          <w:p>
            <w:pPr>
              <w:spacing w:after="0"/>
              <w:rPr>
                <w:sz w:val="11"/>
                <w:szCs w:val="11"/>
                <w:color w:val="auto"/>
              </w:rPr>
            </w:pPr>
          </w:p>
        </w:tc>
        <w:tc>
          <w:tcPr>
            <w:tcW w:w="580" w:type="dxa"/>
            <w:vAlign w:val="bottom"/>
            <w:shd w:val="clear" w:color="auto" w:fill="F2F2F2"/>
          </w:tcPr>
          <w:p>
            <w:pPr>
              <w:spacing w:after="0"/>
              <w:rPr>
                <w:sz w:val="11"/>
                <w:szCs w:val="11"/>
                <w:color w:val="auto"/>
              </w:rPr>
            </w:pPr>
          </w:p>
        </w:tc>
        <w:tc>
          <w:tcPr>
            <w:tcW w:w="180" w:type="dxa"/>
            <w:vAlign w:val="bottom"/>
            <w:shd w:val="clear" w:color="auto" w:fill="F2F2F2"/>
          </w:tcPr>
          <w:p>
            <w:pPr>
              <w:spacing w:after="0"/>
              <w:rPr>
                <w:sz w:val="11"/>
                <w:szCs w:val="11"/>
                <w:color w:val="auto"/>
              </w:rPr>
            </w:pPr>
          </w:p>
        </w:tc>
        <w:tc>
          <w:tcPr>
            <w:tcW w:w="100" w:type="dxa"/>
            <w:vAlign w:val="bottom"/>
            <w:shd w:val="clear" w:color="auto" w:fill="F2F2F2"/>
          </w:tcPr>
          <w:p>
            <w:pPr>
              <w:spacing w:after="0"/>
              <w:rPr>
                <w:sz w:val="11"/>
                <w:szCs w:val="11"/>
                <w:color w:val="auto"/>
              </w:rPr>
            </w:pPr>
          </w:p>
        </w:tc>
        <w:tc>
          <w:tcPr>
            <w:tcW w:w="40" w:type="dxa"/>
            <w:vAlign w:val="bottom"/>
            <w:shd w:val="clear" w:color="auto" w:fill="F2F2F2"/>
          </w:tcPr>
          <w:p>
            <w:pPr>
              <w:spacing w:after="0"/>
              <w:rPr>
                <w:sz w:val="11"/>
                <w:szCs w:val="11"/>
                <w:color w:val="auto"/>
              </w:rPr>
            </w:pPr>
          </w:p>
        </w:tc>
        <w:tc>
          <w:tcPr>
            <w:tcW w:w="100" w:type="dxa"/>
            <w:vAlign w:val="bottom"/>
            <w:shd w:val="clear" w:color="auto" w:fill="F2F2F2"/>
          </w:tcPr>
          <w:p>
            <w:pPr>
              <w:spacing w:after="0"/>
              <w:rPr>
                <w:sz w:val="11"/>
                <w:szCs w:val="11"/>
                <w:color w:val="auto"/>
              </w:rPr>
            </w:pPr>
          </w:p>
        </w:tc>
        <w:tc>
          <w:tcPr>
            <w:tcW w:w="700" w:type="dxa"/>
            <w:vAlign w:val="bottom"/>
            <w:shd w:val="clear" w:color="auto" w:fill="F2F2F2"/>
          </w:tcPr>
          <w:p>
            <w:pPr>
              <w:spacing w:after="0"/>
              <w:rPr>
                <w:sz w:val="11"/>
                <w:szCs w:val="11"/>
                <w:color w:val="auto"/>
              </w:rPr>
            </w:pPr>
          </w:p>
        </w:tc>
        <w:tc>
          <w:tcPr>
            <w:tcW w:w="80" w:type="dxa"/>
            <w:vAlign w:val="bottom"/>
            <w:shd w:val="clear" w:color="auto" w:fill="F2F2F2"/>
          </w:tcPr>
          <w:p>
            <w:pPr>
              <w:spacing w:after="0"/>
              <w:rPr>
                <w:sz w:val="11"/>
                <w:szCs w:val="11"/>
                <w:color w:val="auto"/>
              </w:rPr>
            </w:pPr>
          </w:p>
        </w:tc>
        <w:tc>
          <w:tcPr>
            <w:tcW w:w="40" w:type="dxa"/>
            <w:vAlign w:val="bottom"/>
            <w:shd w:val="clear" w:color="auto" w:fill="F2F2F2"/>
          </w:tcPr>
          <w:p>
            <w:pPr>
              <w:spacing w:after="0"/>
              <w:rPr>
                <w:sz w:val="11"/>
                <w:szCs w:val="11"/>
                <w:color w:val="auto"/>
              </w:rPr>
            </w:pPr>
          </w:p>
        </w:tc>
        <w:tc>
          <w:tcPr>
            <w:tcW w:w="120" w:type="dxa"/>
            <w:vAlign w:val="bottom"/>
            <w:shd w:val="clear" w:color="auto" w:fill="F2F2F2"/>
          </w:tcPr>
          <w:p>
            <w:pPr>
              <w:spacing w:after="0"/>
              <w:rPr>
                <w:sz w:val="11"/>
                <w:szCs w:val="11"/>
                <w:color w:val="auto"/>
              </w:rPr>
            </w:pPr>
          </w:p>
        </w:tc>
        <w:tc>
          <w:tcPr>
            <w:tcW w:w="780" w:type="dxa"/>
            <w:vAlign w:val="bottom"/>
            <w:shd w:val="clear" w:color="auto" w:fill="F2F2F2"/>
          </w:tcPr>
          <w:p>
            <w:pPr>
              <w:spacing w:after="0"/>
              <w:rPr>
                <w:sz w:val="11"/>
                <w:szCs w:val="11"/>
                <w:color w:val="auto"/>
              </w:rPr>
            </w:pPr>
          </w:p>
        </w:tc>
        <w:tc>
          <w:tcPr>
            <w:tcW w:w="80" w:type="dxa"/>
            <w:vAlign w:val="bottom"/>
            <w:shd w:val="clear" w:color="auto" w:fill="F2F2F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0" w:type="dxa"/>
            <w:vAlign w:val="bottom"/>
            <w:shd w:val="clear" w:color="auto" w:fill="F2F2F2"/>
          </w:tcPr>
          <w:p>
            <w:pPr>
              <w:spacing w:after="0"/>
              <w:rPr>
                <w:sz w:val="11"/>
                <w:szCs w:val="11"/>
                <w:color w:val="auto"/>
              </w:rPr>
            </w:pPr>
          </w:p>
        </w:tc>
        <w:tc>
          <w:tcPr>
            <w:tcW w:w="180" w:type="dxa"/>
            <w:vAlign w:val="bottom"/>
            <w:shd w:val="clear" w:color="auto" w:fill="F2F2F2"/>
          </w:tcPr>
          <w:p>
            <w:pPr>
              <w:spacing w:after="0"/>
              <w:rPr>
                <w:sz w:val="11"/>
                <w:szCs w:val="11"/>
                <w:color w:val="auto"/>
              </w:rPr>
            </w:pPr>
          </w:p>
        </w:tc>
        <w:tc>
          <w:tcPr>
            <w:tcW w:w="160" w:type="dxa"/>
            <w:vAlign w:val="bottom"/>
            <w:tcBorders>
              <w:right w:val="single" w:sz="8" w:color="F2F2F2"/>
            </w:tcBorders>
            <w:shd w:val="clear" w:color="auto" w:fill="F2F2F2"/>
          </w:tcPr>
          <w:p>
            <w:pPr>
              <w:spacing w:after="0"/>
              <w:rPr>
                <w:sz w:val="11"/>
                <w:szCs w:val="11"/>
                <w:color w:val="auto"/>
              </w:rPr>
            </w:pPr>
          </w:p>
        </w:tc>
        <w:tc>
          <w:tcPr>
            <w:tcW w:w="820" w:type="dxa"/>
            <w:vAlign w:val="bottom"/>
            <w:shd w:val="clear" w:color="auto" w:fill="F2F2F2"/>
          </w:tcPr>
          <w:p>
            <w:pPr>
              <w:spacing w:after="0"/>
              <w:rPr>
                <w:sz w:val="11"/>
                <w:szCs w:val="11"/>
                <w:color w:val="auto"/>
              </w:rPr>
            </w:pPr>
          </w:p>
        </w:tc>
        <w:tc>
          <w:tcPr>
            <w:tcW w:w="160" w:type="dxa"/>
            <w:vAlign w:val="bottom"/>
            <w:tcBorders>
              <w:right w:val="single" w:sz="8" w:color="F2F2F2"/>
            </w:tcBorders>
            <w:shd w:val="clear" w:color="auto" w:fill="F2F2F2"/>
          </w:tcPr>
          <w:p>
            <w:pPr>
              <w:spacing w:after="0"/>
              <w:rPr>
                <w:sz w:val="11"/>
                <w:szCs w:val="11"/>
                <w:color w:val="auto"/>
              </w:rPr>
            </w:pPr>
          </w:p>
        </w:tc>
        <w:tc>
          <w:tcPr>
            <w:tcW w:w="560" w:type="dxa"/>
            <w:vAlign w:val="bottom"/>
            <w:shd w:val="clear" w:color="auto" w:fill="F2F2F2"/>
          </w:tcPr>
          <w:p>
            <w:pPr>
              <w:spacing w:after="0"/>
              <w:rPr>
                <w:sz w:val="11"/>
                <w:szCs w:val="11"/>
                <w:color w:val="auto"/>
              </w:rPr>
            </w:pPr>
          </w:p>
        </w:tc>
        <w:tc>
          <w:tcPr>
            <w:tcW w:w="140" w:type="dxa"/>
            <w:vAlign w:val="bottom"/>
            <w:shd w:val="clear" w:color="auto" w:fill="F2F2F2"/>
          </w:tcPr>
          <w:p>
            <w:pPr>
              <w:spacing w:after="0"/>
              <w:rPr>
                <w:sz w:val="11"/>
                <w:szCs w:val="11"/>
                <w:color w:val="auto"/>
              </w:rPr>
            </w:pPr>
          </w:p>
        </w:tc>
        <w:tc>
          <w:tcPr>
            <w:tcW w:w="760" w:type="dxa"/>
            <w:vAlign w:val="bottom"/>
            <w:gridSpan w:val="3"/>
            <w:shd w:val="clear" w:color="auto" w:fill="F2F2F2"/>
          </w:tcPr>
          <w:p>
            <w:pPr>
              <w:jc w:val="center"/>
              <w:spacing w:after="0"/>
              <w:rPr>
                <w:sz w:val="20"/>
                <w:szCs w:val="20"/>
                <w:color w:val="auto"/>
              </w:rPr>
            </w:pPr>
            <w:r>
              <w:rPr>
                <w:rFonts w:ascii="Arial" w:cs="Arial" w:eastAsia="Arial" w:hAnsi="Arial"/>
                <w:sz w:val="11"/>
                <w:szCs w:val="11"/>
                <w:b w:val="1"/>
                <w:bCs w:val="1"/>
                <w:color w:val="auto"/>
                <w:w w:val="94"/>
              </w:rPr>
              <w:t>Plus</w:t>
            </w:r>
          </w:p>
        </w:tc>
        <w:tc>
          <w:tcPr>
            <w:tcW w:w="920" w:type="dxa"/>
            <w:vAlign w:val="bottom"/>
            <w:gridSpan w:val="4"/>
            <w:shd w:val="clear" w:color="auto" w:fill="F2F2F2"/>
          </w:tcPr>
          <w:p>
            <w:pPr>
              <w:jc w:val="center"/>
              <w:ind w:left="44"/>
              <w:spacing w:after="0"/>
              <w:rPr>
                <w:sz w:val="20"/>
                <w:szCs w:val="20"/>
                <w:color w:val="auto"/>
              </w:rPr>
            </w:pPr>
            <w:r>
              <w:rPr>
                <w:rFonts w:ascii="Arial" w:cs="Arial" w:eastAsia="Arial" w:hAnsi="Arial"/>
                <w:sz w:val="11"/>
                <w:szCs w:val="11"/>
                <w:b w:val="1"/>
                <w:bCs w:val="1"/>
                <w:color w:val="auto"/>
              </w:rPr>
              <w:t>Change in Fair</w:t>
            </w:r>
          </w:p>
        </w:tc>
        <w:tc>
          <w:tcPr>
            <w:tcW w:w="140" w:type="dxa"/>
            <w:vAlign w:val="bottom"/>
            <w:shd w:val="clear" w:color="auto" w:fill="F2F2F2"/>
          </w:tcPr>
          <w:p>
            <w:pPr>
              <w:spacing w:after="0"/>
              <w:rPr>
                <w:sz w:val="11"/>
                <w:szCs w:val="11"/>
                <w:color w:val="auto"/>
              </w:rPr>
            </w:pPr>
          </w:p>
        </w:tc>
        <w:tc>
          <w:tcPr>
            <w:tcW w:w="820" w:type="dxa"/>
            <w:vAlign w:val="bottom"/>
            <w:shd w:val="clear" w:color="auto" w:fill="F2F2F2"/>
          </w:tcPr>
          <w:p>
            <w:pPr>
              <w:spacing w:after="0"/>
              <w:rPr>
                <w:sz w:val="11"/>
                <w:szCs w:val="11"/>
                <w:color w:val="auto"/>
              </w:rPr>
            </w:pPr>
          </w:p>
        </w:tc>
        <w:tc>
          <w:tcPr>
            <w:tcW w:w="40" w:type="dxa"/>
            <w:vAlign w:val="bottom"/>
            <w:shd w:val="clear" w:color="auto" w:fill="F2F2F2"/>
          </w:tcPr>
          <w:p>
            <w:pPr>
              <w:spacing w:after="0"/>
              <w:rPr>
                <w:sz w:val="11"/>
                <w:szCs w:val="11"/>
                <w:color w:val="auto"/>
              </w:rPr>
            </w:pPr>
          </w:p>
        </w:tc>
        <w:tc>
          <w:tcPr>
            <w:tcW w:w="120" w:type="dxa"/>
            <w:vAlign w:val="bottom"/>
            <w:shd w:val="clear" w:color="auto" w:fill="F2F2F2"/>
          </w:tcPr>
          <w:p>
            <w:pPr>
              <w:spacing w:after="0"/>
              <w:rPr>
                <w:sz w:val="11"/>
                <w:szCs w:val="11"/>
                <w:color w:val="auto"/>
              </w:rPr>
            </w:pPr>
          </w:p>
        </w:tc>
        <w:tc>
          <w:tcPr>
            <w:tcW w:w="40" w:type="dxa"/>
            <w:vAlign w:val="bottom"/>
            <w:shd w:val="clear" w:color="auto" w:fill="F2F2F2"/>
          </w:tcPr>
          <w:p>
            <w:pPr>
              <w:spacing w:after="0"/>
              <w:rPr>
                <w:sz w:val="11"/>
                <w:szCs w:val="11"/>
                <w:color w:val="auto"/>
              </w:rPr>
            </w:pPr>
          </w:p>
        </w:tc>
        <w:tc>
          <w:tcPr>
            <w:tcW w:w="880" w:type="dxa"/>
            <w:vAlign w:val="bottom"/>
            <w:gridSpan w:val="2"/>
            <w:shd w:val="clear" w:color="auto" w:fill="F2F2F2"/>
          </w:tcPr>
          <w:p>
            <w:pPr>
              <w:jc w:val="center"/>
              <w:ind w:right="160"/>
              <w:spacing w:after="0"/>
              <w:rPr>
                <w:sz w:val="20"/>
                <w:szCs w:val="20"/>
                <w:color w:val="auto"/>
              </w:rPr>
            </w:pPr>
            <w:r>
              <w:rPr>
                <w:rFonts w:ascii="Arial" w:cs="Arial" w:eastAsia="Arial" w:hAnsi="Arial"/>
                <w:sz w:val="11"/>
                <w:szCs w:val="11"/>
                <w:b w:val="1"/>
                <w:bCs w:val="1"/>
                <w:color w:val="auto"/>
              </w:rPr>
              <w:t>Awards</w:t>
            </w:r>
          </w:p>
        </w:tc>
        <w:tc>
          <w:tcPr>
            <w:tcW w:w="100" w:type="dxa"/>
            <w:vAlign w:val="bottom"/>
            <w:shd w:val="clear" w:color="auto" w:fill="F2F2F2"/>
          </w:tcPr>
          <w:p>
            <w:pPr>
              <w:spacing w:after="0"/>
              <w:rPr>
                <w:sz w:val="11"/>
                <w:szCs w:val="11"/>
                <w:color w:val="auto"/>
              </w:rPr>
            </w:pPr>
          </w:p>
        </w:tc>
        <w:tc>
          <w:tcPr>
            <w:tcW w:w="680" w:type="dxa"/>
            <w:vAlign w:val="bottom"/>
            <w:gridSpan w:val="4"/>
            <w:shd w:val="clear" w:color="auto" w:fill="F2F2F2"/>
          </w:tcPr>
          <w:p>
            <w:pPr>
              <w:jc w:val="center"/>
              <w:spacing w:after="0"/>
              <w:rPr>
                <w:sz w:val="20"/>
                <w:szCs w:val="20"/>
                <w:color w:val="auto"/>
              </w:rPr>
            </w:pPr>
            <w:r>
              <w:rPr>
                <w:rFonts w:ascii="Arial" w:cs="Arial" w:eastAsia="Arial" w:hAnsi="Arial"/>
                <w:sz w:val="11"/>
                <w:szCs w:val="11"/>
                <w:b w:val="1"/>
                <w:bCs w:val="1"/>
                <w:color w:val="auto"/>
              </w:rPr>
              <w:t>Granted in</w:t>
            </w:r>
          </w:p>
        </w:tc>
        <w:tc>
          <w:tcPr>
            <w:tcW w:w="760" w:type="dxa"/>
            <w:vAlign w:val="bottom"/>
            <w:gridSpan w:val="2"/>
            <w:shd w:val="clear" w:color="auto" w:fill="F2F2F2"/>
          </w:tcPr>
          <w:p>
            <w:pPr>
              <w:jc w:val="center"/>
              <w:ind w:left="185"/>
              <w:spacing w:after="0"/>
              <w:rPr>
                <w:sz w:val="20"/>
                <w:szCs w:val="20"/>
                <w:color w:val="auto"/>
              </w:rPr>
            </w:pPr>
            <w:r>
              <w:rPr>
                <w:rFonts w:ascii="Arial" w:cs="Arial" w:eastAsia="Arial" w:hAnsi="Arial"/>
                <w:sz w:val="11"/>
                <w:szCs w:val="11"/>
                <w:b w:val="1"/>
                <w:bCs w:val="1"/>
                <w:color w:val="auto"/>
              </w:rPr>
              <w:t>Minus</w:t>
            </w:r>
          </w:p>
        </w:tc>
        <w:tc>
          <w:tcPr>
            <w:tcW w:w="100" w:type="dxa"/>
            <w:vAlign w:val="bottom"/>
            <w:shd w:val="clear" w:color="auto" w:fill="F2F2F2"/>
          </w:tcPr>
          <w:p>
            <w:pPr>
              <w:spacing w:after="0"/>
              <w:rPr>
                <w:sz w:val="11"/>
                <w:szCs w:val="11"/>
                <w:color w:val="auto"/>
              </w:rPr>
            </w:pPr>
          </w:p>
        </w:tc>
        <w:tc>
          <w:tcPr>
            <w:tcW w:w="40" w:type="dxa"/>
            <w:vAlign w:val="bottom"/>
            <w:shd w:val="clear" w:color="auto" w:fill="F2F2F2"/>
          </w:tcPr>
          <w:p>
            <w:pPr>
              <w:spacing w:after="0"/>
              <w:rPr>
                <w:sz w:val="11"/>
                <w:szCs w:val="11"/>
                <w:color w:val="auto"/>
              </w:rPr>
            </w:pPr>
          </w:p>
        </w:tc>
        <w:tc>
          <w:tcPr>
            <w:tcW w:w="100" w:type="dxa"/>
            <w:vAlign w:val="bottom"/>
            <w:shd w:val="clear" w:color="auto" w:fill="F2F2F2"/>
          </w:tcPr>
          <w:p>
            <w:pPr>
              <w:spacing w:after="0"/>
              <w:rPr>
                <w:sz w:val="11"/>
                <w:szCs w:val="11"/>
                <w:color w:val="auto"/>
              </w:rPr>
            </w:pPr>
          </w:p>
        </w:tc>
        <w:tc>
          <w:tcPr>
            <w:tcW w:w="700" w:type="dxa"/>
            <w:vAlign w:val="bottom"/>
            <w:shd w:val="clear" w:color="auto" w:fill="F2F2F2"/>
          </w:tcPr>
          <w:p>
            <w:pPr>
              <w:spacing w:after="0"/>
              <w:rPr>
                <w:sz w:val="11"/>
                <w:szCs w:val="11"/>
                <w:color w:val="auto"/>
              </w:rPr>
            </w:pPr>
          </w:p>
        </w:tc>
        <w:tc>
          <w:tcPr>
            <w:tcW w:w="80" w:type="dxa"/>
            <w:vAlign w:val="bottom"/>
            <w:shd w:val="clear" w:color="auto" w:fill="F2F2F2"/>
          </w:tcPr>
          <w:p>
            <w:pPr>
              <w:spacing w:after="0"/>
              <w:rPr>
                <w:sz w:val="11"/>
                <w:szCs w:val="11"/>
                <w:color w:val="auto"/>
              </w:rPr>
            </w:pPr>
          </w:p>
        </w:tc>
        <w:tc>
          <w:tcPr>
            <w:tcW w:w="40" w:type="dxa"/>
            <w:vAlign w:val="bottom"/>
            <w:shd w:val="clear" w:color="auto" w:fill="F2F2F2"/>
          </w:tcPr>
          <w:p>
            <w:pPr>
              <w:spacing w:after="0"/>
              <w:rPr>
                <w:sz w:val="11"/>
                <w:szCs w:val="11"/>
                <w:color w:val="auto"/>
              </w:rPr>
            </w:pPr>
          </w:p>
        </w:tc>
        <w:tc>
          <w:tcPr>
            <w:tcW w:w="120" w:type="dxa"/>
            <w:vAlign w:val="bottom"/>
            <w:shd w:val="clear" w:color="auto" w:fill="F2F2F2"/>
          </w:tcPr>
          <w:p>
            <w:pPr>
              <w:spacing w:after="0"/>
              <w:rPr>
                <w:sz w:val="11"/>
                <w:szCs w:val="11"/>
                <w:color w:val="auto"/>
              </w:rPr>
            </w:pPr>
          </w:p>
        </w:tc>
        <w:tc>
          <w:tcPr>
            <w:tcW w:w="780" w:type="dxa"/>
            <w:vAlign w:val="bottom"/>
            <w:shd w:val="clear" w:color="auto" w:fill="F2F2F2"/>
          </w:tcPr>
          <w:p>
            <w:pPr>
              <w:spacing w:after="0"/>
              <w:rPr>
                <w:sz w:val="11"/>
                <w:szCs w:val="11"/>
                <w:color w:val="auto"/>
              </w:rPr>
            </w:pPr>
          </w:p>
        </w:tc>
        <w:tc>
          <w:tcPr>
            <w:tcW w:w="80" w:type="dxa"/>
            <w:vAlign w:val="bottom"/>
            <w:shd w:val="clear" w:color="auto" w:fill="F2F2F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0" w:type="dxa"/>
            <w:vAlign w:val="bottom"/>
            <w:shd w:val="clear" w:color="auto" w:fill="F2F2F2"/>
          </w:tcPr>
          <w:p>
            <w:pPr>
              <w:spacing w:after="0"/>
              <w:rPr>
                <w:sz w:val="11"/>
                <w:szCs w:val="11"/>
                <w:color w:val="auto"/>
              </w:rPr>
            </w:pPr>
          </w:p>
        </w:tc>
        <w:tc>
          <w:tcPr>
            <w:tcW w:w="180" w:type="dxa"/>
            <w:vAlign w:val="bottom"/>
            <w:shd w:val="clear" w:color="auto" w:fill="F2F2F2"/>
          </w:tcPr>
          <w:p>
            <w:pPr>
              <w:spacing w:after="0"/>
              <w:rPr>
                <w:sz w:val="11"/>
                <w:szCs w:val="11"/>
                <w:color w:val="auto"/>
              </w:rPr>
            </w:pPr>
          </w:p>
        </w:tc>
        <w:tc>
          <w:tcPr>
            <w:tcW w:w="160" w:type="dxa"/>
            <w:vAlign w:val="bottom"/>
            <w:tcBorders>
              <w:right w:val="single" w:sz="8" w:color="F2F2F2"/>
            </w:tcBorders>
            <w:shd w:val="clear" w:color="auto" w:fill="F2F2F2"/>
          </w:tcPr>
          <w:p>
            <w:pPr>
              <w:spacing w:after="0"/>
              <w:rPr>
                <w:sz w:val="11"/>
                <w:szCs w:val="11"/>
                <w:color w:val="auto"/>
              </w:rPr>
            </w:pPr>
          </w:p>
        </w:tc>
        <w:tc>
          <w:tcPr>
            <w:tcW w:w="820" w:type="dxa"/>
            <w:vAlign w:val="bottom"/>
            <w:shd w:val="clear" w:color="auto" w:fill="F2F2F2"/>
          </w:tcPr>
          <w:p>
            <w:pPr>
              <w:spacing w:after="0"/>
              <w:rPr>
                <w:sz w:val="11"/>
                <w:szCs w:val="11"/>
                <w:color w:val="auto"/>
              </w:rPr>
            </w:pPr>
          </w:p>
        </w:tc>
        <w:tc>
          <w:tcPr>
            <w:tcW w:w="160" w:type="dxa"/>
            <w:vAlign w:val="bottom"/>
            <w:tcBorders>
              <w:right w:val="single" w:sz="8" w:color="F2F2F2"/>
            </w:tcBorders>
            <w:shd w:val="clear" w:color="auto" w:fill="F2F2F2"/>
          </w:tcPr>
          <w:p>
            <w:pPr>
              <w:spacing w:after="0"/>
              <w:rPr>
                <w:sz w:val="11"/>
                <w:szCs w:val="11"/>
                <w:color w:val="auto"/>
              </w:rPr>
            </w:pPr>
          </w:p>
        </w:tc>
        <w:tc>
          <w:tcPr>
            <w:tcW w:w="560" w:type="dxa"/>
            <w:vAlign w:val="bottom"/>
            <w:shd w:val="clear" w:color="auto" w:fill="F2F2F2"/>
          </w:tcPr>
          <w:p>
            <w:pPr>
              <w:jc w:val="center"/>
              <w:ind w:right="183"/>
              <w:spacing w:after="0"/>
              <w:rPr>
                <w:sz w:val="20"/>
                <w:szCs w:val="20"/>
                <w:color w:val="auto"/>
              </w:rPr>
            </w:pPr>
            <w:r>
              <w:rPr>
                <w:rFonts w:ascii="Arial" w:cs="Arial" w:eastAsia="Arial" w:hAnsi="Arial"/>
                <w:sz w:val="11"/>
                <w:szCs w:val="11"/>
                <w:b w:val="1"/>
                <w:bCs w:val="1"/>
                <w:color w:val="auto"/>
              </w:rPr>
              <w:t>Minus</w:t>
            </w:r>
          </w:p>
        </w:tc>
        <w:tc>
          <w:tcPr>
            <w:tcW w:w="140" w:type="dxa"/>
            <w:vAlign w:val="bottom"/>
            <w:shd w:val="clear" w:color="auto" w:fill="F2F2F2"/>
          </w:tcPr>
          <w:p>
            <w:pPr>
              <w:spacing w:after="0"/>
              <w:rPr>
                <w:sz w:val="11"/>
                <w:szCs w:val="11"/>
                <w:color w:val="auto"/>
              </w:rPr>
            </w:pPr>
          </w:p>
        </w:tc>
        <w:tc>
          <w:tcPr>
            <w:tcW w:w="760" w:type="dxa"/>
            <w:vAlign w:val="bottom"/>
            <w:gridSpan w:val="3"/>
            <w:shd w:val="clear" w:color="auto" w:fill="F2F2F2"/>
          </w:tcPr>
          <w:p>
            <w:pPr>
              <w:jc w:val="center"/>
              <w:spacing w:after="0"/>
              <w:rPr>
                <w:sz w:val="20"/>
                <w:szCs w:val="20"/>
                <w:color w:val="auto"/>
              </w:rPr>
            </w:pPr>
            <w:r>
              <w:rPr>
                <w:rFonts w:ascii="Arial" w:cs="Arial" w:eastAsia="Arial" w:hAnsi="Arial"/>
                <w:sz w:val="11"/>
                <w:szCs w:val="11"/>
                <w:b w:val="1"/>
                <w:bCs w:val="1"/>
                <w:color w:val="auto"/>
              </w:rPr>
              <w:t>Fair Value at</w:t>
            </w:r>
          </w:p>
        </w:tc>
        <w:tc>
          <w:tcPr>
            <w:tcW w:w="920" w:type="dxa"/>
            <w:vAlign w:val="bottom"/>
            <w:gridSpan w:val="4"/>
            <w:shd w:val="clear" w:color="auto" w:fill="F2F2F2"/>
          </w:tcPr>
          <w:p>
            <w:pPr>
              <w:jc w:val="center"/>
              <w:ind w:left="24"/>
              <w:spacing w:after="0"/>
              <w:rPr>
                <w:sz w:val="20"/>
                <w:szCs w:val="20"/>
                <w:color w:val="auto"/>
              </w:rPr>
            </w:pPr>
            <w:r>
              <w:rPr>
                <w:rFonts w:ascii="Arial" w:cs="Arial" w:eastAsia="Arial" w:hAnsi="Arial"/>
                <w:sz w:val="11"/>
                <w:szCs w:val="11"/>
                <w:b w:val="1"/>
                <w:bCs w:val="1"/>
                <w:color w:val="auto"/>
              </w:rPr>
              <w:t>Value of</w:t>
            </w:r>
          </w:p>
        </w:tc>
        <w:tc>
          <w:tcPr>
            <w:tcW w:w="140" w:type="dxa"/>
            <w:vAlign w:val="bottom"/>
            <w:shd w:val="clear" w:color="auto" w:fill="F2F2F2"/>
          </w:tcPr>
          <w:p>
            <w:pPr>
              <w:spacing w:after="0"/>
              <w:rPr>
                <w:sz w:val="11"/>
                <w:szCs w:val="11"/>
                <w:color w:val="auto"/>
              </w:rPr>
            </w:pPr>
          </w:p>
        </w:tc>
        <w:tc>
          <w:tcPr>
            <w:tcW w:w="860" w:type="dxa"/>
            <w:vAlign w:val="bottom"/>
            <w:gridSpan w:val="2"/>
            <w:shd w:val="clear" w:color="auto" w:fill="F2F2F2"/>
          </w:tcPr>
          <w:p>
            <w:pPr>
              <w:jc w:val="center"/>
              <w:ind w:right="120"/>
              <w:spacing w:after="0"/>
              <w:rPr>
                <w:sz w:val="20"/>
                <w:szCs w:val="20"/>
                <w:color w:val="auto"/>
              </w:rPr>
            </w:pPr>
            <w:r>
              <w:rPr>
                <w:rFonts w:ascii="Arial" w:cs="Arial" w:eastAsia="Arial" w:hAnsi="Arial"/>
                <w:sz w:val="11"/>
                <w:szCs w:val="11"/>
                <w:b w:val="1"/>
                <w:bCs w:val="1"/>
                <w:color w:val="auto"/>
                <w:w w:val="94"/>
              </w:rPr>
              <w:t>Plus</w:t>
            </w:r>
          </w:p>
        </w:tc>
        <w:tc>
          <w:tcPr>
            <w:tcW w:w="120" w:type="dxa"/>
            <w:vAlign w:val="bottom"/>
            <w:shd w:val="clear" w:color="auto" w:fill="F2F2F2"/>
          </w:tcPr>
          <w:p>
            <w:pPr>
              <w:spacing w:after="0"/>
              <w:rPr>
                <w:sz w:val="11"/>
                <w:szCs w:val="11"/>
                <w:color w:val="auto"/>
              </w:rPr>
            </w:pPr>
          </w:p>
        </w:tc>
        <w:tc>
          <w:tcPr>
            <w:tcW w:w="40" w:type="dxa"/>
            <w:vAlign w:val="bottom"/>
            <w:shd w:val="clear" w:color="auto" w:fill="F2F2F2"/>
          </w:tcPr>
          <w:p>
            <w:pPr>
              <w:spacing w:after="0"/>
              <w:rPr>
                <w:sz w:val="11"/>
                <w:szCs w:val="11"/>
                <w:color w:val="auto"/>
              </w:rPr>
            </w:pPr>
          </w:p>
        </w:tc>
        <w:tc>
          <w:tcPr>
            <w:tcW w:w="880" w:type="dxa"/>
            <w:vAlign w:val="bottom"/>
            <w:gridSpan w:val="2"/>
            <w:shd w:val="clear" w:color="auto" w:fill="F2F2F2"/>
          </w:tcPr>
          <w:p>
            <w:pPr>
              <w:jc w:val="center"/>
              <w:ind w:right="160"/>
              <w:spacing w:after="0"/>
              <w:rPr>
                <w:sz w:val="20"/>
                <w:szCs w:val="20"/>
                <w:color w:val="auto"/>
              </w:rPr>
            </w:pPr>
            <w:r>
              <w:rPr>
                <w:rFonts w:ascii="Arial" w:cs="Arial" w:eastAsia="Arial" w:hAnsi="Arial"/>
                <w:sz w:val="11"/>
                <w:szCs w:val="11"/>
                <w:b w:val="1"/>
                <w:bCs w:val="1"/>
                <w:color w:val="auto"/>
              </w:rPr>
              <w:t>Granted</w:t>
            </w:r>
          </w:p>
        </w:tc>
        <w:tc>
          <w:tcPr>
            <w:tcW w:w="100" w:type="dxa"/>
            <w:vAlign w:val="bottom"/>
            <w:shd w:val="clear" w:color="auto" w:fill="F2F2F2"/>
          </w:tcPr>
          <w:p>
            <w:pPr>
              <w:spacing w:after="0"/>
              <w:rPr>
                <w:sz w:val="11"/>
                <w:szCs w:val="11"/>
                <w:color w:val="auto"/>
              </w:rPr>
            </w:pPr>
          </w:p>
        </w:tc>
        <w:tc>
          <w:tcPr>
            <w:tcW w:w="680" w:type="dxa"/>
            <w:vAlign w:val="bottom"/>
            <w:gridSpan w:val="4"/>
            <w:shd w:val="clear" w:color="auto" w:fill="F2F2F2"/>
          </w:tcPr>
          <w:p>
            <w:pPr>
              <w:jc w:val="center"/>
              <w:spacing w:after="0"/>
              <w:rPr>
                <w:sz w:val="20"/>
                <w:szCs w:val="20"/>
                <w:color w:val="auto"/>
              </w:rPr>
            </w:pPr>
            <w:r>
              <w:rPr>
                <w:rFonts w:ascii="Arial" w:cs="Arial" w:eastAsia="Arial" w:hAnsi="Arial"/>
                <w:sz w:val="11"/>
                <w:szCs w:val="11"/>
                <w:b w:val="1"/>
                <w:bCs w:val="1"/>
                <w:color w:val="auto"/>
              </w:rPr>
              <w:t>Prior Fiscal</w:t>
            </w:r>
          </w:p>
        </w:tc>
        <w:tc>
          <w:tcPr>
            <w:tcW w:w="860" w:type="dxa"/>
            <w:vAlign w:val="bottom"/>
            <w:gridSpan w:val="3"/>
            <w:shd w:val="clear" w:color="auto" w:fill="F2F2F2"/>
          </w:tcPr>
          <w:p>
            <w:pPr>
              <w:jc w:val="center"/>
              <w:ind w:left="105"/>
              <w:spacing w:after="0"/>
              <w:rPr>
                <w:sz w:val="20"/>
                <w:szCs w:val="20"/>
                <w:color w:val="auto"/>
              </w:rPr>
            </w:pPr>
            <w:r>
              <w:rPr>
                <w:rFonts w:ascii="Arial" w:cs="Arial" w:eastAsia="Arial" w:hAnsi="Arial"/>
                <w:sz w:val="11"/>
                <w:szCs w:val="11"/>
                <w:b w:val="1"/>
                <w:bCs w:val="1"/>
                <w:color w:val="auto"/>
              </w:rPr>
              <w:t>Change in</w:t>
            </w:r>
          </w:p>
        </w:tc>
        <w:tc>
          <w:tcPr>
            <w:tcW w:w="40" w:type="dxa"/>
            <w:vAlign w:val="bottom"/>
            <w:shd w:val="clear" w:color="auto" w:fill="F2F2F2"/>
          </w:tcPr>
          <w:p>
            <w:pPr>
              <w:spacing w:after="0"/>
              <w:rPr>
                <w:sz w:val="11"/>
                <w:szCs w:val="11"/>
                <w:color w:val="auto"/>
              </w:rPr>
            </w:pPr>
          </w:p>
        </w:tc>
        <w:tc>
          <w:tcPr>
            <w:tcW w:w="100" w:type="dxa"/>
            <w:vAlign w:val="bottom"/>
            <w:shd w:val="clear" w:color="auto" w:fill="F2F2F2"/>
          </w:tcPr>
          <w:p>
            <w:pPr>
              <w:spacing w:after="0"/>
              <w:rPr>
                <w:sz w:val="11"/>
                <w:szCs w:val="11"/>
                <w:color w:val="auto"/>
              </w:rPr>
            </w:pPr>
          </w:p>
        </w:tc>
        <w:tc>
          <w:tcPr>
            <w:tcW w:w="700" w:type="dxa"/>
            <w:vAlign w:val="bottom"/>
            <w:shd w:val="clear" w:color="auto" w:fill="F2F2F2"/>
          </w:tcPr>
          <w:p>
            <w:pPr>
              <w:spacing w:after="0"/>
              <w:rPr>
                <w:sz w:val="11"/>
                <w:szCs w:val="11"/>
                <w:color w:val="auto"/>
              </w:rPr>
            </w:pPr>
          </w:p>
        </w:tc>
        <w:tc>
          <w:tcPr>
            <w:tcW w:w="80" w:type="dxa"/>
            <w:vAlign w:val="bottom"/>
            <w:shd w:val="clear" w:color="auto" w:fill="F2F2F2"/>
          </w:tcPr>
          <w:p>
            <w:pPr>
              <w:spacing w:after="0"/>
              <w:rPr>
                <w:sz w:val="11"/>
                <w:szCs w:val="11"/>
                <w:color w:val="auto"/>
              </w:rPr>
            </w:pPr>
          </w:p>
        </w:tc>
        <w:tc>
          <w:tcPr>
            <w:tcW w:w="40" w:type="dxa"/>
            <w:vAlign w:val="bottom"/>
            <w:shd w:val="clear" w:color="auto" w:fill="F2F2F2"/>
          </w:tcPr>
          <w:p>
            <w:pPr>
              <w:spacing w:after="0"/>
              <w:rPr>
                <w:sz w:val="11"/>
                <w:szCs w:val="11"/>
                <w:color w:val="auto"/>
              </w:rPr>
            </w:pPr>
          </w:p>
        </w:tc>
        <w:tc>
          <w:tcPr>
            <w:tcW w:w="120" w:type="dxa"/>
            <w:vAlign w:val="bottom"/>
            <w:shd w:val="clear" w:color="auto" w:fill="F2F2F2"/>
          </w:tcPr>
          <w:p>
            <w:pPr>
              <w:spacing w:after="0"/>
              <w:rPr>
                <w:sz w:val="11"/>
                <w:szCs w:val="11"/>
                <w:color w:val="auto"/>
              </w:rPr>
            </w:pPr>
          </w:p>
        </w:tc>
        <w:tc>
          <w:tcPr>
            <w:tcW w:w="780" w:type="dxa"/>
            <w:vAlign w:val="bottom"/>
            <w:shd w:val="clear" w:color="auto" w:fill="F2F2F2"/>
          </w:tcPr>
          <w:p>
            <w:pPr>
              <w:spacing w:after="0"/>
              <w:rPr>
                <w:sz w:val="11"/>
                <w:szCs w:val="11"/>
                <w:color w:val="auto"/>
              </w:rPr>
            </w:pPr>
          </w:p>
        </w:tc>
        <w:tc>
          <w:tcPr>
            <w:tcW w:w="80" w:type="dxa"/>
            <w:vAlign w:val="bottom"/>
            <w:shd w:val="clear" w:color="auto" w:fill="F2F2F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0" w:type="dxa"/>
            <w:vAlign w:val="bottom"/>
            <w:shd w:val="clear" w:color="auto" w:fill="F2F2F2"/>
          </w:tcPr>
          <w:p>
            <w:pPr>
              <w:spacing w:after="0"/>
              <w:rPr>
                <w:sz w:val="11"/>
                <w:szCs w:val="11"/>
                <w:color w:val="auto"/>
              </w:rPr>
            </w:pPr>
          </w:p>
        </w:tc>
        <w:tc>
          <w:tcPr>
            <w:tcW w:w="180" w:type="dxa"/>
            <w:vAlign w:val="bottom"/>
            <w:shd w:val="clear" w:color="auto" w:fill="F2F2F2"/>
          </w:tcPr>
          <w:p>
            <w:pPr>
              <w:spacing w:after="0"/>
              <w:rPr>
                <w:sz w:val="11"/>
                <w:szCs w:val="11"/>
                <w:color w:val="auto"/>
              </w:rPr>
            </w:pPr>
          </w:p>
        </w:tc>
        <w:tc>
          <w:tcPr>
            <w:tcW w:w="160" w:type="dxa"/>
            <w:vAlign w:val="bottom"/>
            <w:tcBorders>
              <w:right w:val="single" w:sz="8" w:color="F2F2F2"/>
            </w:tcBorders>
            <w:shd w:val="clear" w:color="auto" w:fill="F2F2F2"/>
          </w:tcPr>
          <w:p>
            <w:pPr>
              <w:spacing w:after="0"/>
              <w:rPr>
                <w:sz w:val="11"/>
                <w:szCs w:val="11"/>
                <w:color w:val="auto"/>
              </w:rPr>
            </w:pPr>
          </w:p>
        </w:tc>
        <w:tc>
          <w:tcPr>
            <w:tcW w:w="820" w:type="dxa"/>
            <w:vAlign w:val="bottom"/>
            <w:shd w:val="clear" w:color="auto" w:fill="F2F2F2"/>
          </w:tcPr>
          <w:p>
            <w:pPr>
              <w:spacing w:after="0"/>
              <w:rPr>
                <w:sz w:val="11"/>
                <w:szCs w:val="11"/>
                <w:color w:val="auto"/>
              </w:rPr>
            </w:pPr>
          </w:p>
        </w:tc>
        <w:tc>
          <w:tcPr>
            <w:tcW w:w="720" w:type="dxa"/>
            <w:vAlign w:val="bottom"/>
            <w:gridSpan w:val="2"/>
            <w:shd w:val="clear" w:color="auto" w:fill="F2F2F2"/>
          </w:tcPr>
          <w:p>
            <w:pPr>
              <w:jc w:val="center"/>
              <w:ind w:right="23"/>
              <w:spacing w:after="0"/>
              <w:rPr>
                <w:sz w:val="20"/>
                <w:szCs w:val="20"/>
                <w:color w:val="auto"/>
              </w:rPr>
            </w:pPr>
            <w:r>
              <w:rPr>
                <w:rFonts w:ascii="Arial" w:cs="Arial" w:eastAsia="Arial" w:hAnsi="Arial"/>
                <w:sz w:val="11"/>
                <w:szCs w:val="11"/>
                <w:b w:val="1"/>
                <w:bCs w:val="1"/>
                <w:color w:val="auto"/>
              </w:rPr>
              <w:t>Grant Date</w:t>
            </w:r>
          </w:p>
        </w:tc>
        <w:tc>
          <w:tcPr>
            <w:tcW w:w="140" w:type="dxa"/>
            <w:vAlign w:val="bottom"/>
            <w:shd w:val="clear" w:color="auto" w:fill="F2F2F2"/>
          </w:tcPr>
          <w:p>
            <w:pPr>
              <w:spacing w:after="0"/>
              <w:rPr>
                <w:sz w:val="11"/>
                <w:szCs w:val="11"/>
                <w:color w:val="auto"/>
              </w:rPr>
            </w:pPr>
          </w:p>
        </w:tc>
        <w:tc>
          <w:tcPr>
            <w:tcW w:w="760" w:type="dxa"/>
            <w:vAlign w:val="bottom"/>
            <w:gridSpan w:val="3"/>
            <w:shd w:val="clear" w:color="auto" w:fill="F2F2F2"/>
          </w:tcPr>
          <w:p>
            <w:pPr>
              <w:jc w:val="center"/>
              <w:spacing w:after="0"/>
              <w:rPr>
                <w:sz w:val="20"/>
                <w:szCs w:val="20"/>
                <w:color w:val="auto"/>
              </w:rPr>
            </w:pPr>
            <w:r>
              <w:rPr>
                <w:rFonts w:ascii="Arial" w:cs="Arial" w:eastAsia="Arial" w:hAnsi="Arial"/>
                <w:sz w:val="11"/>
                <w:szCs w:val="11"/>
                <w:b w:val="1"/>
                <w:bCs w:val="1"/>
                <w:color w:val="auto"/>
                <w:w w:val="97"/>
              </w:rPr>
              <w:t>Fiscal Year-</w:t>
            </w:r>
          </w:p>
        </w:tc>
        <w:tc>
          <w:tcPr>
            <w:tcW w:w="920" w:type="dxa"/>
            <w:vAlign w:val="bottom"/>
            <w:gridSpan w:val="4"/>
            <w:shd w:val="clear" w:color="auto" w:fill="F2F2F2"/>
          </w:tcPr>
          <w:p>
            <w:pPr>
              <w:jc w:val="center"/>
              <w:spacing w:after="0"/>
              <w:rPr>
                <w:sz w:val="20"/>
                <w:szCs w:val="20"/>
                <w:color w:val="auto"/>
              </w:rPr>
            </w:pPr>
            <w:r>
              <w:rPr>
                <w:rFonts w:ascii="Arial" w:cs="Arial" w:eastAsia="Arial" w:hAnsi="Arial"/>
                <w:sz w:val="11"/>
                <w:szCs w:val="11"/>
                <w:b w:val="1"/>
                <w:bCs w:val="1"/>
                <w:color w:val="auto"/>
              </w:rPr>
              <w:t>Outstanding</w:t>
            </w:r>
          </w:p>
        </w:tc>
        <w:tc>
          <w:tcPr>
            <w:tcW w:w="140" w:type="dxa"/>
            <w:vAlign w:val="bottom"/>
            <w:shd w:val="clear" w:color="auto" w:fill="F2F2F2"/>
          </w:tcPr>
          <w:p>
            <w:pPr>
              <w:spacing w:after="0"/>
              <w:rPr>
                <w:sz w:val="11"/>
                <w:szCs w:val="11"/>
                <w:color w:val="auto"/>
              </w:rPr>
            </w:pPr>
          </w:p>
        </w:tc>
        <w:tc>
          <w:tcPr>
            <w:tcW w:w="820" w:type="dxa"/>
            <w:vAlign w:val="bottom"/>
            <w:shd w:val="clear" w:color="auto" w:fill="F2F2F2"/>
          </w:tcPr>
          <w:p>
            <w:pPr>
              <w:jc w:val="center"/>
              <w:ind w:right="4"/>
              <w:spacing w:after="0"/>
              <w:rPr>
                <w:sz w:val="20"/>
                <w:szCs w:val="20"/>
                <w:color w:val="auto"/>
              </w:rPr>
            </w:pPr>
            <w:r>
              <w:rPr>
                <w:rFonts w:ascii="Arial" w:cs="Arial" w:eastAsia="Arial" w:hAnsi="Arial"/>
                <w:sz w:val="11"/>
                <w:szCs w:val="11"/>
                <w:b w:val="1"/>
                <w:bCs w:val="1"/>
                <w:color w:val="auto"/>
              </w:rPr>
              <w:t>Fair Value at</w:t>
            </w:r>
          </w:p>
        </w:tc>
        <w:tc>
          <w:tcPr>
            <w:tcW w:w="40" w:type="dxa"/>
            <w:vAlign w:val="bottom"/>
            <w:shd w:val="clear" w:color="auto" w:fill="F2F2F2"/>
          </w:tcPr>
          <w:p>
            <w:pPr>
              <w:spacing w:after="0"/>
              <w:rPr>
                <w:sz w:val="11"/>
                <w:szCs w:val="11"/>
                <w:color w:val="auto"/>
              </w:rPr>
            </w:pPr>
          </w:p>
        </w:tc>
        <w:tc>
          <w:tcPr>
            <w:tcW w:w="120" w:type="dxa"/>
            <w:vAlign w:val="bottom"/>
            <w:shd w:val="clear" w:color="auto" w:fill="F2F2F2"/>
          </w:tcPr>
          <w:p>
            <w:pPr>
              <w:spacing w:after="0"/>
              <w:rPr>
                <w:sz w:val="11"/>
                <w:szCs w:val="11"/>
                <w:color w:val="auto"/>
              </w:rPr>
            </w:pPr>
          </w:p>
        </w:tc>
        <w:tc>
          <w:tcPr>
            <w:tcW w:w="40" w:type="dxa"/>
            <w:vAlign w:val="bottom"/>
            <w:shd w:val="clear" w:color="auto" w:fill="F2F2F2"/>
          </w:tcPr>
          <w:p>
            <w:pPr>
              <w:spacing w:after="0"/>
              <w:rPr>
                <w:sz w:val="11"/>
                <w:szCs w:val="11"/>
                <w:color w:val="auto"/>
              </w:rPr>
            </w:pPr>
          </w:p>
        </w:tc>
        <w:tc>
          <w:tcPr>
            <w:tcW w:w="880" w:type="dxa"/>
            <w:vAlign w:val="bottom"/>
            <w:gridSpan w:val="2"/>
            <w:shd w:val="clear" w:color="auto" w:fill="F2F2F2"/>
          </w:tcPr>
          <w:p>
            <w:pPr>
              <w:jc w:val="center"/>
              <w:ind w:right="160"/>
              <w:spacing w:after="0"/>
              <w:rPr>
                <w:sz w:val="20"/>
                <w:szCs w:val="20"/>
                <w:color w:val="auto"/>
              </w:rPr>
            </w:pPr>
            <w:r>
              <w:rPr>
                <w:rFonts w:ascii="Arial" w:cs="Arial" w:eastAsia="Arial" w:hAnsi="Arial"/>
                <w:sz w:val="11"/>
                <w:szCs w:val="11"/>
                <w:b w:val="1"/>
                <w:bCs w:val="1"/>
                <w:color w:val="auto"/>
              </w:rPr>
              <w:t>in Prior</w:t>
            </w:r>
          </w:p>
        </w:tc>
        <w:tc>
          <w:tcPr>
            <w:tcW w:w="100" w:type="dxa"/>
            <w:vAlign w:val="bottom"/>
            <w:shd w:val="clear" w:color="auto" w:fill="F2F2F2"/>
          </w:tcPr>
          <w:p>
            <w:pPr>
              <w:spacing w:after="0"/>
              <w:rPr>
                <w:sz w:val="11"/>
                <w:szCs w:val="11"/>
                <w:color w:val="auto"/>
              </w:rPr>
            </w:pPr>
          </w:p>
        </w:tc>
        <w:tc>
          <w:tcPr>
            <w:tcW w:w="40" w:type="dxa"/>
            <w:vAlign w:val="bottom"/>
            <w:shd w:val="clear" w:color="auto" w:fill="F2F2F2"/>
          </w:tcPr>
          <w:p>
            <w:pPr>
              <w:spacing w:after="0"/>
              <w:rPr>
                <w:sz w:val="11"/>
                <w:szCs w:val="11"/>
                <w:color w:val="auto"/>
              </w:rPr>
            </w:pPr>
          </w:p>
        </w:tc>
        <w:tc>
          <w:tcPr>
            <w:tcW w:w="120" w:type="dxa"/>
            <w:vAlign w:val="bottom"/>
            <w:shd w:val="clear" w:color="auto" w:fill="F2F2F2"/>
          </w:tcPr>
          <w:p>
            <w:pPr>
              <w:spacing w:after="0"/>
              <w:rPr>
                <w:sz w:val="11"/>
                <w:szCs w:val="11"/>
                <w:color w:val="auto"/>
              </w:rPr>
            </w:pPr>
          </w:p>
        </w:tc>
        <w:tc>
          <w:tcPr>
            <w:tcW w:w="440" w:type="dxa"/>
            <w:vAlign w:val="bottom"/>
            <w:shd w:val="clear" w:color="auto" w:fill="F2F2F2"/>
          </w:tcPr>
          <w:p>
            <w:pPr>
              <w:jc w:val="center"/>
              <w:ind w:right="62"/>
              <w:spacing w:after="0"/>
              <w:rPr>
                <w:sz w:val="20"/>
                <w:szCs w:val="20"/>
                <w:color w:val="auto"/>
              </w:rPr>
            </w:pPr>
            <w:r>
              <w:rPr>
                <w:rFonts w:ascii="Arial" w:cs="Arial" w:eastAsia="Arial" w:hAnsi="Arial"/>
                <w:sz w:val="11"/>
                <w:szCs w:val="11"/>
                <w:b w:val="1"/>
                <w:bCs w:val="1"/>
                <w:color w:val="auto"/>
                <w:w w:val="93"/>
              </w:rPr>
              <w:t>Years</w:t>
            </w:r>
          </w:p>
        </w:tc>
        <w:tc>
          <w:tcPr>
            <w:tcW w:w="80" w:type="dxa"/>
            <w:vAlign w:val="bottom"/>
            <w:shd w:val="clear" w:color="auto" w:fill="F2F2F2"/>
          </w:tcPr>
          <w:p>
            <w:pPr>
              <w:spacing w:after="0"/>
              <w:rPr>
                <w:sz w:val="11"/>
                <w:szCs w:val="11"/>
                <w:color w:val="auto"/>
              </w:rPr>
            </w:pPr>
          </w:p>
        </w:tc>
        <w:tc>
          <w:tcPr>
            <w:tcW w:w="860" w:type="dxa"/>
            <w:vAlign w:val="bottom"/>
            <w:gridSpan w:val="3"/>
            <w:shd w:val="clear" w:color="auto" w:fill="F2F2F2"/>
          </w:tcPr>
          <w:p>
            <w:pPr>
              <w:jc w:val="center"/>
              <w:ind w:left="85"/>
              <w:spacing w:after="0"/>
              <w:rPr>
                <w:sz w:val="20"/>
                <w:szCs w:val="20"/>
                <w:color w:val="auto"/>
              </w:rPr>
            </w:pPr>
            <w:r>
              <w:rPr>
                <w:rFonts w:ascii="Arial" w:cs="Arial" w:eastAsia="Arial" w:hAnsi="Arial"/>
                <w:sz w:val="11"/>
                <w:szCs w:val="11"/>
                <w:b w:val="1"/>
                <w:bCs w:val="1"/>
                <w:color w:val="auto"/>
              </w:rPr>
              <w:t>Accumulated</w:t>
            </w:r>
          </w:p>
        </w:tc>
        <w:tc>
          <w:tcPr>
            <w:tcW w:w="40" w:type="dxa"/>
            <w:vAlign w:val="bottom"/>
            <w:shd w:val="clear" w:color="auto" w:fill="F2F2F2"/>
          </w:tcPr>
          <w:p>
            <w:pPr>
              <w:spacing w:after="0"/>
              <w:rPr>
                <w:sz w:val="11"/>
                <w:szCs w:val="11"/>
                <w:color w:val="auto"/>
              </w:rPr>
            </w:pPr>
          </w:p>
        </w:tc>
        <w:tc>
          <w:tcPr>
            <w:tcW w:w="100" w:type="dxa"/>
            <w:vAlign w:val="bottom"/>
            <w:shd w:val="clear" w:color="auto" w:fill="F2F2F2"/>
          </w:tcPr>
          <w:p>
            <w:pPr>
              <w:spacing w:after="0"/>
              <w:rPr>
                <w:sz w:val="11"/>
                <w:szCs w:val="11"/>
                <w:color w:val="auto"/>
              </w:rPr>
            </w:pPr>
          </w:p>
        </w:tc>
        <w:tc>
          <w:tcPr>
            <w:tcW w:w="700" w:type="dxa"/>
            <w:vAlign w:val="bottom"/>
            <w:shd w:val="clear" w:color="auto" w:fill="F2F2F2"/>
          </w:tcPr>
          <w:p>
            <w:pPr>
              <w:spacing w:after="0"/>
              <w:rPr>
                <w:sz w:val="11"/>
                <w:szCs w:val="11"/>
                <w:color w:val="auto"/>
              </w:rPr>
            </w:pPr>
          </w:p>
        </w:tc>
        <w:tc>
          <w:tcPr>
            <w:tcW w:w="80" w:type="dxa"/>
            <w:vAlign w:val="bottom"/>
            <w:shd w:val="clear" w:color="auto" w:fill="F2F2F2"/>
          </w:tcPr>
          <w:p>
            <w:pPr>
              <w:spacing w:after="0"/>
              <w:rPr>
                <w:sz w:val="11"/>
                <w:szCs w:val="11"/>
                <w:color w:val="auto"/>
              </w:rPr>
            </w:pPr>
          </w:p>
        </w:tc>
        <w:tc>
          <w:tcPr>
            <w:tcW w:w="40" w:type="dxa"/>
            <w:vAlign w:val="bottom"/>
            <w:shd w:val="clear" w:color="auto" w:fill="F2F2F2"/>
          </w:tcPr>
          <w:p>
            <w:pPr>
              <w:spacing w:after="0"/>
              <w:rPr>
                <w:sz w:val="11"/>
                <w:szCs w:val="11"/>
                <w:color w:val="auto"/>
              </w:rPr>
            </w:pPr>
          </w:p>
        </w:tc>
        <w:tc>
          <w:tcPr>
            <w:tcW w:w="120" w:type="dxa"/>
            <w:vAlign w:val="bottom"/>
            <w:shd w:val="clear" w:color="auto" w:fill="F2F2F2"/>
          </w:tcPr>
          <w:p>
            <w:pPr>
              <w:spacing w:after="0"/>
              <w:rPr>
                <w:sz w:val="11"/>
                <w:szCs w:val="11"/>
                <w:color w:val="auto"/>
              </w:rPr>
            </w:pPr>
          </w:p>
        </w:tc>
        <w:tc>
          <w:tcPr>
            <w:tcW w:w="780" w:type="dxa"/>
            <w:vAlign w:val="bottom"/>
            <w:shd w:val="clear" w:color="auto" w:fill="F2F2F2"/>
          </w:tcPr>
          <w:p>
            <w:pPr>
              <w:spacing w:after="0"/>
              <w:rPr>
                <w:sz w:val="11"/>
                <w:szCs w:val="11"/>
                <w:color w:val="auto"/>
              </w:rPr>
            </w:pPr>
          </w:p>
        </w:tc>
        <w:tc>
          <w:tcPr>
            <w:tcW w:w="80" w:type="dxa"/>
            <w:vAlign w:val="bottom"/>
            <w:shd w:val="clear" w:color="auto" w:fill="F2F2F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0" w:type="dxa"/>
            <w:vAlign w:val="bottom"/>
            <w:shd w:val="clear" w:color="auto" w:fill="F2F2F2"/>
          </w:tcPr>
          <w:p>
            <w:pPr>
              <w:spacing w:after="0"/>
              <w:rPr>
                <w:sz w:val="11"/>
                <w:szCs w:val="11"/>
                <w:color w:val="auto"/>
              </w:rPr>
            </w:pPr>
          </w:p>
        </w:tc>
        <w:tc>
          <w:tcPr>
            <w:tcW w:w="180" w:type="dxa"/>
            <w:vAlign w:val="bottom"/>
            <w:shd w:val="clear" w:color="auto" w:fill="F2F2F2"/>
          </w:tcPr>
          <w:p>
            <w:pPr>
              <w:spacing w:after="0"/>
              <w:rPr>
                <w:sz w:val="11"/>
                <w:szCs w:val="11"/>
                <w:color w:val="auto"/>
              </w:rPr>
            </w:pPr>
          </w:p>
        </w:tc>
        <w:tc>
          <w:tcPr>
            <w:tcW w:w="160" w:type="dxa"/>
            <w:vAlign w:val="bottom"/>
            <w:tcBorders>
              <w:right w:val="single" w:sz="8" w:color="F2F2F2"/>
            </w:tcBorders>
            <w:shd w:val="clear" w:color="auto" w:fill="F2F2F2"/>
          </w:tcPr>
          <w:p>
            <w:pPr>
              <w:spacing w:after="0"/>
              <w:rPr>
                <w:sz w:val="11"/>
                <w:szCs w:val="11"/>
                <w:color w:val="auto"/>
              </w:rPr>
            </w:pPr>
          </w:p>
        </w:tc>
        <w:tc>
          <w:tcPr>
            <w:tcW w:w="820" w:type="dxa"/>
            <w:vAlign w:val="bottom"/>
            <w:shd w:val="clear" w:color="auto" w:fill="F2F2F2"/>
          </w:tcPr>
          <w:p>
            <w:pPr>
              <w:spacing w:after="0"/>
              <w:rPr>
                <w:sz w:val="11"/>
                <w:szCs w:val="11"/>
                <w:color w:val="auto"/>
              </w:rPr>
            </w:pPr>
          </w:p>
        </w:tc>
        <w:tc>
          <w:tcPr>
            <w:tcW w:w="160" w:type="dxa"/>
            <w:vAlign w:val="bottom"/>
            <w:tcBorders>
              <w:right w:val="single" w:sz="8" w:color="F2F2F2"/>
            </w:tcBorders>
            <w:shd w:val="clear" w:color="auto" w:fill="F2F2F2"/>
          </w:tcPr>
          <w:p>
            <w:pPr>
              <w:spacing w:after="0"/>
              <w:rPr>
                <w:sz w:val="11"/>
                <w:szCs w:val="11"/>
                <w:color w:val="auto"/>
              </w:rPr>
            </w:pPr>
          </w:p>
        </w:tc>
        <w:tc>
          <w:tcPr>
            <w:tcW w:w="560" w:type="dxa"/>
            <w:vAlign w:val="bottom"/>
            <w:shd w:val="clear" w:color="auto" w:fill="F2F2F2"/>
          </w:tcPr>
          <w:p>
            <w:pPr>
              <w:jc w:val="center"/>
              <w:ind w:right="223"/>
              <w:spacing w:after="0"/>
              <w:rPr>
                <w:sz w:val="20"/>
                <w:szCs w:val="20"/>
                <w:color w:val="auto"/>
              </w:rPr>
            </w:pPr>
            <w:r>
              <w:rPr>
                <w:rFonts w:ascii="Arial" w:cs="Arial" w:eastAsia="Arial" w:hAnsi="Arial"/>
                <w:sz w:val="11"/>
                <w:szCs w:val="11"/>
                <w:b w:val="1"/>
                <w:bCs w:val="1"/>
                <w:color w:val="auto"/>
                <w:w w:val="98"/>
              </w:rPr>
              <w:t>Fair</w:t>
            </w:r>
          </w:p>
        </w:tc>
        <w:tc>
          <w:tcPr>
            <w:tcW w:w="140" w:type="dxa"/>
            <w:vAlign w:val="bottom"/>
            <w:shd w:val="clear" w:color="auto" w:fill="F2F2F2"/>
          </w:tcPr>
          <w:p>
            <w:pPr>
              <w:spacing w:after="0"/>
              <w:rPr>
                <w:sz w:val="11"/>
                <w:szCs w:val="11"/>
                <w:color w:val="auto"/>
              </w:rPr>
            </w:pPr>
          </w:p>
        </w:tc>
        <w:tc>
          <w:tcPr>
            <w:tcW w:w="760" w:type="dxa"/>
            <w:vAlign w:val="bottom"/>
            <w:gridSpan w:val="3"/>
            <w:shd w:val="clear" w:color="auto" w:fill="F2F2F2"/>
          </w:tcPr>
          <w:p>
            <w:pPr>
              <w:jc w:val="center"/>
              <w:spacing w:after="0"/>
              <w:rPr>
                <w:sz w:val="20"/>
                <w:szCs w:val="20"/>
                <w:color w:val="auto"/>
              </w:rPr>
            </w:pPr>
            <w:r>
              <w:rPr>
                <w:rFonts w:ascii="Arial" w:cs="Arial" w:eastAsia="Arial" w:hAnsi="Arial"/>
                <w:sz w:val="11"/>
                <w:szCs w:val="11"/>
                <w:b w:val="1"/>
                <w:bCs w:val="1"/>
                <w:color w:val="auto"/>
                <w:w w:val="99"/>
              </w:rPr>
              <w:t>End of</w:t>
            </w:r>
          </w:p>
        </w:tc>
        <w:tc>
          <w:tcPr>
            <w:tcW w:w="360" w:type="dxa"/>
            <w:vAlign w:val="bottom"/>
            <w:shd w:val="clear" w:color="auto" w:fill="F2F2F2"/>
          </w:tcPr>
          <w:p>
            <w:pPr>
              <w:spacing w:after="0"/>
              <w:rPr>
                <w:sz w:val="11"/>
                <w:szCs w:val="11"/>
                <w:color w:val="auto"/>
              </w:rPr>
            </w:pPr>
          </w:p>
        </w:tc>
        <w:tc>
          <w:tcPr>
            <w:tcW w:w="560" w:type="dxa"/>
            <w:vAlign w:val="bottom"/>
            <w:gridSpan w:val="3"/>
            <w:shd w:val="clear" w:color="auto" w:fill="F2F2F2"/>
          </w:tcPr>
          <w:p>
            <w:pPr>
              <w:jc w:val="center"/>
              <w:ind w:right="222"/>
              <w:spacing w:after="0"/>
              <w:rPr>
                <w:sz w:val="20"/>
                <w:szCs w:val="20"/>
                <w:color w:val="auto"/>
              </w:rPr>
            </w:pPr>
            <w:r>
              <w:rPr>
                <w:rFonts w:ascii="Arial" w:cs="Arial" w:eastAsia="Arial" w:hAnsi="Arial"/>
                <w:sz w:val="11"/>
                <w:szCs w:val="11"/>
                <w:b w:val="1"/>
                <w:bCs w:val="1"/>
                <w:color w:val="auto"/>
              </w:rPr>
              <w:t>and</w:t>
            </w:r>
          </w:p>
        </w:tc>
        <w:tc>
          <w:tcPr>
            <w:tcW w:w="140" w:type="dxa"/>
            <w:vAlign w:val="bottom"/>
            <w:shd w:val="clear" w:color="auto" w:fill="F2F2F2"/>
          </w:tcPr>
          <w:p>
            <w:pPr>
              <w:spacing w:after="0"/>
              <w:rPr>
                <w:sz w:val="11"/>
                <w:szCs w:val="11"/>
                <w:color w:val="auto"/>
              </w:rPr>
            </w:pPr>
          </w:p>
        </w:tc>
        <w:tc>
          <w:tcPr>
            <w:tcW w:w="820" w:type="dxa"/>
            <w:vAlign w:val="bottom"/>
            <w:shd w:val="clear" w:color="auto" w:fill="F2F2F2"/>
          </w:tcPr>
          <w:p>
            <w:pPr>
              <w:jc w:val="center"/>
              <w:spacing w:after="0"/>
              <w:rPr>
                <w:sz w:val="20"/>
                <w:szCs w:val="20"/>
                <w:color w:val="auto"/>
              </w:rPr>
            </w:pPr>
            <w:r>
              <w:rPr>
                <w:rFonts w:ascii="Arial" w:cs="Arial" w:eastAsia="Arial" w:hAnsi="Arial"/>
                <w:sz w:val="11"/>
                <w:szCs w:val="11"/>
                <w:b w:val="1"/>
                <w:bCs w:val="1"/>
                <w:color w:val="auto"/>
              </w:rPr>
              <w:t>Vesting of</w:t>
            </w:r>
          </w:p>
        </w:tc>
        <w:tc>
          <w:tcPr>
            <w:tcW w:w="40" w:type="dxa"/>
            <w:vAlign w:val="bottom"/>
            <w:shd w:val="clear" w:color="auto" w:fill="F2F2F2"/>
          </w:tcPr>
          <w:p>
            <w:pPr>
              <w:spacing w:after="0"/>
              <w:rPr>
                <w:sz w:val="11"/>
                <w:szCs w:val="11"/>
                <w:color w:val="auto"/>
              </w:rPr>
            </w:pPr>
          </w:p>
        </w:tc>
        <w:tc>
          <w:tcPr>
            <w:tcW w:w="120" w:type="dxa"/>
            <w:vAlign w:val="bottom"/>
            <w:shd w:val="clear" w:color="auto" w:fill="F2F2F2"/>
          </w:tcPr>
          <w:p>
            <w:pPr>
              <w:spacing w:after="0"/>
              <w:rPr>
                <w:sz w:val="11"/>
                <w:szCs w:val="11"/>
                <w:color w:val="auto"/>
              </w:rPr>
            </w:pPr>
          </w:p>
        </w:tc>
        <w:tc>
          <w:tcPr>
            <w:tcW w:w="40" w:type="dxa"/>
            <w:vAlign w:val="bottom"/>
            <w:shd w:val="clear" w:color="auto" w:fill="F2F2F2"/>
          </w:tcPr>
          <w:p>
            <w:pPr>
              <w:spacing w:after="0"/>
              <w:rPr>
                <w:sz w:val="11"/>
                <w:szCs w:val="11"/>
                <w:color w:val="auto"/>
              </w:rPr>
            </w:pPr>
          </w:p>
        </w:tc>
        <w:tc>
          <w:tcPr>
            <w:tcW w:w="880" w:type="dxa"/>
            <w:vAlign w:val="bottom"/>
            <w:gridSpan w:val="2"/>
            <w:shd w:val="clear" w:color="auto" w:fill="F2F2F2"/>
          </w:tcPr>
          <w:p>
            <w:pPr>
              <w:jc w:val="center"/>
              <w:ind w:right="160"/>
              <w:spacing w:after="0"/>
              <w:rPr>
                <w:sz w:val="20"/>
                <w:szCs w:val="20"/>
                <w:color w:val="auto"/>
              </w:rPr>
            </w:pPr>
            <w:r>
              <w:rPr>
                <w:rFonts w:ascii="Arial" w:cs="Arial" w:eastAsia="Arial" w:hAnsi="Arial"/>
                <w:sz w:val="11"/>
                <w:szCs w:val="11"/>
                <w:b w:val="1"/>
                <w:bCs w:val="1"/>
                <w:color w:val="auto"/>
              </w:rPr>
              <w:t>Years for</w:t>
            </w:r>
          </w:p>
        </w:tc>
        <w:tc>
          <w:tcPr>
            <w:tcW w:w="100" w:type="dxa"/>
            <w:vAlign w:val="bottom"/>
            <w:shd w:val="clear" w:color="auto" w:fill="F2F2F2"/>
          </w:tcPr>
          <w:p>
            <w:pPr>
              <w:spacing w:after="0"/>
              <w:rPr>
                <w:sz w:val="11"/>
                <w:szCs w:val="11"/>
                <w:color w:val="auto"/>
              </w:rPr>
            </w:pPr>
          </w:p>
        </w:tc>
        <w:tc>
          <w:tcPr>
            <w:tcW w:w="600" w:type="dxa"/>
            <w:vAlign w:val="bottom"/>
            <w:gridSpan w:val="3"/>
            <w:shd w:val="clear" w:color="auto" w:fill="F2F2F2"/>
          </w:tcPr>
          <w:p>
            <w:pPr>
              <w:jc w:val="center"/>
              <w:spacing w:after="0"/>
              <w:rPr>
                <w:sz w:val="20"/>
                <w:szCs w:val="20"/>
                <w:color w:val="auto"/>
              </w:rPr>
            </w:pPr>
            <w:r>
              <w:rPr>
                <w:rFonts w:ascii="Arial" w:cs="Arial" w:eastAsia="Arial" w:hAnsi="Arial"/>
                <w:sz w:val="11"/>
                <w:szCs w:val="11"/>
                <w:b w:val="1"/>
                <w:bCs w:val="1"/>
                <w:color w:val="auto"/>
              </w:rPr>
              <w:t>that Failed</w:t>
            </w:r>
          </w:p>
        </w:tc>
        <w:tc>
          <w:tcPr>
            <w:tcW w:w="80" w:type="dxa"/>
            <w:vAlign w:val="bottom"/>
            <w:shd w:val="clear" w:color="auto" w:fill="F2F2F2"/>
          </w:tcPr>
          <w:p>
            <w:pPr>
              <w:spacing w:after="0"/>
              <w:rPr>
                <w:sz w:val="11"/>
                <w:szCs w:val="11"/>
                <w:color w:val="auto"/>
              </w:rPr>
            </w:pPr>
          </w:p>
        </w:tc>
        <w:tc>
          <w:tcPr>
            <w:tcW w:w="760" w:type="dxa"/>
            <w:vAlign w:val="bottom"/>
            <w:gridSpan w:val="2"/>
            <w:shd w:val="clear" w:color="auto" w:fill="F2F2F2"/>
          </w:tcPr>
          <w:p>
            <w:pPr>
              <w:jc w:val="center"/>
              <w:ind w:left="185"/>
              <w:spacing w:after="0"/>
              <w:rPr>
                <w:sz w:val="20"/>
                <w:szCs w:val="20"/>
                <w:color w:val="auto"/>
              </w:rPr>
            </w:pPr>
            <w:r>
              <w:rPr>
                <w:rFonts w:ascii="Arial" w:cs="Arial" w:eastAsia="Arial" w:hAnsi="Arial"/>
                <w:sz w:val="11"/>
                <w:szCs w:val="11"/>
                <w:b w:val="1"/>
                <w:bCs w:val="1"/>
                <w:color w:val="auto"/>
              </w:rPr>
              <w:t>Benefts</w:t>
            </w:r>
          </w:p>
        </w:tc>
        <w:tc>
          <w:tcPr>
            <w:tcW w:w="100" w:type="dxa"/>
            <w:vAlign w:val="bottom"/>
            <w:shd w:val="clear" w:color="auto" w:fill="F2F2F2"/>
          </w:tcPr>
          <w:p>
            <w:pPr>
              <w:spacing w:after="0"/>
              <w:rPr>
                <w:sz w:val="11"/>
                <w:szCs w:val="11"/>
                <w:color w:val="auto"/>
              </w:rPr>
            </w:pPr>
          </w:p>
        </w:tc>
        <w:tc>
          <w:tcPr>
            <w:tcW w:w="40" w:type="dxa"/>
            <w:vAlign w:val="bottom"/>
            <w:shd w:val="clear" w:color="auto" w:fill="F2F2F2"/>
          </w:tcPr>
          <w:p>
            <w:pPr>
              <w:spacing w:after="0"/>
              <w:rPr>
                <w:sz w:val="11"/>
                <w:szCs w:val="11"/>
                <w:color w:val="auto"/>
              </w:rPr>
            </w:pPr>
          </w:p>
        </w:tc>
        <w:tc>
          <w:tcPr>
            <w:tcW w:w="100" w:type="dxa"/>
            <w:vAlign w:val="bottom"/>
            <w:shd w:val="clear" w:color="auto" w:fill="F2F2F2"/>
          </w:tcPr>
          <w:p>
            <w:pPr>
              <w:spacing w:after="0"/>
              <w:rPr>
                <w:sz w:val="11"/>
                <w:szCs w:val="11"/>
                <w:color w:val="auto"/>
              </w:rPr>
            </w:pPr>
          </w:p>
        </w:tc>
        <w:tc>
          <w:tcPr>
            <w:tcW w:w="700" w:type="dxa"/>
            <w:vAlign w:val="bottom"/>
            <w:shd w:val="clear" w:color="auto" w:fill="F2F2F2"/>
          </w:tcPr>
          <w:p>
            <w:pPr>
              <w:jc w:val="center"/>
              <w:ind w:left="5"/>
              <w:spacing w:after="0"/>
              <w:rPr>
                <w:sz w:val="20"/>
                <w:szCs w:val="20"/>
                <w:color w:val="auto"/>
              </w:rPr>
            </w:pPr>
            <w:r>
              <w:rPr>
                <w:rFonts w:ascii="Arial" w:cs="Arial" w:eastAsia="Arial" w:hAnsi="Arial"/>
                <w:sz w:val="11"/>
                <w:szCs w:val="11"/>
                <w:b w:val="1"/>
                <w:bCs w:val="1"/>
                <w:color w:val="auto"/>
                <w:w w:val="97"/>
              </w:rPr>
              <w:t>Plus Service</w:t>
            </w:r>
          </w:p>
        </w:tc>
        <w:tc>
          <w:tcPr>
            <w:tcW w:w="80" w:type="dxa"/>
            <w:vAlign w:val="bottom"/>
            <w:shd w:val="clear" w:color="auto" w:fill="F2F2F2"/>
          </w:tcPr>
          <w:p>
            <w:pPr>
              <w:spacing w:after="0"/>
              <w:rPr>
                <w:sz w:val="11"/>
                <w:szCs w:val="11"/>
                <w:color w:val="auto"/>
              </w:rPr>
            </w:pPr>
          </w:p>
        </w:tc>
        <w:tc>
          <w:tcPr>
            <w:tcW w:w="40" w:type="dxa"/>
            <w:vAlign w:val="bottom"/>
            <w:shd w:val="clear" w:color="auto" w:fill="F2F2F2"/>
          </w:tcPr>
          <w:p>
            <w:pPr>
              <w:spacing w:after="0"/>
              <w:rPr>
                <w:sz w:val="11"/>
                <w:szCs w:val="11"/>
                <w:color w:val="auto"/>
              </w:rPr>
            </w:pPr>
          </w:p>
        </w:tc>
        <w:tc>
          <w:tcPr>
            <w:tcW w:w="120" w:type="dxa"/>
            <w:vAlign w:val="bottom"/>
            <w:shd w:val="clear" w:color="auto" w:fill="F2F2F2"/>
          </w:tcPr>
          <w:p>
            <w:pPr>
              <w:spacing w:after="0"/>
              <w:rPr>
                <w:sz w:val="11"/>
                <w:szCs w:val="11"/>
                <w:color w:val="auto"/>
              </w:rPr>
            </w:pPr>
          </w:p>
        </w:tc>
        <w:tc>
          <w:tcPr>
            <w:tcW w:w="780" w:type="dxa"/>
            <w:vAlign w:val="bottom"/>
            <w:shd w:val="clear" w:color="auto" w:fill="F2F2F2"/>
          </w:tcPr>
          <w:p>
            <w:pPr>
              <w:spacing w:after="0"/>
              <w:rPr>
                <w:sz w:val="11"/>
                <w:szCs w:val="11"/>
                <w:color w:val="auto"/>
              </w:rPr>
            </w:pPr>
          </w:p>
        </w:tc>
        <w:tc>
          <w:tcPr>
            <w:tcW w:w="80" w:type="dxa"/>
            <w:vAlign w:val="bottom"/>
            <w:shd w:val="clear" w:color="auto" w:fill="F2F2F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0" w:type="dxa"/>
            <w:vAlign w:val="bottom"/>
            <w:shd w:val="clear" w:color="auto" w:fill="F2F2F2"/>
          </w:tcPr>
          <w:p>
            <w:pPr>
              <w:spacing w:after="0"/>
              <w:rPr>
                <w:sz w:val="11"/>
                <w:szCs w:val="11"/>
                <w:color w:val="auto"/>
              </w:rPr>
            </w:pPr>
          </w:p>
        </w:tc>
        <w:tc>
          <w:tcPr>
            <w:tcW w:w="180" w:type="dxa"/>
            <w:vAlign w:val="bottom"/>
            <w:shd w:val="clear" w:color="auto" w:fill="F2F2F2"/>
          </w:tcPr>
          <w:p>
            <w:pPr>
              <w:spacing w:after="0"/>
              <w:rPr>
                <w:sz w:val="11"/>
                <w:szCs w:val="11"/>
                <w:color w:val="auto"/>
              </w:rPr>
            </w:pPr>
          </w:p>
        </w:tc>
        <w:tc>
          <w:tcPr>
            <w:tcW w:w="160" w:type="dxa"/>
            <w:vAlign w:val="bottom"/>
            <w:tcBorders>
              <w:right w:val="single" w:sz="8" w:color="F2F2F2"/>
            </w:tcBorders>
            <w:shd w:val="clear" w:color="auto" w:fill="F2F2F2"/>
          </w:tcPr>
          <w:p>
            <w:pPr>
              <w:spacing w:after="0"/>
              <w:rPr>
                <w:sz w:val="11"/>
                <w:szCs w:val="11"/>
                <w:color w:val="auto"/>
              </w:rPr>
            </w:pPr>
          </w:p>
        </w:tc>
        <w:tc>
          <w:tcPr>
            <w:tcW w:w="820" w:type="dxa"/>
            <w:vAlign w:val="bottom"/>
            <w:shd w:val="clear" w:color="auto" w:fill="F2F2F2"/>
          </w:tcPr>
          <w:p>
            <w:pPr>
              <w:spacing w:after="0"/>
              <w:rPr>
                <w:sz w:val="11"/>
                <w:szCs w:val="11"/>
                <w:color w:val="auto"/>
              </w:rPr>
            </w:pPr>
          </w:p>
        </w:tc>
        <w:tc>
          <w:tcPr>
            <w:tcW w:w="720" w:type="dxa"/>
            <w:vAlign w:val="bottom"/>
            <w:gridSpan w:val="2"/>
            <w:shd w:val="clear" w:color="auto" w:fill="F2F2F2"/>
          </w:tcPr>
          <w:p>
            <w:pPr>
              <w:jc w:val="center"/>
              <w:ind w:right="63"/>
              <w:spacing w:after="0"/>
              <w:rPr>
                <w:sz w:val="20"/>
                <w:szCs w:val="20"/>
                <w:color w:val="auto"/>
              </w:rPr>
            </w:pPr>
            <w:r>
              <w:rPr>
                <w:rFonts w:ascii="Arial" w:cs="Arial" w:eastAsia="Arial" w:hAnsi="Arial"/>
                <w:sz w:val="11"/>
                <w:szCs w:val="11"/>
                <w:b w:val="1"/>
                <w:bCs w:val="1"/>
                <w:color w:val="auto"/>
              </w:rPr>
              <w:t>Value of</w:t>
            </w:r>
          </w:p>
        </w:tc>
        <w:tc>
          <w:tcPr>
            <w:tcW w:w="140" w:type="dxa"/>
            <w:vAlign w:val="bottom"/>
            <w:shd w:val="clear" w:color="auto" w:fill="F2F2F2"/>
          </w:tcPr>
          <w:p>
            <w:pPr>
              <w:spacing w:after="0"/>
              <w:rPr>
                <w:sz w:val="11"/>
                <w:szCs w:val="11"/>
                <w:color w:val="auto"/>
              </w:rPr>
            </w:pPr>
          </w:p>
        </w:tc>
        <w:tc>
          <w:tcPr>
            <w:tcW w:w="760" w:type="dxa"/>
            <w:vAlign w:val="bottom"/>
            <w:gridSpan w:val="3"/>
            <w:shd w:val="clear" w:color="auto" w:fill="F2F2F2"/>
          </w:tcPr>
          <w:p>
            <w:pPr>
              <w:jc w:val="center"/>
              <w:spacing w:after="0"/>
              <w:rPr>
                <w:sz w:val="20"/>
                <w:szCs w:val="20"/>
                <w:color w:val="auto"/>
              </w:rPr>
            </w:pPr>
            <w:r>
              <w:rPr>
                <w:rFonts w:ascii="Arial" w:cs="Arial" w:eastAsia="Arial" w:hAnsi="Arial"/>
                <w:sz w:val="11"/>
                <w:szCs w:val="11"/>
                <w:b w:val="1"/>
                <w:bCs w:val="1"/>
                <w:color w:val="auto"/>
              </w:rPr>
              <w:t>Outstanding</w:t>
            </w:r>
          </w:p>
        </w:tc>
        <w:tc>
          <w:tcPr>
            <w:tcW w:w="920" w:type="dxa"/>
            <w:vAlign w:val="bottom"/>
            <w:gridSpan w:val="4"/>
            <w:shd w:val="clear" w:color="auto" w:fill="F2F2F2"/>
          </w:tcPr>
          <w:p>
            <w:pPr>
              <w:jc w:val="center"/>
              <w:ind w:left="24"/>
              <w:spacing w:after="0"/>
              <w:rPr>
                <w:sz w:val="20"/>
                <w:szCs w:val="20"/>
                <w:color w:val="auto"/>
              </w:rPr>
            </w:pPr>
            <w:r>
              <w:rPr>
                <w:rFonts w:ascii="Arial" w:cs="Arial" w:eastAsia="Arial" w:hAnsi="Arial"/>
                <w:sz w:val="11"/>
                <w:szCs w:val="11"/>
                <w:b w:val="1"/>
                <w:bCs w:val="1"/>
                <w:color w:val="auto"/>
              </w:rPr>
              <w:t>Unvested</w:t>
            </w:r>
          </w:p>
        </w:tc>
        <w:tc>
          <w:tcPr>
            <w:tcW w:w="140" w:type="dxa"/>
            <w:vAlign w:val="bottom"/>
            <w:shd w:val="clear" w:color="auto" w:fill="F2F2F2"/>
          </w:tcPr>
          <w:p>
            <w:pPr>
              <w:spacing w:after="0"/>
              <w:rPr>
                <w:sz w:val="11"/>
                <w:szCs w:val="11"/>
                <w:color w:val="auto"/>
              </w:rPr>
            </w:pPr>
          </w:p>
        </w:tc>
        <w:tc>
          <w:tcPr>
            <w:tcW w:w="820" w:type="dxa"/>
            <w:vAlign w:val="bottom"/>
            <w:shd w:val="clear" w:color="auto" w:fill="F2F2F2"/>
          </w:tcPr>
          <w:p>
            <w:pPr>
              <w:jc w:val="right"/>
              <w:ind w:right="64"/>
              <w:spacing w:after="0"/>
              <w:rPr>
                <w:sz w:val="20"/>
                <w:szCs w:val="20"/>
                <w:color w:val="auto"/>
              </w:rPr>
            </w:pPr>
            <w:r>
              <w:rPr>
                <w:rFonts w:ascii="Arial" w:cs="Arial" w:eastAsia="Arial" w:hAnsi="Arial"/>
                <w:sz w:val="11"/>
                <w:szCs w:val="11"/>
                <w:b w:val="1"/>
                <w:bCs w:val="1"/>
                <w:color w:val="auto"/>
              </w:rPr>
              <w:t>Option and</w:t>
            </w:r>
          </w:p>
        </w:tc>
        <w:tc>
          <w:tcPr>
            <w:tcW w:w="40" w:type="dxa"/>
            <w:vAlign w:val="bottom"/>
            <w:shd w:val="clear" w:color="auto" w:fill="F2F2F2"/>
          </w:tcPr>
          <w:p>
            <w:pPr>
              <w:spacing w:after="0"/>
              <w:rPr>
                <w:sz w:val="11"/>
                <w:szCs w:val="11"/>
                <w:color w:val="auto"/>
              </w:rPr>
            </w:pPr>
          </w:p>
        </w:tc>
        <w:tc>
          <w:tcPr>
            <w:tcW w:w="1000" w:type="dxa"/>
            <w:vAlign w:val="bottom"/>
            <w:gridSpan w:val="3"/>
            <w:shd w:val="clear" w:color="auto" w:fill="F2F2F2"/>
          </w:tcPr>
          <w:p>
            <w:pPr>
              <w:jc w:val="center"/>
              <w:spacing w:after="0"/>
              <w:rPr>
                <w:sz w:val="20"/>
                <w:szCs w:val="20"/>
                <w:color w:val="auto"/>
              </w:rPr>
            </w:pPr>
            <w:r>
              <w:rPr>
                <w:rFonts w:ascii="Arial" w:cs="Arial" w:eastAsia="Arial" w:hAnsi="Arial"/>
                <w:sz w:val="11"/>
                <w:szCs w:val="11"/>
                <w:b w:val="1"/>
                <w:bCs w:val="1"/>
                <w:color w:val="auto"/>
              </w:rPr>
              <w:t>which Applicable</w:t>
            </w:r>
          </w:p>
        </w:tc>
        <w:tc>
          <w:tcPr>
            <w:tcW w:w="40" w:type="dxa"/>
            <w:vAlign w:val="bottom"/>
            <w:shd w:val="clear" w:color="auto" w:fill="F2F2F2"/>
          </w:tcPr>
          <w:p>
            <w:pPr>
              <w:spacing w:after="0"/>
              <w:rPr>
                <w:sz w:val="11"/>
                <w:szCs w:val="11"/>
                <w:color w:val="auto"/>
              </w:rPr>
            </w:pPr>
          </w:p>
        </w:tc>
        <w:tc>
          <w:tcPr>
            <w:tcW w:w="100" w:type="dxa"/>
            <w:vAlign w:val="bottom"/>
            <w:shd w:val="clear" w:color="auto" w:fill="F2F2F2"/>
          </w:tcPr>
          <w:p>
            <w:pPr>
              <w:spacing w:after="0"/>
              <w:rPr>
                <w:sz w:val="11"/>
                <w:szCs w:val="11"/>
                <w:color w:val="auto"/>
              </w:rPr>
            </w:pPr>
          </w:p>
        </w:tc>
        <w:tc>
          <w:tcPr>
            <w:tcW w:w="40" w:type="dxa"/>
            <w:vAlign w:val="bottom"/>
            <w:shd w:val="clear" w:color="auto" w:fill="F2F2F2"/>
          </w:tcPr>
          <w:p>
            <w:pPr>
              <w:spacing w:after="0"/>
              <w:rPr>
                <w:sz w:val="11"/>
                <w:szCs w:val="11"/>
                <w:color w:val="auto"/>
              </w:rPr>
            </w:pPr>
          </w:p>
        </w:tc>
        <w:tc>
          <w:tcPr>
            <w:tcW w:w="560" w:type="dxa"/>
            <w:vAlign w:val="bottom"/>
            <w:gridSpan w:val="2"/>
            <w:shd w:val="clear" w:color="auto" w:fill="F2F2F2"/>
          </w:tcPr>
          <w:p>
            <w:pPr>
              <w:jc w:val="center"/>
              <w:spacing w:after="0"/>
              <w:rPr>
                <w:sz w:val="20"/>
                <w:szCs w:val="20"/>
                <w:color w:val="auto"/>
              </w:rPr>
            </w:pPr>
            <w:r>
              <w:rPr>
                <w:rFonts w:ascii="Arial" w:cs="Arial" w:eastAsia="Arial" w:hAnsi="Arial"/>
                <w:sz w:val="11"/>
                <w:szCs w:val="11"/>
                <w:b w:val="1"/>
                <w:bCs w:val="1"/>
                <w:color w:val="auto"/>
              </w:rPr>
              <w:t>to Meet</w:t>
            </w:r>
          </w:p>
        </w:tc>
        <w:tc>
          <w:tcPr>
            <w:tcW w:w="80" w:type="dxa"/>
            <w:vAlign w:val="bottom"/>
            <w:shd w:val="clear" w:color="auto" w:fill="F2F2F2"/>
          </w:tcPr>
          <w:p>
            <w:pPr>
              <w:spacing w:after="0"/>
              <w:rPr>
                <w:sz w:val="11"/>
                <w:szCs w:val="11"/>
                <w:color w:val="auto"/>
              </w:rPr>
            </w:pPr>
          </w:p>
        </w:tc>
        <w:tc>
          <w:tcPr>
            <w:tcW w:w="760" w:type="dxa"/>
            <w:vAlign w:val="bottom"/>
            <w:gridSpan w:val="2"/>
            <w:shd w:val="clear" w:color="auto" w:fill="F2F2F2"/>
          </w:tcPr>
          <w:p>
            <w:pPr>
              <w:jc w:val="center"/>
              <w:ind w:left="185"/>
              <w:spacing w:after="0"/>
              <w:rPr>
                <w:sz w:val="20"/>
                <w:szCs w:val="20"/>
                <w:color w:val="auto"/>
              </w:rPr>
            </w:pPr>
            <w:r>
              <w:rPr>
                <w:rFonts w:ascii="Arial" w:cs="Arial" w:eastAsia="Arial" w:hAnsi="Arial"/>
                <w:sz w:val="11"/>
                <w:szCs w:val="11"/>
                <w:b w:val="1"/>
                <w:bCs w:val="1"/>
                <w:color w:val="auto"/>
              </w:rPr>
              <w:t>Under</w:t>
            </w:r>
          </w:p>
        </w:tc>
        <w:tc>
          <w:tcPr>
            <w:tcW w:w="100" w:type="dxa"/>
            <w:vAlign w:val="bottom"/>
            <w:shd w:val="clear" w:color="auto" w:fill="F2F2F2"/>
          </w:tcPr>
          <w:p>
            <w:pPr>
              <w:spacing w:after="0"/>
              <w:rPr>
                <w:sz w:val="11"/>
                <w:szCs w:val="11"/>
                <w:color w:val="auto"/>
              </w:rPr>
            </w:pPr>
          </w:p>
        </w:tc>
        <w:tc>
          <w:tcPr>
            <w:tcW w:w="40" w:type="dxa"/>
            <w:vAlign w:val="bottom"/>
            <w:shd w:val="clear" w:color="auto" w:fill="F2F2F2"/>
          </w:tcPr>
          <w:p>
            <w:pPr>
              <w:spacing w:after="0"/>
              <w:rPr>
                <w:sz w:val="11"/>
                <w:szCs w:val="11"/>
                <w:color w:val="auto"/>
              </w:rPr>
            </w:pPr>
          </w:p>
        </w:tc>
        <w:tc>
          <w:tcPr>
            <w:tcW w:w="100" w:type="dxa"/>
            <w:vAlign w:val="bottom"/>
            <w:shd w:val="clear" w:color="auto" w:fill="F2F2F2"/>
          </w:tcPr>
          <w:p>
            <w:pPr>
              <w:spacing w:after="0"/>
              <w:rPr>
                <w:sz w:val="11"/>
                <w:szCs w:val="11"/>
                <w:color w:val="auto"/>
              </w:rPr>
            </w:pPr>
          </w:p>
        </w:tc>
        <w:tc>
          <w:tcPr>
            <w:tcW w:w="820" w:type="dxa"/>
            <w:vAlign w:val="bottom"/>
            <w:gridSpan w:val="3"/>
            <w:shd w:val="clear" w:color="auto" w:fill="F2F2F2"/>
          </w:tcPr>
          <w:p>
            <w:pPr>
              <w:jc w:val="center"/>
              <w:ind w:right="60"/>
              <w:spacing w:after="0"/>
              <w:rPr>
                <w:sz w:val="20"/>
                <w:szCs w:val="20"/>
                <w:color w:val="auto"/>
              </w:rPr>
            </w:pPr>
            <w:r>
              <w:rPr>
                <w:rFonts w:ascii="Arial" w:cs="Arial" w:eastAsia="Arial" w:hAnsi="Arial"/>
                <w:sz w:val="11"/>
                <w:szCs w:val="11"/>
                <w:b w:val="1"/>
                <w:bCs w:val="1"/>
                <w:color w:val="auto"/>
                <w:w w:val="97"/>
              </w:rPr>
              <w:t>Costs Under</w:t>
            </w:r>
          </w:p>
        </w:tc>
        <w:tc>
          <w:tcPr>
            <w:tcW w:w="120" w:type="dxa"/>
            <w:vAlign w:val="bottom"/>
            <w:shd w:val="clear" w:color="auto" w:fill="F2F2F2"/>
          </w:tcPr>
          <w:p>
            <w:pPr>
              <w:spacing w:after="0"/>
              <w:rPr>
                <w:sz w:val="11"/>
                <w:szCs w:val="11"/>
                <w:color w:val="auto"/>
              </w:rPr>
            </w:pPr>
          </w:p>
        </w:tc>
        <w:tc>
          <w:tcPr>
            <w:tcW w:w="780" w:type="dxa"/>
            <w:vAlign w:val="bottom"/>
            <w:shd w:val="clear" w:color="auto" w:fill="F2F2F2"/>
          </w:tcPr>
          <w:p>
            <w:pPr>
              <w:spacing w:after="0"/>
              <w:rPr>
                <w:sz w:val="11"/>
                <w:szCs w:val="11"/>
                <w:color w:val="auto"/>
              </w:rPr>
            </w:pPr>
          </w:p>
        </w:tc>
        <w:tc>
          <w:tcPr>
            <w:tcW w:w="80" w:type="dxa"/>
            <w:vAlign w:val="bottom"/>
            <w:shd w:val="clear" w:color="auto" w:fill="F2F2F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0" w:type="dxa"/>
            <w:vAlign w:val="bottom"/>
            <w:shd w:val="clear" w:color="auto" w:fill="F2F2F2"/>
          </w:tcPr>
          <w:p>
            <w:pPr>
              <w:spacing w:after="0"/>
              <w:rPr>
                <w:sz w:val="11"/>
                <w:szCs w:val="11"/>
                <w:color w:val="auto"/>
              </w:rPr>
            </w:pPr>
          </w:p>
        </w:tc>
        <w:tc>
          <w:tcPr>
            <w:tcW w:w="180" w:type="dxa"/>
            <w:vAlign w:val="bottom"/>
            <w:shd w:val="clear" w:color="auto" w:fill="F2F2F2"/>
          </w:tcPr>
          <w:p>
            <w:pPr>
              <w:spacing w:after="0"/>
              <w:rPr>
                <w:sz w:val="11"/>
                <w:szCs w:val="11"/>
                <w:color w:val="auto"/>
              </w:rPr>
            </w:pPr>
          </w:p>
        </w:tc>
        <w:tc>
          <w:tcPr>
            <w:tcW w:w="160" w:type="dxa"/>
            <w:vAlign w:val="bottom"/>
            <w:tcBorders>
              <w:right w:val="single" w:sz="8" w:color="F2F2F2"/>
            </w:tcBorders>
            <w:shd w:val="clear" w:color="auto" w:fill="F2F2F2"/>
          </w:tcPr>
          <w:p>
            <w:pPr>
              <w:spacing w:after="0"/>
              <w:rPr>
                <w:sz w:val="11"/>
                <w:szCs w:val="11"/>
                <w:color w:val="auto"/>
              </w:rPr>
            </w:pPr>
          </w:p>
        </w:tc>
        <w:tc>
          <w:tcPr>
            <w:tcW w:w="820" w:type="dxa"/>
            <w:vAlign w:val="bottom"/>
            <w:shd w:val="clear" w:color="auto" w:fill="F2F2F2"/>
          </w:tcPr>
          <w:p>
            <w:pPr>
              <w:spacing w:after="0"/>
              <w:rPr>
                <w:sz w:val="11"/>
                <w:szCs w:val="11"/>
                <w:color w:val="auto"/>
              </w:rPr>
            </w:pPr>
          </w:p>
        </w:tc>
        <w:tc>
          <w:tcPr>
            <w:tcW w:w="720" w:type="dxa"/>
            <w:vAlign w:val="bottom"/>
            <w:gridSpan w:val="2"/>
            <w:shd w:val="clear" w:color="auto" w:fill="F2F2F2"/>
          </w:tcPr>
          <w:p>
            <w:pPr>
              <w:jc w:val="center"/>
              <w:ind w:right="43"/>
              <w:spacing w:after="0"/>
              <w:rPr>
                <w:sz w:val="20"/>
                <w:szCs w:val="20"/>
                <w:color w:val="auto"/>
              </w:rPr>
            </w:pPr>
            <w:r>
              <w:rPr>
                <w:rFonts w:ascii="Arial" w:cs="Arial" w:eastAsia="Arial" w:hAnsi="Arial"/>
                <w:sz w:val="11"/>
                <w:szCs w:val="11"/>
                <w:b w:val="1"/>
                <w:bCs w:val="1"/>
                <w:color w:val="auto"/>
              </w:rPr>
              <w:t>Option</w:t>
            </w:r>
          </w:p>
        </w:tc>
        <w:tc>
          <w:tcPr>
            <w:tcW w:w="900" w:type="dxa"/>
            <w:vAlign w:val="bottom"/>
            <w:gridSpan w:val="4"/>
            <w:shd w:val="clear" w:color="auto" w:fill="F2F2F2"/>
          </w:tcPr>
          <w:p>
            <w:pPr>
              <w:jc w:val="center"/>
              <w:ind w:left="26"/>
              <w:spacing w:after="0"/>
              <w:rPr>
                <w:sz w:val="20"/>
                <w:szCs w:val="20"/>
                <w:color w:val="auto"/>
              </w:rPr>
            </w:pPr>
            <w:r>
              <w:rPr>
                <w:rFonts w:ascii="Arial" w:cs="Arial" w:eastAsia="Arial" w:hAnsi="Arial"/>
                <w:sz w:val="11"/>
                <w:szCs w:val="11"/>
                <w:b w:val="1"/>
                <w:bCs w:val="1"/>
                <w:color w:val="auto"/>
              </w:rPr>
              <w:t>and Unvested</w:t>
            </w:r>
          </w:p>
        </w:tc>
        <w:tc>
          <w:tcPr>
            <w:tcW w:w="920" w:type="dxa"/>
            <w:vAlign w:val="bottom"/>
            <w:gridSpan w:val="4"/>
            <w:shd w:val="clear" w:color="auto" w:fill="F2F2F2"/>
          </w:tcPr>
          <w:p>
            <w:pPr>
              <w:jc w:val="center"/>
              <w:ind w:left="24"/>
              <w:spacing w:after="0"/>
              <w:rPr>
                <w:sz w:val="20"/>
                <w:szCs w:val="20"/>
                <w:color w:val="auto"/>
              </w:rPr>
            </w:pPr>
            <w:r>
              <w:rPr>
                <w:rFonts w:ascii="Arial" w:cs="Arial" w:eastAsia="Arial" w:hAnsi="Arial"/>
                <w:sz w:val="11"/>
                <w:szCs w:val="11"/>
                <w:b w:val="1"/>
                <w:bCs w:val="1"/>
                <w:color w:val="auto"/>
              </w:rPr>
              <w:t>Option and</w:t>
            </w:r>
          </w:p>
        </w:tc>
        <w:tc>
          <w:tcPr>
            <w:tcW w:w="140" w:type="dxa"/>
            <w:vAlign w:val="bottom"/>
            <w:shd w:val="clear" w:color="auto" w:fill="F2F2F2"/>
          </w:tcPr>
          <w:p>
            <w:pPr>
              <w:spacing w:after="0"/>
              <w:rPr>
                <w:sz w:val="11"/>
                <w:szCs w:val="11"/>
                <w:color w:val="auto"/>
              </w:rPr>
            </w:pPr>
          </w:p>
        </w:tc>
        <w:tc>
          <w:tcPr>
            <w:tcW w:w="820" w:type="dxa"/>
            <w:vAlign w:val="bottom"/>
            <w:shd w:val="clear" w:color="auto" w:fill="F2F2F2"/>
          </w:tcPr>
          <w:p>
            <w:pPr>
              <w:jc w:val="center"/>
              <w:ind w:right="4"/>
              <w:spacing w:after="0"/>
              <w:rPr>
                <w:sz w:val="20"/>
                <w:szCs w:val="20"/>
                <w:color w:val="auto"/>
              </w:rPr>
            </w:pPr>
            <w:r>
              <w:rPr>
                <w:rFonts w:ascii="Arial" w:cs="Arial" w:eastAsia="Arial" w:hAnsi="Arial"/>
                <w:sz w:val="11"/>
                <w:szCs w:val="11"/>
                <w:b w:val="1"/>
                <w:bCs w:val="1"/>
                <w:color w:val="auto"/>
                <w:w w:val="98"/>
              </w:rPr>
              <w:t>Stock Awards</w:t>
            </w:r>
          </w:p>
        </w:tc>
        <w:tc>
          <w:tcPr>
            <w:tcW w:w="40" w:type="dxa"/>
            <w:vAlign w:val="bottom"/>
            <w:shd w:val="clear" w:color="auto" w:fill="F2F2F2"/>
          </w:tcPr>
          <w:p>
            <w:pPr>
              <w:spacing w:after="0"/>
              <w:rPr>
                <w:sz w:val="11"/>
                <w:szCs w:val="11"/>
                <w:color w:val="auto"/>
              </w:rPr>
            </w:pPr>
          </w:p>
        </w:tc>
        <w:tc>
          <w:tcPr>
            <w:tcW w:w="120" w:type="dxa"/>
            <w:vAlign w:val="bottom"/>
            <w:shd w:val="clear" w:color="auto" w:fill="F2F2F2"/>
          </w:tcPr>
          <w:p>
            <w:pPr>
              <w:spacing w:after="0"/>
              <w:rPr>
                <w:sz w:val="11"/>
                <w:szCs w:val="11"/>
                <w:color w:val="auto"/>
              </w:rPr>
            </w:pPr>
          </w:p>
        </w:tc>
        <w:tc>
          <w:tcPr>
            <w:tcW w:w="40" w:type="dxa"/>
            <w:vAlign w:val="bottom"/>
            <w:shd w:val="clear" w:color="auto" w:fill="F2F2F2"/>
          </w:tcPr>
          <w:p>
            <w:pPr>
              <w:spacing w:after="0"/>
              <w:rPr>
                <w:sz w:val="11"/>
                <w:szCs w:val="11"/>
                <w:color w:val="auto"/>
              </w:rPr>
            </w:pPr>
          </w:p>
        </w:tc>
        <w:tc>
          <w:tcPr>
            <w:tcW w:w="840" w:type="dxa"/>
            <w:vAlign w:val="bottom"/>
            <w:shd w:val="clear" w:color="auto" w:fill="F2F2F2"/>
          </w:tcPr>
          <w:p>
            <w:pPr>
              <w:jc w:val="center"/>
              <w:ind w:right="65"/>
              <w:spacing w:after="0"/>
              <w:rPr>
                <w:sz w:val="20"/>
                <w:szCs w:val="20"/>
                <w:color w:val="auto"/>
              </w:rPr>
            </w:pPr>
            <w:r>
              <w:rPr>
                <w:rFonts w:ascii="Arial" w:cs="Arial" w:eastAsia="Arial" w:hAnsi="Arial"/>
                <w:sz w:val="11"/>
                <w:szCs w:val="11"/>
                <w:b w:val="1"/>
                <w:bCs w:val="1"/>
                <w:color w:val="auto"/>
              </w:rPr>
              <w:t>Vesting</w:t>
            </w:r>
          </w:p>
        </w:tc>
        <w:tc>
          <w:tcPr>
            <w:tcW w:w="40" w:type="dxa"/>
            <w:vAlign w:val="bottom"/>
            <w:shd w:val="clear" w:color="auto" w:fill="F2F2F2"/>
          </w:tcPr>
          <w:p>
            <w:pPr>
              <w:spacing w:after="0"/>
              <w:rPr>
                <w:sz w:val="11"/>
                <w:szCs w:val="11"/>
                <w:color w:val="auto"/>
              </w:rPr>
            </w:pPr>
          </w:p>
        </w:tc>
        <w:tc>
          <w:tcPr>
            <w:tcW w:w="100" w:type="dxa"/>
            <w:vAlign w:val="bottom"/>
            <w:shd w:val="clear" w:color="auto" w:fill="F2F2F2"/>
          </w:tcPr>
          <w:p>
            <w:pPr>
              <w:spacing w:after="0"/>
              <w:rPr>
                <w:sz w:val="11"/>
                <w:szCs w:val="11"/>
                <w:color w:val="auto"/>
              </w:rPr>
            </w:pPr>
          </w:p>
        </w:tc>
        <w:tc>
          <w:tcPr>
            <w:tcW w:w="600" w:type="dxa"/>
            <w:vAlign w:val="bottom"/>
            <w:gridSpan w:val="3"/>
            <w:shd w:val="clear" w:color="auto" w:fill="F2F2F2"/>
          </w:tcPr>
          <w:p>
            <w:pPr>
              <w:jc w:val="center"/>
              <w:spacing w:after="0"/>
              <w:rPr>
                <w:sz w:val="20"/>
                <w:szCs w:val="20"/>
                <w:color w:val="auto"/>
              </w:rPr>
            </w:pPr>
            <w:r>
              <w:rPr>
                <w:rFonts w:ascii="Arial" w:cs="Arial" w:eastAsia="Arial" w:hAnsi="Arial"/>
                <w:sz w:val="11"/>
                <w:szCs w:val="11"/>
                <w:b w:val="1"/>
                <w:bCs w:val="1"/>
                <w:color w:val="auto"/>
              </w:rPr>
              <w:t>Applicable</w:t>
            </w:r>
          </w:p>
        </w:tc>
        <w:tc>
          <w:tcPr>
            <w:tcW w:w="80" w:type="dxa"/>
            <w:vAlign w:val="bottom"/>
            <w:shd w:val="clear" w:color="auto" w:fill="F2F2F2"/>
          </w:tcPr>
          <w:p>
            <w:pPr>
              <w:spacing w:after="0"/>
              <w:rPr>
                <w:sz w:val="11"/>
                <w:szCs w:val="11"/>
                <w:color w:val="auto"/>
              </w:rPr>
            </w:pPr>
          </w:p>
        </w:tc>
        <w:tc>
          <w:tcPr>
            <w:tcW w:w="760" w:type="dxa"/>
            <w:vAlign w:val="bottom"/>
            <w:gridSpan w:val="2"/>
            <w:shd w:val="clear" w:color="auto" w:fill="F2F2F2"/>
          </w:tcPr>
          <w:p>
            <w:pPr>
              <w:jc w:val="center"/>
              <w:ind w:left="205"/>
              <w:spacing w:after="0"/>
              <w:rPr>
                <w:sz w:val="20"/>
                <w:szCs w:val="20"/>
                <w:color w:val="auto"/>
              </w:rPr>
            </w:pPr>
            <w:r>
              <w:rPr>
                <w:rFonts w:ascii="Arial" w:cs="Arial" w:eastAsia="Arial" w:hAnsi="Arial"/>
                <w:sz w:val="11"/>
                <w:szCs w:val="11"/>
                <w:b w:val="1"/>
                <w:bCs w:val="1"/>
                <w:color w:val="auto"/>
              </w:rPr>
              <w:t>Defned</w:t>
            </w:r>
          </w:p>
        </w:tc>
        <w:tc>
          <w:tcPr>
            <w:tcW w:w="100" w:type="dxa"/>
            <w:vAlign w:val="bottom"/>
            <w:shd w:val="clear" w:color="auto" w:fill="F2F2F2"/>
          </w:tcPr>
          <w:p>
            <w:pPr>
              <w:spacing w:after="0"/>
              <w:rPr>
                <w:sz w:val="11"/>
                <w:szCs w:val="11"/>
                <w:color w:val="auto"/>
              </w:rPr>
            </w:pPr>
          </w:p>
        </w:tc>
        <w:tc>
          <w:tcPr>
            <w:tcW w:w="40" w:type="dxa"/>
            <w:vAlign w:val="bottom"/>
            <w:shd w:val="clear" w:color="auto" w:fill="F2F2F2"/>
          </w:tcPr>
          <w:p>
            <w:pPr>
              <w:spacing w:after="0"/>
              <w:rPr>
                <w:sz w:val="11"/>
                <w:szCs w:val="11"/>
                <w:color w:val="auto"/>
              </w:rPr>
            </w:pPr>
          </w:p>
        </w:tc>
        <w:tc>
          <w:tcPr>
            <w:tcW w:w="100" w:type="dxa"/>
            <w:vAlign w:val="bottom"/>
            <w:shd w:val="clear" w:color="auto" w:fill="F2F2F2"/>
          </w:tcPr>
          <w:p>
            <w:pPr>
              <w:spacing w:after="0"/>
              <w:rPr>
                <w:sz w:val="11"/>
                <w:szCs w:val="11"/>
                <w:color w:val="auto"/>
              </w:rPr>
            </w:pPr>
          </w:p>
        </w:tc>
        <w:tc>
          <w:tcPr>
            <w:tcW w:w="700" w:type="dxa"/>
            <w:vAlign w:val="bottom"/>
            <w:shd w:val="clear" w:color="auto" w:fill="F2F2F2"/>
          </w:tcPr>
          <w:p>
            <w:pPr>
              <w:jc w:val="center"/>
              <w:ind w:left="5"/>
              <w:spacing w:after="0"/>
              <w:rPr>
                <w:sz w:val="20"/>
                <w:szCs w:val="20"/>
                <w:color w:val="auto"/>
              </w:rPr>
            </w:pPr>
            <w:r>
              <w:rPr>
                <w:rFonts w:ascii="Arial" w:cs="Arial" w:eastAsia="Arial" w:hAnsi="Arial"/>
                <w:sz w:val="11"/>
                <w:szCs w:val="11"/>
                <w:b w:val="1"/>
                <w:bCs w:val="1"/>
                <w:color w:val="auto"/>
              </w:rPr>
              <w:t>Defned</w:t>
            </w:r>
          </w:p>
        </w:tc>
        <w:tc>
          <w:tcPr>
            <w:tcW w:w="80" w:type="dxa"/>
            <w:vAlign w:val="bottom"/>
            <w:shd w:val="clear" w:color="auto" w:fill="F2F2F2"/>
          </w:tcPr>
          <w:p>
            <w:pPr>
              <w:spacing w:after="0"/>
              <w:rPr>
                <w:sz w:val="11"/>
                <w:szCs w:val="11"/>
                <w:color w:val="auto"/>
              </w:rPr>
            </w:pPr>
          </w:p>
        </w:tc>
        <w:tc>
          <w:tcPr>
            <w:tcW w:w="40" w:type="dxa"/>
            <w:vAlign w:val="bottom"/>
            <w:shd w:val="clear" w:color="auto" w:fill="F2F2F2"/>
          </w:tcPr>
          <w:p>
            <w:pPr>
              <w:spacing w:after="0"/>
              <w:rPr>
                <w:sz w:val="11"/>
                <w:szCs w:val="11"/>
                <w:color w:val="auto"/>
              </w:rPr>
            </w:pPr>
          </w:p>
        </w:tc>
        <w:tc>
          <w:tcPr>
            <w:tcW w:w="120" w:type="dxa"/>
            <w:vAlign w:val="bottom"/>
            <w:shd w:val="clear" w:color="auto" w:fill="F2F2F2"/>
          </w:tcPr>
          <w:p>
            <w:pPr>
              <w:spacing w:after="0"/>
              <w:rPr>
                <w:sz w:val="11"/>
                <w:szCs w:val="11"/>
                <w:color w:val="auto"/>
              </w:rPr>
            </w:pPr>
          </w:p>
        </w:tc>
        <w:tc>
          <w:tcPr>
            <w:tcW w:w="780" w:type="dxa"/>
            <w:vAlign w:val="bottom"/>
            <w:shd w:val="clear" w:color="auto" w:fill="F2F2F2"/>
          </w:tcPr>
          <w:p>
            <w:pPr>
              <w:spacing w:after="0"/>
              <w:rPr>
                <w:sz w:val="11"/>
                <w:szCs w:val="11"/>
                <w:color w:val="auto"/>
              </w:rPr>
            </w:pPr>
          </w:p>
        </w:tc>
        <w:tc>
          <w:tcPr>
            <w:tcW w:w="80" w:type="dxa"/>
            <w:vAlign w:val="bottom"/>
            <w:shd w:val="clear" w:color="auto" w:fill="F2F2F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0" w:type="dxa"/>
            <w:vAlign w:val="bottom"/>
            <w:shd w:val="clear" w:color="auto" w:fill="F2F2F2"/>
          </w:tcPr>
          <w:p>
            <w:pPr>
              <w:spacing w:after="0"/>
              <w:rPr>
                <w:sz w:val="11"/>
                <w:szCs w:val="11"/>
                <w:color w:val="auto"/>
              </w:rPr>
            </w:pPr>
          </w:p>
        </w:tc>
        <w:tc>
          <w:tcPr>
            <w:tcW w:w="180" w:type="dxa"/>
            <w:vAlign w:val="bottom"/>
            <w:shd w:val="clear" w:color="auto" w:fill="F2F2F2"/>
          </w:tcPr>
          <w:p>
            <w:pPr>
              <w:spacing w:after="0"/>
              <w:rPr>
                <w:sz w:val="11"/>
                <w:szCs w:val="11"/>
                <w:color w:val="auto"/>
              </w:rPr>
            </w:pPr>
          </w:p>
        </w:tc>
        <w:tc>
          <w:tcPr>
            <w:tcW w:w="980" w:type="dxa"/>
            <w:vAlign w:val="bottom"/>
            <w:gridSpan w:val="2"/>
            <w:shd w:val="clear" w:color="auto" w:fill="F2F2F2"/>
          </w:tcPr>
          <w:p>
            <w:pPr>
              <w:jc w:val="center"/>
              <w:ind w:right="245"/>
              <w:spacing w:after="0"/>
              <w:rPr>
                <w:sz w:val="20"/>
                <w:szCs w:val="20"/>
                <w:color w:val="auto"/>
              </w:rPr>
            </w:pPr>
            <w:r>
              <w:rPr>
                <w:rFonts w:ascii="Arial" w:cs="Arial" w:eastAsia="Arial" w:hAnsi="Arial"/>
                <w:sz w:val="11"/>
                <w:szCs w:val="11"/>
                <w:b w:val="1"/>
                <w:bCs w:val="1"/>
                <w:color w:val="auto"/>
              </w:rPr>
              <w:t>Summary</w:t>
            </w:r>
          </w:p>
        </w:tc>
        <w:tc>
          <w:tcPr>
            <w:tcW w:w="720" w:type="dxa"/>
            <w:vAlign w:val="bottom"/>
            <w:gridSpan w:val="2"/>
            <w:shd w:val="clear" w:color="auto" w:fill="F2F2F2"/>
          </w:tcPr>
          <w:p>
            <w:pPr>
              <w:jc w:val="center"/>
              <w:ind w:right="43"/>
              <w:spacing w:after="0"/>
              <w:rPr>
                <w:sz w:val="20"/>
                <w:szCs w:val="20"/>
                <w:color w:val="auto"/>
              </w:rPr>
            </w:pPr>
            <w:r>
              <w:rPr>
                <w:rFonts w:ascii="Arial" w:cs="Arial" w:eastAsia="Arial" w:hAnsi="Arial"/>
                <w:sz w:val="11"/>
                <w:szCs w:val="11"/>
                <w:b w:val="1"/>
                <w:bCs w:val="1"/>
                <w:color w:val="auto"/>
              </w:rPr>
              <w:t>and Stock</w:t>
            </w:r>
          </w:p>
        </w:tc>
        <w:tc>
          <w:tcPr>
            <w:tcW w:w="140" w:type="dxa"/>
            <w:vAlign w:val="bottom"/>
            <w:shd w:val="clear" w:color="auto" w:fill="F2F2F2"/>
          </w:tcPr>
          <w:p>
            <w:pPr>
              <w:spacing w:after="0"/>
              <w:rPr>
                <w:sz w:val="11"/>
                <w:szCs w:val="11"/>
                <w:color w:val="auto"/>
              </w:rPr>
            </w:pPr>
          </w:p>
        </w:tc>
        <w:tc>
          <w:tcPr>
            <w:tcW w:w="760" w:type="dxa"/>
            <w:vAlign w:val="bottom"/>
            <w:gridSpan w:val="3"/>
            <w:shd w:val="clear" w:color="auto" w:fill="F2F2F2"/>
          </w:tcPr>
          <w:p>
            <w:pPr>
              <w:jc w:val="center"/>
              <w:ind w:right="2"/>
              <w:spacing w:after="0"/>
              <w:rPr>
                <w:sz w:val="20"/>
                <w:szCs w:val="20"/>
                <w:color w:val="auto"/>
              </w:rPr>
            </w:pPr>
            <w:r>
              <w:rPr>
                <w:rFonts w:ascii="Arial" w:cs="Arial" w:eastAsia="Arial" w:hAnsi="Arial"/>
                <w:sz w:val="11"/>
                <w:szCs w:val="11"/>
                <w:b w:val="1"/>
                <w:bCs w:val="1"/>
                <w:color w:val="auto"/>
              </w:rPr>
              <w:t>Option and</w:t>
            </w:r>
          </w:p>
        </w:tc>
        <w:tc>
          <w:tcPr>
            <w:tcW w:w="920" w:type="dxa"/>
            <w:vAlign w:val="bottom"/>
            <w:gridSpan w:val="4"/>
            <w:shd w:val="clear" w:color="auto" w:fill="F2F2F2"/>
          </w:tcPr>
          <w:p>
            <w:pPr>
              <w:jc w:val="center"/>
              <w:ind w:left="24"/>
              <w:spacing w:after="0"/>
              <w:rPr>
                <w:sz w:val="20"/>
                <w:szCs w:val="20"/>
                <w:color w:val="auto"/>
              </w:rPr>
            </w:pPr>
            <w:r>
              <w:rPr>
                <w:rFonts w:ascii="Arial" w:cs="Arial" w:eastAsia="Arial" w:hAnsi="Arial"/>
                <w:sz w:val="11"/>
                <w:szCs w:val="11"/>
                <w:b w:val="1"/>
                <w:bCs w:val="1"/>
                <w:color w:val="auto"/>
                <w:w w:val="98"/>
              </w:rPr>
              <w:t>Stock Awards</w:t>
            </w:r>
          </w:p>
        </w:tc>
        <w:tc>
          <w:tcPr>
            <w:tcW w:w="140" w:type="dxa"/>
            <w:vAlign w:val="bottom"/>
            <w:shd w:val="clear" w:color="auto" w:fill="F2F2F2"/>
          </w:tcPr>
          <w:p>
            <w:pPr>
              <w:spacing w:after="0"/>
              <w:rPr>
                <w:sz w:val="11"/>
                <w:szCs w:val="11"/>
                <w:color w:val="auto"/>
              </w:rPr>
            </w:pPr>
          </w:p>
        </w:tc>
        <w:tc>
          <w:tcPr>
            <w:tcW w:w="820" w:type="dxa"/>
            <w:vAlign w:val="bottom"/>
            <w:shd w:val="clear" w:color="auto" w:fill="F2F2F2"/>
          </w:tcPr>
          <w:p>
            <w:pPr>
              <w:jc w:val="center"/>
              <w:ind w:right="24"/>
              <w:spacing w:after="0"/>
              <w:rPr>
                <w:sz w:val="20"/>
                <w:szCs w:val="20"/>
                <w:color w:val="auto"/>
              </w:rPr>
            </w:pPr>
            <w:r>
              <w:rPr>
                <w:rFonts w:ascii="Arial" w:cs="Arial" w:eastAsia="Arial" w:hAnsi="Arial"/>
                <w:sz w:val="11"/>
                <w:szCs w:val="11"/>
                <w:b w:val="1"/>
                <w:bCs w:val="1"/>
                <w:color w:val="auto"/>
              </w:rPr>
              <w:t>Granted in</w:t>
            </w:r>
          </w:p>
        </w:tc>
        <w:tc>
          <w:tcPr>
            <w:tcW w:w="40" w:type="dxa"/>
            <w:vAlign w:val="bottom"/>
            <w:shd w:val="clear" w:color="auto" w:fill="F2F2F2"/>
          </w:tcPr>
          <w:p>
            <w:pPr>
              <w:spacing w:after="0"/>
              <w:rPr>
                <w:sz w:val="11"/>
                <w:szCs w:val="11"/>
                <w:color w:val="auto"/>
              </w:rPr>
            </w:pPr>
          </w:p>
        </w:tc>
        <w:tc>
          <w:tcPr>
            <w:tcW w:w="120" w:type="dxa"/>
            <w:vAlign w:val="bottom"/>
            <w:shd w:val="clear" w:color="auto" w:fill="F2F2F2"/>
          </w:tcPr>
          <w:p>
            <w:pPr>
              <w:spacing w:after="0"/>
              <w:rPr>
                <w:sz w:val="11"/>
                <w:szCs w:val="11"/>
                <w:color w:val="auto"/>
              </w:rPr>
            </w:pPr>
          </w:p>
        </w:tc>
        <w:tc>
          <w:tcPr>
            <w:tcW w:w="40" w:type="dxa"/>
            <w:vAlign w:val="bottom"/>
            <w:shd w:val="clear" w:color="auto" w:fill="F2F2F2"/>
          </w:tcPr>
          <w:p>
            <w:pPr>
              <w:spacing w:after="0"/>
              <w:rPr>
                <w:sz w:val="11"/>
                <w:szCs w:val="11"/>
                <w:color w:val="auto"/>
              </w:rPr>
            </w:pPr>
          </w:p>
        </w:tc>
        <w:tc>
          <w:tcPr>
            <w:tcW w:w="840" w:type="dxa"/>
            <w:vAlign w:val="bottom"/>
            <w:shd w:val="clear" w:color="auto" w:fill="F2F2F2"/>
          </w:tcPr>
          <w:p>
            <w:pPr>
              <w:jc w:val="center"/>
              <w:ind w:right="125"/>
              <w:spacing w:after="0"/>
              <w:rPr>
                <w:sz w:val="20"/>
                <w:szCs w:val="20"/>
                <w:color w:val="auto"/>
              </w:rPr>
            </w:pPr>
            <w:r>
              <w:rPr>
                <w:rFonts w:ascii="Arial" w:cs="Arial" w:eastAsia="Arial" w:hAnsi="Arial"/>
                <w:sz w:val="11"/>
                <w:szCs w:val="11"/>
                <w:b w:val="1"/>
                <w:bCs w:val="1"/>
                <w:color w:val="auto"/>
              </w:rPr>
              <w:t>Conditions</w:t>
            </w:r>
          </w:p>
        </w:tc>
        <w:tc>
          <w:tcPr>
            <w:tcW w:w="40" w:type="dxa"/>
            <w:vAlign w:val="bottom"/>
            <w:shd w:val="clear" w:color="auto" w:fill="F2F2F2"/>
          </w:tcPr>
          <w:p>
            <w:pPr>
              <w:spacing w:after="0"/>
              <w:rPr>
                <w:sz w:val="11"/>
                <w:szCs w:val="11"/>
                <w:color w:val="auto"/>
              </w:rPr>
            </w:pPr>
          </w:p>
        </w:tc>
        <w:tc>
          <w:tcPr>
            <w:tcW w:w="100" w:type="dxa"/>
            <w:vAlign w:val="bottom"/>
            <w:shd w:val="clear" w:color="auto" w:fill="F2F2F2"/>
          </w:tcPr>
          <w:p>
            <w:pPr>
              <w:spacing w:after="0"/>
              <w:rPr>
                <w:sz w:val="11"/>
                <w:szCs w:val="11"/>
                <w:color w:val="auto"/>
              </w:rPr>
            </w:pPr>
          </w:p>
        </w:tc>
        <w:tc>
          <w:tcPr>
            <w:tcW w:w="40" w:type="dxa"/>
            <w:vAlign w:val="bottom"/>
            <w:shd w:val="clear" w:color="auto" w:fill="F2F2F2"/>
          </w:tcPr>
          <w:p>
            <w:pPr>
              <w:spacing w:after="0"/>
              <w:rPr>
                <w:sz w:val="11"/>
                <w:szCs w:val="11"/>
                <w:color w:val="auto"/>
              </w:rPr>
            </w:pPr>
          </w:p>
        </w:tc>
        <w:tc>
          <w:tcPr>
            <w:tcW w:w="560" w:type="dxa"/>
            <w:vAlign w:val="bottom"/>
            <w:gridSpan w:val="2"/>
            <w:shd w:val="clear" w:color="auto" w:fill="F2F2F2"/>
          </w:tcPr>
          <w:p>
            <w:pPr>
              <w:jc w:val="center"/>
              <w:spacing w:after="0"/>
              <w:rPr>
                <w:sz w:val="20"/>
                <w:szCs w:val="20"/>
                <w:color w:val="auto"/>
              </w:rPr>
            </w:pPr>
            <w:r>
              <w:rPr>
                <w:rFonts w:ascii="Arial" w:cs="Arial" w:eastAsia="Arial" w:hAnsi="Arial"/>
                <w:sz w:val="11"/>
                <w:szCs w:val="11"/>
                <w:b w:val="1"/>
                <w:bCs w:val="1"/>
                <w:color w:val="auto"/>
              </w:rPr>
              <w:t>Vesting</w:t>
            </w:r>
          </w:p>
        </w:tc>
        <w:tc>
          <w:tcPr>
            <w:tcW w:w="80" w:type="dxa"/>
            <w:vAlign w:val="bottom"/>
            <w:shd w:val="clear" w:color="auto" w:fill="F2F2F2"/>
          </w:tcPr>
          <w:p>
            <w:pPr>
              <w:spacing w:after="0"/>
              <w:rPr>
                <w:sz w:val="11"/>
                <w:szCs w:val="11"/>
                <w:color w:val="auto"/>
              </w:rPr>
            </w:pPr>
          </w:p>
        </w:tc>
        <w:tc>
          <w:tcPr>
            <w:tcW w:w="860" w:type="dxa"/>
            <w:vAlign w:val="bottom"/>
            <w:gridSpan w:val="3"/>
            <w:shd w:val="clear" w:color="auto" w:fill="F2F2F2"/>
          </w:tcPr>
          <w:p>
            <w:pPr>
              <w:jc w:val="center"/>
              <w:ind w:left="85"/>
              <w:spacing w:after="0"/>
              <w:rPr>
                <w:sz w:val="20"/>
                <w:szCs w:val="20"/>
                <w:color w:val="auto"/>
              </w:rPr>
            </w:pPr>
            <w:r>
              <w:rPr>
                <w:rFonts w:ascii="Arial" w:cs="Arial" w:eastAsia="Arial" w:hAnsi="Arial"/>
                <w:sz w:val="11"/>
                <w:szCs w:val="11"/>
                <w:b w:val="1"/>
                <w:bCs w:val="1"/>
                <w:color w:val="auto"/>
              </w:rPr>
              <w:t>Beneft and</w:t>
            </w:r>
          </w:p>
        </w:tc>
        <w:tc>
          <w:tcPr>
            <w:tcW w:w="40" w:type="dxa"/>
            <w:vAlign w:val="bottom"/>
            <w:shd w:val="clear" w:color="auto" w:fill="F2F2F2"/>
          </w:tcPr>
          <w:p>
            <w:pPr>
              <w:spacing w:after="0"/>
              <w:rPr>
                <w:sz w:val="11"/>
                <w:szCs w:val="11"/>
                <w:color w:val="auto"/>
              </w:rPr>
            </w:pPr>
          </w:p>
        </w:tc>
        <w:tc>
          <w:tcPr>
            <w:tcW w:w="100" w:type="dxa"/>
            <w:vAlign w:val="bottom"/>
            <w:shd w:val="clear" w:color="auto" w:fill="F2F2F2"/>
          </w:tcPr>
          <w:p>
            <w:pPr>
              <w:spacing w:after="0"/>
              <w:rPr>
                <w:sz w:val="11"/>
                <w:szCs w:val="11"/>
                <w:color w:val="auto"/>
              </w:rPr>
            </w:pPr>
          </w:p>
        </w:tc>
        <w:tc>
          <w:tcPr>
            <w:tcW w:w="700" w:type="dxa"/>
            <w:vAlign w:val="bottom"/>
            <w:shd w:val="clear" w:color="auto" w:fill="F2F2F2"/>
          </w:tcPr>
          <w:p>
            <w:pPr>
              <w:jc w:val="center"/>
              <w:ind w:left="5"/>
              <w:spacing w:after="0"/>
              <w:rPr>
                <w:sz w:val="20"/>
                <w:szCs w:val="20"/>
                <w:color w:val="auto"/>
              </w:rPr>
            </w:pPr>
            <w:r>
              <w:rPr>
                <w:rFonts w:ascii="Arial" w:cs="Arial" w:eastAsia="Arial" w:hAnsi="Arial"/>
                <w:sz w:val="11"/>
                <w:szCs w:val="11"/>
                <w:b w:val="1"/>
                <w:bCs w:val="1"/>
                <w:color w:val="auto"/>
              </w:rPr>
              <w:t>Beneft and</w:t>
            </w:r>
          </w:p>
        </w:tc>
        <w:tc>
          <w:tcPr>
            <w:tcW w:w="80" w:type="dxa"/>
            <w:vAlign w:val="bottom"/>
            <w:shd w:val="clear" w:color="auto" w:fill="F2F2F2"/>
          </w:tcPr>
          <w:p>
            <w:pPr>
              <w:spacing w:after="0"/>
              <w:rPr>
                <w:sz w:val="11"/>
                <w:szCs w:val="11"/>
                <w:color w:val="auto"/>
              </w:rPr>
            </w:pPr>
          </w:p>
        </w:tc>
        <w:tc>
          <w:tcPr>
            <w:tcW w:w="40" w:type="dxa"/>
            <w:vAlign w:val="bottom"/>
            <w:shd w:val="clear" w:color="auto" w:fill="F2F2F2"/>
          </w:tcPr>
          <w:p>
            <w:pPr>
              <w:spacing w:after="0"/>
              <w:rPr>
                <w:sz w:val="11"/>
                <w:szCs w:val="11"/>
                <w:color w:val="auto"/>
              </w:rPr>
            </w:pPr>
          </w:p>
        </w:tc>
        <w:tc>
          <w:tcPr>
            <w:tcW w:w="120" w:type="dxa"/>
            <w:vAlign w:val="bottom"/>
            <w:shd w:val="clear" w:color="auto" w:fill="F2F2F2"/>
          </w:tcPr>
          <w:p>
            <w:pPr>
              <w:spacing w:after="0"/>
              <w:rPr>
                <w:sz w:val="11"/>
                <w:szCs w:val="11"/>
                <w:color w:val="auto"/>
              </w:rPr>
            </w:pPr>
          </w:p>
        </w:tc>
        <w:tc>
          <w:tcPr>
            <w:tcW w:w="780" w:type="dxa"/>
            <w:vAlign w:val="bottom"/>
            <w:shd w:val="clear" w:color="auto" w:fill="F2F2F2"/>
          </w:tcPr>
          <w:p>
            <w:pPr>
              <w:spacing w:after="0"/>
              <w:rPr>
                <w:sz w:val="11"/>
                <w:szCs w:val="11"/>
                <w:color w:val="auto"/>
              </w:rPr>
            </w:pPr>
          </w:p>
        </w:tc>
        <w:tc>
          <w:tcPr>
            <w:tcW w:w="80" w:type="dxa"/>
            <w:vAlign w:val="bottom"/>
            <w:shd w:val="clear" w:color="auto" w:fill="F2F2F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0" w:type="dxa"/>
            <w:vAlign w:val="bottom"/>
            <w:shd w:val="clear" w:color="auto" w:fill="F2F2F2"/>
          </w:tcPr>
          <w:p>
            <w:pPr>
              <w:spacing w:after="0"/>
              <w:rPr>
                <w:sz w:val="11"/>
                <w:szCs w:val="11"/>
                <w:color w:val="auto"/>
              </w:rPr>
            </w:pPr>
          </w:p>
        </w:tc>
        <w:tc>
          <w:tcPr>
            <w:tcW w:w="1160" w:type="dxa"/>
            <w:vAlign w:val="bottom"/>
            <w:gridSpan w:val="3"/>
            <w:shd w:val="clear" w:color="auto" w:fill="F2F2F2"/>
          </w:tcPr>
          <w:p>
            <w:pPr>
              <w:jc w:val="center"/>
              <w:ind w:right="45"/>
              <w:spacing w:after="0"/>
              <w:rPr>
                <w:sz w:val="20"/>
                <w:szCs w:val="20"/>
                <w:color w:val="auto"/>
              </w:rPr>
            </w:pPr>
            <w:r>
              <w:rPr>
                <w:rFonts w:ascii="Arial" w:cs="Arial" w:eastAsia="Arial" w:hAnsi="Arial"/>
                <w:sz w:val="11"/>
                <w:szCs w:val="11"/>
                <w:b w:val="1"/>
                <w:bCs w:val="1"/>
                <w:color w:val="auto"/>
              </w:rPr>
              <w:t>Compensation</w:t>
            </w:r>
          </w:p>
        </w:tc>
        <w:tc>
          <w:tcPr>
            <w:tcW w:w="720" w:type="dxa"/>
            <w:vAlign w:val="bottom"/>
            <w:gridSpan w:val="2"/>
            <w:shd w:val="clear" w:color="auto" w:fill="F2F2F2"/>
          </w:tcPr>
          <w:p>
            <w:pPr>
              <w:jc w:val="center"/>
              <w:ind w:right="63"/>
              <w:spacing w:after="0"/>
              <w:rPr>
                <w:sz w:val="20"/>
                <w:szCs w:val="20"/>
                <w:color w:val="auto"/>
              </w:rPr>
            </w:pPr>
            <w:r>
              <w:rPr>
                <w:rFonts w:ascii="Arial" w:cs="Arial" w:eastAsia="Arial" w:hAnsi="Arial"/>
                <w:sz w:val="11"/>
                <w:szCs w:val="11"/>
                <w:b w:val="1"/>
                <w:bCs w:val="1"/>
                <w:color w:val="auto"/>
              </w:rPr>
              <w:t>Awards</w:t>
            </w:r>
          </w:p>
        </w:tc>
        <w:tc>
          <w:tcPr>
            <w:tcW w:w="140" w:type="dxa"/>
            <w:vAlign w:val="bottom"/>
            <w:shd w:val="clear" w:color="auto" w:fill="F2F2F2"/>
          </w:tcPr>
          <w:p>
            <w:pPr>
              <w:spacing w:after="0"/>
              <w:rPr>
                <w:sz w:val="11"/>
                <w:szCs w:val="11"/>
                <w:color w:val="auto"/>
              </w:rPr>
            </w:pPr>
          </w:p>
        </w:tc>
        <w:tc>
          <w:tcPr>
            <w:tcW w:w="760" w:type="dxa"/>
            <w:vAlign w:val="bottom"/>
            <w:gridSpan w:val="3"/>
            <w:shd w:val="clear" w:color="auto" w:fill="F2F2F2"/>
          </w:tcPr>
          <w:p>
            <w:pPr>
              <w:jc w:val="center"/>
              <w:spacing w:after="0"/>
              <w:rPr>
                <w:sz w:val="20"/>
                <w:szCs w:val="20"/>
                <w:color w:val="auto"/>
              </w:rPr>
            </w:pPr>
            <w:r>
              <w:rPr>
                <w:rFonts w:ascii="Arial" w:cs="Arial" w:eastAsia="Arial" w:hAnsi="Arial"/>
                <w:sz w:val="11"/>
                <w:szCs w:val="11"/>
                <w:b w:val="1"/>
                <w:bCs w:val="1"/>
                <w:color w:val="auto"/>
                <w:w w:val="98"/>
              </w:rPr>
              <w:t>Stock Awards</w:t>
            </w:r>
          </w:p>
        </w:tc>
        <w:tc>
          <w:tcPr>
            <w:tcW w:w="920" w:type="dxa"/>
            <w:vAlign w:val="bottom"/>
            <w:gridSpan w:val="4"/>
            <w:shd w:val="clear" w:color="auto" w:fill="F2F2F2"/>
          </w:tcPr>
          <w:p>
            <w:pPr>
              <w:jc w:val="center"/>
              <w:ind w:left="24"/>
              <w:spacing w:after="0"/>
              <w:rPr>
                <w:sz w:val="20"/>
                <w:szCs w:val="20"/>
                <w:color w:val="auto"/>
              </w:rPr>
            </w:pPr>
            <w:r>
              <w:rPr>
                <w:rFonts w:ascii="Arial" w:cs="Arial" w:eastAsia="Arial" w:hAnsi="Arial"/>
                <w:sz w:val="11"/>
                <w:szCs w:val="11"/>
                <w:b w:val="1"/>
                <w:bCs w:val="1"/>
                <w:color w:val="auto"/>
              </w:rPr>
              <w:t>Granted</w:t>
            </w:r>
          </w:p>
        </w:tc>
        <w:tc>
          <w:tcPr>
            <w:tcW w:w="960" w:type="dxa"/>
            <w:vAlign w:val="bottom"/>
            <w:gridSpan w:val="2"/>
            <w:shd w:val="clear" w:color="auto" w:fill="F2F2F2"/>
          </w:tcPr>
          <w:p>
            <w:pPr>
              <w:jc w:val="center"/>
              <w:ind w:left="4"/>
              <w:spacing w:after="0"/>
              <w:rPr>
                <w:sz w:val="20"/>
                <w:szCs w:val="20"/>
                <w:color w:val="auto"/>
              </w:rPr>
            </w:pPr>
            <w:r>
              <w:rPr>
                <w:rFonts w:ascii="Arial" w:cs="Arial" w:eastAsia="Arial" w:hAnsi="Arial"/>
                <w:sz w:val="11"/>
                <w:szCs w:val="11"/>
                <w:b w:val="1"/>
                <w:bCs w:val="1"/>
                <w:color w:val="auto"/>
              </w:rPr>
              <w:t>Fiscal Year that</w:t>
            </w:r>
          </w:p>
        </w:tc>
        <w:tc>
          <w:tcPr>
            <w:tcW w:w="40" w:type="dxa"/>
            <w:vAlign w:val="bottom"/>
            <w:shd w:val="clear" w:color="auto" w:fill="F2F2F2"/>
          </w:tcPr>
          <w:p>
            <w:pPr>
              <w:spacing w:after="0"/>
              <w:rPr>
                <w:sz w:val="11"/>
                <w:szCs w:val="11"/>
                <w:color w:val="auto"/>
              </w:rPr>
            </w:pPr>
          </w:p>
        </w:tc>
        <w:tc>
          <w:tcPr>
            <w:tcW w:w="120" w:type="dxa"/>
            <w:vAlign w:val="bottom"/>
            <w:shd w:val="clear" w:color="auto" w:fill="F2F2F2"/>
          </w:tcPr>
          <w:p>
            <w:pPr>
              <w:spacing w:after="0"/>
              <w:rPr>
                <w:sz w:val="11"/>
                <w:szCs w:val="11"/>
                <w:color w:val="auto"/>
              </w:rPr>
            </w:pPr>
          </w:p>
        </w:tc>
        <w:tc>
          <w:tcPr>
            <w:tcW w:w="40" w:type="dxa"/>
            <w:vAlign w:val="bottom"/>
            <w:shd w:val="clear" w:color="auto" w:fill="F2F2F2"/>
          </w:tcPr>
          <w:p>
            <w:pPr>
              <w:spacing w:after="0"/>
              <w:rPr>
                <w:sz w:val="11"/>
                <w:szCs w:val="11"/>
                <w:color w:val="auto"/>
              </w:rPr>
            </w:pPr>
          </w:p>
        </w:tc>
        <w:tc>
          <w:tcPr>
            <w:tcW w:w="840" w:type="dxa"/>
            <w:vAlign w:val="bottom"/>
            <w:shd w:val="clear" w:color="auto" w:fill="F2F2F2"/>
          </w:tcPr>
          <w:p>
            <w:pPr>
              <w:jc w:val="center"/>
              <w:ind w:right="65"/>
              <w:spacing w:after="0"/>
              <w:rPr>
                <w:sz w:val="20"/>
                <w:szCs w:val="20"/>
                <w:color w:val="auto"/>
              </w:rPr>
            </w:pPr>
            <w:r>
              <w:rPr>
                <w:rFonts w:ascii="Arial" w:cs="Arial" w:eastAsia="Arial" w:hAnsi="Arial"/>
                <w:sz w:val="11"/>
                <w:szCs w:val="11"/>
                <w:b w:val="1"/>
                <w:bCs w:val="1"/>
                <w:color w:val="auto"/>
              </w:rPr>
              <w:t>Were</w:t>
            </w:r>
          </w:p>
        </w:tc>
        <w:tc>
          <w:tcPr>
            <w:tcW w:w="40" w:type="dxa"/>
            <w:vAlign w:val="bottom"/>
            <w:shd w:val="clear" w:color="auto" w:fill="F2F2F2"/>
          </w:tcPr>
          <w:p>
            <w:pPr>
              <w:spacing w:after="0"/>
              <w:rPr>
                <w:sz w:val="11"/>
                <w:szCs w:val="11"/>
                <w:color w:val="auto"/>
              </w:rPr>
            </w:pPr>
          </w:p>
        </w:tc>
        <w:tc>
          <w:tcPr>
            <w:tcW w:w="100" w:type="dxa"/>
            <w:vAlign w:val="bottom"/>
            <w:shd w:val="clear" w:color="auto" w:fill="F2F2F2"/>
          </w:tcPr>
          <w:p>
            <w:pPr>
              <w:spacing w:after="0"/>
              <w:rPr>
                <w:sz w:val="11"/>
                <w:szCs w:val="11"/>
                <w:color w:val="auto"/>
              </w:rPr>
            </w:pPr>
          </w:p>
        </w:tc>
        <w:tc>
          <w:tcPr>
            <w:tcW w:w="600" w:type="dxa"/>
            <w:vAlign w:val="bottom"/>
            <w:gridSpan w:val="3"/>
            <w:shd w:val="clear" w:color="auto" w:fill="F2F2F2"/>
          </w:tcPr>
          <w:p>
            <w:pPr>
              <w:jc w:val="center"/>
              <w:spacing w:after="0"/>
              <w:rPr>
                <w:sz w:val="20"/>
                <w:szCs w:val="20"/>
                <w:color w:val="auto"/>
              </w:rPr>
            </w:pPr>
            <w:r>
              <w:rPr>
                <w:rFonts w:ascii="Arial" w:cs="Arial" w:eastAsia="Arial" w:hAnsi="Arial"/>
                <w:sz w:val="11"/>
                <w:szCs w:val="11"/>
                <w:b w:val="1"/>
                <w:bCs w:val="1"/>
                <w:color w:val="auto"/>
              </w:rPr>
              <w:t>Conditions</w:t>
            </w:r>
          </w:p>
        </w:tc>
        <w:tc>
          <w:tcPr>
            <w:tcW w:w="80" w:type="dxa"/>
            <w:vAlign w:val="bottom"/>
            <w:shd w:val="clear" w:color="auto" w:fill="F2F2F2"/>
          </w:tcPr>
          <w:p>
            <w:pPr>
              <w:spacing w:after="0"/>
              <w:rPr>
                <w:sz w:val="11"/>
                <w:szCs w:val="11"/>
                <w:color w:val="auto"/>
              </w:rPr>
            </w:pPr>
          </w:p>
        </w:tc>
        <w:tc>
          <w:tcPr>
            <w:tcW w:w="760" w:type="dxa"/>
            <w:vAlign w:val="bottom"/>
            <w:gridSpan w:val="2"/>
            <w:shd w:val="clear" w:color="auto" w:fill="F2F2F2"/>
          </w:tcPr>
          <w:p>
            <w:pPr>
              <w:jc w:val="center"/>
              <w:ind w:left="185"/>
              <w:spacing w:after="0"/>
              <w:rPr>
                <w:sz w:val="20"/>
                <w:szCs w:val="20"/>
                <w:color w:val="auto"/>
              </w:rPr>
            </w:pPr>
            <w:r>
              <w:rPr>
                <w:rFonts w:ascii="Arial" w:cs="Arial" w:eastAsia="Arial" w:hAnsi="Arial"/>
                <w:sz w:val="11"/>
                <w:szCs w:val="11"/>
                <w:b w:val="1"/>
                <w:bCs w:val="1"/>
                <w:color w:val="auto"/>
              </w:rPr>
              <w:t>Actuarial</w:t>
            </w:r>
          </w:p>
        </w:tc>
        <w:tc>
          <w:tcPr>
            <w:tcW w:w="100" w:type="dxa"/>
            <w:vAlign w:val="bottom"/>
            <w:shd w:val="clear" w:color="auto" w:fill="F2F2F2"/>
          </w:tcPr>
          <w:p>
            <w:pPr>
              <w:spacing w:after="0"/>
              <w:rPr>
                <w:sz w:val="11"/>
                <w:szCs w:val="11"/>
                <w:color w:val="auto"/>
              </w:rPr>
            </w:pPr>
          </w:p>
        </w:tc>
        <w:tc>
          <w:tcPr>
            <w:tcW w:w="40" w:type="dxa"/>
            <w:vAlign w:val="bottom"/>
            <w:shd w:val="clear" w:color="auto" w:fill="F2F2F2"/>
          </w:tcPr>
          <w:p>
            <w:pPr>
              <w:spacing w:after="0"/>
              <w:rPr>
                <w:sz w:val="11"/>
                <w:szCs w:val="11"/>
                <w:color w:val="auto"/>
              </w:rPr>
            </w:pPr>
          </w:p>
        </w:tc>
        <w:tc>
          <w:tcPr>
            <w:tcW w:w="100" w:type="dxa"/>
            <w:vAlign w:val="bottom"/>
            <w:shd w:val="clear" w:color="auto" w:fill="F2F2F2"/>
          </w:tcPr>
          <w:p>
            <w:pPr>
              <w:spacing w:after="0"/>
              <w:rPr>
                <w:sz w:val="11"/>
                <w:szCs w:val="11"/>
                <w:color w:val="auto"/>
              </w:rPr>
            </w:pPr>
          </w:p>
        </w:tc>
        <w:tc>
          <w:tcPr>
            <w:tcW w:w="700" w:type="dxa"/>
            <w:vAlign w:val="bottom"/>
            <w:shd w:val="clear" w:color="auto" w:fill="F2F2F2"/>
          </w:tcPr>
          <w:p>
            <w:pPr>
              <w:jc w:val="center"/>
              <w:ind w:left="5"/>
              <w:spacing w:after="0"/>
              <w:rPr>
                <w:sz w:val="20"/>
                <w:szCs w:val="20"/>
                <w:color w:val="auto"/>
              </w:rPr>
            </w:pPr>
            <w:r>
              <w:rPr>
                <w:rFonts w:ascii="Arial" w:cs="Arial" w:eastAsia="Arial" w:hAnsi="Arial"/>
                <w:sz w:val="11"/>
                <w:szCs w:val="11"/>
                <w:b w:val="1"/>
                <w:bCs w:val="1"/>
                <w:color w:val="auto"/>
              </w:rPr>
              <w:t>Actuarial</w:t>
            </w:r>
          </w:p>
        </w:tc>
        <w:tc>
          <w:tcPr>
            <w:tcW w:w="80" w:type="dxa"/>
            <w:vAlign w:val="bottom"/>
            <w:shd w:val="clear" w:color="auto" w:fill="F2F2F2"/>
          </w:tcPr>
          <w:p>
            <w:pPr>
              <w:spacing w:after="0"/>
              <w:rPr>
                <w:sz w:val="11"/>
                <w:szCs w:val="11"/>
                <w:color w:val="auto"/>
              </w:rPr>
            </w:pPr>
          </w:p>
        </w:tc>
        <w:tc>
          <w:tcPr>
            <w:tcW w:w="40" w:type="dxa"/>
            <w:vAlign w:val="bottom"/>
            <w:shd w:val="clear" w:color="auto" w:fill="F2F2F2"/>
          </w:tcPr>
          <w:p>
            <w:pPr>
              <w:spacing w:after="0"/>
              <w:rPr>
                <w:sz w:val="11"/>
                <w:szCs w:val="11"/>
                <w:color w:val="auto"/>
              </w:rPr>
            </w:pPr>
          </w:p>
        </w:tc>
        <w:tc>
          <w:tcPr>
            <w:tcW w:w="120" w:type="dxa"/>
            <w:vAlign w:val="bottom"/>
            <w:shd w:val="clear" w:color="auto" w:fill="F2F2F2"/>
          </w:tcPr>
          <w:p>
            <w:pPr>
              <w:spacing w:after="0"/>
              <w:rPr>
                <w:sz w:val="11"/>
                <w:szCs w:val="11"/>
                <w:color w:val="auto"/>
              </w:rPr>
            </w:pPr>
          </w:p>
        </w:tc>
        <w:tc>
          <w:tcPr>
            <w:tcW w:w="780" w:type="dxa"/>
            <w:vAlign w:val="bottom"/>
            <w:shd w:val="clear" w:color="auto" w:fill="F2F2F2"/>
          </w:tcPr>
          <w:p>
            <w:pPr>
              <w:jc w:val="center"/>
              <w:ind w:right="47"/>
              <w:spacing w:after="0"/>
              <w:rPr>
                <w:sz w:val="20"/>
                <w:szCs w:val="20"/>
                <w:color w:val="auto"/>
              </w:rPr>
            </w:pPr>
            <w:r>
              <w:rPr>
                <w:rFonts w:ascii="Arial" w:cs="Arial" w:eastAsia="Arial" w:hAnsi="Arial"/>
                <w:sz w:val="11"/>
                <w:szCs w:val="11"/>
                <w:b w:val="1"/>
                <w:bCs w:val="1"/>
                <w:color w:val="auto"/>
                <w:w w:val="99"/>
              </w:rPr>
              <w:t>Equals</w:t>
            </w:r>
          </w:p>
        </w:tc>
        <w:tc>
          <w:tcPr>
            <w:tcW w:w="80" w:type="dxa"/>
            <w:vAlign w:val="bottom"/>
            <w:shd w:val="clear" w:color="auto" w:fill="F2F2F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0" w:type="dxa"/>
            <w:vAlign w:val="bottom"/>
            <w:shd w:val="clear" w:color="auto" w:fill="F2F2F2"/>
          </w:tcPr>
          <w:p>
            <w:pPr>
              <w:spacing w:after="0"/>
              <w:rPr>
                <w:sz w:val="11"/>
                <w:szCs w:val="11"/>
                <w:color w:val="auto"/>
              </w:rPr>
            </w:pPr>
          </w:p>
        </w:tc>
        <w:tc>
          <w:tcPr>
            <w:tcW w:w="180" w:type="dxa"/>
            <w:vAlign w:val="bottom"/>
            <w:shd w:val="clear" w:color="auto" w:fill="F2F2F2"/>
          </w:tcPr>
          <w:p>
            <w:pPr>
              <w:spacing w:after="0"/>
              <w:rPr>
                <w:sz w:val="11"/>
                <w:szCs w:val="11"/>
                <w:color w:val="auto"/>
              </w:rPr>
            </w:pPr>
          </w:p>
        </w:tc>
        <w:tc>
          <w:tcPr>
            <w:tcW w:w="160" w:type="dxa"/>
            <w:vAlign w:val="bottom"/>
            <w:tcBorders>
              <w:right w:val="single" w:sz="8" w:color="F2F2F2"/>
            </w:tcBorders>
            <w:shd w:val="clear" w:color="auto" w:fill="F2F2F2"/>
          </w:tcPr>
          <w:p>
            <w:pPr>
              <w:spacing w:after="0"/>
              <w:rPr>
                <w:sz w:val="11"/>
                <w:szCs w:val="11"/>
                <w:color w:val="auto"/>
              </w:rPr>
            </w:pPr>
          </w:p>
        </w:tc>
        <w:tc>
          <w:tcPr>
            <w:tcW w:w="820" w:type="dxa"/>
            <w:vAlign w:val="bottom"/>
            <w:shd w:val="clear" w:color="auto" w:fill="F2F2F2"/>
          </w:tcPr>
          <w:p>
            <w:pPr>
              <w:jc w:val="center"/>
              <w:ind w:right="385"/>
              <w:spacing w:after="0"/>
              <w:rPr>
                <w:sz w:val="20"/>
                <w:szCs w:val="20"/>
                <w:color w:val="auto"/>
              </w:rPr>
            </w:pPr>
            <w:r>
              <w:rPr>
                <w:rFonts w:ascii="Arial" w:cs="Arial" w:eastAsia="Arial" w:hAnsi="Arial"/>
                <w:sz w:val="11"/>
                <w:szCs w:val="11"/>
                <w:b w:val="1"/>
                <w:bCs w:val="1"/>
                <w:color w:val="auto"/>
              </w:rPr>
              <w:t>Table</w:t>
            </w:r>
          </w:p>
        </w:tc>
        <w:tc>
          <w:tcPr>
            <w:tcW w:w="720" w:type="dxa"/>
            <w:vAlign w:val="bottom"/>
            <w:gridSpan w:val="2"/>
            <w:shd w:val="clear" w:color="auto" w:fill="F2F2F2"/>
          </w:tcPr>
          <w:p>
            <w:pPr>
              <w:jc w:val="center"/>
              <w:ind w:right="43"/>
              <w:spacing w:after="0"/>
              <w:rPr>
                <w:sz w:val="20"/>
                <w:szCs w:val="20"/>
                <w:color w:val="auto"/>
              </w:rPr>
            </w:pPr>
            <w:r>
              <w:rPr>
                <w:rFonts w:ascii="Arial" w:cs="Arial" w:eastAsia="Arial" w:hAnsi="Arial"/>
                <w:sz w:val="11"/>
                <w:szCs w:val="11"/>
                <w:b w:val="1"/>
                <w:bCs w:val="1"/>
                <w:color w:val="auto"/>
              </w:rPr>
              <w:t>Granted in</w:t>
            </w:r>
          </w:p>
        </w:tc>
        <w:tc>
          <w:tcPr>
            <w:tcW w:w="140" w:type="dxa"/>
            <w:vAlign w:val="bottom"/>
            <w:shd w:val="clear" w:color="auto" w:fill="F2F2F2"/>
          </w:tcPr>
          <w:p>
            <w:pPr>
              <w:spacing w:after="0"/>
              <w:rPr>
                <w:sz w:val="11"/>
                <w:szCs w:val="11"/>
                <w:color w:val="auto"/>
              </w:rPr>
            </w:pPr>
          </w:p>
        </w:tc>
        <w:tc>
          <w:tcPr>
            <w:tcW w:w="760" w:type="dxa"/>
            <w:vAlign w:val="bottom"/>
            <w:gridSpan w:val="3"/>
            <w:shd w:val="clear" w:color="auto" w:fill="F2F2F2"/>
          </w:tcPr>
          <w:p>
            <w:pPr>
              <w:jc w:val="center"/>
              <w:spacing w:after="0"/>
              <w:rPr>
                <w:sz w:val="20"/>
                <w:szCs w:val="20"/>
                <w:color w:val="auto"/>
              </w:rPr>
            </w:pPr>
            <w:r>
              <w:rPr>
                <w:rFonts w:ascii="Arial" w:cs="Arial" w:eastAsia="Arial" w:hAnsi="Arial"/>
                <w:sz w:val="11"/>
                <w:szCs w:val="11"/>
                <w:b w:val="1"/>
                <w:bCs w:val="1"/>
                <w:color w:val="auto"/>
              </w:rPr>
              <w:t>Granted in</w:t>
            </w:r>
          </w:p>
        </w:tc>
        <w:tc>
          <w:tcPr>
            <w:tcW w:w="920" w:type="dxa"/>
            <w:vAlign w:val="bottom"/>
            <w:gridSpan w:val="4"/>
            <w:shd w:val="clear" w:color="auto" w:fill="F2F2F2"/>
          </w:tcPr>
          <w:p>
            <w:pPr>
              <w:jc w:val="center"/>
              <w:ind w:left="24"/>
              <w:spacing w:after="0"/>
              <w:rPr>
                <w:sz w:val="20"/>
                <w:szCs w:val="20"/>
                <w:color w:val="auto"/>
              </w:rPr>
            </w:pPr>
            <w:r>
              <w:rPr>
                <w:rFonts w:ascii="Arial" w:cs="Arial" w:eastAsia="Arial" w:hAnsi="Arial"/>
                <w:sz w:val="11"/>
                <w:szCs w:val="11"/>
                <w:b w:val="1"/>
                <w:bCs w:val="1"/>
                <w:color w:val="auto"/>
              </w:rPr>
              <w:t>in Prior</w:t>
            </w:r>
          </w:p>
        </w:tc>
        <w:tc>
          <w:tcPr>
            <w:tcW w:w="960" w:type="dxa"/>
            <w:vAlign w:val="bottom"/>
            <w:gridSpan w:val="2"/>
            <w:shd w:val="clear" w:color="auto" w:fill="F2F2F2"/>
          </w:tcPr>
          <w:p>
            <w:pPr>
              <w:jc w:val="center"/>
              <w:ind w:left="24"/>
              <w:spacing w:after="0"/>
              <w:rPr>
                <w:sz w:val="20"/>
                <w:szCs w:val="20"/>
                <w:color w:val="auto"/>
              </w:rPr>
            </w:pPr>
            <w:r>
              <w:rPr>
                <w:rFonts w:ascii="Arial" w:cs="Arial" w:eastAsia="Arial" w:hAnsi="Arial"/>
                <w:sz w:val="11"/>
                <w:szCs w:val="11"/>
                <w:b w:val="1"/>
                <w:bCs w:val="1"/>
                <w:color w:val="auto"/>
              </w:rPr>
              <w:t>Vested During</w:t>
            </w:r>
          </w:p>
        </w:tc>
        <w:tc>
          <w:tcPr>
            <w:tcW w:w="40" w:type="dxa"/>
            <w:vAlign w:val="bottom"/>
            <w:shd w:val="clear" w:color="auto" w:fill="F2F2F2"/>
          </w:tcPr>
          <w:p>
            <w:pPr>
              <w:spacing w:after="0"/>
              <w:rPr>
                <w:sz w:val="11"/>
                <w:szCs w:val="11"/>
                <w:color w:val="auto"/>
              </w:rPr>
            </w:pPr>
          </w:p>
        </w:tc>
        <w:tc>
          <w:tcPr>
            <w:tcW w:w="1000" w:type="dxa"/>
            <w:vAlign w:val="bottom"/>
            <w:gridSpan w:val="3"/>
            <w:shd w:val="clear" w:color="auto" w:fill="F2F2F2"/>
          </w:tcPr>
          <w:p>
            <w:pPr>
              <w:jc w:val="center"/>
              <w:spacing w:after="0"/>
              <w:rPr>
                <w:sz w:val="20"/>
                <w:szCs w:val="20"/>
                <w:color w:val="auto"/>
              </w:rPr>
            </w:pPr>
            <w:r>
              <w:rPr>
                <w:rFonts w:ascii="Arial" w:cs="Arial" w:eastAsia="Arial" w:hAnsi="Arial"/>
                <w:sz w:val="11"/>
                <w:szCs w:val="11"/>
                <w:b w:val="1"/>
                <w:bCs w:val="1"/>
                <w:color w:val="auto"/>
              </w:rPr>
              <w:t>Satisfed During</w:t>
            </w:r>
          </w:p>
        </w:tc>
        <w:tc>
          <w:tcPr>
            <w:tcW w:w="40" w:type="dxa"/>
            <w:vAlign w:val="bottom"/>
            <w:shd w:val="clear" w:color="auto" w:fill="F2F2F2"/>
          </w:tcPr>
          <w:p>
            <w:pPr>
              <w:spacing w:after="0"/>
              <w:rPr>
                <w:sz w:val="11"/>
                <w:szCs w:val="11"/>
                <w:color w:val="auto"/>
              </w:rPr>
            </w:pPr>
          </w:p>
        </w:tc>
        <w:tc>
          <w:tcPr>
            <w:tcW w:w="100" w:type="dxa"/>
            <w:vAlign w:val="bottom"/>
            <w:shd w:val="clear" w:color="auto" w:fill="F2F2F2"/>
          </w:tcPr>
          <w:p>
            <w:pPr>
              <w:spacing w:after="0"/>
              <w:rPr>
                <w:sz w:val="11"/>
                <w:szCs w:val="11"/>
                <w:color w:val="auto"/>
              </w:rPr>
            </w:pPr>
          </w:p>
        </w:tc>
        <w:tc>
          <w:tcPr>
            <w:tcW w:w="40" w:type="dxa"/>
            <w:vAlign w:val="bottom"/>
            <w:shd w:val="clear" w:color="auto" w:fill="F2F2F2"/>
          </w:tcPr>
          <w:p>
            <w:pPr>
              <w:spacing w:after="0"/>
              <w:rPr>
                <w:sz w:val="11"/>
                <w:szCs w:val="11"/>
                <w:color w:val="auto"/>
              </w:rPr>
            </w:pPr>
          </w:p>
        </w:tc>
        <w:tc>
          <w:tcPr>
            <w:tcW w:w="560" w:type="dxa"/>
            <w:vAlign w:val="bottom"/>
            <w:gridSpan w:val="2"/>
            <w:shd w:val="clear" w:color="auto" w:fill="F2F2F2"/>
          </w:tcPr>
          <w:p>
            <w:pPr>
              <w:jc w:val="center"/>
              <w:spacing w:after="0"/>
              <w:rPr>
                <w:sz w:val="20"/>
                <w:szCs w:val="20"/>
                <w:color w:val="auto"/>
              </w:rPr>
            </w:pPr>
            <w:r>
              <w:rPr>
                <w:rFonts w:ascii="Arial" w:cs="Arial" w:eastAsia="Arial" w:hAnsi="Arial"/>
                <w:sz w:val="11"/>
                <w:szCs w:val="11"/>
                <w:b w:val="1"/>
                <w:bCs w:val="1"/>
                <w:color w:val="auto"/>
              </w:rPr>
              <w:t>During</w:t>
            </w:r>
          </w:p>
        </w:tc>
        <w:tc>
          <w:tcPr>
            <w:tcW w:w="80" w:type="dxa"/>
            <w:vAlign w:val="bottom"/>
            <w:shd w:val="clear" w:color="auto" w:fill="F2F2F2"/>
          </w:tcPr>
          <w:p>
            <w:pPr>
              <w:spacing w:after="0"/>
              <w:rPr>
                <w:sz w:val="11"/>
                <w:szCs w:val="11"/>
                <w:color w:val="auto"/>
              </w:rPr>
            </w:pPr>
          </w:p>
        </w:tc>
        <w:tc>
          <w:tcPr>
            <w:tcW w:w="760" w:type="dxa"/>
            <w:vAlign w:val="bottom"/>
            <w:gridSpan w:val="2"/>
            <w:shd w:val="clear" w:color="auto" w:fill="F2F2F2"/>
          </w:tcPr>
          <w:p>
            <w:pPr>
              <w:jc w:val="center"/>
              <w:ind w:left="185"/>
              <w:spacing w:after="0"/>
              <w:rPr>
                <w:sz w:val="20"/>
                <w:szCs w:val="20"/>
                <w:color w:val="auto"/>
              </w:rPr>
            </w:pPr>
            <w:r>
              <w:rPr>
                <w:rFonts w:ascii="Arial" w:cs="Arial" w:eastAsia="Arial" w:hAnsi="Arial"/>
                <w:sz w:val="11"/>
                <w:szCs w:val="11"/>
                <w:b w:val="1"/>
                <w:bCs w:val="1"/>
                <w:color w:val="auto"/>
              </w:rPr>
              <w:t>Pension</w:t>
            </w:r>
          </w:p>
        </w:tc>
        <w:tc>
          <w:tcPr>
            <w:tcW w:w="100" w:type="dxa"/>
            <w:vAlign w:val="bottom"/>
            <w:shd w:val="clear" w:color="auto" w:fill="F2F2F2"/>
          </w:tcPr>
          <w:p>
            <w:pPr>
              <w:spacing w:after="0"/>
              <w:rPr>
                <w:sz w:val="11"/>
                <w:szCs w:val="11"/>
                <w:color w:val="auto"/>
              </w:rPr>
            </w:pPr>
          </w:p>
        </w:tc>
        <w:tc>
          <w:tcPr>
            <w:tcW w:w="40" w:type="dxa"/>
            <w:vAlign w:val="bottom"/>
            <w:shd w:val="clear" w:color="auto" w:fill="F2F2F2"/>
          </w:tcPr>
          <w:p>
            <w:pPr>
              <w:spacing w:after="0"/>
              <w:rPr>
                <w:sz w:val="11"/>
                <w:szCs w:val="11"/>
                <w:color w:val="auto"/>
              </w:rPr>
            </w:pPr>
          </w:p>
        </w:tc>
        <w:tc>
          <w:tcPr>
            <w:tcW w:w="100" w:type="dxa"/>
            <w:vAlign w:val="bottom"/>
            <w:shd w:val="clear" w:color="auto" w:fill="F2F2F2"/>
          </w:tcPr>
          <w:p>
            <w:pPr>
              <w:spacing w:after="0"/>
              <w:rPr>
                <w:sz w:val="11"/>
                <w:szCs w:val="11"/>
                <w:color w:val="auto"/>
              </w:rPr>
            </w:pPr>
          </w:p>
        </w:tc>
        <w:tc>
          <w:tcPr>
            <w:tcW w:w="700" w:type="dxa"/>
            <w:vAlign w:val="bottom"/>
            <w:shd w:val="clear" w:color="auto" w:fill="F2F2F2"/>
          </w:tcPr>
          <w:p>
            <w:pPr>
              <w:jc w:val="center"/>
              <w:ind w:left="5"/>
              <w:spacing w:after="0"/>
              <w:rPr>
                <w:sz w:val="20"/>
                <w:szCs w:val="20"/>
                <w:color w:val="auto"/>
              </w:rPr>
            </w:pPr>
            <w:r>
              <w:rPr>
                <w:rFonts w:ascii="Arial" w:cs="Arial" w:eastAsia="Arial" w:hAnsi="Arial"/>
                <w:sz w:val="11"/>
                <w:szCs w:val="11"/>
                <w:b w:val="1"/>
                <w:bCs w:val="1"/>
                <w:color w:val="auto"/>
              </w:rPr>
              <w:t>Pension</w:t>
            </w:r>
          </w:p>
        </w:tc>
        <w:tc>
          <w:tcPr>
            <w:tcW w:w="80" w:type="dxa"/>
            <w:vAlign w:val="bottom"/>
            <w:shd w:val="clear" w:color="auto" w:fill="F2F2F2"/>
          </w:tcPr>
          <w:p>
            <w:pPr>
              <w:spacing w:after="0"/>
              <w:rPr>
                <w:sz w:val="11"/>
                <w:szCs w:val="11"/>
                <w:color w:val="auto"/>
              </w:rPr>
            </w:pPr>
          </w:p>
        </w:tc>
        <w:tc>
          <w:tcPr>
            <w:tcW w:w="40" w:type="dxa"/>
            <w:vAlign w:val="bottom"/>
            <w:shd w:val="clear" w:color="auto" w:fill="F2F2F2"/>
          </w:tcPr>
          <w:p>
            <w:pPr>
              <w:spacing w:after="0"/>
              <w:rPr>
                <w:sz w:val="11"/>
                <w:szCs w:val="11"/>
                <w:color w:val="auto"/>
              </w:rPr>
            </w:pPr>
          </w:p>
        </w:tc>
        <w:tc>
          <w:tcPr>
            <w:tcW w:w="900" w:type="dxa"/>
            <w:vAlign w:val="bottom"/>
            <w:gridSpan w:val="2"/>
            <w:shd w:val="clear" w:color="auto" w:fill="F2F2F2"/>
          </w:tcPr>
          <w:p>
            <w:pPr>
              <w:jc w:val="center"/>
              <w:spacing w:after="0"/>
              <w:rPr>
                <w:sz w:val="20"/>
                <w:szCs w:val="20"/>
                <w:color w:val="auto"/>
              </w:rPr>
            </w:pPr>
            <w:r>
              <w:rPr>
                <w:rFonts w:ascii="Arial" w:cs="Arial" w:eastAsia="Arial" w:hAnsi="Arial"/>
                <w:sz w:val="11"/>
                <w:szCs w:val="11"/>
                <w:b w:val="1"/>
                <w:bCs w:val="1"/>
                <w:color w:val="auto"/>
              </w:rPr>
              <w:t>Compensation</w:t>
            </w:r>
          </w:p>
        </w:tc>
        <w:tc>
          <w:tcPr>
            <w:tcW w:w="80" w:type="dxa"/>
            <w:vAlign w:val="bottom"/>
            <w:shd w:val="clear" w:color="auto" w:fill="F2F2F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400" w:type="dxa"/>
            <w:vAlign w:val="bottom"/>
            <w:shd w:val="clear" w:color="auto" w:fill="F2F2F2"/>
          </w:tcPr>
          <w:p>
            <w:pPr>
              <w:spacing w:after="0"/>
              <w:rPr>
                <w:sz w:val="10"/>
                <w:szCs w:val="10"/>
                <w:color w:val="auto"/>
              </w:rPr>
            </w:pPr>
          </w:p>
        </w:tc>
        <w:tc>
          <w:tcPr>
            <w:tcW w:w="180" w:type="dxa"/>
            <w:vAlign w:val="bottom"/>
            <w:shd w:val="clear" w:color="auto" w:fill="F2F2F2"/>
          </w:tcPr>
          <w:p>
            <w:pPr>
              <w:spacing w:after="0"/>
              <w:rPr>
                <w:sz w:val="10"/>
                <w:szCs w:val="10"/>
                <w:color w:val="auto"/>
              </w:rPr>
            </w:pPr>
          </w:p>
        </w:tc>
        <w:tc>
          <w:tcPr>
            <w:tcW w:w="160" w:type="dxa"/>
            <w:vAlign w:val="bottom"/>
            <w:tcBorders>
              <w:right w:val="single" w:sz="8" w:color="F2F2F2"/>
            </w:tcBorders>
            <w:shd w:val="clear" w:color="auto" w:fill="F2F2F2"/>
          </w:tcPr>
          <w:p>
            <w:pPr>
              <w:spacing w:after="0"/>
              <w:rPr>
                <w:sz w:val="10"/>
                <w:szCs w:val="10"/>
                <w:color w:val="auto"/>
              </w:rPr>
            </w:pPr>
          </w:p>
        </w:tc>
        <w:tc>
          <w:tcPr>
            <w:tcW w:w="820" w:type="dxa"/>
            <w:vAlign w:val="bottom"/>
            <w:shd w:val="clear" w:color="auto" w:fill="F2F2F2"/>
          </w:tcPr>
          <w:p>
            <w:pPr>
              <w:jc w:val="center"/>
              <w:ind w:right="385"/>
              <w:spacing w:after="0" w:line="124" w:lineRule="exact"/>
              <w:rPr>
                <w:sz w:val="20"/>
                <w:szCs w:val="20"/>
                <w:color w:val="auto"/>
              </w:rPr>
            </w:pPr>
            <w:r>
              <w:rPr>
                <w:rFonts w:ascii="Arial" w:cs="Arial" w:eastAsia="Arial" w:hAnsi="Arial"/>
                <w:sz w:val="11"/>
                <w:szCs w:val="11"/>
                <w:b w:val="1"/>
                <w:bCs w:val="1"/>
                <w:color w:val="auto"/>
                <w:w w:val="98"/>
              </w:rPr>
              <w:t>Total</w:t>
            </w:r>
          </w:p>
        </w:tc>
        <w:tc>
          <w:tcPr>
            <w:tcW w:w="720" w:type="dxa"/>
            <w:vAlign w:val="bottom"/>
            <w:gridSpan w:val="2"/>
            <w:shd w:val="clear" w:color="auto" w:fill="F2F2F2"/>
          </w:tcPr>
          <w:p>
            <w:pPr>
              <w:jc w:val="center"/>
              <w:ind w:right="43"/>
              <w:spacing w:after="0" w:line="124" w:lineRule="exact"/>
              <w:rPr>
                <w:sz w:val="20"/>
                <w:szCs w:val="20"/>
                <w:color w:val="auto"/>
              </w:rPr>
            </w:pPr>
            <w:r>
              <w:rPr>
                <w:rFonts w:ascii="Arial" w:cs="Arial" w:eastAsia="Arial" w:hAnsi="Arial"/>
                <w:sz w:val="11"/>
                <w:szCs w:val="11"/>
                <w:b w:val="1"/>
                <w:bCs w:val="1"/>
                <w:color w:val="auto"/>
                <w:w w:val="99"/>
              </w:rPr>
              <w:t>Fiscal Year</w:t>
            </w:r>
          </w:p>
        </w:tc>
        <w:tc>
          <w:tcPr>
            <w:tcW w:w="140" w:type="dxa"/>
            <w:vAlign w:val="bottom"/>
            <w:shd w:val="clear" w:color="auto" w:fill="F2F2F2"/>
          </w:tcPr>
          <w:p>
            <w:pPr>
              <w:spacing w:after="0"/>
              <w:rPr>
                <w:sz w:val="10"/>
                <w:szCs w:val="10"/>
                <w:color w:val="auto"/>
              </w:rPr>
            </w:pPr>
          </w:p>
        </w:tc>
        <w:tc>
          <w:tcPr>
            <w:tcW w:w="760" w:type="dxa"/>
            <w:vAlign w:val="bottom"/>
            <w:gridSpan w:val="3"/>
            <w:shd w:val="clear" w:color="auto" w:fill="F2F2F2"/>
          </w:tcPr>
          <w:p>
            <w:pPr>
              <w:jc w:val="right"/>
              <w:ind w:right="42"/>
              <w:spacing w:after="0" w:line="124" w:lineRule="exact"/>
              <w:rPr>
                <w:sz w:val="20"/>
                <w:szCs w:val="20"/>
                <w:color w:val="auto"/>
              </w:rPr>
            </w:pPr>
            <w:r>
              <w:rPr>
                <w:rFonts w:ascii="Arial" w:cs="Arial" w:eastAsia="Arial" w:hAnsi="Arial"/>
                <w:sz w:val="11"/>
                <w:szCs w:val="11"/>
                <w:b w:val="1"/>
                <w:bCs w:val="1"/>
                <w:color w:val="auto"/>
              </w:rPr>
              <w:t>Fiscal Year</w:t>
            </w:r>
          </w:p>
        </w:tc>
        <w:tc>
          <w:tcPr>
            <w:tcW w:w="920" w:type="dxa"/>
            <w:vAlign w:val="bottom"/>
            <w:gridSpan w:val="4"/>
            <w:shd w:val="clear" w:color="auto" w:fill="F2F2F2"/>
          </w:tcPr>
          <w:p>
            <w:pPr>
              <w:jc w:val="center"/>
              <w:ind w:left="44"/>
              <w:spacing w:after="0" w:line="124" w:lineRule="exact"/>
              <w:rPr>
                <w:sz w:val="20"/>
                <w:szCs w:val="20"/>
                <w:color w:val="auto"/>
              </w:rPr>
            </w:pPr>
            <w:r>
              <w:rPr>
                <w:rFonts w:ascii="Arial" w:cs="Arial" w:eastAsia="Arial" w:hAnsi="Arial"/>
                <w:sz w:val="11"/>
                <w:szCs w:val="11"/>
                <w:b w:val="1"/>
                <w:bCs w:val="1"/>
                <w:color w:val="auto"/>
                <w:w w:val="96"/>
              </w:rPr>
              <w:t>Fiscal Years</w:t>
            </w:r>
          </w:p>
        </w:tc>
        <w:tc>
          <w:tcPr>
            <w:tcW w:w="140" w:type="dxa"/>
            <w:vAlign w:val="bottom"/>
            <w:shd w:val="clear" w:color="auto" w:fill="F2F2F2"/>
          </w:tcPr>
          <w:p>
            <w:pPr>
              <w:spacing w:after="0"/>
              <w:rPr>
                <w:sz w:val="10"/>
                <w:szCs w:val="10"/>
                <w:color w:val="auto"/>
              </w:rPr>
            </w:pPr>
          </w:p>
        </w:tc>
        <w:tc>
          <w:tcPr>
            <w:tcW w:w="820" w:type="dxa"/>
            <w:vAlign w:val="bottom"/>
            <w:shd w:val="clear" w:color="auto" w:fill="F2F2F2"/>
          </w:tcPr>
          <w:p>
            <w:pPr>
              <w:jc w:val="center"/>
              <w:ind w:right="4"/>
              <w:spacing w:after="0" w:line="124" w:lineRule="exact"/>
              <w:rPr>
                <w:sz w:val="20"/>
                <w:szCs w:val="20"/>
                <w:color w:val="auto"/>
              </w:rPr>
            </w:pPr>
            <w:r>
              <w:rPr>
                <w:rFonts w:ascii="Arial" w:cs="Arial" w:eastAsia="Arial" w:hAnsi="Arial"/>
                <w:sz w:val="11"/>
                <w:szCs w:val="11"/>
                <w:b w:val="1"/>
                <w:bCs w:val="1"/>
                <w:color w:val="auto"/>
                <w:w w:val="96"/>
              </w:rPr>
              <w:t>Fiscal Year</w:t>
            </w:r>
          </w:p>
        </w:tc>
        <w:tc>
          <w:tcPr>
            <w:tcW w:w="40" w:type="dxa"/>
            <w:vAlign w:val="bottom"/>
            <w:shd w:val="clear" w:color="auto" w:fill="F2F2F2"/>
          </w:tcPr>
          <w:p>
            <w:pPr>
              <w:spacing w:after="0"/>
              <w:rPr>
                <w:sz w:val="10"/>
                <w:szCs w:val="10"/>
                <w:color w:val="auto"/>
              </w:rPr>
            </w:pPr>
          </w:p>
        </w:tc>
        <w:tc>
          <w:tcPr>
            <w:tcW w:w="120" w:type="dxa"/>
            <w:vAlign w:val="bottom"/>
            <w:shd w:val="clear" w:color="auto" w:fill="F2F2F2"/>
          </w:tcPr>
          <w:p>
            <w:pPr>
              <w:spacing w:after="0"/>
              <w:rPr>
                <w:sz w:val="10"/>
                <w:szCs w:val="10"/>
                <w:color w:val="auto"/>
              </w:rPr>
            </w:pPr>
          </w:p>
        </w:tc>
        <w:tc>
          <w:tcPr>
            <w:tcW w:w="40" w:type="dxa"/>
            <w:vAlign w:val="bottom"/>
            <w:shd w:val="clear" w:color="auto" w:fill="F2F2F2"/>
          </w:tcPr>
          <w:p>
            <w:pPr>
              <w:spacing w:after="0"/>
              <w:rPr>
                <w:sz w:val="10"/>
                <w:szCs w:val="10"/>
                <w:color w:val="auto"/>
              </w:rPr>
            </w:pPr>
          </w:p>
        </w:tc>
        <w:tc>
          <w:tcPr>
            <w:tcW w:w="840" w:type="dxa"/>
            <w:vAlign w:val="bottom"/>
            <w:shd w:val="clear" w:color="auto" w:fill="F2F2F2"/>
          </w:tcPr>
          <w:p>
            <w:pPr>
              <w:jc w:val="center"/>
              <w:ind w:right="85"/>
              <w:spacing w:after="0" w:line="124" w:lineRule="exact"/>
              <w:rPr>
                <w:sz w:val="20"/>
                <w:szCs w:val="20"/>
                <w:color w:val="auto"/>
              </w:rPr>
            </w:pPr>
            <w:r>
              <w:rPr>
                <w:rFonts w:ascii="Arial" w:cs="Arial" w:eastAsia="Arial" w:hAnsi="Arial"/>
                <w:sz w:val="11"/>
                <w:szCs w:val="11"/>
                <w:b w:val="1"/>
                <w:bCs w:val="1"/>
                <w:color w:val="auto"/>
                <w:w w:val="99"/>
              </w:rPr>
              <w:t>Fiscal Year</w:t>
            </w:r>
          </w:p>
        </w:tc>
        <w:tc>
          <w:tcPr>
            <w:tcW w:w="40" w:type="dxa"/>
            <w:vAlign w:val="bottom"/>
            <w:shd w:val="clear" w:color="auto" w:fill="F2F2F2"/>
          </w:tcPr>
          <w:p>
            <w:pPr>
              <w:spacing w:after="0"/>
              <w:rPr>
                <w:sz w:val="10"/>
                <w:szCs w:val="10"/>
                <w:color w:val="auto"/>
              </w:rPr>
            </w:pPr>
          </w:p>
        </w:tc>
        <w:tc>
          <w:tcPr>
            <w:tcW w:w="100" w:type="dxa"/>
            <w:vAlign w:val="bottom"/>
            <w:shd w:val="clear" w:color="auto" w:fill="F2F2F2"/>
          </w:tcPr>
          <w:p>
            <w:pPr>
              <w:spacing w:after="0"/>
              <w:rPr>
                <w:sz w:val="10"/>
                <w:szCs w:val="10"/>
                <w:color w:val="auto"/>
              </w:rPr>
            </w:pPr>
          </w:p>
        </w:tc>
        <w:tc>
          <w:tcPr>
            <w:tcW w:w="680" w:type="dxa"/>
            <w:vAlign w:val="bottom"/>
            <w:gridSpan w:val="4"/>
            <w:shd w:val="clear" w:color="auto" w:fill="F2F2F2"/>
          </w:tcPr>
          <w:p>
            <w:pPr>
              <w:jc w:val="center"/>
              <w:spacing w:after="0" w:line="124" w:lineRule="exact"/>
              <w:rPr>
                <w:sz w:val="20"/>
                <w:szCs w:val="20"/>
                <w:color w:val="auto"/>
              </w:rPr>
            </w:pPr>
            <w:r>
              <w:rPr>
                <w:rFonts w:ascii="Arial" w:cs="Arial" w:eastAsia="Arial" w:hAnsi="Arial"/>
                <w:sz w:val="11"/>
                <w:szCs w:val="11"/>
                <w:b w:val="1"/>
                <w:bCs w:val="1"/>
                <w:color w:val="auto"/>
                <w:w w:val="96"/>
              </w:rPr>
              <w:t>Fiscal Year</w:t>
            </w:r>
          </w:p>
        </w:tc>
        <w:tc>
          <w:tcPr>
            <w:tcW w:w="760" w:type="dxa"/>
            <w:vAlign w:val="bottom"/>
            <w:gridSpan w:val="2"/>
            <w:shd w:val="clear" w:color="auto" w:fill="F2F2F2"/>
          </w:tcPr>
          <w:p>
            <w:pPr>
              <w:jc w:val="center"/>
              <w:ind w:left="185"/>
              <w:spacing w:after="0" w:line="124" w:lineRule="exact"/>
              <w:rPr>
                <w:sz w:val="20"/>
                <w:szCs w:val="20"/>
                <w:color w:val="auto"/>
              </w:rPr>
            </w:pPr>
            <w:r>
              <w:rPr>
                <w:rFonts w:ascii="Arial" w:cs="Arial" w:eastAsia="Arial" w:hAnsi="Arial"/>
                <w:sz w:val="11"/>
                <w:szCs w:val="11"/>
                <w:b w:val="1"/>
                <w:bCs w:val="1"/>
                <w:color w:val="auto"/>
                <w:w w:val="95"/>
              </w:rPr>
              <w:t>Plans</w:t>
            </w:r>
          </w:p>
        </w:tc>
        <w:tc>
          <w:tcPr>
            <w:tcW w:w="100" w:type="dxa"/>
            <w:vAlign w:val="bottom"/>
            <w:shd w:val="clear" w:color="auto" w:fill="F2F2F2"/>
          </w:tcPr>
          <w:p>
            <w:pPr>
              <w:spacing w:after="0"/>
              <w:rPr>
                <w:sz w:val="10"/>
                <w:szCs w:val="10"/>
                <w:color w:val="auto"/>
              </w:rPr>
            </w:pPr>
          </w:p>
        </w:tc>
        <w:tc>
          <w:tcPr>
            <w:tcW w:w="40" w:type="dxa"/>
            <w:vAlign w:val="bottom"/>
            <w:shd w:val="clear" w:color="auto" w:fill="F2F2F2"/>
          </w:tcPr>
          <w:p>
            <w:pPr>
              <w:spacing w:after="0"/>
              <w:rPr>
                <w:sz w:val="10"/>
                <w:szCs w:val="10"/>
                <w:color w:val="auto"/>
              </w:rPr>
            </w:pPr>
          </w:p>
        </w:tc>
        <w:tc>
          <w:tcPr>
            <w:tcW w:w="100" w:type="dxa"/>
            <w:vAlign w:val="bottom"/>
            <w:shd w:val="clear" w:color="auto" w:fill="F2F2F2"/>
          </w:tcPr>
          <w:p>
            <w:pPr>
              <w:spacing w:after="0"/>
              <w:rPr>
                <w:sz w:val="10"/>
                <w:szCs w:val="10"/>
                <w:color w:val="auto"/>
              </w:rPr>
            </w:pPr>
          </w:p>
        </w:tc>
        <w:tc>
          <w:tcPr>
            <w:tcW w:w="700" w:type="dxa"/>
            <w:vAlign w:val="bottom"/>
            <w:shd w:val="clear" w:color="auto" w:fill="F2F2F2"/>
          </w:tcPr>
          <w:p>
            <w:pPr>
              <w:jc w:val="center"/>
              <w:ind w:left="5"/>
              <w:spacing w:after="0" w:line="124" w:lineRule="exact"/>
              <w:rPr>
                <w:sz w:val="20"/>
                <w:szCs w:val="20"/>
                <w:color w:val="auto"/>
              </w:rPr>
            </w:pPr>
            <w:r>
              <w:rPr>
                <w:rFonts w:ascii="Arial" w:cs="Arial" w:eastAsia="Arial" w:hAnsi="Arial"/>
                <w:sz w:val="11"/>
                <w:szCs w:val="11"/>
                <w:b w:val="1"/>
                <w:bCs w:val="1"/>
                <w:color w:val="auto"/>
                <w:w w:val="95"/>
              </w:rPr>
              <w:t>Plans</w:t>
            </w:r>
          </w:p>
        </w:tc>
        <w:tc>
          <w:tcPr>
            <w:tcW w:w="80" w:type="dxa"/>
            <w:vAlign w:val="bottom"/>
            <w:shd w:val="clear" w:color="auto" w:fill="F2F2F2"/>
          </w:tcPr>
          <w:p>
            <w:pPr>
              <w:spacing w:after="0"/>
              <w:rPr>
                <w:sz w:val="10"/>
                <w:szCs w:val="10"/>
                <w:color w:val="auto"/>
              </w:rPr>
            </w:pPr>
          </w:p>
        </w:tc>
        <w:tc>
          <w:tcPr>
            <w:tcW w:w="40" w:type="dxa"/>
            <w:vAlign w:val="bottom"/>
            <w:shd w:val="clear" w:color="auto" w:fill="F2F2F2"/>
          </w:tcPr>
          <w:p>
            <w:pPr>
              <w:spacing w:after="0"/>
              <w:rPr>
                <w:sz w:val="10"/>
                <w:szCs w:val="10"/>
                <w:color w:val="auto"/>
              </w:rPr>
            </w:pPr>
          </w:p>
        </w:tc>
        <w:tc>
          <w:tcPr>
            <w:tcW w:w="900" w:type="dxa"/>
            <w:vAlign w:val="bottom"/>
            <w:gridSpan w:val="2"/>
            <w:shd w:val="clear" w:color="auto" w:fill="F2F2F2"/>
          </w:tcPr>
          <w:p>
            <w:pPr>
              <w:jc w:val="center"/>
              <w:spacing w:after="0" w:line="124" w:lineRule="exact"/>
              <w:rPr>
                <w:sz w:val="20"/>
                <w:szCs w:val="20"/>
                <w:color w:val="auto"/>
              </w:rPr>
            </w:pPr>
            <w:r>
              <w:rPr>
                <w:rFonts w:ascii="Arial" w:cs="Arial" w:eastAsia="Arial" w:hAnsi="Arial"/>
                <w:sz w:val="11"/>
                <w:szCs w:val="11"/>
                <w:b w:val="1"/>
                <w:bCs w:val="1"/>
                <w:color w:val="auto"/>
              </w:rPr>
              <w:t>Actually Paid</w:t>
            </w:r>
          </w:p>
        </w:tc>
        <w:tc>
          <w:tcPr>
            <w:tcW w:w="80" w:type="dxa"/>
            <w:vAlign w:val="bottom"/>
            <w:shd w:val="clear" w:color="auto" w:fill="F2F2F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400" w:type="dxa"/>
            <w:vAlign w:val="bottom"/>
            <w:tcBorders>
              <w:bottom w:val="single" w:sz="8" w:color="F2F2F2"/>
            </w:tcBorders>
            <w:shd w:val="clear" w:color="auto" w:fill="F2F2F2"/>
          </w:tcPr>
          <w:p>
            <w:pPr>
              <w:ind w:left="120"/>
              <w:spacing w:after="0"/>
              <w:rPr>
                <w:sz w:val="20"/>
                <w:szCs w:val="20"/>
                <w:color w:val="auto"/>
              </w:rPr>
            </w:pPr>
            <w:r>
              <w:rPr>
                <w:rFonts w:ascii="Arial" w:cs="Arial" w:eastAsia="Arial" w:hAnsi="Arial"/>
                <w:sz w:val="11"/>
                <w:szCs w:val="11"/>
                <w:b w:val="1"/>
                <w:bCs w:val="1"/>
                <w:color w:val="auto"/>
              </w:rPr>
              <w:t>Year</w:t>
            </w:r>
          </w:p>
        </w:tc>
        <w:tc>
          <w:tcPr>
            <w:tcW w:w="180" w:type="dxa"/>
            <w:vAlign w:val="bottom"/>
            <w:tcBorders>
              <w:bottom w:val="single" w:sz="8" w:color="F2F2F2"/>
            </w:tcBorders>
            <w:shd w:val="clear" w:color="auto" w:fill="F2F2F2"/>
          </w:tcPr>
          <w:p>
            <w:pPr>
              <w:spacing w:after="0"/>
              <w:rPr>
                <w:sz w:val="15"/>
                <w:szCs w:val="15"/>
                <w:color w:val="auto"/>
              </w:rPr>
            </w:pPr>
          </w:p>
        </w:tc>
        <w:tc>
          <w:tcPr>
            <w:tcW w:w="160" w:type="dxa"/>
            <w:vAlign w:val="bottom"/>
            <w:tcBorders>
              <w:bottom w:val="single" w:sz="8" w:color="F2F2F2"/>
              <w:right w:val="single" w:sz="8" w:color="F2F2F2"/>
            </w:tcBorders>
            <w:shd w:val="clear" w:color="auto" w:fill="F2F2F2"/>
          </w:tcPr>
          <w:p>
            <w:pPr>
              <w:spacing w:after="0"/>
              <w:rPr>
                <w:sz w:val="15"/>
                <w:szCs w:val="15"/>
                <w:color w:val="auto"/>
              </w:rPr>
            </w:pPr>
          </w:p>
        </w:tc>
        <w:tc>
          <w:tcPr>
            <w:tcW w:w="820" w:type="dxa"/>
            <w:vAlign w:val="bottom"/>
            <w:tcBorders>
              <w:bottom w:val="single" w:sz="8" w:color="F2F2F2"/>
            </w:tcBorders>
            <w:shd w:val="clear" w:color="auto" w:fill="F2F2F2"/>
          </w:tcPr>
          <w:p>
            <w:pPr>
              <w:jc w:val="center"/>
              <w:ind w:right="365"/>
              <w:spacing w:after="0" w:line="168" w:lineRule="exact"/>
              <w:rPr>
                <w:sz w:val="20"/>
                <w:szCs w:val="20"/>
                <w:color w:val="auto"/>
              </w:rPr>
            </w:pPr>
            <w:r>
              <w:rPr>
                <w:rFonts w:ascii="Arial" w:cs="Arial" w:eastAsia="Arial" w:hAnsi="Arial"/>
                <w:sz w:val="11"/>
                <w:szCs w:val="11"/>
                <w:b w:val="1"/>
                <w:bCs w:val="1"/>
                <w:color w:val="auto"/>
                <w:w w:val="90"/>
              </w:rPr>
              <w:t>($)</w:t>
            </w:r>
            <w:r>
              <w:rPr>
                <w:rFonts w:ascii="Arial" w:cs="Arial" w:eastAsia="Arial" w:hAnsi="Arial"/>
                <w:sz w:val="16"/>
                <w:szCs w:val="16"/>
                <w:b w:val="1"/>
                <w:bCs w:val="1"/>
                <w:color w:val="auto"/>
                <w:w w:val="90"/>
                <w:vertAlign w:val="superscript"/>
              </w:rPr>
              <w:t>(a)</w:t>
            </w:r>
          </w:p>
        </w:tc>
        <w:tc>
          <w:tcPr>
            <w:tcW w:w="160" w:type="dxa"/>
            <w:vAlign w:val="bottom"/>
            <w:tcBorders>
              <w:bottom w:val="single" w:sz="8" w:color="F2F2F2"/>
              <w:right w:val="single" w:sz="8" w:color="F2F2F2"/>
            </w:tcBorders>
            <w:shd w:val="clear" w:color="auto" w:fill="F2F2F2"/>
          </w:tcPr>
          <w:p>
            <w:pPr>
              <w:spacing w:after="0"/>
              <w:rPr>
                <w:sz w:val="15"/>
                <w:szCs w:val="15"/>
                <w:color w:val="auto"/>
              </w:rPr>
            </w:pPr>
          </w:p>
        </w:tc>
        <w:tc>
          <w:tcPr>
            <w:tcW w:w="560" w:type="dxa"/>
            <w:vAlign w:val="bottom"/>
            <w:tcBorders>
              <w:bottom w:val="single" w:sz="8" w:color="F2F2F2"/>
            </w:tcBorders>
            <w:shd w:val="clear" w:color="auto" w:fill="F2F2F2"/>
          </w:tcPr>
          <w:p>
            <w:pPr>
              <w:jc w:val="center"/>
              <w:ind w:right="183"/>
              <w:spacing w:after="0" w:line="168" w:lineRule="exact"/>
              <w:rPr>
                <w:sz w:val="20"/>
                <w:szCs w:val="20"/>
                <w:color w:val="auto"/>
              </w:rPr>
            </w:pPr>
            <w:r>
              <w:rPr>
                <w:rFonts w:ascii="Arial" w:cs="Arial" w:eastAsia="Arial" w:hAnsi="Arial"/>
                <w:sz w:val="11"/>
                <w:szCs w:val="11"/>
                <w:b w:val="1"/>
                <w:bCs w:val="1"/>
                <w:color w:val="auto"/>
                <w:w w:val="88"/>
              </w:rPr>
              <w:t>($)</w:t>
            </w:r>
            <w:r>
              <w:rPr>
                <w:rFonts w:ascii="Arial" w:cs="Arial" w:eastAsia="Arial" w:hAnsi="Arial"/>
                <w:sz w:val="16"/>
                <w:szCs w:val="16"/>
                <w:b w:val="1"/>
                <w:bCs w:val="1"/>
                <w:color w:val="auto"/>
                <w:w w:val="88"/>
                <w:vertAlign w:val="superscript"/>
              </w:rPr>
              <w:t>(b)</w:t>
            </w:r>
          </w:p>
        </w:tc>
        <w:tc>
          <w:tcPr>
            <w:tcW w:w="140" w:type="dxa"/>
            <w:vAlign w:val="bottom"/>
            <w:tcBorders>
              <w:bottom w:val="single" w:sz="8" w:color="F2F2F2"/>
            </w:tcBorders>
            <w:shd w:val="clear" w:color="auto" w:fill="F2F2F2"/>
          </w:tcPr>
          <w:p>
            <w:pPr>
              <w:spacing w:after="0"/>
              <w:rPr>
                <w:sz w:val="15"/>
                <w:szCs w:val="15"/>
                <w:color w:val="auto"/>
              </w:rPr>
            </w:pPr>
          </w:p>
        </w:tc>
        <w:tc>
          <w:tcPr>
            <w:tcW w:w="760" w:type="dxa"/>
            <w:vAlign w:val="bottom"/>
            <w:tcBorders>
              <w:bottom w:val="single" w:sz="8" w:color="F2F2F2"/>
            </w:tcBorders>
            <w:gridSpan w:val="3"/>
            <w:shd w:val="clear" w:color="auto" w:fill="F2F2F2"/>
          </w:tcPr>
          <w:p>
            <w:pPr>
              <w:jc w:val="center"/>
              <w:spacing w:after="0" w:line="168" w:lineRule="exact"/>
              <w:rPr>
                <w:sz w:val="20"/>
                <w:szCs w:val="20"/>
                <w:color w:val="auto"/>
              </w:rPr>
            </w:pPr>
            <w:r>
              <w:rPr>
                <w:rFonts w:ascii="Arial" w:cs="Arial" w:eastAsia="Arial" w:hAnsi="Arial"/>
                <w:sz w:val="11"/>
                <w:szCs w:val="11"/>
                <w:b w:val="1"/>
                <w:bCs w:val="1"/>
                <w:color w:val="auto"/>
                <w:w w:val="90"/>
              </w:rPr>
              <w:t>($)</w:t>
            </w:r>
            <w:r>
              <w:rPr>
                <w:rFonts w:ascii="Arial" w:cs="Arial" w:eastAsia="Arial" w:hAnsi="Arial"/>
                <w:sz w:val="16"/>
                <w:szCs w:val="16"/>
                <w:b w:val="1"/>
                <w:bCs w:val="1"/>
                <w:color w:val="auto"/>
                <w:w w:val="90"/>
                <w:vertAlign w:val="superscript"/>
              </w:rPr>
              <w:t>(c)</w:t>
            </w:r>
          </w:p>
        </w:tc>
        <w:tc>
          <w:tcPr>
            <w:tcW w:w="360" w:type="dxa"/>
            <w:vAlign w:val="bottom"/>
            <w:tcBorders>
              <w:bottom w:val="single" w:sz="8" w:color="F2F2F2"/>
            </w:tcBorders>
            <w:shd w:val="clear" w:color="auto" w:fill="F2F2F2"/>
          </w:tcPr>
          <w:p>
            <w:pPr>
              <w:spacing w:after="0"/>
              <w:rPr>
                <w:sz w:val="15"/>
                <w:szCs w:val="15"/>
                <w:color w:val="auto"/>
              </w:rPr>
            </w:pPr>
          </w:p>
        </w:tc>
        <w:tc>
          <w:tcPr>
            <w:tcW w:w="560" w:type="dxa"/>
            <w:vAlign w:val="bottom"/>
            <w:tcBorders>
              <w:bottom w:val="single" w:sz="8" w:color="F2F2F2"/>
            </w:tcBorders>
            <w:gridSpan w:val="3"/>
            <w:shd w:val="clear" w:color="auto" w:fill="F2F2F2"/>
          </w:tcPr>
          <w:p>
            <w:pPr>
              <w:jc w:val="center"/>
              <w:ind w:right="182"/>
              <w:spacing w:after="0" w:line="168" w:lineRule="exact"/>
              <w:rPr>
                <w:sz w:val="20"/>
                <w:szCs w:val="20"/>
                <w:color w:val="auto"/>
              </w:rPr>
            </w:pPr>
            <w:r>
              <w:rPr>
                <w:rFonts w:ascii="Arial" w:cs="Arial" w:eastAsia="Arial" w:hAnsi="Arial"/>
                <w:sz w:val="11"/>
                <w:szCs w:val="11"/>
                <w:b w:val="1"/>
                <w:bCs w:val="1"/>
                <w:color w:val="auto"/>
                <w:w w:val="88"/>
              </w:rPr>
              <w:t>($)</w:t>
            </w:r>
            <w:r>
              <w:rPr>
                <w:rFonts w:ascii="Arial" w:cs="Arial" w:eastAsia="Arial" w:hAnsi="Arial"/>
                <w:sz w:val="16"/>
                <w:szCs w:val="16"/>
                <w:b w:val="1"/>
                <w:bCs w:val="1"/>
                <w:color w:val="auto"/>
                <w:w w:val="88"/>
                <w:vertAlign w:val="superscript"/>
              </w:rPr>
              <w:t>(d)</w:t>
            </w:r>
          </w:p>
        </w:tc>
        <w:tc>
          <w:tcPr>
            <w:tcW w:w="140" w:type="dxa"/>
            <w:vAlign w:val="bottom"/>
            <w:tcBorders>
              <w:bottom w:val="single" w:sz="8" w:color="F2F2F2"/>
            </w:tcBorders>
            <w:shd w:val="clear" w:color="auto" w:fill="F2F2F2"/>
          </w:tcPr>
          <w:p>
            <w:pPr>
              <w:spacing w:after="0"/>
              <w:rPr>
                <w:sz w:val="15"/>
                <w:szCs w:val="15"/>
                <w:color w:val="auto"/>
              </w:rPr>
            </w:pPr>
          </w:p>
        </w:tc>
        <w:tc>
          <w:tcPr>
            <w:tcW w:w="820" w:type="dxa"/>
            <w:vAlign w:val="bottom"/>
            <w:tcBorders>
              <w:bottom w:val="single" w:sz="8" w:color="F2F2F2"/>
            </w:tcBorders>
            <w:shd w:val="clear" w:color="auto" w:fill="F2F2F2"/>
          </w:tcPr>
          <w:p>
            <w:pPr>
              <w:jc w:val="center"/>
              <w:ind w:right="4"/>
              <w:spacing w:after="0" w:line="168" w:lineRule="exact"/>
              <w:rPr>
                <w:sz w:val="20"/>
                <w:szCs w:val="20"/>
                <w:color w:val="auto"/>
              </w:rPr>
            </w:pPr>
            <w:r>
              <w:rPr>
                <w:rFonts w:ascii="Arial" w:cs="Arial" w:eastAsia="Arial" w:hAnsi="Arial"/>
                <w:sz w:val="11"/>
                <w:szCs w:val="11"/>
                <w:b w:val="1"/>
                <w:bCs w:val="1"/>
                <w:color w:val="auto"/>
                <w:w w:val="90"/>
              </w:rPr>
              <w:t>($)</w:t>
            </w:r>
            <w:r>
              <w:rPr>
                <w:rFonts w:ascii="Arial" w:cs="Arial" w:eastAsia="Arial" w:hAnsi="Arial"/>
                <w:sz w:val="16"/>
                <w:szCs w:val="16"/>
                <w:b w:val="1"/>
                <w:bCs w:val="1"/>
                <w:color w:val="auto"/>
                <w:w w:val="90"/>
                <w:vertAlign w:val="superscript"/>
              </w:rPr>
              <w:t>(e)</w:t>
            </w:r>
          </w:p>
        </w:tc>
        <w:tc>
          <w:tcPr>
            <w:tcW w:w="40" w:type="dxa"/>
            <w:vAlign w:val="bottom"/>
            <w:tcBorders>
              <w:bottom w:val="single" w:sz="8" w:color="F2F2F2"/>
            </w:tcBorders>
            <w:shd w:val="clear" w:color="auto" w:fill="F2F2F2"/>
          </w:tcPr>
          <w:p>
            <w:pPr>
              <w:spacing w:after="0"/>
              <w:rPr>
                <w:sz w:val="15"/>
                <w:szCs w:val="15"/>
                <w:color w:val="auto"/>
              </w:rPr>
            </w:pPr>
          </w:p>
        </w:tc>
        <w:tc>
          <w:tcPr>
            <w:tcW w:w="120" w:type="dxa"/>
            <w:vAlign w:val="bottom"/>
            <w:tcBorders>
              <w:bottom w:val="single" w:sz="8" w:color="F2F2F2"/>
            </w:tcBorders>
            <w:shd w:val="clear" w:color="auto" w:fill="F2F2F2"/>
          </w:tcPr>
          <w:p>
            <w:pPr>
              <w:spacing w:after="0"/>
              <w:rPr>
                <w:sz w:val="15"/>
                <w:szCs w:val="15"/>
                <w:color w:val="auto"/>
              </w:rPr>
            </w:pPr>
          </w:p>
        </w:tc>
        <w:tc>
          <w:tcPr>
            <w:tcW w:w="40" w:type="dxa"/>
            <w:vAlign w:val="bottom"/>
            <w:tcBorders>
              <w:bottom w:val="single" w:sz="8" w:color="F2F2F2"/>
            </w:tcBorders>
            <w:shd w:val="clear" w:color="auto" w:fill="F2F2F2"/>
          </w:tcPr>
          <w:p>
            <w:pPr>
              <w:spacing w:after="0"/>
              <w:rPr>
                <w:sz w:val="15"/>
                <w:szCs w:val="15"/>
                <w:color w:val="auto"/>
              </w:rPr>
            </w:pPr>
          </w:p>
        </w:tc>
        <w:tc>
          <w:tcPr>
            <w:tcW w:w="840" w:type="dxa"/>
            <w:vAlign w:val="bottom"/>
            <w:tcBorders>
              <w:bottom w:val="single" w:sz="8" w:color="F2F2F2"/>
            </w:tcBorders>
            <w:shd w:val="clear" w:color="auto" w:fill="F2F2F2"/>
          </w:tcPr>
          <w:p>
            <w:pPr>
              <w:jc w:val="center"/>
              <w:ind w:right="45"/>
              <w:spacing w:after="0" w:line="168" w:lineRule="exact"/>
              <w:rPr>
                <w:sz w:val="20"/>
                <w:szCs w:val="20"/>
                <w:color w:val="auto"/>
              </w:rPr>
            </w:pPr>
            <w:r>
              <w:rPr>
                <w:rFonts w:ascii="Arial" w:cs="Arial" w:eastAsia="Arial" w:hAnsi="Arial"/>
                <w:sz w:val="11"/>
                <w:szCs w:val="11"/>
                <w:b w:val="1"/>
                <w:bCs w:val="1"/>
                <w:color w:val="auto"/>
                <w:w w:val="91"/>
              </w:rPr>
              <w:t>($)</w:t>
            </w:r>
            <w:r>
              <w:rPr>
                <w:rFonts w:ascii="Arial" w:cs="Arial" w:eastAsia="Arial" w:hAnsi="Arial"/>
                <w:sz w:val="16"/>
                <w:szCs w:val="16"/>
                <w:b w:val="1"/>
                <w:bCs w:val="1"/>
                <w:color w:val="auto"/>
                <w:w w:val="91"/>
                <w:vertAlign w:val="superscript"/>
              </w:rPr>
              <w:t>(f)</w:t>
            </w:r>
          </w:p>
        </w:tc>
        <w:tc>
          <w:tcPr>
            <w:tcW w:w="40" w:type="dxa"/>
            <w:vAlign w:val="bottom"/>
            <w:tcBorders>
              <w:bottom w:val="single" w:sz="8" w:color="F2F2F2"/>
            </w:tcBorders>
            <w:shd w:val="clear" w:color="auto" w:fill="F2F2F2"/>
          </w:tcPr>
          <w:p>
            <w:pPr>
              <w:spacing w:after="0"/>
              <w:rPr>
                <w:sz w:val="15"/>
                <w:szCs w:val="15"/>
                <w:color w:val="auto"/>
              </w:rPr>
            </w:pPr>
          </w:p>
        </w:tc>
        <w:tc>
          <w:tcPr>
            <w:tcW w:w="100" w:type="dxa"/>
            <w:vAlign w:val="bottom"/>
            <w:tcBorders>
              <w:bottom w:val="single" w:sz="8" w:color="F2F2F2"/>
            </w:tcBorders>
            <w:shd w:val="clear" w:color="auto" w:fill="F2F2F2"/>
          </w:tcPr>
          <w:p>
            <w:pPr>
              <w:spacing w:after="0"/>
              <w:rPr>
                <w:sz w:val="15"/>
                <w:szCs w:val="15"/>
                <w:color w:val="auto"/>
              </w:rPr>
            </w:pPr>
          </w:p>
        </w:tc>
        <w:tc>
          <w:tcPr>
            <w:tcW w:w="40" w:type="dxa"/>
            <w:vAlign w:val="bottom"/>
            <w:tcBorders>
              <w:bottom w:val="single" w:sz="8" w:color="F2F2F2"/>
            </w:tcBorders>
            <w:shd w:val="clear" w:color="auto" w:fill="F2F2F2"/>
          </w:tcPr>
          <w:p>
            <w:pPr>
              <w:spacing w:after="0"/>
              <w:rPr>
                <w:sz w:val="15"/>
                <w:szCs w:val="15"/>
                <w:color w:val="auto"/>
              </w:rPr>
            </w:pPr>
          </w:p>
        </w:tc>
        <w:tc>
          <w:tcPr>
            <w:tcW w:w="120" w:type="dxa"/>
            <w:vAlign w:val="bottom"/>
            <w:tcBorders>
              <w:bottom w:val="single" w:sz="8" w:color="F2F2F2"/>
            </w:tcBorders>
            <w:shd w:val="clear" w:color="auto" w:fill="F2F2F2"/>
          </w:tcPr>
          <w:p>
            <w:pPr>
              <w:spacing w:after="0"/>
              <w:rPr>
                <w:sz w:val="15"/>
                <w:szCs w:val="15"/>
                <w:color w:val="auto"/>
              </w:rPr>
            </w:pPr>
          </w:p>
        </w:tc>
        <w:tc>
          <w:tcPr>
            <w:tcW w:w="440" w:type="dxa"/>
            <w:vAlign w:val="bottom"/>
            <w:tcBorders>
              <w:bottom w:val="single" w:sz="8" w:color="F2F2F2"/>
            </w:tcBorders>
            <w:shd w:val="clear" w:color="auto" w:fill="F2F2F2"/>
          </w:tcPr>
          <w:p>
            <w:pPr>
              <w:jc w:val="center"/>
              <w:ind w:right="22"/>
              <w:spacing w:after="0" w:line="168" w:lineRule="exact"/>
              <w:rPr>
                <w:sz w:val="20"/>
                <w:szCs w:val="20"/>
                <w:color w:val="auto"/>
              </w:rPr>
            </w:pPr>
            <w:r>
              <w:rPr>
                <w:rFonts w:ascii="Arial" w:cs="Arial" w:eastAsia="Arial" w:hAnsi="Arial"/>
                <w:sz w:val="11"/>
                <w:szCs w:val="11"/>
                <w:b w:val="1"/>
                <w:bCs w:val="1"/>
                <w:color w:val="auto"/>
                <w:w w:val="88"/>
              </w:rPr>
              <w:t>($)</w:t>
            </w:r>
            <w:r>
              <w:rPr>
                <w:rFonts w:ascii="Arial" w:cs="Arial" w:eastAsia="Arial" w:hAnsi="Arial"/>
                <w:sz w:val="16"/>
                <w:szCs w:val="16"/>
                <w:b w:val="1"/>
                <w:bCs w:val="1"/>
                <w:color w:val="auto"/>
                <w:w w:val="88"/>
                <w:vertAlign w:val="superscript"/>
              </w:rPr>
              <w:t>(g)</w:t>
            </w:r>
          </w:p>
        </w:tc>
        <w:tc>
          <w:tcPr>
            <w:tcW w:w="80" w:type="dxa"/>
            <w:vAlign w:val="bottom"/>
            <w:tcBorders>
              <w:bottom w:val="single" w:sz="8" w:color="F2F2F2"/>
            </w:tcBorders>
            <w:shd w:val="clear" w:color="auto" w:fill="F2F2F2"/>
          </w:tcPr>
          <w:p>
            <w:pPr>
              <w:spacing w:after="0"/>
              <w:rPr>
                <w:sz w:val="15"/>
                <w:szCs w:val="15"/>
                <w:color w:val="auto"/>
              </w:rPr>
            </w:pPr>
          </w:p>
        </w:tc>
        <w:tc>
          <w:tcPr>
            <w:tcW w:w="760" w:type="dxa"/>
            <w:vAlign w:val="bottom"/>
            <w:tcBorders>
              <w:bottom w:val="single" w:sz="8" w:color="F2F2F2"/>
            </w:tcBorders>
            <w:gridSpan w:val="2"/>
            <w:shd w:val="clear" w:color="auto" w:fill="F2F2F2"/>
          </w:tcPr>
          <w:p>
            <w:pPr>
              <w:jc w:val="center"/>
              <w:ind w:left="225"/>
              <w:spacing w:after="0"/>
              <w:rPr>
                <w:sz w:val="20"/>
                <w:szCs w:val="20"/>
                <w:color w:val="auto"/>
              </w:rPr>
            </w:pPr>
            <w:r>
              <w:rPr>
                <w:rFonts w:ascii="Arial" w:cs="Arial" w:eastAsia="Arial" w:hAnsi="Arial"/>
                <w:sz w:val="11"/>
                <w:szCs w:val="11"/>
                <w:b w:val="1"/>
                <w:bCs w:val="1"/>
                <w:color w:val="auto"/>
              </w:rPr>
              <w:t>($)(h)</w:t>
            </w:r>
          </w:p>
        </w:tc>
        <w:tc>
          <w:tcPr>
            <w:tcW w:w="100" w:type="dxa"/>
            <w:vAlign w:val="bottom"/>
            <w:tcBorders>
              <w:bottom w:val="single" w:sz="8" w:color="F2F2F2"/>
            </w:tcBorders>
            <w:shd w:val="clear" w:color="auto" w:fill="F2F2F2"/>
          </w:tcPr>
          <w:p>
            <w:pPr>
              <w:spacing w:after="0"/>
              <w:rPr>
                <w:sz w:val="15"/>
                <w:szCs w:val="15"/>
                <w:color w:val="auto"/>
              </w:rPr>
            </w:pPr>
          </w:p>
        </w:tc>
        <w:tc>
          <w:tcPr>
            <w:tcW w:w="40" w:type="dxa"/>
            <w:vAlign w:val="bottom"/>
            <w:tcBorders>
              <w:bottom w:val="single" w:sz="8" w:color="F2F2F2"/>
            </w:tcBorders>
            <w:shd w:val="clear" w:color="auto" w:fill="F2F2F2"/>
          </w:tcPr>
          <w:p>
            <w:pPr>
              <w:spacing w:after="0"/>
              <w:rPr>
                <w:sz w:val="15"/>
                <w:szCs w:val="15"/>
                <w:color w:val="auto"/>
              </w:rPr>
            </w:pPr>
          </w:p>
        </w:tc>
        <w:tc>
          <w:tcPr>
            <w:tcW w:w="100" w:type="dxa"/>
            <w:vAlign w:val="bottom"/>
            <w:tcBorders>
              <w:bottom w:val="single" w:sz="8" w:color="F2F2F2"/>
            </w:tcBorders>
            <w:shd w:val="clear" w:color="auto" w:fill="F2F2F2"/>
          </w:tcPr>
          <w:p>
            <w:pPr>
              <w:spacing w:after="0"/>
              <w:rPr>
                <w:sz w:val="15"/>
                <w:szCs w:val="15"/>
                <w:color w:val="auto"/>
              </w:rPr>
            </w:pPr>
          </w:p>
        </w:tc>
        <w:tc>
          <w:tcPr>
            <w:tcW w:w="700" w:type="dxa"/>
            <w:vAlign w:val="bottom"/>
            <w:tcBorders>
              <w:bottom w:val="single" w:sz="8" w:color="F2F2F2"/>
            </w:tcBorders>
            <w:shd w:val="clear" w:color="auto" w:fill="F2F2F2"/>
          </w:tcPr>
          <w:p>
            <w:pPr>
              <w:jc w:val="center"/>
              <w:ind w:left="45"/>
              <w:spacing w:after="0"/>
              <w:rPr>
                <w:sz w:val="20"/>
                <w:szCs w:val="20"/>
                <w:color w:val="auto"/>
              </w:rPr>
            </w:pPr>
            <w:r>
              <w:rPr>
                <w:rFonts w:ascii="Arial" w:cs="Arial" w:eastAsia="Arial" w:hAnsi="Arial"/>
                <w:sz w:val="11"/>
                <w:szCs w:val="11"/>
                <w:b w:val="1"/>
                <w:bCs w:val="1"/>
                <w:color w:val="auto"/>
              </w:rPr>
              <w:t>($)(i)</w:t>
            </w:r>
          </w:p>
        </w:tc>
        <w:tc>
          <w:tcPr>
            <w:tcW w:w="80" w:type="dxa"/>
            <w:vAlign w:val="bottom"/>
            <w:tcBorders>
              <w:bottom w:val="single" w:sz="8" w:color="F2F2F2"/>
            </w:tcBorders>
            <w:shd w:val="clear" w:color="auto" w:fill="F2F2F2"/>
          </w:tcPr>
          <w:p>
            <w:pPr>
              <w:spacing w:after="0"/>
              <w:rPr>
                <w:sz w:val="15"/>
                <w:szCs w:val="15"/>
                <w:color w:val="auto"/>
              </w:rPr>
            </w:pPr>
          </w:p>
        </w:tc>
        <w:tc>
          <w:tcPr>
            <w:tcW w:w="40" w:type="dxa"/>
            <w:vAlign w:val="bottom"/>
            <w:tcBorders>
              <w:bottom w:val="single" w:sz="8" w:color="F2F2F2"/>
            </w:tcBorders>
            <w:shd w:val="clear" w:color="auto" w:fill="F2F2F2"/>
          </w:tcPr>
          <w:p>
            <w:pPr>
              <w:spacing w:after="0"/>
              <w:rPr>
                <w:sz w:val="15"/>
                <w:szCs w:val="15"/>
                <w:color w:val="auto"/>
              </w:rPr>
            </w:pPr>
          </w:p>
        </w:tc>
        <w:tc>
          <w:tcPr>
            <w:tcW w:w="120" w:type="dxa"/>
            <w:vAlign w:val="bottom"/>
            <w:tcBorders>
              <w:bottom w:val="single" w:sz="8" w:color="F2F2F2"/>
            </w:tcBorders>
            <w:shd w:val="clear" w:color="auto" w:fill="F2F2F2"/>
          </w:tcPr>
          <w:p>
            <w:pPr>
              <w:spacing w:after="0"/>
              <w:rPr>
                <w:sz w:val="15"/>
                <w:szCs w:val="15"/>
                <w:color w:val="auto"/>
              </w:rPr>
            </w:pPr>
          </w:p>
        </w:tc>
        <w:tc>
          <w:tcPr>
            <w:tcW w:w="780" w:type="dxa"/>
            <w:vAlign w:val="bottom"/>
            <w:tcBorders>
              <w:bottom w:val="single" w:sz="8" w:color="F2F2F2"/>
            </w:tcBorders>
            <w:shd w:val="clear" w:color="auto" w:fill="F2F2F2"/>
          </w:tcPr>
          <w:p>
            <w:pPr>
              <w:jc w:val="center"/>
              <w:ind w:right="27"/>
              <w:spacing w:after="0"/>
              <w:rPr>
                <w:sz w:val="20"/>
                <w:szCs w:val="20"/>
                <w:color w:val="auto"/>
              </w:rPr>
            </w:pPr>
            <w:r>
              <w:rPr>
                <w:rFonts w:ascii="Arial" w:cs="Arial" w:eastAsia="Arial" w:hAnsi="Arial"/>
                <w:sz w:val="11"/>
                <w:szCs w:val="11"/>
                <w:b w:val="1"/>
                <w:bCs w:val="1"/>
                <w:color w:val="auto"/>
              </w:rPr>
              <w:t>($)</w:t>
            </w:r>
          </w:p>
        </w:tc>
        <w:tc>
          <w:tcPr>
            <w:tcW w:w="80" w:type="dxa"/>
            <w:vAlign w:val="bottom"/>
            <w:tcBorders>
              <w:bottom w:val="single" w:sz="8" w:color="F2F2F2"/>
            </w:tcBorders>
            <w:shd w:val="clear" w:color="auto" w:fill="F2F2F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400" w:type="dxa"/>
            <w:vAlign w:val="bottom"/>
          </w:tcPr>
          <w:p>
            <w:pPr>
              <w:ind w:left="120"/>
              <w:spacing w:after="0"/>
              <w:rPr>
                <w:sz w:val="20"/>
                <w:szCs w:val="20"/>
                <w:color w:val="auto"/>
              </w:rPr>
            </w:pPr>
            <w:r>
              <w:rPr>
                <w:rFonts w:ascii="Arial" w:cs="Arial" w:eastAsia="Arial" w:hAnsi="Arial"/>
                <w:sz w:val="11"/>
                <w:szCs w:val="11"/>
                <w:color w:val="auto"/>
              </w:rPr>
              <w:t>2025</w:t>
            </w:r>
          </w:p>
        </w:tc>
        <w:tc>
          <w:tcPr>
            <w:tcW w:w="340" w:type="dxa"/>
            <w:vAlign w:val="bottom"/>
            <w:gridSpan w:val="2"/>
          </w:tcPr>
          <w:p>
            <w:pPr>
              <w:ind w:left="60"/>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185"/>
              <w:spacing w:after="0"/>
              <w:rPr>
                <w:sz w:val="20"/>
                <w:szCs w:val="20"/>
                <w:color w:val="auto"/>
              </w:rPr>
            </w:pPr>
            <w:r>
              <w:rPr>
                <w:rFonts w:ascii="Arial" w:cs="Arial" w:eastAsia="Arial" w:hAnsi="Arial"/>
                <w:sz w:val="11"/>
                <w:szCs w:val="11"/>
                <w:color w:val="auto"/>
              </w:rPr>
              <w:t>11,950,030</w:t>
            </w: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7,642,498</w:t>
            </w:r>
          </w:p>
        </w:tc>
        <w:tc>
          <w:tcPr>
            <w:tcW w:w="140" w:type="dxa"/>
            <w:vAlign w:val="bottom"/>
          </w:tcPr>
          <w:p>
            <w:pPr>
              <w:spacing w:after="0"/>
              <w:rPr>
                <w:sz w:val="11"/>
                <w:szCs w:val="11"/>
                <w:color w:val="auto"/>
              </w:rPr>
            </w:pPr>
          </w:p>
        </w:tc>
        <w:tc>
          <w:tcPr>
            <w:tcW w:w="760" w:type="dxa"/>
            <w:vAlign w:val="bottom"/>
            <w:gridSpan w:val="3"/>
          </w:tcPr>
          <w:p>
            <w:pPr>
              <w:jc w:val="right"/>
              <w:spacing w:after="0"/>
              <w:rPr>
                <w:sz w:val="20"/>
                <w:szCs w:val="20"/>
                <w:color w:val="auto"/>
              </w:rPr>
            </w:pPr>
            <w:r>
              <w:rPr>
                <w:rFonts w:ascii="Arial" w:cs="Arial" w:eastAsia="Arial" w:hAnsi="Arial"/>
                <w:sz w:val="11"/>
                <w:szCs w:val="11"/>
                <w:color w:val="auto"/>
              </w:rPr>
              <w:t>6,535,365</w:t>
            </w:r>
          </w:p>
        </w:tc>
        <w:tc>
          <w:tcPr>
            <w:tcW w:w="360" w:type="dxa"/>
            <w:vAlign w:val="bottom"/>
          </w:tcPr>
          <w:p>
            <w:pPr>
              <w:spacing w:after="0"/>
              <w:rPr>
                <w:sz w:val="11"/>
                <w:szCs w:val="11"/>
                <w:color w:val="auto"/>
              </w:rPr>
            </w:pPr>
          </w:p>
        </w:tc>
        <w:tc>
          <w:tcPr>
            <w:tcW w:w="520" w:type="dxa"/>
            <w:vAlign w:val="bottom"/>
            <w:gridSpan w:val="2"/>
          </w:tcPr>
          <w:p>
            <w:pPr>
              <w:jc w:val="right"/>
              <w:spacing w:after="0"/>
              <w:rPr>
                <w:sz w:val="20"/>
                <w:szCs w:val="20"/>
                <w:color w:val="auto"/>
              </w:rPr>
            </w:pPr>
            <w:r>
              <w:rPr>
                <w:rFonts w:ascii="Arial" w:cs="Arial" w:eastAsia="Arial" w:hAnsi="Arial"/>
                <w:sz w:val="11"/>
                <w:szCs w:val="11"/>
                <w:color w:val="auto"/>
              </w:rPr>
              <w:t>2,005,960</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2,367,228</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1,578,288</w:t>
            </w:r>
          </w:p>
        </w:tc>
        <w:tc>
          <w:tcPr>
            <w:tcW w:w="4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365"/>
              <w:spacing w:after="0"/>
              <w:rPr>
                <w:sz w:val="20"/>
                <w:szCs w:val="20"/>
                <w:color w:val="auto"/>
              </w:rPr>
            </w:pPr>
            <w:r>
              <w:rPr>
                <w:rFonts w:ascii="Arial" w:cs="Arial" w:eastAsia="Arial" w:hAnsi="Arial"/>
                <w:sz w:val="11"/>
                <w:szCs w:val="11"/>
                <w:color w:val="auto"/>
              </w:rPr>
              <w:t>​​​</w:t>
            </w:r>
          </w:p>
        </w:tc>
        <w:tc>
          <w:tcPr>
            <w:tcW w:w="280" w:type="dxa"/>
            <w:vAlign w:val="bottom"/>
            <w:gridSpan w:val="2"/>
          </w:tcPr>
          <w:p>
            <w:pPr>
              <w:jc w:val="right"/>
              <w:spacing w:after="0"/>
              <w:rPr>
                <w:sz w:val="20"/>
                <w:szCs w:val="20"/>
                <w:color w:val="auto"/>
              </w:rPr>
            </w:pPr>
            <w:r>
              <w:rPr>
                <w:rFonts w:ascii="Arial" w:cs="Arial" w:eastAsia="Arial" w:hAnsi="Arial"/>
                <w:sz w:val="11"/>
                <w:szCs w:val="11"/>
                <w:color w:val="auto"/>
                <w:w w:val="94"/>
              </w:rPr>
              <w:t>4,481</w:t>
            </w:r>
          </w:p>
        </w:tc>
        <w:tc>
          <w:tcPr>
            <w:tcW w:w="40" w:type="dxa"/>
            <w:vAlign w:val="bottom"/>
          </w:tcPr>
          <w:p>
            <w:pPr>
              <w:spacing w:after="0"/>
              <w:rPr>
                <w:sz w:val="11"/>
                <w:szCs w:val="11"/>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8"/>
                <w:szCs w:val="8"/>
                <w:color w:val="auto"/>
                <w:w w:val="73"/>
              </w:rPr>
              <w:t>-</w:t>
            </w:r>
          </w:p>
        </w:tc>
        <w:tc>
          <w:tcPr>
            <w:tcW w:w="40" w:type="dxa"/>
            <w:vAlign w:val="bottom"/>
          </w:tcPr>
          <w:p>
            <w:pPr>
              <w:spacing w:after="0"/>
              <w:rPr>
                <w:sz w:val="11"/>
                <w:szCs w:val="11"/>
                <w:color w:val="auto"/>
              </w:rPr>
            </w:pPr>
          </w:p>
        </w:tc>
        <w:tc>
          <w:tcPr>
            <w:tcW w:w="120" w:type="dxa"/>
            <w:vAlign w:val="bottom"/>
          </w:tcPr>
          <w:p>
            <w:pPr>
              <w:ind w:left="20"/>
              <w:spacing w:after="0"/>
              <w:rPr>
                <w:sz w:val="20"/>
                <w:szCs w:val="20"/>
                <w:color w:val="auto"/>
              </w:rPr>
            </w:pPr>
            <w:r>
              <w:rPr>
                <w:rFonts w:ascii="Arial" w:cs="Arial" w:eastAsia="Arial" w:hAnsi="Arial"/>
                <w:sz w:val="11"/>
                <w:szCs w:val="11"/>
                <w:color w:val="auto"/>
              </w:rPr>
              <w:t>​​​</w:t>
            </w:r>
          </w:p>
        </w:tc>
        <w:tc>
          <w:tcPr>
            <w:tcW w:w="900" w:type="dxa"/>
            <w:vAlign w:val="bottom"/>
            <w:gridSpan w:val="4"/>
          </w:tcPr>
          <w:p>
            <w:pPr>
              <w:jc w:val="right"/>
              <w:spacing w:after="0"/>
              <w:rPr>
                <w:sz w:val="20"/>
                <w:szCs w:val="20"/>
                <w:color w:val="auto"/>
              </w:rPr>
            </w:pPr>
            <w:r>
              <w:rPr>
                <w:rFonts w:ascii="Arial" w:cs="Arial" w:eastAsia="Arial" w:hAnsi="Arial"/>
                <w:sz w:val="11"/>
                <w:szCs w:val="11"/>
                <w:color w:val="auto"/>
              </w:rPr>
              <w:t>16,789,892​​​</w:t>
            </w:r>
          </w:p>
        </w:tc>
        <w:tc>
          <w:tcPr>
            <w:tcW w:w="0" w:type="dxa"/>
            <w:vAlign w:val="bottom"/>
          </w:tcPr>
          <w:p>
            <w:pPr>
              <w:spacing w:after="0"/>
              <w:rPr>
                <w:sz w:val="1"/>
                <w:szCs w:val="1"/>
                <w:color w:val="auto"/>
              </w:rPr>
            </w:pPr>
          </w:p>
        </w:tc>
      </w:tr>
      <w:tr>
        <w:trPr>
          <w:trHeight w:val="121"/>
        </w:trPr>
        <w:tc>
          <w:tcPr>
            <w:tcW w:w="400" w:type="dxa"/>
            <w:vAlign w:val="bottom"/>
            <w:tcBorders>
              <w:top w:val="single" w:sz="8" w:color="808080"/>
            </w:tcBorders>
            <w:vMerge w:val="restart"/>
          </w:tcPr>
          <w:p>
            <w:pPr>
              <w:ind w:left="120"/>
              <w:spacing w:after="0"/>
              <w:rPr>
                <w:sz w:val="20"/>
                <w:szCs w:val="20"/>
                <w:color w:val="auto"/>
              </w:rPr>
            </w:pPr>
            <w:r>
              <w:rPr>
                <w:rFonts w:ascii="Arial" w:cs="Arial" w:eastAsia="Arial" w:hAnsi="Arial"/>
                <w:sz w:val="11"/>
                <w:szCs w:val="11"/>
                <w:color w:val="auto"/>
              </w:rPr>
              <w:t>2024</w:t>
            </w:r>
          </w:p>
        </w:tc>
        <w:tc>
          <w:tcPr>
            <w:tcW w:w="180" w:type="dxa"/>
            <w:vAlign w:val="bottom"/>
            <w:tcBorders>
              <w:top w:val="single" w:sz="8" w:color="808080"/>
            </w:tcBorders>
          </w:tcPr>
          <w:p>
            <w:pPr>
              <w:spacing w:after="0"/>
              <w:rPr>
                <w:sz w:val="10"/>
                <w:szCs w:val="10"/>
                <w:color w:val="auto"/>
              </w:rPr>
            </w:pPr>
          </w:p>
        </w:tc>
        <w:tc>
          <w:tcPr>
            <w:tcW w:w="160" w:type="dxa"/>
            <w:vAlign w:val="bottom"/>
            <w:tcBorders>
              <w:top w:val="single" w:sz="8" w:color="808080"/>
            </w:tcBorders>
          </w:tcPr>
          <w:p>
            <w:pPr>
              <w:spacing w:after="0"/>
              <w:rPr>
                <w:sz w:val="10"/>
                <w:szCs w:val="10"/>
                <w:color w:val="auto"/>
              </w:rPr>
            </w:pPr>
          </w:p>
        </w:tc>
        <w:tc>
          <w:tcPr>
            <w:tcW w:w="820" w:type="dxa"/>
            <w:vAlign w:val="bottom"/>
            <w:tcBorders>
              <w:top w:val="single" w:sz="8" w:color="808080"/>
            </w:tcBorders>
            <w:vMerge w:val="restart"/>
          </w:tcPr>
          <w:p>
            <w:pPr>
              <w:jc w:val="center"/>
              <w:spacing w:after="0" w:line="156" w:lineRule="exact"/>
              <w:rPr>
                <w:sz w:val="20"/>
                <w:szCs w:val="20"/>
                <w:color w:val="auto"/>
              </w:rPr>
            </w:pPr>
            <w:r>
              <w:rPr>
                <w:rFonts w:ascii="Arial" w:cs="Arial" w:eastAsia="Arial" w:hAnsi="Arial"/>
                <w:sz w:val="11"/>
                <w:szCs w:val="11"/>
                <w:color w:val="auto"/>
              </w:rPr>
              <w:t>14,012,053</w:t>
            </w:r>
            <w:r>
              <w:rPr>
                <w:rFonts w:ascii="Arial" w:cs="Arial" w:eastAsia="Arial" w:hAnsi="Arial"/>
                <w:sz w:val="18"/>
                <w:szCs w:val="18"/>
                <w:color w:val="auto"/>
                <w:vertAlign w:val="superscript"/>
              </w:rPr>
              <w:t>​​​</w:t>
            </w:r>
          </w:p>
        </w:tc>
        <w:tc>
          <w:tcPr>
            <w:tcW w:w="160" w:type="dxa"/>
            <w:vAlign w:val="bottom"/>
            <w:tcBorders>
              <w:top w:val="single" w:sz="8" w:color="808080"/>
            </w:tcBorders>
          </w:tcPr>
          <w:p>
            <w:pPr>
              <w:spacing w:after="0"/>
              <w:rPr>
                <w:sz w:val="10"/>
                <w:szCs w:val="10"/>
                <w:color w:val="auto"/>
              </w:rPr>
            </w:pPr>
          </w:p>
        </w:tc>
        <w:tc>
          <w:tcPr>
            <w:tcW w:w="560" w:type="dxa"/>
            <w:vAlign w:val="bottom"/>
            <w:tcBorders>
              <w:top w:val="single" w:sz="8" w:color="808080"/>
            </w:tcBorders>
            <w:vMerge w:val="restart"/>
          </w:tcPr>
          <w:p>
            <w:pPr>
              <w:jc w:val="right"/>
              <w:spacing w:after="0"/>
              <w:rPr>
                <w:sz w:val="20"/>
                <w:szCs w:val="20"/>
                <w:color w:val="auto"/>
              </w:rPr>
            </w:pPr>
            <w:r>
              <w:rPr>
                <w:rFonts w:ascii="Arial" w:cs="Arial" w:eastAsia="Arial" w:hAnsi="Arial"/>
                <w:sz w:val="11"/>
                <w:szCs w:val="11"/>
                <w:color w:val="auto"/>
              </w:rPr>
              <w:t>8,585,643</w:t>
            </w:r>
          </w:p>
        </w:tc>
        <w:tc>
          <w:tcPr>
            <w:tcW w:w="140" w:type="dxa"/>
            <w:vAlign w:val="bottom"/>
            <w:tcBorders>
              <w:top w:val="single" w:sz="8" w:color="808080"/>
            </w:tcBorders>
            <w:vMerge w:val="restart"/>
          </w:tcPr>
          <w:p>
            <w:pPr>
              <w:ind w:left="40"/>
              <w:spacing w:after="0"/>
              <w:rPr>
                <w:sz w:val="20"/>
                <w:szCs w:val="20"/>
                <w:color w:val="auto"/>
              </w:rPr>
            </w:pPr>
            <w:r>
              <w:rPr>
                <w:rFonts w:ascii="Arial" w:cs="Arial" w:eastAsia="Arial" w:hAnsi="Arial"/>
                <w:sz w:val="11"/>
                <w:szCs w:val="11"/>
                <w:color w:val="auto"/>
              </w:rPr>
              <w:t>​​​</w:t>
            </w:r>
          </w:p>
        </w:tc>
        <w:tc>
          <w:tcPr>
            <w:tcW w:w="760" w:type="dxa"/>
            <w:vAlign w:val="bottom"/>
            <w:tcBorders>
              <w:top w:val="single" w:sz="8" w:color="808080"/>
            </w:tcBorders>
            <w:gridSpan w:val="3"/>
            <w:vMerge w:val="restart"/>
          </w:tcPr>
          <w:p>
            <w:pPr>
              <w:jc w:val="right"/>
              <w:spacing w:after="0"/>
              <w:rPr>
                <w:sz w:val="20"/>
                <w:szCs w:val="20"/>
                <w:color w:val="auto"/>
              </w:rPr>
            </w:pPr>
            <w:r>
              <w:rPr>
                <w:rFonts w:ascii="Arial" w:cs="Arial" w:eastAsia="Arial" w:hAnsi="Arial"/>
                <w:sz w:val="11"/>
                <w:szCs w:val="11"/>
                <w:color w:val="auto"/>
              </w:rPr>
              <w:t>17,741,183</w:t>
            </w:r>
          </w:p>
        </w:tc>
        <w:tc>
          <w:tcPr>
            <w:tcW w:w="360" w:type="dxa"/>
            <w:vAlign w:val="bottom"/>
            <w:tcBorders>
              <w:top w:val="single" w:sz="8" w:color="808080"/>
            </w:tcBorders>
            <w:vMerge w:val="restart"/>
          </w:tcPr>
          <w:p>
            <w:pPr>
              <w:ind w:left="60"/>
              <w:spacing w:after="0"/>
              <w:rPr>
                <w:sz w:val="20"/>
                <w:szCs w:val="20"/>
                <w:color w:val="auto"/>
              </w:rPr>
            </w:pPr>
            <w:r>
              <w:rPr>
                <w:rFonts w:ascii="Arial" w:cs="Arial" w:eastAsia="Arial" w:hAnsi="Arial"/>
                <w:sz w:val="11"/>
                <w:szCs w:val="11"/>
                <w:color w:val="auto"/>
              </w:rPr>
              <w:t>​​​</w:t>
            </w:r>
          </w:p>
        </w:tc>
        <w:tc>
          <w:tcPr>
            <w:tcW w:w="520" w:type="dxa"/>
            <w:vAlign w:val="bottom"/>
            <w:tcBorders>
              <w:top w:val="single" w:sz="8" w:color="808080"/>
            </w:tcBorders>
            <w:gridSpan w:val="2"/>
            <w:vMerge w:val="restart"/>
          </w:tcPr>
          <w:p>
            <w:pPr>
              <w:jc w:val="right"/>
              <w:spacing w:after="0"/>
              <w:rPr>
                <w:sz w:val="20"/>
                <w:szCs w:val="20"/>
                <w:color w:val="auto"/>
              </w:rPr>
            </w:pPr>
            <w:r>
              <w:rPr>
                <w:rFonts w:ascii="Arial" w:cs="Arial" w:eastAsia="Arial" w:hAnsi="Arial"/>
                <w:sz w:val="11"/>
                <w:szCs w:val="11"/>
                <w:color w:val="auto"/>
              </w:rPr>
              <w:t>3,340,899</w:t>
            </w:r>
          </w:p>
        </w:tc>
        <w:tc>
          <w:tcPr>
            <w:tcW w:w="40" w:type="dxa"/>
            <w:vAlign w:val="bottom"/>
            <w:tcBorders>
              <w:top w:val="single" w:sz="8" w:color="808080"/>
            </w:tcBorders>
          </w:tcPr>
          <w:p>
            <w:pPr>
              <w:spacing w:after="0"/>
              <w:rPr>
                <w:sz w:val="10"/>
                <w:szCs w:val="10"/>
                <w:color w:val="auto"/>
              </w:rPr>
            </w:pPr>
          </w:p>
        </w:tc>
        <w:tc>
          <w:tcPr>
            <w:tcW w:w="140" w:type="dxa"/>
            <w:vAlign w:val="bottom"/>
            <w:tcBorders>
              <w:top w:val="single" w:sz="8" w:color="808080"/>
            </w:tcBorders>
            <w:vMerge w:val="restart"/>
          </w:tcPr>
          <w:p>
            <w:pPr>
              <w:ind w:left="60"/>
              <w:spacing w:after="0"/>
              <w:rPr>
                <w:sz w:val="20"/>
                <w:szCs w:val="20"/>
                <w:color w:val="auto"/>
              </w:rPr>
            </w:pPr>
            <w:r>
              <w:rPr>
                <w:rFonts w:ascii="Arial" w:cs="Arial" w:eastAsia="Arial" w:hAnsi="Arial"/>
                <w:sz w:val="11"/>
                <w:szCs w:val="11"/>
                <w:color w:val="auto"/>
              </w:rPr>
              <w:t>​​​</w:t>
            </w:r>
          </w:p>
        </w:tc>
        <w:tc>
          <w:tcPr>
            <w:tcW w:w="820" w:type="dxa"/>
            <w:vAlign w:val="bottom"/>
            <w:tcBorders>
              <w:top w:val="single" w:sz="8" w:color="808080"/>
            </w:tcBorders>
            <w:vMerge w:val="restart"/>
          </w:tcPr>
          <w:p>
            <w:pPr>
              <w:jc w:val="right"/>
              <w:spacing w:after="0"/>
              <w:rPr>
                <w:sz w:val="20"/>
                <w:szCs w:val="20"/>
                <w:color w:val="auto"/>
              </w:rPr>
            </w:pPr>
            <w:r>
              <w:rPr>
                <w:rFonts w:ascii="Arial" w:cs="Arial" w:eastAsia="Arial" w:hAnsi="Arial"/>
                <w:sz w:val="11"/>
                <w:szCs w:val="11"/>
                <w:color w:val="auto"/>
              </w:rPr>
              <w:t>1,782,557</w:t>
            </w:r>
          </w:p>
        </w:tc>
        <w:tc>
          <w:tcPr>
            <w:tcW w:w="40" w:type="dxa"/>
            <w:vAlign w:val="bottom"/>
            <w:tcBorders>
              <w:top w:val="single" w:sz="8" w:color="808080"/>
            </w:tcBorders>
          </w:tcPr>
          <w:p>
            <w:pPr>
              <w:spacing w:after="0"/>
              <w:rPr>
                <w:sz w:val="10"/>
                <w:szCs w:val="10"/>
                <w:color w:val="auto"/>
              </w:rPr>
            </w:pPr>
          </w:p>
        </w:tc>
        <w:tc>
          <w:tcPr>
            <w:tcW w:w="160" w:type="dxa"/>
            <w:vAlign w:val="bottom"/>
            <w:tcBorders>
              <w:top w:val="single" w:sz="8" w:color="808080"/>
            </w:tcBorders>
            <w:gridSpan w:val="2"/>
            <w:vMerge w:val="restart"/>
          </w:tcPr>
          <w:p>
            <w:pPr>
              <w:spacing w:after="0"/>
              <w:rPr>
                <w:sz w:val="20"/>
                <w:szCs w:val="20"/>
                <w:color w:val="auto"/>
              </w:rPr>
            </w:pPr>
            <w:r>
              <w:rPr>
                <w:rFonts w:ascii="Arial" w:cs="Arial" w:eastAsia="Arial" w:hAnsi="Arial"/>
                <w:sz w:val="11"/>
                <w:szCs w:val="11"/>
                <w:color w:val="auto"/>
              </w:rPr>
              <w:t>​​​</w:t>
            </w:r>
          </w:p>
        </w:tc>
        <w:tc>
          <w:tcPr>
            <w:tcW w:w="840" w:type="dxa"/>
            <w:vAlign w:val="bottom"/>
            <w:tcBorders>
              <w:top w:val="single" w:sz="8" w:color="808080"/>
            </w:tcBorders>
            <w:vMerge w:val="restart"/>
          </w:tcPr>
          <w:p>
            <w:pPr>
              <w:jc w:val="right"/>
              <w:spacing w:after="0"/>
              <w:rPr>
                <w:sz w:val="20"/>
                <w:szCs w:val="20"/>
                <w:color w:val="auto"/>
              </w:rPr>
            </w:pPr>
            <w:r>
              <w:rPr>
                <w:rFonts w:ascii="Arial" w:cs="Arial" w:eastAsia="Arial" w:hAnsi="Arial"/>
                <w:sz w:val="11"/>
                <w:szCs w:val="11"/>
                <w:color w:val="auto"/>
              </w:rPr>
              <w:t>2,233,661</w:t>
            </w:r>
          </w:p>
        </w:tc>
        <w:tc>
          <w:tcPr>
            <w:tcW w:w="40" w:type="dxa"/>
            <w:vAlign w:val="bottom"/>
            <w:tcBorders>
              <w:top w:val="single" w:sz="8" w:color="808080"/>
            </w:tcBorders>
          </w:tcPr>
          <w:p>
            <w:pPr>
              <w:spacing w:after="0"/>
              <w:rPr>
                <w:sz w:val="10"/>
                <w:szCs w:val="10"/>
                <w:color w:val="auto"/>
              </w:rPr>
            </w:pPr>
          </w:p>
        </w:tc>
        <w:tc>
          <w:tcPr>
            <w:tcW w:w="100" w:type="dxa"/>
            <w:vAlign w:val="bottom"/>
            <w:tcBorders>
              <w:top w:val="single" w:sz="8" w:color="808080"/>
            </w:tcBorders>
            <w:vMerge w:val="restart"/>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top w:val="single" w:sz="8" w:color="808080"/>
            </w:tcBorders>
          </w:tcPr>
          <w:p>
            <w:pPr>
              <w:spacing w:after="0"/>
              <w:rPr>
                <w:sz w:val="10"/>
                <w:szCs w:val="10"/>
                <w:color w:val="auto"/>
              </w:rPr>
            </w:pPr>
          </w:p>
        </w:tc>
        <w:tc>
          <w:tcPr>
            <w:tcW w:w="120" w:type="dxa"/>
            <w:vAlign w:val="bottom"/>
            <w:tcBorders>
              <w:top w:val="single" w:sz="8" w:color="808080"/>
            </w:tcBorders>
          </w:tcPr>
          <w:p>
            <w:pPr>
              <w:spacing w:after="0"/>
              <w:rPr>
                <w:sz w:val="10"/>
                <w:szCs w:val="10"/>
                <w:color w:val="auto"/>
              </w:rPr>
            </w:pPr>
          </w:p>
        </w:tc>
        <w:tc>
          <w:tcPr>
            <w:tcW w:w="440" w:type="dxa"/>
            <w:vAlign w:val="bottom"/>
            <w:tcBorders>
              <w:top w:val="single" w:sz="8" w:color="808080"/>
            </w:tcBorders>
          </w:tcPr>
          <w:p>
            <w:pPr>
              <w:spacing w:after="0"/>
              <w:rPr>
                <w:sz w:val="10"/>
                <w:szCs w:val="10"/>
                <w:color w:val="auto"/>
              </w:rPr>
            </w:pPr>
          </w:p>
        </w:tc>
        <w:tc>
          <w:tcPr>
            <w:tcW w:w="80" w:type="dxa"/>
            <w:vAlign w:val="bottom"/>
            <w:tcBorders>
              <w:top w:val="single" w:sz="8" w:color="808080"/>
            </w:tcBorders>
            <w:vMerge w:val="restart"/>
          </w:tcPr>
          <w:p>
            <w:pPr>
              <w:jc w:val="right"/>
              <w:spacing w:after="0"/>
              <w:rPr>
                <w:sz w:val="20"/>
                <w:szCs w:val="20"/>
                <w:color w:val="auto"/>
              </w:rPr>
            </w:pPr>
            <w:r>
              <w:rPr>
                <w:rFonts w:ascii="Arial" w:cs="Arial" w:eastAsia="Arial" w:hAnsi="Arial"/>
                <w:sz w:val="11"/>
                <w:szCs w:val="11"/>
                <w:color w:val="auto"/>
              </w:rPr>
              <w:t>-</w:t>
            </w:r>
          </w:p>
        </w:tc>
        <w:tc>
          <w:tcPr>
            <w:tcW w:w="580" w:type="dxa"/>
            <w:vAlign w:val="bottom"/>
            <w:tcBorders>
              <w:top w:val="single" w:sz="8" w:color="808080"/>
            </w:tcBorders>
            <w:vMerge w:val="restart"/>
          </w:tcPr>
          <w:p>
            <w:pPr>
              <w:jc w:val="right"/>
              <w:ind w:right="365"/>
              <w:spacing w:after="0"/>
              <w:rPr>
                <w:sz w:val="20"/>
                <w:szCs w:val="20"/>
                <w:color w:val="auto"/>
              </w:rPr>
            </w:pPr>
            <w:r>
              <w:rPr>
                <w:rFonts w:ascii="Arial" w:cs="Arial" w:eastAsia="Arial" w:hAnsi="Arial"/>
                <w:sz w:val="11"/>
                <w:szCs w:val="11"/>
                <w:color w:val="auto"/>
              </w:rPr>
              <w:t>​​​</w:t>
            </w:r>
          </w:p>
        </w:tc>
        <w:tc>
          <w:tcPr>
            <w:tcW w:w="180" w:type="dxa"/>
            <w:vAlign w:val="bottom"/>
            <w:tcBorders>
              <w:top w:val="single" w:sz="8" w:color="808080"/>
            </w:tcBorders>
          </w:tcPr>
          <w:p>
            <w:pPr>
              <w:spacing w:after="0"/>
              <w:rPr>
                <w:sz w:val="10"/>
                <w:szCs w:val="10"/>
                <w:color w:val="auto"/>
              </w:rPr>
            </w:pPr>
          </w:p>
        </w:tc>
        <w:tc>
          <w:tcPr>
            <w:tcW w:w="100" w:type="dxa"/>
            <w:vAlign w:val="bottom"/>
            <w:tcBorders>
              <w:top w:val="single" w:sz="8" w:color="808080"/>
            </w:tcBorders>
            <w:vMerge w:val="restart"/>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top w:val="single" w:sz="8" w:color="808080"/>
            </w:tcBorders>
          </w:tcPr>
          <w:p>
            <w:pPr>
              <w:spacing w:after="0"/>
              <w:rPr>
                <w:sz w:val="10"/>
                <w:szCs w:val="10"/>
                <w:color w:val="auto"/>
              </w:rPr>
            </w:pPr>
          </w:p>
        </w:tc>
        <w:tc>
          <w:tcPr>
            <w:tcW w:w="800" w:type="dxa"/>
            <w:vAlign w:val="bottom"/>
            <w:tcBorders>
              <w:top w:val="single" w:sz="8" w:color="808080"/>
            </w:tcBorders>
            <w:gridSpan w:val="2"/>
            <w:vMerge w:val="restart"/>
          </w:tcPr>
          <w:p>
            <w:pPr>
              <w:ind w:left="60"/>
              <w:spacing w:after="0"/>
              <w:rPr>
                <w:sz w:val="20"/>
                <w:szCs w:val="20"/>
                <w:color w:val="auto"/>
              </w:rPr>
            </w:pPr>
            <w:r>
              <w:rPr>
                <w:rFonts w:ascii="Arial" w:cs="Arial" w:eastAsia="Arial" w:hAnsi="Arial"/>
                <w:sz w:val="11"/>
                <w:szCs w:val="11"/>
                <w:color w:val="auto"/>
              </w:rPr>
              <w:t>​​​</w:t>
            </w:r>
          </w:p>
        </w:tc>
        <w:tc>
          <w:tcPr>
            <w:tcW w:w="80" w:type="dxa"/>
            <w:vAlign w:val="bottom"/>
            <w:tcBorders>
              <w:top w:val="single" w:sz="8" w:color="808080"/>
            </w:tcBorders>
            <w:vMerge w:val="restart"/>
          </w:tcPr>
          <w:p>
            <w:pPr>
              <w:jc w:val="right"/>
              <w:spacing w:after="0"/>
              <w:rPr>
                <w:sz w:val="20"/>
                <w:szCs w:val="20"/>
                <w:color w:val="auto"/>
              </w:rPr>
            </w:pPr>
            <w:r>
              <w:rPr>
                <w:rFonts w:ascii="Arial" w:cs="Arial" w:eastAsia="Arial" w:hAnsi="Arial"/>
                <w:sz w:val="8"/>
                <w:szCs w:val="8"/>
                <w:color w:val="auto"/>
                <w:w w:val="73"/>
              </w:rPr>
              <w:t>-</w:t>
            </w:r>
          </w:p>
        </w:tc>
        <w:tc>
          <w:tcPr>
            <w:tcW w:w="40" w:type="dxa"/>
            <w:vAlign w:val="bottom"/>
            <w:tcBorders>
              <w:top w:val="single" w:sz="8" w:color="808080"/>
            </w:tcBorders>
          </w:tcPr>
          <w:p>
            <w:pPr>
              <w:spacing w:after="0"/>
              <w:rPr>
                <w:sz w:val="10"/>
                <w:szCs w:val="10"/>
                <w:color w:val="auto"/>
              </w:rPr>
            </w:pPr>
          </w:p>
        </w:tc>
        <w:tc>
          <w:tcPr>
            <w:tcW w:w="120" w:type="dxa"/>
            <w:vAlign w:val="bottom"/>
            <w:tcBorders>
              <w:top w:val="single" w:sz="8" w:color="808080"/>
            </w:tcBorders>
            <w:vMerge w:val="restart"/>
          </w:tcPr>
          <w:p>
            <w:pPr>
              <w:ind w:left="20"/>
              <w:spacing w:after="0"/>
              <w:rPr>
                <w:sz w:val="20"/>
                <w:szCs w:val="20"/>
                <w:color w:val="auto"/>
              </w:rPr>
            </w:pPr>
            <w:r>
              <w:rPr>
                <w:rFonts w:ascii="Arial" w:cs="Arial" w:eastAsia="Arial" w:hAnsi="Arial"/>
                <w:sz w:val="11"/>
                <w:szCs w:val="11"/>
                <w:color w:val="auto"/>
              </w:rPr>
              <w:t>​​​</w:t>
            </w:r>
          </w:p>
        </w:tc>
        <w:tc>
          <w:tcPr>
            <w:tcW w:w="780" w:type="dxa"/>
            <w:vAlign w:val="bottom"/>
            <w:tcBorders>
              <w:top w:val="single" w:sz="8" w:color="808080"/>
            </w:tcBorders>
            <w:vMerge w:val="restart"/>
          </w:tcPr>
          <w:p>
            <w:pPr>
              <w:jc w:val="right"/>
              <w:ind w:right="7"/>
              <w:spacing w:after="0"/>
              <w:rPr>
                <w:sz w:val="20"/>
                <w:szCs w:val="20"/>
                <w:color w:val="auto"/>
              </w:rPr>
            </w:pPr>
            <w:r>
              <w:rPr>
                <w:rFonts w:ascii="Arial" w:cs="Arial" w:eastAsia="Arial" w:hAnsi="Arial"/>
                <w:sz w:val="11"/>
                <w:szCs w:val="11"/>
                <w:color w:val="auto"/>
              </w:rPr>
              <w:t>30,524,710</w:t>
            </w:r>
          </w:p>
        </w:tc>
        <w:tc>
          <w:tcPr>
            <w:tcW w:w="100" w:type="dxa"/>
            <w:vAlign w:val="bottom"/>
            <w:tcBorders>
              <w:top w:val="single" w:sz="8" w:color="808080"/>
            </w:tcBorders>
            <w:gridSpan w:val="2"/>
          </w:tcPr>
          <w:p>
            <w:pPr>
              <w:jc w:val="right"/>
              <w:ind w:right="20"/>
              <w:spacing w:after="0"/>
              <w:rPr>
                <w:sz w:val="20"/>
                <w:szCs w:val="20"/>
                <w:color w:val="auto"/>
              </w:rPr>
            </w:pPr>
            <w:r>
              <w:rPr>
                <w:rFonts w:ascii="Arial" w:cs="Arial" w:eastAsia="Arial" w:hAnsi="Arial"/>
                <w:sz w:val="9"/>
                <w:szCs w:val="9"/>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400" w:type="dxa"/>
            <w:vAlign w:val="bottom"/>
            <w:tcBorders>
              <w:bottom w:val="single" w:sz="8" w:color="808080"/>
            </w:tcBorders>
            <w:vMerge w:val="continue"/>
          </w:tcPr>
          <w:p>
            <w:pPr>
              <w:spacing w:after="0"/>
              <w:rPr>
                <w:sz w:val="2"/>
                <w:szCs w:val="2"/>
                <w:color w:val="auto"/>
              </w:rPr>
            </w:pPr>
          </w:p>
        </w:tc>
        <w:tc>
          <w:tcPr>
            <w:tcW w:w="180" w:type="dxa"/>
            <w:vAlign w:val="bottom"/>
            <w:tcBorders>
              <w:bottom w:val="single" w:sz="8" w:color="808080"/>
            </w:tcBorders>
          </w:tcPr>
          <w:p>
            <w:pPr>
              <w:spacing w:after="0"/>
              <w:rPr>
                <w:sz w:val="2"/>
                <w:szCs w:val="2"/>
                <w:color w:val="auto"/>
              </w:rPr>
            </w:pPr>
          </w:p>
        </w:tc>
        <w:tc>
          <w:tcPr>
            <w:tcW w:w="160" w:type="dxa"/>
            <w:vAlign w:val="bottom"/>
            <w:tcBorders>
              <w:bottom w:val="single" w:sz="8" w:color="808080"/>
            </w:tcBorders>
          </w:tcPr>
          <w:p>
            <w:pPr>
              <w:spacing w:after="0"/>
              <w:rPr>
                <w:sz w:val="2"/>
                <w:szCs w:val="2"/>
                <w:color w:val="auto"/>
              </w:rPr>
            </w:pPr>
          </w:p>
        </w:tc>
        <w:tc>
          <w:tcPr>
            <w:tcW w:w="820" w:type="dxa"/>
            <w:vAlign w:val="bottom"/>
            <w:tcBorders>
              <w:bottom w:val="single" w:sz="8" w:color="808080"/>
            </w:tcBorders>
            <w:vMerge w:val="continue"/>
          </w:tcPr>
          <w:p>
            <w:pPr>
              <w:spacing w:after="0"/>
              <w:rPr>
                <w:sz w:val="2"/>
                <w:szCs w:val="2"/>
                <w:color w:val="auto"/>
              </w:rPr>
            </w:pPr>
          </w:p>
        </w:tc>
        <w:tc>
          <w:tcPr>
            <w:tcW w:w="160" w:type="dxa"/>
            <w:vAlign w:val="bottom"/>
            <w:tcBorders>
              <w:bottom w:val="single" w:sz="8" w:color="808080"/>
            </w:tcBorders>
          </w:tcPr>
          <w:p>
            <w:pPr>
              <w:spacing w:after="0"/>
              <w:rPr>
                <w:sz w:val="2"/>
                <w:szCs w:val="2"/>
                <w:color w:val="auto"/>
              </w:rPr>
            </w:pPr>
          </w:p>
        </w:tc>
        <w:tc>
          <w:tcPr>
            <w:tcW w:w="560" w:type="dxa"/>
            <w:vAlign w:val="bottom"/>
            <w:tcBorders>
              <w:bottom w:val="single" w:sz="8" w:color="808080"/>
            </w:tcBorders>
            <w:vMerge w:val="continue"/>
          </w:tcPr>
          <w:p>
            <w:pPr>
              <w:spacing w:after="0"/>
              <w:rPr>
                <w:sz w:val="2"/>
                <w:szCs w:val="2"/>
                <w:color w:val="auto"/>
              </w:rPr>
            </w:pPr>
          </w:p>
        </w:tc>
        <w:tc>
          <w:tcPr>
            <w:tcW w:w="140" w:type="dxa"/>
            <w:vAlign w:val="bottom"/>
            <w:tcBorders>
              <w:bottom w:val="single" w:sz="8" w:color="808080"/>
            </w:tcBorders>
            <w:vMerge w:val="continue"/>
          </w:tcPr>
          <w:p>
            <w:pPr>
              <w:spacing w:after="0"/>
              <w:rPr>
                <w:sz w:val="2"/>
                <w:szCs w:val="2"/>
                <w:color w:val="auto"/>
              </w:rPr>
            </w:pPr>
          </w:p>
        </w:tc>
        <w:tc>
          <w:tcPr>
            <w:tcW w:w="760" w:type="dxa"/>
            <w:vAlign w:val="bottom"/>
            <w:tcBorders>
              <w:bottom w:val="single" w:sz="8" w:color="808080"/>
            </w:tcBorders>
            <w:gridSpan w:val="3"/>
            <w:vMerge w:val="continue"/>
          </w:tcPr>
          <w:p>
            <w:pPr>
              <w:spacing w:after="0"/>
              <w:rPr>
                <w:sz w:val="2"/>
                <w:szCs w:val="2"/>
                <w:color w:val="auto"/>
              </w:rPr>
            </w:pPr>
          </w:p>
        </w:tc>
        <w:tc>
          <w:tcPr>
            <w:tcW w:w="360" w:type="dxa"/>
            <w:vAlign w:val="bottom"/>
            <w:tcBorders>
              <w:bottom w:val="single" w:sz="8" w:color="808080"/>
            </w:tcBorders>
            <w:vMerge w:val="continue"/>
          </w:tcPr>
          <w:p>
            <w:pPr>
              <w:spacing w:after="0"/>
              <w:rPr>
                <w:sz w:val="2"/>
                <w:szCs w:val="2"/>
                <w:color w:val="auto"/>
              </w:rPr>
            </w:pPr>
          </w:p>
        </w:tc>
        <w:tc>
          <w:tcPr>
            <w:tcW w:w="520" w:type="dxa"/>
            <w:vAlign w:val="bottom"/>
            <w:tcBorders>
              <w:bottom w:val="single" w:sz="8" w:color="808080"/>
            </w:tcBorders>
            <w:gridSpan w:val="2"/>
            <w:vMerge w:val="continue"/>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140" w:type="dxa"/>
            <w:vAlign w:val="bottom"/>
            <w:tcBorders>
              <w:bottom w:val="single" w:sz="8" w:color="808080"/>
            </w:tcBorders>
            <w:vMerge w:val="continue"/>
          </w:tcPr>
          <w:p>
            <w:pPr>
              <w:spacing w:after="0"/>
              <w:rPr>
                <w:sz w:val="2"/>
                <w:szCs w:val="2"/>
                <w:color w:val="auto"/>
              </w:rPr>
            </w:pPr>
          </w:p>
        </w:tc>
        <w:tc>
          <w:tcPr>
            <w:tcW w:w="820" w:type="dxa"/>
            <w:vAlign w:val="bottom"/>
            <w:tcBorders>
              <w:bottom w:val="single" w:sz="8" w:color="808080"/>
            </w:tcBorders>
            <w:vMerge w:val="continue"/>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160" w:type="dxa"/>
            <w:vAlign w:val="bottom"/>
            <w:tcBorders>
              <w:bottom w:val="single" w:sz="8" w:color="808080"/>
            </w:tcBorders>
            <w:gridSpan w:val="2"/>
            <w:vMerge w:val="continue"/>
          </w:tcPr>
          <w:p>
            <w:pPr>
              <w:spacing w:after="0"/>
              <w:rPr>
                <w:sz w:val="2"/>
                <w:szCs w:val="2"/>
                <w:color w:val="auto"/>
              </w:rPr>
            </w:pPr>
          </w:p>
        </w:tc>
        <w:tc>
          <w:tcPr>
            <w:tcW w:w="840" w:type="dxa"/>
            <w:vAlign w:val="bottom"/>
            <w:tcBorders>
              <w:bottom w:val="single" w:sz="8" w:color="808080"/>
            </w:tcBorders>
            <w:vMerge w:val="continue"/>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100" w:type="dxa"/>
            <w:vAlign w:val="bottom"/>
            <w:tcBorders>
              <w:bottom w:val="single" w:sz="8" w:color="808080"/>
            </w:tcBorders>
            <w:vMerge w:val="continue"/>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120" w:type="dxa"/>
            <w:vAlign w:val="bottom"/>
            <w:tcBorders>
              <w:bottom w:val="single" w:sz="8" w:color="808080"/>
            </w:tcBorders>
          </w:tcPr>
          <w:p>
            <w:pPr>
              <w:spacing w:after="0"/>
              <w:rPr>
                <w:sz w:val="2"/>
                <w:szCs w:val="2"/>
                <w:color w:val="auto"/>
              </w:rPr>
            </w:pPr>
          </w:p>
        </w:tc>
        <w:tc>
          <w:tcPr>
            <w:tcW w:w="440" w:type="dxa"/>
            <w:vAlign w:val="bottom"/>
            <w:tcBorders>
              <w:bottom w:val="single" w:sz="8" w:color="808080"/>
            </w:tcBorders>
          </w:tcPr>
          <w:p>
            <w:pPr>
              <w:spacing w:after="0"/>
              <w:rPr>
                <w:sz w:val="2"/>
                <w:szCs w:val="2"/>
                <w:color w:val="auto"/>
              </w:rPr>
            </w:pPr>
          </w:p>
        </w:tc>
        <w:tc>
          <w:tcPr>
            <w:tcW w:w="80" w:type="dxa"/>
            <w:vAlign w:val="bottom"/>
            <w:tcBorders>
              <w:bottom w:val="single" w:sz="8" w:color="808080"/>
            </w:tcBorders>
            <w:vMerge w:val="continue"/>
          </w:tcPr>
          <w:p>
            <w:pPr>
              <w:spacing w:after="0"/>
              <w:rPr>
                <w:sz w:val="2"/>
                <w:szCs w:val="2"/>
                <w:color w:val="auto"/>
              </w:rPr>
            </w:pPr>
          </w:p>
        </w:tc>
        <w:tc>
          <w:tcPr>
            <w:tcW w:w="580" w:type="dxa"/>
            <w:vAlign w:val="bottom"/>
            <w:tcBorders>
              <w:bottom w:val="single" w:sz="8" w:color="808080"/>
            </w:tcBorders>
            <w:vMerge w:val="continue"/>
          </w:tcPr>
          <w:p>
            <w:pPr>
              <w:spacing w:after="0"/>
              <w:rPr>
                <w:sz w:val="2"/>
                <w:szCs w:val="2"/>
                <w:color w:val="auto"/>
              </w:rPr>
            </w:pPr>
          </w:p>
        </w:tc>
        <w:tc>
          <w:tcPr>
            <w:tcW w:w="180" w:type="dxa"/>
            <w:vAlign w:val="bottom"/>
            <w:tcBorders>
              <w:bottom w:val="single" w:sz="8" w:color="808080"/>
            </w:tcBorders>
          </w:tcPr>
          <w:p>
            <w:pPr>
              <w:spacing w:after="0"/>
              <w:rPr>
                <w:sz w:val="2"/>
                <w:szCs w:val="2"/>
                <w:color w:val="auto"/>
              </w:rPr>
            </w:pPr>
          </w:p>
        </w:tc>
        <w:tc>
          <w:tcPr>
            <w:tcW w:w="100" w:type="dxa"/>
            <w:vAlign w:val="bottom"/>
            <w:tcBorders>
              <w:bottom w:val="single" w:sz="8" w:color="808080"/>
            </w:tcBorders>
            <w:vMerge w:val="continue"/>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800" w:type="dxa"/>
            <w:vAlign w:val="bottom"/>
            <w:tcBorders>
              <w:bottom w:val="single" w:sz="8" w:color="808080"/>
            </w:tcBorders>
            <w:gridSpan w:val="2"/>
            <w:vMerge w:val="continue"/>
          </w:tcPr>
          <w:p>
            <w:pPr>
              <w:spacing w:after="0"/>
              <w:rPr>
                <w:sz w:val="2"/>
                <w:szCs w:val="2"/>
                <w:color w:val="auto"/>
              </w:rPr>
            </w:pPr>
          </w:p>
        </w:tc>
        <w:tc>
          <w:tcPr>
            <w:tcW w:w="80" w:type="dxa"/>
            <w:vAlign w:val="bottom"/>
            <w:tcBorders>
              <w:bottom w:val="single" w:sz="8" w:color="808080"/>
            </w:tcBorders>
            <w:vMerge w:val="continue"/>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120" w:type="dxa"/>
            <w:vAlign w:val="bottom"/>
            <w:tcBorders>
              <w:bottom w:val="single" w:sz="8" w:color="808080"/>
            </w:tcBorders>
            <w:vMerge w:val="continue"/>
          </w:tcPr>
          <w:p>
            <w:pPr>
              <w:spacing w:after="0"/>
              <w:rPr>
                <w:sz w:val="2"/>
                <w:szCs w:val="2"/>
                <w:color w:val="auto"/>
              </w:rPr>
            </w:pPr>
          </w:p>
        </w:tc>
        <w:tc>
          <w:tcPr>
            <w:tcW w:w="780" w:type="dxa"/>
            <w:vAlign w:val="bottom"/>
            <w:tcBorders>
              <w:bottom w:val="single" w:sz="8" w:color="808080"/>
            </w:tcBorders>
            <w:vMerge w:val="continue"/>
          </w:tcPr>
          <w:p>
            <w:pPr>
              <w:spacing w:after="0"/>
              <w:rPr>
                <w:sz w:val="2"/>
                <w:szCs w:val="2"/>
                <w:color w:val="auto"/>
              </w:rPr>
            </w:pPr>
          </w:p>
        </w:tc>
        <w:tc>
          <w:tcPr>
            <w:tcW w:w="8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00" w:type="dxa"/>
            <w:vAlign w:val="bottom"/>
            <w:tcBorders>
              <w:bottom w:val="single" w:sz="8" w:color="808080"/>
            </w:tcBorders>
          </w:tcPr>
          <w:p>
            <w:pPr>
              <w:ind w:left="120"/>
              <w:spacing w:after="0"/>
              <w:rPr>
                <w:sz w:val="20"/>
                <w:szCs w:val="20"/>
                <w:color w:val="auto"/>
              </w:rPr>
            </w:pPr>
            <w:r>
              <w:rPr>
                <w:rFonts w:ascii="Arial" w:cs="Arial" w:eastAsia="Arial" w:hAnsi="Arial"/>
                <w:sz w:val="11"/>
                <w:szCs w:val="11"/>
                <w:color w:val="auto"/>
              </w:rPr>
              <w:t>2023</w:t>
            </w:r>
          </w:p>
        </w:tc>
        <w:tc>
          <w:tcPr>
            <w:tcW w:w="1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jc w:val="right"/>
              <w:ind w:right="185"/>
              <w:spacing w:after="0"/>
              <w:rPr>
                <w:sz w:val="20"/>
                <w:szCs w:val="20"/>
                <w:color w:val="auto"/>
              </w:rPr>
            </w:pPr>
            <w:r>
              <w:rPr>
                <w:rFonts w:ascii="Arial" w:cs="Arial" w:eastAsia="Arial" w:hAnsi="Arial"/>
                <w:sz w:val="11"/>
                <w:szCs w:val="11"/>
                <w:color w:val="auto"/>
              </w:rPr>
              <w:t>7,471,150</w:t>
            </w:r>
          </w:p>
        </w:tc>
        <w:tc>
          <w:tcPr>
            <w:tcW w:w="16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jc w:val="right"/>
              <w:spacing w:after="0"/>
              <w:rPr>
                <w:sz w:val="20"/>
                <w:szCs w:val="20"/>
                <w:color w:val="auto"/>
              </w:rPr>
            </w:pPr>
            <w:r>
              <w:rPr>
                <w:rFonts w:ascii="Arial" w:cs="Arial" w:eastAsia="Arial" w:hAnsi="Arial"/>
                <w:sz w:val="11"/>
                <w:szCs w:val="11"/>
                <w:color w:val="auto"/>
              </w:rPr>
              <w:t>3,119,691</w:t>
            </w:r>
          </w:p>
        </w:tc>
        <w:tc>
          <w:tcPr>
            <w:tcW w:w="14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gridSpan w:val="3"/>
          </w:tcPr>
          <w:p>
            <w:pPr>
              <w:jc w:val="right"/>
              <w:spacing w:after="0"/>
              <w:rPr>
                <w:sz w:val="20"/>
                <w:szCs w:val="20"/>
                <w:color w:val="auto"/>
              </w:rPr>
            </w:pPr>
            <w:r>
              <w:rPr>
                <w:rFonts w:ascii="Arial" w:cs="Arial" w:eastAsia="Arial" w:hAnsi="Arial"/>
                <w:sz w:val="11"/>
                <w:szCs w:val="11"/>
                <w:color w:val="auto"/>
              </w:rPr>
              <w:t>3,611,298</w:t>
            </w:r>
          </w:p>
        </w:tc>
        <w:tc>
          <w:tcPr>
            <w:tcW w:w="36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gridSpan w:val="2"/>
          </w:tcPr>
          <w:p>
            <w:pPr>
              <w:jc w:val="right"/>
              <w:spacing w:after="0"/>
              <w:rPr>
                <w:sz w:val="20"/>
                <w:szCs w:val="20"/>
                <w:color w:val="auto"/>
              </w:rPr>
            </w:pPr>
            <w:r>
              <w:rPr>
                <w:rFonts w:ascii="Arial" w:cs="Arial" w:eastAsia="Arial" w:hAnsi="Arial"/>
                <w:sz w:val="11"/>
                <w:szCs w:val="11"/>
                <w:color w:val="auto"/>
              </w:rPr>
              <w:t>10,359</w:t>
            </w:r>
          </w:p>
        </w:tc>
        <w:tc>
          <w:tcPr>
            <w:tcW w:w="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jc w:val="right"/>
              <w:spacing w:after="0"/>
              <w:rPr>
                <w:sz w:val="20"/>
                <w:szCs w:val="20"/>
                <w:color w:val="auto"/>
              </w:rPr>
            </w:pPr>
            <w:r>
              <w:rPr>
                <w:rFonts w:ascii="Arial" w:cs="Arial" w:eastAsia="Arial" w:hAnsi="Arial"/>
                <w:sz w:val="11"/>
                <w:szCs w:val="11"/>
                <w:color w:val="auto"/>
              </w:rPr>
              <w:t>362,371</w:t>
            </w:r>
          </w:p>
        </w:tc>
        <w:tc>
          <w:tcPr>
            <w:tcW w:w="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jc w:val="right"/>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808080"/>
            </w:tcBorders>
          </w:tcPr>
          <w:p>
            <w:pPr>
              <w:jc w:val="right"/>
              <w:ind w:right="365"/>
              <w:spacing w:after="0"/>
              <w:rPr>
                <w:sz w:val="20"/>
                <w:szCs w:val="20"/>
                <w:color w:val="auto"/>
              </w:rPr>
            </w:pPr>
            <w:r>
              <w:rPr>
                <w:rFonts w:ascii="Arial" w:cs="Arial" w:eastAsia="Arial" w:hAnsi="Arial"/>
                <w:sz w:val="11"/>
                <w:szCs w:val="11"/>
                <w:color w:val="auto"/>
              </w:rPr>
              <w:t>​​​</w:t>
            </w:r>
          </w:p>
        </w:tc>
        <w:tc>
          <w:tcPr>
            <w:tcW w:w="280" w:type="dxa"/>
            <w:vAlign w:val="bottom"/>
            <w:tcBorders>
              <w:bottom w:val="single" w:sz="8" w:color="808080"/>
            </w:tcBorders>
            <w:gridSpan w:val="2"/>
          </w:tcPr>
          <w:p>
            <w:pPr>
              <w:jc w:val="right"/>
              <w:spacing w:after="0"/>
              <w:rPr>
                <w:sz w:val="20"/>
                <w:szCs w:val="20"/>
                <w:color w:val="auto"/>
              </w:rPr>
            </w:pPr>
            <w:r>
              <w:rPr>
                <w:rFonts w:ascii="Arial" w:cs="Arial" w:eastAsia="Arial" w:hAnsi="Arial"/>
                <w:sz w:val="11"/>
                <w:szCs w:val="11"/>
                <w:color w:val="auto"/>
                <w:w w:val="94"/>
              </w:rPr>
              <w:t>6,767</w:t>
            </w:r>
          </w:p>
        </w:tc>
        <w:tc>
          <w:tcPr>
            <w:tcW w:w="4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gridSpan w:val="2"/>
          </w:tcPr>
          <w:p>
            <w:pPr>
              <w:ind w:left="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808080"/>
            </w:tcBorders>
          </w:tcPr>
          <w:p>
            <w:pPr>
              <w:jc w:val="right"/>
              <w:spacing w:after="0"/>
              <w:rPr>
                <w:sz w:val="20"/>
                <w:szCs w:val="20"/>
                <w:color w:val="auto"/>
              </w:rPr>
            </w:pPr>
            <w:r>
              <w:rPr>
                <w:rFonts w:ascii="Arial" w:cs="Arial" w:eastAsia="Arial" w:hAnsi="Arial"/>
                <w:sz w:val="8"/>
                <w:szCs w:val="8"/>
                <w:color w:val="auto"/>
                <w:w w:val="73"/>
              </w:rPr>
              <w:t>-</w:t>
            </w:r>
          </w:p>
        </w:tc>
        <w:tc>
          <w:tcPr>
            <w:tcW w:w="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ind w:left="20"/>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808080"/>
            </w:tcBorders>
          </w:tcPr>
          <w:p>
            <w:pPr>
              <w:jc w:val="center"/>
              <w:ind w:left="107"/>
              <w:spacing w:after="0"/>
              <w:rPr>
                <w:sz w:val="20"/>
                <w:szCs w:val="20"/>
                <w:color w:val="auto"/>
              </w:rPr>
            </w:pPr>
            <w:r>
              <w:rPr>
                <w:rFonts w:ascii="Arial" w:cs="Arial" w:eastAsia="Arial" w:hAnsi="Arial"/>
                <w:sz w:val="11"/>
                <w:szCs w:val="11"/>
                <w:color w:val="auto"/>
              </w:rPr>
              <w:t>8,328,720</w:t>
            </w:r>
          </w:p>
        </w:tc>
        <w:tc>
          <w:tcPr>
            <w:tcW w:w="80" w:type="dxa"/>
            <w:vAlign w:val="bottom"/>
            <w:tcBorders>
              <w:bottom w:val="single" w:sz="8" w:color="808080"/>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00" w:type="dxa"/>
            <w:vAlign w:val="bottom"/>
            <w:tcBorders>
              <w:bottom w:val="single" w:sz="8" w:color="808080"/>
            </w:tcBorders>
          </w:tcPr>
          <w:p>
            <w:pPr>
              <w:ind w:left="120"/>
              <w:spacing w:after="0"/>
              <w:rPr>
                <w:sz w:val="20"/>
                <w:szCs w:val="20"/>
                <w:color w:val="auto"/>
              </w:rPr>
            </w:pPr>
            <w:r>
              <w:rPr>
                <w:rFonts w:ascii="Arial" w:cs="Arial" w:eastAsia="Arial" w:hAnsi="Arial"/>
                <w:sz w:val="11"/>
                <w:szCs w:val="11"/>
                <w:color w:val="auto"/>
              </w:rPr>
              <w:t>2022</w:t>
            </w:r>
          </w:p>
        </w:tc>
        <w:tc>
          <w:tcPr>
            <w:tcW w:w="1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jc w:val="right"/>
              <w:ind w:right="185"/>
              <w:spacing w:after="0"/>
              <w:rPr>
                <w:sz w:val="20"/>
                <w:szCs w:val="20"/>
                <w:color w:val="auto"/>
              </w:rPr>
            </w:pPr>
            <w:r>
              <w:rPr>
                <w:rFonts w:ascii="Arial" w:cs="Arial" w:eastAsia="Arial" w:hAnsi="Arial"/>
                <w:sz w:val="11"/>
                <w:szCs w:val="11"/>
                <w:color w:val="auto"/>
              </w:rPr>
              <w:t>2,942,377</w:t>
            </w:r>
          </w:p>
        </w:tc>
        <w:tc>
          <w:tcPr>
            <w:tcW w:w="16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jc w:val="right"/>
              <w:spacing w:after="0"/>
              <w:rPr>
                <w:sz w:val="20"/>
                <w:szCs w:val="20"/>
                <w:color w:val="auto"/>
              </w:rPr>
            </w:pPr>
            <w:r>
              <w:rPr>
                <w:rFonts w:ascii="Arial" w:cs="Arial" w:eastAsia="Arial" w:hAnsi="Arial"/>
                <w:sz w:val="11"/>
                <w:szCs w:val="11"/>
                <w:color w:val="auto"/>
              </w:rPr>
              <w:t>2,072,759</w:t>
            </w:r>
          </w:p>
        </w:tc>
        <w:tc>
          <w:tcPr>
            <w:tcW w:w="140" w:type="dxa"/>
            <w:vAlign w:val="bottom"/>
            <w:tcBorders>
              <w:bottom w:val="single" w:sz="8" w:color="808080"/>
            </w:tcBorders>
          </w:tcPr>
          <w:p>
            <w:pPr>
              <w:ind w:left="4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808080"/>
            </w:tcBorders>
            <w:gridSpan w:val="3"/>
          </w:tcPr>
          <w:p>
            <w:pPr>
              <w:jc w:val="right"/>
              <w:spacing w:after="0"/>
              <w:rPr>
                <w:sz w:val="20"/>
                <w:szCs w:val="20"/>
                <w:color w:val="auto"/>
              </w:rPr>
            </w:pPr>
            <w:r>
              <w:rPr>
                <w:rFonts w:ascii="Arial" w:cs="Arial" w:eastAsia="Arial" w:hAnsi="Arial"/>
                <w:sz w:val="11"/>
                <w:szCs w:val="11"/>
                <w:color w:val="auto"/>
              </w:rPr>
              <w:t>2,399,624</w:t>
            </w:r>
          </w:p>
        </w:tc>
        <w:tc>
          <w:tcPr>
            <w:tcW w:w="360" w:type="dxa"/>
            <w:vAlign w:val="bottom"/>
            <w:tcBorders>
              <w:bottom w:val="single" w:sz="8" w:color="808080"/>
            </w:tcBorders>
          </w:tcPr>
          <w:p>
            <w:pPr>
              <w:ind w:left="60"/>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808080"/>
            </w:tcBorders>
            <w:gridSpan w:val="3"/>
          </w:tcPr>
          <w:p>
            <w:pPr>
              <w:jc w:val="right"/>
              <w:spacing w:after="0"/>
              <w:rPr>
                <w:sz w:val="20"/>
                <w:szCs w:val="20"/>
                <w:color w:val="auto"/>
              </w:rPr>
            </w:pPr>
            <w:r>
              <w:rPr>
                <w:rFonts w:ascii="Arial" w:cs="Arial" w:eastAsia="Arial" w:hAnsi="Arial"/>
                <w:sz w:val="11"/>
                <w:szCs w:val="11"/>
                <w:color w:val="auto"/>
              </w:rPr>
              <w:t>(135,765)</w:t>
            </w:r>
          </w:p>
        </w:tc>
        <w:tc>
          <w:tcPr>
            <w:tcW w:w="140" w:type="dxa"/>
            <w:vAlign w:val="bottom"/>
            <w:tcBorders>
              <w:bottom w:val="single" w:sz="8" w:color="808080"/>
            </w:tcBorders>
          </w:tcPr>
          <w:p>
            <w:pPr>
              <w:ind w:left="60"/>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808080"/>
            </w:tcBorders>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gridSpan w:val="2"/>
          </w:tcPr>
          <w:p>
            <w:pPr>
              <w:spacing w:after="0"/>
              <w:rPr>
                <w:sz w:val="20"/>
                <w:szCs w:val="20"/>
                <w:color w:val="auto"/>
              </w:rPr>
            </w:pPr>
            <w:r>
              <w:rPr>
                <w:rFonts w:ascii="Arial" w:cs="Arial" w:eastAsia="Arial" w:hAnsi="Arial"/>
                <w:sz w:val="11"/>
                <w:szCs w:val="11"/>
                <w:color w:val="auto"/>
              </w:rPr>
              <w:t>​​​</w:t>
            </w:r>
          </w:p>
        </w:tc>
        <w:tc>
          <w:tcPr>
            <w:tcW w:w="840" w:type="dxa"/>
            <w:vAlign w:val="bottom"/>
            <w:tcBorders>
              <w:bottom w:val="single" w:sz="8" w:color="808080"/>
            </w:tcBorders>
          </w:tcPr>
          <w:p>
            <w:pPr>
              <w:jc w:val="right"/>
              <w:spacing w:after="0"/>
              <w:rPr>
                <w:sz w:val="20"/>
                <w:szCs w:val="20"/>
                <w:color w:val="auto"/>
              </w:rPr>
            </w:pPr>
            <w:r>
              <w:rPr>
                <w:rFonts w:ascii="Arial" w:cs="Arial" w:eastAsia="Arial" w:hAnsi="Arial"/>
                <w:sz w:val="11"/>
                <w:szCs w:val="11"/>
                <w:color w:val="auto"/>
              </w:rPr>
              <w:t>281,010</w:t>
            </w:r>
          </w:p>
        </w:tc>
        <w:tc>
          <w:tcPr>
            <w:tcW w:w="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jc w:val="right"/>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808080"/>
            </w:tcBorders>
          </w:tcPr>
          <w:p>
            <w:pPr>
              <w:jc w:val="right"/>
              <w:ind w:right="365"/>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gridSpan w:val="2"/>
          </w:tcPr>
          <w:p>
            <w:pPr>
              <w:ind w:left="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808080"/>
            </w:tcBorders>
          </w:tcPr>
          <w:p>
            <w:pPr>
              <w:jc w:val="right"/>
              <w:spacing w:after="0"/>
              <w:rPr>
                <w:sz w:val="20"/>
                <w:szCs w:val="20"/>
                <w:color w:val="auto"/>
              </w:rPr>
            </w:pPr>
            <w:r>
              <w:rPr>
                <w:rFonts w:ascii="Arial" w:cs="Arial" w:eastAsia="Arial" w:hAnsi="Arial"/>
                <w:sz w:val="8"/>
                <w:szCs w:val="8"/>
                <w:color w:val="auto"/>
                <w:w w:val="73"/>
              </w:rPr>
              <w:t>-</w:t>
            </w:r>
          </w:p>
        </w:tc>
        <w:tc>
          <w:tcPr>
            <w:tcW w:w="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jc w:val="center"/>
              <w:ind w:left="107"/>
              <w:spacing w:after="0"/>
              <w:rPr>
                <w:sz w:val="20"/>
                <w:szCs w:val="20"/>
                <w:color w:val="auto"/>
              </w:rPr>
            </w:pPr>
            <w:r>
              <w:rPr>
                <w:rFonts w:ascii="Arial" w:cs="Arial" w:eastAsia="Arial" w:hAnsi="Arial"/>
                <w:sz w:val="11"/>
                <w:szCs w:val="11"/>
                <w:color w:val="auto"/>
              </w:rPr>
              <w:t>3,414,487</w:t>
            </w:r>
          </w:p>
        </w:tc>
        <w:tc>
          <w:tcPr>
            <w:tcW w:w="80" w:type="dxa"/>
            <w:vAlign w:val="bottom"/>
            <w:tcBorders>
              <w:bottom w:val="single" w:sz="8" w:color="808080"/>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00" w:type="dxa"/>
            <w:vAlign w:val="bottom"/>
            <w:tcBorders>
              <w:bottom w:val="single" w:sz="8" w:color="808080"/>
            </w:tcBorders>
          </w:tcPr>
          <w:p>
            <w:pPr>
              <w:ind w:left="120"/>
              <w:spacing w:after="0"/>
              <w:rPr>
                <w:sz w:val="20"/>
                <w:szCs w:val="20"/>
                <w:color w:val="auto"/>
              </w:rPr>
            </w:pPr>
            <w:r>
              <w:rPr>
                <w:rFonts w:ascii="Arial" w:cs="Arial" w:eastAsia="Arial" w:hAnsi="Arial"/>
                <w:sz w:val="11"/>
                <w:szCs w:val="11"/>
                <w:color w:val="auto"/>
              </w:rPr>
              <w:t>2021</w:t>
            </w:r>
          </w:p>
        </w:tc>
        <w:tc>
          <w:tcPr>
            <w:tcW w:w="1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jc w:val="right"/>
              <w:ind w:right="185"/>
              <w:spacing w:after="0"/>
              <w:rPr>
                <w:sz w:val="20"/>
                <w:szCs w:val="20"/>
                <w:color w:val="auto"/>
              </w:rPr>
            </w:pPr>
            <w:r>
              <w:rPr>
                <w:rFonts w:ascii="Arial" w:cs="Arial" w:eastAsia="Arial" w:hAnsi="Arial"/>
                <w:sz w:val="11"/>
                <w:szCs w:val="11"/>
                <w:color w:val="auto"/>
              </w:rPr>
              <w:t>3,220,759</w:t>
            </w:r>
          </w:p>
        </w:tc>
        <w:tc>
          <w:tcPr>
            <w:tcW w:w="16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jc w:val="right"/>
              <w:spacing w:after="0"/>
              <w:rPr>
                <w:sz w:val="20"/>
                <w:szCs w:val="20"/>
                <w:color w:val="auto"/>
              </w:rPr>
            </w:pPr>
            <w:r>
              <w:rPr>
                <w:rFonts w:ascii="Arial" w:cs="Arial" w:eastAsia="Arial" w:hAnsi="Arial"/>
                <w:sz w:val="11"/>
                <w:szCs w:val="11"/>
                <w:color w:val="auto"/>
              </w:rPr>
              <w:t>2,412,489</w:t>
            </w:r>
          </w:p>
        </w:tc>
        <w:tc>
          <w:tcPr>
            <w:tcW w:w="14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gridSpan w:val="2"/>
          </w:tcPr>
          <w:p>
            <w:pPr>
              <w:jc w:val="right"/>
              <w:spacing w:after="0"/>
              <w:rPr>
                <w:sz w:val="20"/>
                <w:szCs w:val="20"/>
                <w:color w:val="auto"/>
              </w:rPr>
            </w:pPr>
            <w:r>
              <w:rPr>
                <w:rFonts w:ascii="Arial" w:cs="Arial" w:eastAsia="Arial" w:hAnsi="Arial"/>
                <w:sz w:val="11"/>
                <w:szCs w:val="11"/>
                <w:color w:val="auto"/>
                <w:w w:val="95"/>
              </w:rPr>
              <w:t>912,342</w:t>
            </w:r>
          </w:p>
        </w:tc>
        <w:tc>
          <w:tcPr>
            <w:tcW w:w="36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gridSpan w:val="2"/>
          </w:tcPr>
          <w:p>
            <w:pPr>
              <w:jc w:val="right"/>
              <w:spacing w:after="0"/>
              <w:rPr>
                <w:sz w:val="20"/>
                <w:szCs w:val="20"/>
                <w:color w:val="auto"/>
              </w:rPr>
            </w:pPr>
            <w:r>
              <w:rPr>
                <w:rFonts w:ascii="Arial" w:cs="Arial" w:eastAsia="Arial" w:hAnsi="Arial"/>
                <w:sz w:val="11"/>
                <w:szCs w:val="11"/>
                <w:color w:val="auto"/>
              </w:rPr>
              <w:t>28,094</w:t>
            </w:r>
          </w:p>
        </w:tc>
        <w:tc>
          <w:tcPr>
            <w:tcW w:w="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jc w:val="right"/>
              <w:spacing w:after="0"/>
              <w:rPr>
                <w:sz w:val="20"/>
                <w:szCs w:val="20"/>
                <w:color w:val="auto"/>
              </w:rPr>
            </w:pPr>
            <w:r>
              <w:rPr>
                <w:rFonts w:ascii="Arial" w:cs="Arial" w:eastAsia="Arial" w:hAnsi="Arial"/>
                <w:sz w:val="11"/>
                <w:szCs w:val="11"/>
                <w:color w:val="auto"/>
              </w:rPr>
              <w:t>1,881,136</w:t>
            </w:r>
          </w:p>
        </w:tc>
        <w:tc>
          <w:tcPr>
            <w:tcW w:w="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jc w:val="right"/>
              <w:spacing w:after="0"/>
              <w:rPr>
                <w:sz w:val="20"/>
                <w:szCs w:val="20"/>
                <w:color w:val="auto"/>
              </w:rPr>
            </w:pPr>
            <w:r>
              <w:rPr>
                <w:rFonts w:ascii="Arial" w:cs="Arial" w:eastAsia="Arial" w:hAnsi="Arial"/>
                <w:sz w:val="11"/>
                <w:szCs w:val="11"/>
                <w:color w:val="auto"/>
              </w:rPr>
              <w:t>381,402</w:t>
            </w:r>
          </w:p>
        </w:tc>
        <w:tc>
          <w:tcPr>
            <w:tcW w:w="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jc w:val="right"/>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jc w:val="right"/>
              <w:spacing w:after="0"/>
              <w:rPr>
                <w:sz w:val="20"/>
                <w:szCs w:val="20"/>
                <w:color w:val="auto"/>
              </w:rPr>
            </w:pPr>
            <w:r>
              <w:rPr>
                <w:rFonts w:ascii="Arial" w:cs="Arial" w:eastAsia="Arial" w:hAnsi="Arial"/>
                <w:sz w:val="8"/>
                <w:szCs w:val="8"/>
                <w:color w:val="auto"/>
                <w:w w:val="73"/>
              </w:rPr>
              <w:t>-</w:t>
            </w:r>
          </w:p>
        </w:tc>
        <w:tc>
          <w:tcPr>
            <w:tcW w:w="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jc w:val="center"/>
              <w:ind w:left="107"/>
              <w:spacing w:after="0"/>
              <w:rPr>
                <w:sz w:val="20"/>
                <w:szCs w:val="20"/>
                <w:color w:val="auto"/>
              </w:rPr>
            </w:pPr>
            <w:r>
              <w:rPr>
                <w:rFonts w:ascii="Arial" w:cs="Arial" w:eastAsia="Arial" w:hAnsi="Arial"/>
                <w:sz w:val="11"/>
                <w:szCs w:val="11"/>
                <w:color w:val="auto"/>
              </w:rPr>
              <w:t>4,011,244</w:t>
            </w:r>
          </w:p>
        </w:tc>
        <w:tc>
          <w:tcPr>
            <w:tcW w:w="80" w:type="dxa"/>
            <w:vAlign w:val="bottom"/>
            <w:tcBorders>
              <w:bottom w:val="single" w:sz="8" w:color="808080"/>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320" w:right="120" w:hanging="316"/>
        <w:spacing w:after="0" w:line="214" w:lineRule="auto"/>
        <w:tabs>
          <w:tab w:leader="none" w:pos="320" w:val="left"/>
        </w:tabs>
        <w:numPr>
          <w:ilvl w:val="0"/>
          <w:numId w:val="157"/>
        </w:numPr>
        <w:rPr>
          <w:rFonts w:ascii="Arial" w:cs="Arial" w:eastAsia="Arial" w:hAnsi="Arial"/>
          <w:sz w:val="22"/>
          <w:szCs w:val="22"/>
          <w:color w:val="auto"/>
          <w:vertAlign w:val="superscript"/>
        </w:rPr>
      </w:pPr>
      <w:r>
        <w:rPr>
          <w:rFonts w:ascii="Arial" w:cs="Arial" w:eastAsia="Arial" w:hAnsi="Arial"/>
          <w:sz w:val="14"/>
          <w:szCs w:val="14"/>
          <w:color w:val="auto"/>
        </w:rPr>
        <w:t>Represents Total Compensation as reported in the Summary Compensation Table for the indicated fscal year. With respect to the non-PEO NEOs, amounts shown represent averages.</w:t>
      </w:r>
    </w:p>
    <w:p>
      <w:pPr>
        <w:spacing w:after="0" w:line="184" w:lineRule="exact"/>
        <w:rPr>
          <w:rFonts w:ascii="Arial" w:cs="Arial" w:eastAsia="Arial" w:hAnsi="Arial"/>
          <w:sz w:val="22"/>
          <w:szCs w:val="22"/>
          <w:color w:val="auto"/>
          <w:vertAlign w:val="superscript"/>
        </w:rPr>
      </w:pPr>
    </w:p>
    <w:p>
      <w:pPr>
        <w:ind w:left="320" w:right="140" w:hanging="316"/>
        <w:spacing w:after="0" w:line="214" w:lineRule="auto"/>
        <w:tabs>
          <w:tab w:leader="none" w:pos="320" w:val="left"/>
        </w:tabs>
        <w:numPr>
          <w:ilvl w:val="0"/>
          <w:numId w:val="157"/>
        </w:numPr>
        <w:rPr>
          <w:rFonts w:ascii="Arial" w:cs="Arial" w:eastAsia="Arial" w:hAnsi="Arial"/>
          <w:sz w:val="22"/>
          <w:szCs w:val="22"/>
          <w:color w:val="auto"/>
          <w:vertAlign w:val="superscript"/>
        </w:rPr>
      </w:pPr>
      <w:r>
        <w:rPr>
          <w:rFonts w:ascii="Arial" w:cs="Arial" w:eastAsia="Arial" w:hAnsi="Arial"/>
          <w:sz w:val="14"/>
          <w:szCs w:val="14"/>
          <w:color w:val="auto"/>
        </w:rPr>
        <w:t>Represents the grant date fair value of the option and stock awards granted during the indicated fscal year, computed in accordance with the methodology used for fnancial reporting purposes.</w:t>
      </w:r>
    </w:p>
    <w:p>
      <w:pPr>
        <w:spacing w:after="0" w:line="184" w:lineRule="exact"/>
        <w:rPr>
          <w:rFonts w:ascii="Arial" w:cs="Arial" w:eastAsia="Arial" w:hAnsi="Arial"/>
          <w:sz w:val="22"/>
          <w:szCs w:val="22"/>
          <w:color w:val="auto"/>
          <w:vertAlign w:val="superscript"/>
        </w:rPr>
      </w:pPr>
    </w:p>
    <w:p>
      <w:pPr>
        <w:ind w:left="320" w:right="100" w:hanging="316"/>
        <w:spacing w:after="0"/>
        <w:tabs>
          <w:tab w:leader="none" w:pos="320" w:val="left"/>
        </w:tabs>
        <w:numPr>
          <w:ilvl w:val="0"/>
          <w:numId w:val="157"/>
        </w:numPr>
        <w:rPr>
          <w:rFonts w:ascii="Arial" w:cs="Arial" w:eastAsia="Arial" w:hAnsi="Arial"/>
          <w:sz w:val="22"/>
          <w:szCs w:val="22"/>
          <w:color w:val="auto"/>
          <w:vertAlign w:val="superscript"/>
        </w:rPr>
      </w:pPr>
      <w:r>
        <w:rPr>
          <w:rFonts w:ascii="Arial" w:cs="Arial" w:eastAsia="Arial" w:hAnsi="Arial"/>
          <w:sz w:val="14"/>
          <w:szCs w:val="14"/>
          <w:color w:val="auto"/>
        </w:rPr>
        <w:t>Represents the fair value as of the indicated fscal year-end of the outstanding and unvested option and stock awards granted during such fscal year, computed in accordance with the methodology used for fnancial reporting purposes and, for awards subject to performance-based vesting conditions, based on the probable outcome of such performance-based vesting conditions as of the last day of the fscal year.</w:t>
      </w:r>
    </w:p>
    <w:p>
      <w:pPr>
        <w:spacing w:after="0" w:line="329" w:lineRule="exact"/>
        <w:rPr>
          <w:rFonts w:ascii="Arial" w:cs="Arial" w:eastAsia="Arial" w:hAnsi="Arial"/>
          <w:sz w:val="22"/>
          <w:szCs w:val="22"/>
          <w:color w:val="auto"/>
          <w:vertAlign w:val="superscript"/>
        </w:rPr>
      </w:pPr>
    </w:p>
    <w:p>
      <w:pPr>
        <w:ind w:left="320" w:right="200" w:hanging="316"/>
        <w:spacing w:after="0" w:line="235" w:lineRule="auto"/>
        <w:tabs>
          <w:tab w:leader="none" w:pos="320" w:val="left"/>
        </w:tabs>
        <w:numPr>
          <w:ilvl w:val="0"/>
          <w:numId w:val="157"/>
        </w:numPr>
        <w:rPr>
          <w:rFonts w:ascii="Arial" w:cs="Arial" w:eastAsia="Arial" w:hAnsi="Arial"/>
          <w:sz w:val="22"/>
          <w:szCs w:val="22"/>
          <w:color w:val="auto"/>
          <w:vertAlign w:val="superscript"/>
        </w:rPr>
      </w:pPr>
      <w:r>
        <w:rPr>
          <w:rFonts w:ascii="Arial" w:cs="Arial" w:eastAsia="Arial" w:hAnsi="Arial"/>
          <w:sz w:val="14"/>
          <w:szCs w:val="14"/>
          <w:color w:val="auto"/>
        </w:rPr>
        <w:t>Represents the change in fair value during the indicated fscal year of the outstanding and unvested option and stock awards held by the applicable NEO as of the last day of the indicated fscal year, computed in accordance with the methodology used for fnancial reporting purposes and, for awards subject to performance-based vesting conditions, based on the probable outcome of such performance-based vesting conditions as of the last day of the fscal year.</w:t>
      </w:r>
    </w:p>
    <w:p>
      <w:pPr>
        <w:spacing w:after="0" w:line="183" w:lineRule="exact"/>
        <w:rPr>
          <w:rFonts w:ascii="Arial" w:cs="Arial" w:eastAsia="Arial" w:hAnsi="Arial"/>
          <w:sz w:val="22"/>
          <w:szCs w:val="22"/>
          <w:color w:val="auto"/>
          <w:vertAlign w:val="superscript"/>
        </w:rPr>
      </w:pPr>
    </w:p>
    <w:p>
      <w:pPr>
        <w:ind w:left="320" w:right="40" w:hanging="316"/>
        <w:spacing w:after="0" w:line="214" w:lineRule="auto"/>
        <w:tabs>
          <w:tab w:leader="none" w:pos="320" w:val="left"/>
        </w:tabs>
        <w:numPr>
          <w:ilvl w:val="0"/>
          <w:numId w:val="157"/>
        </w:numPr>
        <w:rPr>
          <w:rFonts w:ascii="Arial" w:cs="Arial" w:eastAsia="Arial" w:hAnsi="Arial"/>
          <w:sz w:val="22"/>
          <w:szCs w:val="22"/>
          <w:color w:val="auto"/>
          <w:vertAlign w:val="superscript"/>
        </w:rPr>
      </w:pPr>
      <w:r>
        <w:rPr>
          <w:rFonts w:ascii="Arial" w:cs="Arial" w:eastAsia="Arial" w:hAnsi="Arial"/>
          <w:sz w:val="14"/>
          <w:szCs w:val="14"/>
          <w:color w:val="auto"/>
        </w:rPr>
        <w:t>Represents the fair value at vesting of the option and stock awards that were granted and vested during the indicated fscal year, computed in accordance with the methodology used for fnancial reporting purposes.</w:t>
      </w:r>
    </w:p>
    <w:p>
      <w:pPr>
        <w:spacing w:after="0" w:line="184" w:lineRule="exact"/>
        <w:rPr>
          <w:rFonts w:ascii="Arial" w:cs="Arial" w:eastAsia="Arial" w:hAnsi="Arial"/>
          <w:sz w:val="22"/>
          <w:szCs w:val="22"/>
          <w:color w:val="auto"/>
          <w:vertAlign w:val="superscript"/>
        </w:rPr>
      </w:pPr>
    </w:p>
    <w:p>
      <w:pPr>
        <w:ind w:left="320" w:right="180" w:hanging="316"/>
        <w:spacing w:after="0"/>
        <w:tabs>
          <w:tab w:leader="none" w:pos="320" w:val="left"/>
        </w:tabs>
        <w:numPr>
          <w:ilvl w:val="0"/>
          <w:numId w:val="157"/>
        </w:numPr>
        <w:rPr>
          <w:rFonts w:ascii="Arial" w:cs="Arial" w:eastAsia="Arial" w:hAnsi="Arial"/>
          <w:sz w:val="22"/>
          <w:szCs w:val="22"/>
          <w:color w:val="auto"/>
          <w:vertAlign w:val="superscript"/>
        </w:rPr>
      </w:pPr>
      <w:r>
        <w:rPr>
          <w:rFonts w:ascii="Arial" w:cs="Arial" w:eastAsia="Arial" w:hAnsi="Arial"/>
          <w:sz w:val="14"/>
          <w:szCs w:val="14"/>
          <w:color w:val="auto"/>
        </w:rPr>
        <w:t>Represents the change in fair value, measured from the prior fscal year-end to the vesting date, of each option and stock award that was granted in a prior fscal year and which vested during the indicated fscal year, computed in accordance with the methodology used for fnancial reporting purposes.</w:t>
      </w:r>
    </w:p>
    <w:p>
      <w:pPr>
        <w:sectPr>
          <w:pgSz w:w="11900" w:h="16838" w:orient="portrait"/>
          <w:cols w:equalWidth="0" w:num="1">
            <w:col w:w="9760"/>
          </w:cols>
          <w:pgMar w:left="1080" w:top="695" w:right="10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right"/>
        <w:ind w:right="7760"/>
        <w:spacing w:after="0"/>
        <w:rPr>
          <w:sz w:val="20"/>
          <w:szCs w:val="20"/>
          <w:color w:val="auto"/>
        </w:rPr>
      </w:pPr>
      <w:r>
        <w:rPr>
          <w:rFonts w:ascii="Arial" w:cs="Arial" w:eastAsia="Arial" w:hAnsi="Arial"/>
          <w:sz w:val="16"/>
          <w:szCs w:val="16"/>
          <w:color w:val="auto"/>
        </w:rPr>
        <w:t>​​2026​  Proxy</w:t>
      </w:r>
    </w:p>
    <w:p>
      <w:pPr>
        <w:spacing w:after="0" w:line="5" w:lineRule="exact"/>
        <w:rPr>
          <w:sz w:val="20"/>
          <w:szCs w:val="20"/>
          <w:color w:val="auto"/>
        </w:rPr>
      </w:pPr>
    </w:p>
    <w:p>
      <w:pPr>
        <w:ind w:left="660" w:hanging="656"/>
        <w:spacing w:after="0"/>
        <w:tabs>
          <w:tab w:leader="none" w:pos="660" w:val="left"/>
        </w:tabs>
        <w:numPr>
          <w:ilvl w:val="0"/>
          <w:numId w:val="158"/>
        </w:numPr>
        <w:rPr>
          <w:rFonts w:ascii="Arial" w:cs="Arial" w:eastAsia="Arial" w:hAnsi="Arial"/>
          <w:sz w:val="16"/>
          <w:szCs w:val="16"/>
          <w:b w:val="1"/>
          <w:bCs w:val="1"/>
          <w:color w:val="1414D2"/>
        </w:rPr>
      </w:pPr>
      <w:r>
        <w:rPr>
          <w:rFonts w:ascii="Arial" w:cs="Arial" w:eastAsia="Arial" w:hAnsi="Arial"/>
          <w:sz w:val="16"/>
          <w:szCs w:val="16"/>
          <w:color w:val="auto"/>
        </w:rPr>
        <w:t>Statement</w:t>
      </w:r>
    </w:p>
    <w:p>
      <w:pPr>
        <w:sectPr>
          <w:pgSz w:w="11900" w:h="16838" w:orient="portrait"/>
          <w:cols w:equalWidth="0" w:num="1">
            <w:col w:w="9760"/>
          </w:cols>
          <w:pgMar w:left="1080" w:top="695" w:right="1059" w:bottom="1440" w:gutter="0" w:footer="0" w:header="0"/>
          <w:type w:val="continuous"/>
        </w:sectPr>
      </w:pPr>
    </w:p>
    <w:bookmarkStart w:id="141" w:name="page142"/>
    <w:bookmarkEnd w:id="141"/>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27" w:lineRule="exact"/>
        <w:rPr>
          <w:sz w:val="20"/>
          <w:szCs w:val="20"/>
          <w:color w:val="auto"/>
        </w:rPr>
      </w:pPr>
    </w:p>
    <w:p>
      <w:pPr>
        <w:jc w:val="right"/>
        <w:spacing w:after="0"/>
        <w:rPr>
          <w:sz w:val="20"/>
          <w:szCs w:val="20"/>
          <w:color w:val="auto"/>
        </w:rPr>
      </w:pPr>
      <w:r>
        <w:rPr>
          <w:rFonts w:ascii="Arial" w:cs="Arial" w:eastAsia="Arial" w:hAnsi="Arial"/>
          <w:sz w:val="14"/>
          <w:szCs w:val="14"/>
          <w:color w:val="6D6F71"/>
        </w:rPr>
        <w:t>Executive  Compensation</w:t>
      </w:r>
    </w:p>
    <w:p>
      <w:pPr>
        <w:spacing w:after="0" w:line="231" w:lineRule="exact"/>
        <w:rPr>
          <w:sz w:val="20"/>
          <w:szCs w:val="20"/>
          <w:color w:val="auto"/>
        </w:rPr>
      </w:pPr>
    </w:p>
    <w:p>
      <w:pPr>
        <w:ind w:left="320" w:right="60" w:hanging="316"/>
        <w:spacing w:after="0" w:line="227" w:lineRule="auto"/>
        <w:tabs>
          <w:tab w:leader="none" w:pos="320" w:val="left"/>
        </w:tabs>
        <w:numPr>
          <w:ilvl w:val="0"/>
          <w:numId w:val="159"/>
        </w:numPr>
        <w:rPr>
          <w:rFonts w:ascii="Arial" w:cs="Arial" w:eastAsia="Arial" w:hAnsi="Arial"/>
          <w:sz w:val="22"/>
          <w:szCs w:val="22"/>
          <w:color w:val="auto"/>
          <w:vertAlign w:val="superscript"/>
        </w:rPr>
      </w:pPr>
      <w:r>
        <w:rPr>
          <w:rFonts w:ascii="Arial" w:cs="Arial" w:eastAsia="Arial" w:hAnsi="Arial"/>
          <w:sz w:val="14"/>
          <w:szCs w:val="14"/>
          <w:color w:val="auto"/>
        </w:rPr>
        <w:t>Represents the fair value as of the last day of the prior fscal year of the option and stock awards that were granted in a prior fscal year and which failed to meet the applicable vesting conditions in the indicated fscal year, computed in accordance with the methodology used for fnancial reporting purposes.</w:t>
      </w:r>
    </w:p>
    <w:p>
      <w:pPr>
        <w:spacing w:after="0" w:line="185" w:lineRule="exact"/>
        <w:rPr>
          <w:rFonts w:ascii="Arial" w:cs="Arial" w:eastAsia="Arial" w:hAnsi="Arial"/>
          <w:sz w:val="22"/>
          <w:szCs w:val="22"/>
          <w:color w:val="auto"/>
          <w:vertAlign w:val="superscript"/>
        </w:rPr>
      </w:pPr>
    </w:p>
    <w:p>
      <w:pPr>
        <w:ind w:left="320" w:right="380" w:hanging="316"/>
        <w:spacing w:after="0" w:line="222" w:lineRule="auto"/>
        <w:tabs>
          <w:tab w:leader="none" w:pos="320" w:val="left"/>
        </w:tabs>
        <w:numPr>
          <w:ilvl w:val="0"/>
          <w:numId w:val="159"/>
        </w:numPr>
        <w:rPr>
          <w:rFonts w:ascii="Arial" w:cs="Arial" w:eastAsia="Arial" w:hAnsi="Arial"/>
          <w:sz w:val="22"/>
          <w:szCs w:val="22"/>
          <w:color w:val="auto"/>
          <w:vertAlign w:val="superscript"/>
        </w:rPr>
      </w:pPr>
      <w:r>
        <w:rPr>
          <w:rFonts w:ascii="Arial" w:cs="Arial" w:eastAsia="Arial" w:hAnsi="Arial"/>
          <w:sz w:val="14"/>
          <w:szCs w:val="14"/>
          <w:color w:val="auto"/>
        </w:rPr>
        <w:t>Represents the change in the actuarial present value of the accumulated beneft under all defned beneft and actuarial pension plans reported in the Summary Compensation Table for the indicated fscal year.</w:t>
      </w:r>
    </w:p>
    <w:p>
      <w:pPr>
        <w:spacing w:after="0" w:line="170" w:lineRule="exact"/>
        <w:rPr>
          <w:rFonts w:ascii="Arial" w:cs="Arial" w:eastAsia="Arial" w:hAnsi="Arial"/>
          <w:sz w:val="22"/>
          <w:szCs w:val="22"/>
          <w:color w:val="auto"/>
          <w:vertAlign w:val="superscript"/>
        </w:rPr>
      </w:pPr>
    </w:p>
    <w:p>
      <w:pPr>
        <w:ind w:left="320" w:right="160" w:hanging="316"/>
        <w:spacing w:after="0" w:line="227" w:lineRule="auto"/>
        <w:tabs>
          <w:tab w:leader="none" w:pos="320" w:val="left"/>
        </w:tabs>
        <w:numPr>
          <w:ilvl w:val="0"/>
          <w:numId w:val="159"/>
        </w:numPr>
        <w:rPr>
          <w:rFonts w:ascii="Arial" w:cs="Arial" w:eastAsia="Arial" w:hAnsi="Arial"/>
          <w:sz w:val="22"/>
          <w:szCs w:val="22"/>
          <w:color w:val="auto"/>
          <w:vertAlign w:val="superscript"/>
        </w:rPr>
      </w:pPr>
      <w:r>
        <w:rPr>
          <w:rFonts w:ascii="Arial" w:cs="Arial" w:eastAsia="Arial" w:hAnsi="Arial"/>
          <w:sz w:val="14"/>
          <w:szCs w:val="14"/>
          <w:color w:val="auto"/>
        </w:rPr>
        <w:t>Represents the sum of the actuarial present value of the beneft under all defned beneft and actuarial pension plans attributable to services rendered during the indicated fscal year, calculated using the same methodology as used in the Company’s fnancial statements under generally accepted accounting principles.</w:t>
      </w: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RELATIONSHIP BETWEEN PAY AND PERFORMANCE</w:t>
      </w:r>
    </w:p>
    <w:p>
      <w:pPr>
        <w:spacing w:after="0" w:line="113" w:lineRule="exact"/>
        <w:rPr>
          <w:sz w:val="20"/>
          <w:szCs w:val="20"/>
          <w:color w:val="auto"/>
        </w:rPr>
      </w:pPr>
    </w:p>
    <w:p>
      <w:pPr>
        <w:ind w:right="140"/>
        <w:spacing w:after="0" w:line="330" w:lineRule="auto"/>
        <w:rPr>
          <w:sz w:val="20"/>
          <w:szCs w:val="20"/>
          <w:color w:val="auto"/>
        </w:rPr>
      </w:pPr>
      <w:r>
        <w:rPr>
          <w:rFonts w:ascii="Arial" w:cs="Arial" w:eastAsia="Arial" w:hAnsi="Arial"/>
          <w:sz w:val="16"/>
          <w:szCs w:val="16"/>
          <w:color w:val="auto"/>
        </w:rPr>
        <w:t>The graphs below show the relationship of “Compensation Actually Paid” to our PEO and the other NEOs to our net income, Absolute Adjusted EPS and the TSR of both the Company and the NYSE Arca Airline Index, in each of the years reported above.</w:t>
      </w:r>
    </w:p>
    <w:p>
      <w:pPr>
        <w:spacing w:after="0" w:line="350" w:lineRule="exact"/>
        <w:rPr>
          <w:sz w:val="20"/>
          <w:szCs w:val="20"/>
          <w:color w:val="auto"/>
        </w:rPr>
      </w:pPr>
    </w:p>
    <w:p>
      <w:pPr>
        <w:jc w:val="center"/>
        <w:ind w:right="-19"/>
        <w:spacing w:after="0"/>
        <w:tabs>
          <w:tab w:leader="none" w:pos="20" w:val="left"/>
          <w:tab w:leader="none" w:pos="20" w:val="left"/>
          <w:tab w:leader="none" w:pos="20" w:val="left"/>
        </w:tabs>
        <w:rPr>
          <w:sz w:val="20"/>
          <w:szCs w:val="20"/>
          <w:color w:val="auto"/>
        </w:rPr>
      </w:pPr>
      <w:r>
        <w:rPr>
          <w:rFonts w:ascii="Arial" w:cs="Arial" w:eastAsia="Arial" w:hAnsi="Arial"/>
          <w:sz w:val="14"/>
          <w:szCs w:val="14"/>
          <w:color w:val="auto"/>
        </w:rPr>
        <w:t>CAP</w:t>
        <w:tab/>
        <w:t>vs.</w:t>
        <w:tab/>
        <w:t>Net</w:t>
        <w:tab/>
        <w:t>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CAP  vs.  Absolute  Adjusted  EPS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2026  Proxy  Statement</w:t>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1414D2"/>
        </w:rPr>
        <w:t>131</w:t>
      </w:r>
    </w:p>
    <w:p>
      <w:pPr>
        <w:sectPr>
          <w:pgSz w:w="11900" w:h="16838" w:orient="portrait"/>
          <w:cols w:equalWidth="0" w:num="1">
            <w:col w:w="9720"/>
          </w:cols>
          <w:pgMar w:left="1080" w:top="695" w:right="1099" w:bottom="1440" w:gutter="0" w:footer="0" w:header="0"/>
        </w:sectPr>
      </w:pPr>
    </w:p>
    <w:bookmarkStart w:id="142" w:name="page143"/>
    <w:bookmarkEnd w:id="142"/>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6D6F71"/>
        </w:rPr>
        <w:t>Executive  Compensation</w:t>
      </w:r>
    </w:p>
    <w:p>
      <w:pPr>
        <w:spacing w:after="0" w:line="231" w:lineRule="exact"/>
        <w:rPr>
          <w:sz w:val="20"/>
          <w:szCs w:val="20"/>
          <w:color w:val="auto"/>
        </w:rPr>
      </w:pPr>
    </w:p>
    <w:p>
      <w:pPr>
        <w:jc w:val="center"/>
        <w:ind w:right="-59"/>
        <w:spacing w:after="0"/>
        <w:tabs>
          <w:tab w:leader="none" w:pos="40" w:val="left"/>
          <w:tab w:leader="none" w:pos="20" w:val="left"/>
          <w:tab w:leader="none" w:pos="20" w:val="left"/>
          <w:tab w:leader="none" w:pos="40" w:val="left"/>
          <w:tab w:leader="none" w:pos="20" w:val="left"/>
          <w:tab w:leader="none" w:pos="40" w:val="left"/>
          <w:tab w:leader="none" w:pos="20" w:val="left"/>
        </w:tabs>
        <w:rPr>
          <w:sz w:val="20"/>
          <w:szCs w:val="20"/>
          <w:color w:val="auto"/>
        </w:rPr>
      </w:pPr>
      <w:r>
        <w:rPr>
          <w:rFonts w:ascii="Arial" w:cs="Arial" w:eastAsia="Arial" w:hAnsi="Arial"/>
          <w:sz w:val="14"/>
          <w:szCs w:val="14"/>
          <w:color w:val="auto"/>
        </w:rPr>
        <w:t>CAP</w:t>
        <w:tab/>
        <w:t>vs.</w:t>
        <w:tab/>
        <w:t>Difference</w:t>
        <w:tab/>
        <w:t>between</w:t>
        <w:tab/>
        <w:t>Company</w:t>
        <w:tab/>
        <w:t>and</w:t>
        <w:tab/>
        <w:t>Peer</w:t>
      </w:r>
      <w:r>
        <w:rPr>
          <w:sz w:val="20"/>
          <w:szCs w:val="20"/>
          <w:color w:val="auto"/>
        </w:rPr>
        <w:tab/>
      </w:r>
      <w:r>
        <w:rPr>
          <w:rFonts w:ascii="Arial" w:cs="Arial" w:eastAsia="Arial" w:hAnsi="Arial"/>
          <w:sz w:val="13"/>
          <w:szCs w:val="13"/>
          <w:color w:val="auto"/>
        </w:rPr>
        <w:t>TSR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80"/>
        <w:spacing w:after="0" w:line="313" w:lineRule="auto"/>
        <w:rPr>
          <w:sz w:val="20"/>
          <w:szCs w:val="20"/>
          <w:color w:val="auto"/>
        </w:rPr>
      </w:pPr>
      <w:r>
        <w:rPr>
          <w:rFonts w:ascii="Arial" w:cs="Arial" w:eastAsia="Arial" w:hAnsi="Arial"/>
          <w:sz w:val="16"/>
          <w:szCs w:val="16"/>
          <w:color w:val="auto"/>
        </w:rPr>
        <w:t>The following is a list of fnancial performance measures, which in the Company’s assessment are the most important fnancial performance measures used by the Company to link CAP to the NEOs for 2025 to Company performance.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2025 MOST IMPORTANT FINANCIAL MEASURES (UNRANKED)</w:t>
      </w:r>
      <w:r>
        <w:rPr>
          <w:rFonts w:ascii="Arial" w:cs="Arial" w:eastAsia="Arial" w:hAnsi="Arial"/>
          <w:sz w:val="24"/>
          <w:szCs w:val="24"/>
          <w:b w:val="1"/>
          <w:bCs w:val="1"/>
          <w:color w:val="auto"/>
          <w:vertAlign w:val="superscript"/>
        </w:rPr>
        <w:t>(1)</w:t>
      </w:r>
    </w:p>
    <w:p>
      <w:pPr>
        <w:spacing w:after="0" w:line="21" w:lineRule="exact"/>
        <w:rPr>
          <w:sz w:val="20"/>
          <w:szCs w:val="20"/>
          <w:color w:val="auto"/>
        </w:rPr>
      </w:pPr>
    </w:p>
    <w:p>
      <w:pPr>
        <w:ind w:left="320" w:right="60" w:hanging="316"/>
        <w:spacing w:after="0" w:line="288" w:lineRule="auto"/>
        <w:tabs>
          <w:tab w:leader="none" w:pos="320" w:val="left"/>
        </w:tabs>
        <w:numPr>
          <w:ilvl w:val="0"/>
          <w:numId w:val="160"/>
        </w:numPr>
        <w:rPr>
          <w:rFonts w:ascii="Times New Roman" w:cs="Times New Roman" w:eastAsia="Times New Roman" w:hAnsi="Times New Roman"/>
          <w:sz w:val="16"/>
          <w:szCs w:val="16"/>
          <w:color w:val="auto"/>
        </w:rPr>
      </w:pPr>
      <w:r>
        <w:rPr>
          <w:rFonts w:ascii="Arial" w:cs="Arial" w:eastAsia="Arial" w:hAnsi="Arial"/>
          <w:sz w:val="16"/>
          <w:szCs w:val="16"/>
          <w:color w:val="auto"/>
        </w:rPr>
        <w:t>Absolute Adjusted EPS (which was included in the tranche 3 of the 2023 Performance-Based RSUs, tranche 2 of the 2024 Performance-Based RSUs and tranche 1 of the 2025 Performance-Based RSUs as well as in tranches of Performance-Based RSUs granted in 2024 and the 2024 Retention LTI Awards);</w:t>
      </w:r>
    </w:p>
    <w:p>
      <w:pPr>
        <w:spacing w:after="0" w:line="25" w:lineRule="exact"/>
        <w:rPr>
          <w:rFonts w:ascii="Times New Roman" w:cs="Times New Roman" w:eastAsia="Times New Roman" w:hAnsi="Times New Roman"/>
          <w:sz w:val="16"/>
          <w:szCs w:val="16"/>
          <w:color w:val="auto"/>
        </w:rPr>
      </w:pPr>
    </w:p>
    <w:p>
      <w:pPr>
        <w:ind w:left="320" w:right="140" w:hanging="316"/>
        <w:spacing w:after="0" w:line="288" w:lineRule="auto"/>
        <w:tabs>
          <w:tab w:leader="none" w:pos="320" w:val="left"/>
        </w:tabs>
        <w:numPr>
          <w:ilvl w:val="0"/>
          <w:numId w:val="160"/>
        </w:numPr>
        <w:rPr>
          <w:rFonts w:ascii="Times New Roman" w:cs="Times New Roman" w:eastAsia="Times New Roman" w:hAnsi="Times New Roman"/>
          <w:sz w:val="16"/>
          <w:szCs w:val="16"/>
          <w:color w:val="auto"/>
        </w:rPr>
      </w:pPr>
      <w:r>
        <w:rPr>
          <w:rFonts w:ascii="Arial" w:cs="Arial" w:eastAsia="Arial" w:hAnsi="Arial"/>
          <w:sz w:val="16"/>
          <w:szCs w:val="16"/>
          <w:color w:val="auto"/>
        </w:rPr>
        <w:t>Relative Adjusted Pre-Tax Margin (which was included in tranche 3 of the 2023 Performance-Based RSU awards, tranche 2 of the 2024 Performance-Based RSU awards and tranche 1 of the 2025 Performance-Based RSUs as well as in tranches of Performance-Based RSUs granted in 2024 and the 2024 Retention LTI Awards);</w:t>
      </w:r>
    </w:p>
    <w:p>
      <w:pPr>
        <w:spacing w:after="0" w:line="25" w:lineRule="exact"/>
        <w:rPr>
          <w:rFonts w:ascii="Times New Roman" w:cs="Times New Roman" w:eastAsia="Times New Roman" w:hAnsi="Times New Roman"/>
          <w:sz w:val="16"/>
          <w:szCs w:val="16"/>
          <w:color w:val="auto"/>
        </w:rPr>
      </w:pPr>
    </w:p>
    <w:p>
      <w:pPr>
        <w:ind w:left="320" w:right="700" w:hanging="316"/>
        <w:spacing w:after="0" w:line="325" w:lineRule="auto"/>
        <w:tabs>
          <w:tab w:leader="none" w:pos="320" w:val="left"/>
        </w:tabs>
        <w:numPr>
          <w:ilvl w:val="0"/>
          <w:numId w:val="160"/>
        </w:numPr>
        <w:rPr>
          <w:rFonts w:ascii="Times New Roman" w:cs="Times New Roman" w:eastAsia="Times New Roman" w:hAnsi="Times New Roman"/>
          <w:sz w:val="16"/>
          <w:szCs w:val="16"/>
          <w:color w:val="auto"/>
        </w:rPr>
      </w:pPr>
      <w:r>
        <w:rPr>
          <w:rFonts w:ascii="Arial" w:cs="Arial" w:eastAsia="Arial" w:hAnsi="Arial"/>
          <w:sz w:val="16"/>
          <w:szCs w:val="16"/>
          <w:color w:val="auto"/>
        </w:rPr>
        <w:t>Liquidity hurdle (which was included in the Performance-Based RSUs and is measured at the end of the three-year performance period); and</w:t>
      </w:r>
    </w:p>
    <w:p>
      <w:pPr>
        <w:ind w:left="320" w:hanging="316"/>
        <w:spacing w:after="0"/>
        <w:tabs>
          <w:tab w:leader="none" w:pos="320" w:val="left"/>
        </w:tabs>
        <w:numPr>
          <w:ilvl w:val="0"/>
          <w:numId w:val="160"/>
        </w:numPr>
        <w:rPr>
          <w:rFonts w:ascii="Times New Roman" w:cs="Times New Roman" w:eastAsia="Times New Roman" w:hAnsi="Times New Roman"/>
          <w:sz w:val="15"/>
          <w:szCs w:val="15"/>
          <w:color w:val="auto"/>
        </w:rPr>
      </w:pPr>
      <w:r>
        <w:rPr>
          <w:rFonts w:ascii="Arial" w:cs="Arial" w:eastAsia="Arial" w:hAnsi="Arial"/>
          <w:sz w:val="15"/>
          <w:szCs w:val="15"/>
          <w:color w:val="auto"/>
        </w:rPr>
        <w:t>Adjusted  EBITDAR  Margin  (which  was  the  fnancial  metric  used  in  our  2025  STI  awards,  measured  based  on  full-year  2025</w:t>
      </w:r>
    </w:p>
    <w:p>
      <w:pPr>
        <w:spacing w:after="0" w:line="2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results  relative  to  industry  peers).</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w:t>
      </w:r>
    </w:p>
    <w:p>
      <w:pPr>
        <w:spacing w:after="0" w:line="15" w:lineRule="exact"/>
        <w:rPr>
          <w:sz w:val="20"/>
          <w:szCs w:val="20"/>
          <w:color w:val="auto"/>
        </w:rPr>
      </w:pPr>
    </w:p>
    <w:p>
      <w:pPr>
        <w:ind w:left="320" w:right="160" w:hanging="316"/>
        <w:spacing w:after="0" w:line="222" w:lineRule="auto"/>
        <w:tabs>
          <w:tab w:leader="none" w:pos="320" w:val="left"/>
        </w:tabs>
        <w:numPr>
          <w:ilvl w:val="0"/>
          <w:numId w:val="161"/>
        </w:numPr>
        <w:rPr>
          <w:rFonts w:ascii="Arial" w:cs="Arial" w:eastAsia="Arial" w:hAnsi="Arial"/>
          <w:sz w:val="22"/>
          <w:szCs w:val="22"/>
          <w:color w:val="auto"/>
          <w:vertAlign w:val="superscript"/>
        </w:rPr>
      </w:pPr>
      <w:r>
        <w:rPr>
          <w:rFonts w:ascii="Arial" w:cs="Arial" w:eastAsia="Arial" w:hAnsi="Arial"/>
          <w:sz w:val="14"/>
          <w:szCs w:val="14"/>
          <w:color w:val="auto"/>
        </w:rPr>
        <w:t>Absolute Adjusted EPS, Relative Adjusted Pre-Tax Margin and Adjusted EBITDAR Margin relative to industry peers are non-GAAP fnancial measures.</w:t>
      </w:r>
    </w:p>
    <w:p>
      <w:pPr>
        <w:spacing w:after="0" w:line="170" w:lineRule="exact"/>
        <w:rPr>
          <w:rFonts w:ascii="Arial" w:cs="Arial" w:eastAsia="Arial" w:hAnsi="Arial"/>
          <w:sz w:val="22"/>
          <w:szCs w:val="22"/>
          <w:color w:val="auto"/>
          <w:vertAlign w:val="superscript"/>
        </w:rPr>
      </w:pPr>
    </w:p>
    <w:p>
      <w:pPr>
        <w:ind w:left="660" w:right="400" w:hanging="332"/>
        <w:spacing w:after="0" w:line="222" w:lineRule="auto"/>
        <w:tabs>
          <w:tab w:leader="none" w:pos="660" w:val="left"/>
        </w:tabs>
        <w:numPr>
          <w:ilvl w:val="1"/>
          <w:numId w:val="161"/>
        </w:numPr>
        <w:rPr>
          <w:rFonts w:ascii="Arial" w:cs="Arial" w:eastAsia="Arial" w:hAnsi="Arial"/>
          <w:sz w:val="22"/>
          <w:szCs w:val="22"/>
          <w:color w:val="auto"/>
          <w:vertAlign w:val="superscript"/>
        </w:rPr>
      </w:pPr>
      <w:r>
        <w:rPr>
          <w:rFonts w:ascii="Arial" w:cs="Arial" w:eastAsia="Arial" w:hAnsi="Arial"/>
          <w:sz w:val="14"/>
          <w:szCs w:val="14"/>
          <w:color w:val="auto"/>
          <w:highlight w:val="white"/>
        </w:rPr>
        <w:t>Please refer to Appendix A for additional information and a reconciliation of Adjusted EPS to the most directly comparable GAAP fnancial measure.</w:t>
      </w:r>
    </w:p>
    <w:p>
      <w:pPr>
        <w:spacing w:after="0" w:line="170" w:lineRule="exact"/>
        <w:rPr>
          <w:rFonts w:ascii="Arial" w:cs="Arial" w:eastAsia="Arial" w:hAnsi="Arial"/>
          <w:sz w:val="22"/>
          <w:szCs w:val="22"/>
          <w:color w:val="auto"/>
          <w:vertAlign w:val="superscript"/>
        </w:rPr>
      </w:pPr>
    </w:p>
    <w:p>
      <w:pPr>
        <w:ind w:left="660" w:right="40" w:hanging="332"/>
        <w:spacing w:after="0"/>
        <w:tabs>
          <w:tab w:leader="none" w:pos="660" w:val="left"/>
        </w:tabs>
        <w:numPr>
          <w:ilvl w:val="1"/>
          <w:numId w:val="161"/>
        </w:numPr>
        <w:rPr>
          <w:rFonts w:ascii="Arial" w:cs="Arial" w:eastAsia="Arial" w:hAnsi="Arial"/>
          <w:sz w:val="22"/>
          <w:szCs w:val="22"/>
          <w:color w:val="auto"/>
          <w:vertAlign w:val="superscript"/>
        </w:rPr>
      </w:pPr>
      <w:r>
        <w:rPr>
          <w:rFonts w:ascii="Arial" w:cs="Arial" w:eastAsia="Arial" w:hAnsi="Arial"/>
          <w:sz w:val="14"/>
          <w:szCs w:val="14"/>
          <w:color w:val="auto"/>
        </w:rPr>
        <w:t xml:space="preserve">Relative Adjusted Pre-Tax Margin is measured by comparing our Pre-Tax Margin against performance of selected industry peers. </w:t>
      </w:r>
      <w:r>
        <w:rPr>
          <w:rFonts w:ascii="Arial" w:cs="Arial" w:eastAsia="Arial" w:hAnsi="Arial"/>
          <w:sz w:val="14"/>
          <w:szCs w:val="14"/>
          <w:color w:val="auto"/>
          <w:highlight w:val="white"/>
        </w:rPr>
        <w:t>Please refer to Appendix A for additional information and a reconciliation of Adjusted Pre-Tax Margin to the most directly comparable GAAP fnancial measure.</w:t>
      </w:r>
    </w:p>
    <w:p>
      <w:pPr>
        <w:spacing w:after="0" w:line="315" w:lineRule="exact"/>
        <w:rPr>
          <w:rFonts w:ascii="Arial" w:cs="Arial" w:eastAsia="Arial" w:hAnsi="Arial"/>
          <w:sz w:val="22"/>
          <w:szCs w:val="22"/>
          <w:color w:val="auto"/>
          <w:vertAlign w:val="superscript"/>
        </w:rPr>
      </w:pPr>
    </w:p>
    <w:p>
      <w:pPr>
        <w:ind w:left="660" w:hanging="332"/>
        <w:spacing w:after="0" w:line="239" w:lineRule="auto"/>
        <w:tabs>
          <w:tab w:leader="none" w:pos="660" w:val="left"/>
        </w:tabs>
        <w:numPr>
          <w:ilvl w:val="1"/>
          <w:numId w:val="161"/>
        </w:numPr>
        <w:rPr>
          <w:rFonts w:ascii="Arial" w:cs="Arial" w:eastAsia="Arial" w:hAnsi="Arial"/>
          <w:sz w:val="22"/>
          <w:szCs w:val="22"/>
          <w:color w:val="auto"/>
          <w:vertAlign w:val="superscript"/>
        </w:rPr>
      </w:pPr>
      <w:r>
        <w:rPr>
          <w:rFonts w:ascii="Arial" w:cs="Arial" w:eastAsia="Arial" w:hAnsi="Arial"/>
          <w:sz w:val="14"/>
          <w:szCs w:val="14"/>
          <w:color w:val="auto"/>
        </w:rPr>
        <w:t>Adjusted EBITDAR is calculated as EBITDAR (earnings before interest, taxes, depreciation, amortization and aircraft rent expense) excluding operating and nonoperating special charges (credits) and unrealized (gains) losses on investments, and, as applicable, adjusted for refnery and fuel hedges, to calculate Adjusted EBITDAR. Adjusted EBITDAR Margin is calculated as Adjusted EBITDAR divided by operating revenue. Industry Adjusted EBITDAR Margin is calculated to refect the diference between our Adjusted EBITDAR Margin relative to the revenue weighted average of our industry peers (excluding United) during 2025.</w:t>
      </w:r>
    </w:p>
    <w:p>
      <w:pPr>
        <w:sectPr>
          <w:pgSz w:w="11900" w:h="16838" w:orient="portrait"/>
          <w:cols w:equalWidth="0" w:num="1">
            <w:col w:w="9680"/>
          </w:cols>
          <w:pgMar w:left="1080" w:top="695" w:right="1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right"/>
        <w:ind w:right="7680"/>
        <w:spacing w:after="0"/>
        <w:rPr>
          <w:sz w:val="20"/>
          <w:szCs w:val="20"/>
          <w:color w:val="auto"/>
        </w:rPr>
      </w:pPr>
      <w:r>
        <w:rPr>
          <w:rFonts w:ascii="Arial" w:cs="Arial" w:eastAsia="Arial" w:hAnsi="Arial"/>
          <w:sz w:val="16"/>
          <w:szCs w:val="16"/>
          <w:color w:val="auto"/>
        </w:rPr>
        <w:t>​​2026​  Proxy</w:t>
      </w:r>
    </w:p>
    <w:p>
      <w:pPr>
        <w:spacing w:after="0" w:line="5" w:lineRule="exact"/>
        <w:rPr>
          <w:sz w:val="20"/>
          <w:szCs w:val="20"/>
          <w:color w:val="auto"/>
        </w:rPr>
      </w:pPr>
    </w:p>
    <w:p>
      <w:pPr>
        <w:ind w:left="660" w:hanging="656"/>
        <w:spacing w:after="0"/>
        <w:tabs>
          <w:tab w:leader="none" w:pos="660" w:val="left"/>
        </w:tabs>
        <w:numPr>
          <w:ilvl w:val="0"/>
          <w:numId w:val="162"/>
        </w:numPr>
        <w:rPr>
          <w:rFonts w:ascii="Arial" w:cs="Arial" w:eastAsia="Arial" w:hAnsi="Arial"/>
          <w:sz w:val="16"/>
          <w:szCs w:val="16"/>
          <w:b w:val="1"/>
          <w:bCs w:val="1"/>
          <w:color w:val="1414D2"/>
        </w:rPr>
      </w:pPr>
      <w:r>
        <w:rPr>
          <w:rFonts w:ascii="Arial" w:cs="Arial" w:eastAsia="Arial" w:hAnsi="Arial"/>
          <w:sz w:val="16"/>
          <w:szCs w:val="16"/>
          <w:color w:val="auto"/>
        </w:rPr>
        <w:t>Statement</w:t>
      </w:r>
    </w:p>
    <w:p>
      <w:pPr>
        <w:sectPr>
          <w:pgSz w:w="11900" w:h="16838" w:orient="portrait"/>
          <w:cols w:equalWidth="0" w:num="1">
            <w:col w:w="9680"/>
          </w:cols>
          <w:pgMar w:left="1080" w:top="695" w:right="1139" w:bottom="1440" w:gutter="0" w:footer="0" w:header="0"/>
          <w:type w:val="continuous"/>
        </w:sectPr>
      </w:pPr>
    </w:p>
    <w:bookmarkStart w:id="143" w:name="page144"/>
    <w:bookmarkEnd w:id="143"/>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16" w:lineRule="exact"/>
        <w:rPr>
          <w:sz w:val="20"/>
          <w:szCs w:val="20"/>
          <w:color w:val="auto"/>
        </w:rPr>
      </w:pPr>
    </w:p>
    <w:p>
      <w:pPr>
        <w:jc w:val="both"/>
        <w:ind w:right="560"/>
        <w:spacing w:after="0" w:line="299" w:lineRule="auto"/>
        <w:rPr>
          <w:sz w:val="20"/>
          <w:szCs w:val="20"/>
          <w:color w:val="auto"/>
        </w:rPr>
      </w:pPr>
      <w:r>
        <w:rPr>
          <w:rFonts w:ascii="Arial" w:cs="Arial" w:eastAsia="Arial" w:hAnsi="Arial"/>
          <w:sz w:val="43"/>
          <w:szCs w:val="43"/>
          <w:b w:val="1"/>
          <w:bCs w:val="1"/>
          <w:color w:val="auto"/>
        </w:rPr>
        <w:t>Item 4-Advisory Vote on Stockholder Proposal Regarding Shareholder Right to Act by Written Consent</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color w:val="auto"/>
        </w:rPr>
        <w:t>John  Chevedden,  2215  Nelson  Avenue,  No.  205,  Redondo  Beach,  California  90278,  has  advised  the  Company  that  he  intends  to</w:t>
      </w:r>
    </w:p>
    <w:p>
      <w:pPr>
        <w:spacing w:after="0" w:line="30" w:lineRule="exact"/>
        <w:rPr>
          <w:sz w:val="20"/>
          <w:szCs w:val="20"/>
          <w:color w:val="auto"/>
        </w:rPr>
      </w:pPr>
    </w:p>
    <w:p>
      <w:pPr>
        <w:ind w:right="80"/>
        <w:spacing w:after="0" w:line="313" w:lineRule="auto"/>
        <w:rPr>
          <w:sz w:val="20"/>
          <w:szCs w:val="20"/>
          <w:color w:val="auto"/>
        </w:rPr>
      </w:pPr>
      <w:r>
        <w:rPr>
          <w:rFonts w:ascii="Arial" w:cs="Arial" w:eastAsia="Arial" w:hAnsi="Arial"/>
          <w:sz w:val="16"/>
          <w:szCs w:val="16"/>
          <w:color w:val="auto"/>
        </w:rPr>
        <w:t>present the following stockholder proposal at the Annual Meeting. Mr. Chevedden has indicated that he holds no fewer than 50 shares of Common Stock.</w:t>
      </w:r>
    </w:p>
    <w:p>
      <w:pPr>
        <w:spacing w:after="0" w:line="6" w:lineRule="exact"/>
        <w:rPr>
          <w:sz w:val="20"/>
          <w:szCs w:val="20"/>
          <w:color w:val="auto"/>
        </w:rPr>
      </w:pPr>
    </w:p>
    <w:p>
      <w:pPr>
        <w:ind w:right="220"/>
        <w:spacing w:after="0" w:line="255" w:lineRule="auto"/>
        <w:rPr>
          <w:sz w:val="20"/>
          <w:szCs w:val="20"/>
          <w:color w:val="auto"/>
        </w:rPr>
      </w:pPr>
      <w:r>
        <w:rPr>
          <w:rFonts w:ascii="Arial" w:cs="Arial" w:eastAsia="Arial" w:hAnsi="Arial"/>
          <w:sz w:val="16"/>
          <w:szCs w:val="16"/>
          <w:color w:val="auto"/>
        </w:rPr>
        <w:t>The text of the stockholder proposal and supporting statement appear exactly as received by the Company. All statements contained in the stockholder proposal and supporting statement are the sole responsibility of the proponent and, as a result,</w:t>
      </w:r>
    </w:p>
    <w:p>
      <w:pPr>
        <w:spacing w:after="0" w:line="1" w:lineRule="exact"/>
        <w:rPr>
          <w:sz w:val="20"/>
          <w:szCs w:val="20"/>
          <w:color w:val="auto"/>
        </w:rPr>
      </w:pPr>
    </w:p>
    <w:p>
      <w:pPr>
        <w:ind w:right="200"/>
        <w:spacing w:after="0" w:line="313" w:lineRule="auto"/>
        <w:rPr>
          <w:sz w:val="20"/>
          <w:szCs w:val="20"/>
          <w:color w:val="auto"/>
        </w:rPr>
      </w:pPr>
      <w:r>
        <w:rPr>
          <w:rFonts w:ascii="Arial" w:cs="Arial" w:eastAsia="Arial" w:hAnsi="Arial"/>
          <w:sz w:val="16"/>
          <w:szCs w:val="16"/>
          <w:color w:val="auto"/>
        </w:rPr>
        <w:t>the Company is not responsible for any inaccuracies the proposal or statement may contain. The stockholder proposal will be voted on at the Annual Meeting only if properly presented by or on behalf of the proponent.</w:t>
      </w:r>
    </w:p>
    <w:p>
      <w:pPr>
        <w:spacing w:after="0" w:line="6" w:lineRule="exact"/>
        <w:rPr>
          <w:sz w:val="20"/>
          <w:szCs w:val="20"/>
          <w:color w:val="auto"/>
        </w:rPr>
      </w:pPr>
    </w:p>
    <w:p>
      <w:pPr>
        <w:ind w:right="200"/>
        <w:spacing w:after="0" w:line="313" w:lineRule="auto"/>
        <w:rPr>
          <w:sz w:val="20"/>
          <w:szCs w:val="20"/>
          <w:color w:val="auto"/>
        </w:rPr>
      </w:pPr>
      <w:r>
        <w:rPr>
          <w:rFonts w:ascii="Arial" w:cs="Arial" w:eastAsia="Arial" w:hAnsi="Arial"/>
          <w:sz w:val="16"/>
          <w:szCs w:val="16"/>
          <w:b w:val="1"/>
          <w:bCs w:val="1"/>
          <w:color w:val="auto"/>
        </w:rPr>
        <w:t>The Board unanimously recommends a vote “AGAINST” the stockholder proposal based on the reasons set forth in the Company’s Statement in Opposition following the stockholder proposal.</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4 — Shareholder Right to Act by Written Consent</w:t>
      </w:r>
    </w:p>
    <w:p>
      <w:pPr>
        <w:spacing w:after="0" w:line="273" w:lineRule="exact"/>
        <w:rPr>
          <w:sz w:val="20"/>
          <w:szCs w:val="20"/>
          <w:color w:val="auto"/>
        </w:rPr>
      </w:pPr>
    </w:p>
    <w:p>
      <w:pPr>
        <w:spacing w:after="0"/>
        <w:tabs>
          <w:tab w:leader="none" w:pos="1080" w:val="left"/>
          <w:tab w:leader="none" w:pos="1720" w:val="left"/>
          <w:tab w:leader="none" w:pos="2120" w:val="left"/>
          <w:tab w:leader="none" w:pos="2440" w:val="left"/>
          <w:tab w:leader="none" w:pos="2960" w:val="left"/>
          <w:tab w:leader="none" w:pos="3200" w:val="left"/>
          <w:tab w:leader="none" w:pos="3940" w:val="left"/>
          <w:tab w:leader="none" w:pos="4360" w:val="left"/>
          <w:tab w:leader="none" w:pos="4680" w:val="left"/>
          <w:tab w:leader="none" w:pos="5520" w:val="left"/>
          <w:tab w:leader="none" w:pos="6000" w:val="left"/>
          <w:tab w:leader="none" w:pos="6220" w:val="left"/>
          <w:tab w:leader="none" w:pos="6820" w:val="left"/>
          <w:tab w:leader="none" w:pos="7440" w:val="left"/>
          <w:tab w:leader="none" w:pos="8120" w:val="left"/>
          <w:tab w:leader="none" w:pos="8360" w:val="left"/>
          <w:tab w:leader="none" w:pos="8700" w:val="left"/>
        </w:tabs>
        <w:rPr>
          <w:sz w:val="20"/>
          <w:szCs w:val="20"/>
          <w:color w:val="auto"/>
        </w:rPr>
      </w:pPr>
      <w:r>
        <w:rPr>
          <w:rFonts w:ascii="Arial" w:cs="Arial" w:eastAsia="Arial" w:hAnsi="Arial"/>
          <w:sz w:val="16"/>
          <w:szCs w:val="16"/>
          <w:color w:val="auto"/>
        </w:rPr>
        <w:t>Shareholders</w:t>
        <w:tab/>
        <w:t>request</w:t>
        <w:tab/>
        <w:t>that</w:t>
        <w:tab/>
        <w:t>the</w:t>
        <w:tab/>
        <w:t>board</w:t>
        <w:tab/>
        <w:t>of</w:t>
        <w:tab/>
        <w:t>directors</w:t>
        <w:tab/>
        <w:t>take</w:t>
        <w:tab/>
        <w:t>the</w:t>
        <w:tab/>
        <w:t>necessary</w:t>
        <w:tab/>
        <w:t>steps</w:t>
        <w:tab/>
        <w:t>to</w:t>
        <w:tab/>
        <w:t>permit</w:t>
        <w:tab/>
        <w:t>written</w:t>
        <w:tab/>
        <w:t>consent</w:t>
        <w:tab/>
        <w:t>by</w:t>
        <w:tab/>
        <w:t>the</w:t>
        <w:tab/>
        <w:t>shareholders</w:t>
      </w:r>
    </w:p>
    <w:p>
      <w:pPr>
        <w:spacing w:after="0" w:line="19"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entitled to cast the minimum number of votes that would be necessary to authorize an action at a meeting at which all shareholders entitled to vote thereon were present and voting (without any unnecessary restriction based on length of stock ownership or the method by which shareholders hold their shares).</w:t>
      </w:r>
    </w:p>
    <w:p>
      <w:pPr>
        <w:spacing w:after="0" w:line="47"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This includes shareholder ability to initiate any appropriate topic for written consent. This includes that any associated request for a record date shall have the lowest allowable fgure. This includes that written consent not include a solicitation clause mandating a certain percent of shares be solicited unless legally required.</w:t>
      </w:r>
    </w:p>
    <w:p>
      <w:pPr>
        <w:spacing w:after="0" w:line="33" w:lineRule="exact"/>
        <w:rPr>
          <w:sz w:val="20"/>
          <w:szCs w:val="20"/>
          <w:color w:val="auto"/>
        </w:rPr>
      </w:pPr>
    </w:p>
    <w:p>
      <w:pPr>
        <w:jc w:val="both"/>
        <w:spacing w:after="0" w:line="325" w:lineRule="auto"/>
        <w:rPr>
          <w:sz w:val="20"/>
          <w:szCs w:val="20"/>
          <w:color w:val="auto"/>
        </w:rPr>
      </w:pPr>
      <w:r>
        <w:rPr>
          <w:rFonts w:ascii="Arial" w:cs="Arial" w:eastAsia="Arial" w:hAnsi="Arial"/>
          <w:sz w:val="16"/>
          <w:szCs w:val="16"/>
          <w:color w:val="auto"/>
        </w:rPr>
        <w:t>Shareholders acting by written consent and calling for a special shareholder meeting are 2 means that shareholders of a company can use to put forth a proposal on a timely basis without waiting for the annual shareholder meeting.</w:t>
      </w:r>
    </w:p>
    <w:p>
      <w:pPr>
        <w:spacing w:after="0" w:line="1" w:lineRule="exact"/>
        <w:rPr>
          <w:sz w:val="20"/>
          <w:szCs w:val="20"/>
          <w:color w:val="auto"/>
        </w:rPr>
      </w:pPr>
    </w:p>
    <w:p>
      <w:pPr>
        <w:jc w:val="both"/>
        <w:spacing w:after="0" w:line="313" w:lineRule="auto"/>
        <w:rPr>
          <w:sz w:val="20"/>
          <w:szCs w:val="20"/>
          <w:color w:val="auto"/>
        </w:rPr>
      </w:pPr>
      <w:r>
        <w:rPr>
          <w:rFonts w:ascii="Arial" w:cs="Arial" w:eastAsia="Arial" w:hAnsi="Arial"/>
          <w:sz w:val="16"/>
          <w:szCs w:val="16"/>
          <w:color w:val="auto"/>
        </w:rPr>
        <w:t>It is particularly important for United Airlines (UAL) shareholders to have a right to act by written consent because UAL shares not owned for at least one year are excluded from having a right to call for a special shareholder meeting.</w:t>
      </w:r>
    </w:p>
    <w:p>
      <w:pPr>
        <w:spacing w:after="0" w:line="6" w:lineRule="exact"/>
        <w:rPr>
          <w:sz w:val="20"/>
          <w:szCs w:val="20"/>
          <w:color w:val="auto"/>
        </w:rPr>
      </w:pPr>
    </w:p>
    <w:p>
      <w:pPr>
        <w:jc w:val="both"/>
        <w:spacing w:after="0" w:line="325" w:lineRule="auto"/>
        <w:rPr>
          <w:sz w:val="20"/>
          <w:szCs w:val="20"/>
          <w:color w:val="auto"/>
        </w:rPr>
      </w:pPr>
      <w:r>
        <w:rPr>
          <w:rFonts w:ascii="Arial" w:cs="Arial" w:eastAsia="Arial" w:hAnsi="Arial"/>
          <w:sz w:val="16"/>
          <w:szCs w:val="16"/>
          <w:color w:val="auto"/>
        </w:rPr>
        <w:t>It is believed that no company out of a pool of 3000 companies has ever held a special shareholder meeting, called for by shareholders, with this one-year UAL-type exclusion, highlighting what a deterrent a one-year exclusion is.</w:t>
      </w:r>
    </w:p>
    <w:p>
      <w:pPr>
        <w:spacing w:after="0" w:line="1"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There has never been a company, that has responded to a proposal like this, that has ever cited even one special shareholder meeting actually being held that was called for by shareholders of a company that excluded all shares not owned for a full year. Thus the current UAL special meeting right seems to be utterly useless because such a shareholder meeting will likely never</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happen.</w:t>
      </w:r>
    </w:p>
    <w:p>
      <w:pPr>
        <w:spacing w:after="0" w:line="113" w:lineRule="exact"/>
        <w:rPr>
          <w:sz w:val="20"/>
          <w:szCs w:val="20"/>
          <w:color w:val="auto"/>
        </w:rPr>
      </w:pPr>
    </w:p>
    <w:p>
      <w:pPr>
        <w:jc w:val="both"/>
        <w:spacing w:after="0" w:line="313" w:lineRule="auto"/>
        <w:rPr>
          <w:sz w:val="20"/>
          <w:szCs w:val="20"/>
          <w:color w:val="auto"/>
        </w:rPr>
      </w:pPr>
      <w:r>
        <w:rPr>
          <w:rFonts w:ascii="Arial" w:cs="Arial" w:eastAsia="Arial" w:hAnsi="Arial"/>
          <w:sz w:val="16"/>
          <w:szCs w:val="16"/>
          <w:color w:val="auto"/>
        </w:rPr>
        <w:t>Acting by written consent is hardly ever used by shareholders but the main point of having a right to act by written consent is that it gives shareholders greater standing to engage efectively with management when UAL underperforms.</w:t>
      </w:r>
    </w:p>
    <w:p>
      <w:pPr>
        <w:spacing w:after="0" w:line="6" w:lineRule="exact"/>
        <w:rPr>
          <w:sz w:val="20"/>
          <w:szCs w:val="20"/>
          <w:color w:val="auto"/>
        </w:rPr>
      </w:pPr>
    </w:p>
    <w:p>
      <w:pPr>
        <w:jc w:val="both"/>
        <w:spacing w:after="0" w:line="325" w:lineRule="auto"/>
        <w:rPr>
          <w:sz w:val="20"/>
          <w:szCs w:val="20"/>
          <w:color w:val="auto"/>
        </w:rPr>
      </w:pPr>
      <w:r>
        <w:rPr>
          <w:rFonts w:ascii="Arial" w:cs="Arial" w:eastAsia="Arial" w:hAnsi="Arial"/>
          <w:sz w:val="16"/>
          <w:szCs w:val="16"/>
          <w:color w:val="auto"/>
        </w:rPr>
        <w:t>Since a director can be removed by written consent, enabling shareholders to act by written consent may serve as an incentive for UAL directors to perform better.</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UAL  stock  was  at  $97  in  2018  and  only  at  $108  in  late  2025  in  spite  of  a  robust  stock  market.</w:t>
      </w:r>
    </w:p>
    <w:p>
      <w:pPr>
        <w:spacing w:after="0" w:line="113" w:lineRule="exact"/>
        <w:rPr>
          <w:sz w:val="20"/>
          <w:szCs w:val="20"/>
          <w:color w:val="auto"/>
        </w:rPr>
      </w:pPr>
    </w:p>
    <w:p>
      <w:pPr>
        <w:ind w:left="4260"/>
        <w:spacing w:after="0"/>
        <w:rPr>
          <w:sz w:val="20"/>
          <w:szCs w:val="20"/>
          <w:color w:val="auto"/>
        </w:rPr>
      </w:pPr>
      <w:r>
        <w:rPr>
          <w:rFonts w:ascii="Arial" w:cs="Arial" w:eastAsia="Arial" w:hAnsi="Arial"/>
          <w:sz w:val="16"/>
          <w:szCs w:val="16"/>
          <w:color w:val="auto"/>
        </w:rPr>
        <w:t>Please  vote  yes: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Shareholder Right to Act by Written Consent – Proposal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2026  Proxy  Statement</w:t>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1414D2"/>
        </w:rPr>
        <w:t>133</w:t>
      </w:r>
    </w:p>
    <w:p>
      <w:pPr>
        <w:sectPr>
          <w:pgSz w:w="11900" w:h="16838" w:orient="portrait"/>
          <w:cols w:equalWidth="0" w:num="1">
            <w:col w:w="9720"/>
          </w:cols>
          <w:pgMar w:left="1080" w:top="695" w:right="1099" w:bottom="1440" w:gutter="0" w:footer="0" w:header="0"/>
        </w:sectPr>
      </w:pPr>
    </w:p>
    <w:bookmarkStart w:id="144" w:name="page145"/>
    <w:bookmarkEnd w:id="144"/>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6D6F71"/>
        </w:rPr>
        <w:t>Item  4  -  Advisory  Vote  on  Stockholder  Proposal  Regarding  Shareholder  Right  to  Act  by  Written  Consent</w:t>
      </w:r>
    </w:p>
    <w:p>
      <w:pPr>
        <w:spacing w:after="0" w:line="250" w:lineRule="exact"/>
        <w:rPr>
          <w:sz w:val="20"/>
          <w:szCs w:val="20"/>
          <w:color w:val="auto"/>
        </w:rPr>
      </w:pPr>
    </w:p>
    <w:p>
      <w:pPr>
        <w:spacing w:after="0"/>
        <w:rPr>
          <w:sz w:val="20"/>
          <w:szCs w:val="20"/>
          <w:color w:val="auto"/>
        </w:rPr>
      </w:pPr>
      <w:r>
        <w:rPr>
          <w:rFonts w:ascii="Arial" w:cs="Arial" w:eastAsia="Arial" w:hAnsi="Arial"/>
          <w:sz w:val="25"/>
          <w:szCs w:val="25"/>
          <w:b w:val="1"/>
          <w:bCs w:val="1"/>
          <w:color w:val="1414D2"/>
        </w:rPr>
        <w:t>Statement in Opposition to Item 4</w:t>
      </w:r>
    </w:p>
    <w:p>
      <w:pPr>
        <w:spacing w:after="0" w:line="308" w:lineRule="exact"/>
        <w:rPr>
          <w:sz w:val="20"/>
          <w:szCs w:val="20"/>
          <w:color w:val="auto"/>
        </w:rPr>
      </w:pPr>
    </w:p>
    <w:p>
      <w:pPr>
        <w:ind w:right="120"/>
        <w:spacing w:after="0" w:line="255" w:lineRule="auto"/>
        <w:rPr>
          <w:sz w:val="20"/>
          <w:szCs w:val="20"/>
          <w:color w:val="auto"/>
        </w:rPr>
      </w:pPr>
      <w:r>
        <w:rPr>
          <w:rFonts w:ascii="Arial" w:cs="Arial" w:eastAsia="Arial" w:hAnsi="Arial"/>
          <w:sz w:val="16"/>
          <w:szCs w:val="16"/>
          <w:color w:val="auto"/>
        </w:rPr>
        <w:t>The Board has carefully considered the proposal concerning a stockholder right to act by written consent and believes it would not enhance stockholder value and is not in the best interests of the Company and all of its stockholders. The</w:t>
      </w:r>
    </w:p>
    <w:p>
      <w:pPr>
        <w:spacing w:after="0" w:line="1" w:lineRule="exact"/>
        <w:rPr>
          <w:sz w:val="20"/>
          <w:szCs w:val="20"/>
          <w:color w:val="auto"/>
        </w:rPr>
      </w:pPr>
    </w:p>
    <w:p>
      <w:pPr>
        <w:ind w:right="160"/>
        <w:spacing w:after="0" w:line="252" w:lineRule="auto"/>
        <w:rPr>
          <w:sz w:val="20"/>
          <w:szCs w:val="20"/>
          <w:color w:val="auto"/>
        </w:rPr>
      </w:pPr>
      <w:r>
        <w:rPr>
          <w:rFonts w:ascii="Arial" w:cs="Arial" w:eastAsia="Arial" w:hAnsi="Arial"/>
          <w:sz w:val="16"/>
          <w:szCs w:val="16"/>
          <w:color w:val="auto"/>
        </w:rPr>
        <w:t>Company’s existing corporate governance framework provides stockholders with the ability to have their voices heard by the Board and management, including pursuant to a right of stockholders to call a special meeting and submit proxy access nominations as well as through regular stockholder engagement by the Company. Moreover, the proposal is inconsistent with</w:t>
      </w:r>
    </w:p>
    <w:p>
      <w:pPr>
        <w:spacing w:after="0" w:line="1" w:lineRule="exact"/>
        <w:rPr>
          <w:sz w:val="20"/>
          <w:szCs w:val="20"/>
          <w:color w:val="auto"/>
        </w:rPr>
      </w:pPr>
    </w:p>
    <w:p>
      <w:pPr>
        <w:ind w:right="2420"/>
        <w:spacing w:after="0" w:line="343" w:lineRule="auto"/>
        <w:rPr>
          <w:sz w:val="20"/>
          <w:szCs w:val="20"/>
          <w:color w:val="auto"/>
        </w:rPr>
      </w:pPr>
      <w:r>
        <w:rPr>
          <w:rFonts w:ascii="Arial" w:cs="Arial" w:eastAsia="Arial" w:hAnsi="Arial"/>
          <w:sz w:val="16"/>
          <w:szCs w:val="16"/>
          <w:color w:val="auto"/>
        </w:rPr>
        <w:t>stockholder feedback as the Company’s stockholders have twice considered and rejected similar proposals submitted in 2015 and 2020.</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The  Board  is  committed  to  strong  corporate  governance  and  responsiveness  to  the  Company’s  stockholders.  The  Board</w:t>
      </w:r>
    </w:p>
    <w:p>
      <w:pPr>
        <w:spacing w:after="0" w:line="19"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believes in maintaining policies and practices that serve the interests of all stockholders and recognizes that corporate governance is not static. Accordingly, the Board regularly reviews developments in corporate governance and evaluates them in light of the Company’s circumstances, long-term strategy and stockholder base. The Board believes that the Company’s existing stockholder rights provide a transparent and equitable framework with appropriate procedural safeguards for stockholders to</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raise  matters  for  consideration  that  are  in  the  best  interests  of  all  of  our  stockholders.</w:t>
      </w:r>
    </w:p>
    <w:p>
      <w:pPr>
        <w:spacing w:after="0" w:line="113" w:lineRule="exact"/>
        <w:rPr>
          <w:sz w:val="20"/>
          <w:szCs w:val="20"/>
          <w:color w:val="auto"/>
        </w:rPr>
      </w:pPr>
    </w:p>
    <w:p>
      <w:pPr>
        <w:ind w:right="180"/>
        <w:spacing w:after="0" w:line="272" w:lineRule="auto"/>
        <w:rPr>
          <w:sz w:val="20"/>
          <w:szCs w:val="20"/>
          <w:color w:val="auto"/>
        </w:rPr>
      </w:pPr>
      <w:r>
        <w:rPr>
          <w:rFonts w:ascii="Arial" w:cs="Arial" w:eastAsia="Arial" w:hAnsi="Arial"/>
          <w:sz w:val="16"/>
          <w:szCs w:val="16"/>
          <w:color w:val="auto"/>
        </w:rPr>
        <w:t>After careful review of the proposal and the Company’s current governance practices, the Board believes that implementation of the proposal is not in the best interests of the Company or its stockholders. For the reasons set forth below, the Board</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unanimously  recommends  a  vote  “AGAINST”  this  proposal.</w:t>
      </w:r>
    </w:p>
    <w:p>
      <w:pPr>
        <w:spacing w:after="0" w:line="127" w:lineRule="exact"/>
        <w:rPr>
          <w:sz w:val="20"/>
          <w:szCs w:val="20"/>
          <w:color w:val="auto"/>
        </w:rPr>
      </w:pPr>
    </w:p>
    <w:p>
      <w:pPr>
        <w:ind w:left="680" w:right="160" w:hanging="325"/>
        <w:spacing w:after="0" w:line="312" w:lineRule="auto"/>
        <w:tabs>
          <w:tab w:leader="none" w:pos="680" w:val="left"/>
        </w:tabs>
        <w:numPr>
          <w:ilvl w:val="0"/>
          <w:numId w:val="163"/>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Stockholder Meetings Ofer Important Protections and Advantages that Are Absent from the Written Consent Process</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5"/>
          <w:szCs w:val="15"/>
          <w:color w:val="auto"/>
        </w:rPr>
        <w:t>The  Board  believes  that  stockholders  are  best  served  when  matters  requiring  stockholder  approval  are  considered  at  a</w:t>
      </w:r>
    </w:p>
    <w:p>
      <w:pPr>
        <w:spacing w:after="0" w:line="30" w:lineRule="exact"/>
        <w:rPr>
          <w:sz w:val="20"/>
          <w:szCs w:val="20"/>
          <w:color w:val="auto"/>
        </w:rPr>
      </w:pPr>
    </w:p>
    <w:p>
      <w:pPr>
        <w:ind w:left="660" w:right="180"/>
        <w:spacing w:after="0" w:line="268" w:lineRule="auto"/>
        <w:rPr>
          <w:sz w:val="20"/>
          <w:szCs w:val="20"/>
          <w:color w:val="auto"/>
        </w:rPr>
      </w:pPr>
      <w:r>
        <w:rPr>
          <w:rFonts w:ascii="Arial" w:cs="Arial" w:eastAsia="Arial" w:hAnsi="Arial"/>
          <w:sz w:val="16"/>
          <w:szCs w:val="16"/>
          <w:color w:val="auto"/>
        </w:rPr>
        <w:t>duly called annual or special meeting, where all stockholders receive notice and have the opportunity hear from, and engage with, the Board and management. For a public company of our size and complexity, the communications and procedures associated with a stockholder meeting are transparent, orderly and equitable and ofer important protections and advantages that are not available under a written consent process.</w:t>
      </w:r>
    </w:p>
    <w:p>
      <w:pPr>
        <w:spacing w:after="0" w:line="54" w:lineRule="exact"/>
        <w:rPr>
          <w:sz w:val="20"/>
          <w:szCs w:val="20"/>
          <w:color w:val="auto"/>
        </w:rPr>
      </w:pPr>
    </w:p>
    <w:p>
      <w:pPr>
        <w:ind w:left="1300" w:hanging="409"/>
        <w:spacing w:after="0" w:line="251" w:lineRule="auto"/>
        <w:tabs>
          <w:tab w:leader="none" w:pos="1300" w:val="left"/>
        </w:tabs>
        <w:numPr>
          <w:ilvl w:val="0"/>
          <w:numId w:val="164"/>
        </w:numPr>
        <w:rPr>
          <w:rFonts w:ascii="Arial" w:cs="Arial" w:eastAsia="Arial" w:hAnsi="Arial"/>
          <w:sz w:val="16"/>
          <w:szCs w:val="16"/>
          <w:color w:val="auto"/>
        </w:rPr>
      </w:pPr>
      <w:r>
        <w:rPr>
          <w:rFonts w:ascii="Arial" w:cs="Arial" w:eastAsia="Arial" w:hAnsi="Arial"/>
          <w:sz w:val="16"/>
          <w:szCs w:val="16"/>
          <w:b w:val="1"/>
          <w:bCs w:val="1"/>
          <w:i w:val="1"/>
          <w:iCs w:val="1"/>
          <w:u w:val="single" w:color="auto"/>
          <w:color w:val="auto"/>
        </w:rPr>
        <w:t>Requiring that stockholder action be taken at a meeting provides a more open and transparent way for our stockholders to exercise their rights and hear from the Board and management on key matters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Stockholder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meetings provide an appropriate forum for stockholders to express their views, ask questions and participate in the governance of the Company. They also allow the Board—which has the responsibility to review and evaluate the Company’s business in order to align the interests of management and stockholders— an opportunity to evaluate proposed actions and provide a recommendation to stockholders that is aligned with the long-term interests of United and our stockholders. Our Board members are intentionally selected based on their experience in felds that align with the Company’s business and long-term strategy in order</w:t>
      </w:r>
    </w:p>
    <w:p>
      <w:pPr>
        <w:spacing w:after="0" w:line="1"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6"/>
          <w:szCs w:val="16"/>
          <w:color w:val="auto"/>
        </w:rPr>
        <w:t>to  provide  oversight  on  behalf  of  the  Company’s  stockholders.  On  the  other  hand,  action  by  written  consent:</w:t>
      </w:r>
    </w:p>
    <w:p>
      <w:pPr>
        <w:spacing w:after="0" w:line="113" w:lineRule="exact"/>
        <w:rPr>
          <w:rFonts w:ascii="Arial" w:cs="Arial" w:eastAsia="Arial" w:hAnsi="Arial"/>
          <w:sz w:val="16"/>
          <w:szCs w:val="16"/>
          <w:color w:val="auto"/>
        </w:rPr>
      </w:pPr>
    </w:p>
    <w:p>
      <w:pPr>
        <w:ind w:left="1660" w:right="180" w:hanging="333"/>
        <w:spacing w:after="0" w:line="254" w:lineRule="auto"/>
        <w:tabs>
          <w:tab w:leader="none" w:pos="1660" w:val="left"/>
        </w:tabs>
        <w:numPr>
          <w:ilvl w:val="1"/>
          <w:numId w:val="164"/>
        </w:numPr>
        <w:rPr>
          <w:rFonts w:ascii="Times New Roman" w:cs="Times New Roman" w:eastAsia="Times New Roman" w:hAnsi="Times New Roman"/>
          <w:sz w:val="16"/>
          <w:szCs w:val="16"/>
          <w:color w:val="auto"/>
        </w:rPr>
      </w:pPr>
      <w:r>
        <w:rPr>
          <w:rFonts w:ascii="Arial" w:cs="Arial" w:eastAsia="Arial" w:hAnsi="Arial"/>
          <w:sz w:val="16"/>
          <w:szCs w:val="16"/>
          <w:color w:val="auto"/>
        </w:rPr>
        <w:t>Could be used to limit the ability of stockholders to engage in discussion, raise concerns or change their vote on signifcant matters afecting the Company and their interests.</w:t>
      </w:r>
    </w:p>
    <w:p>
      <w:pPr>
        <w:spacing w:after="0" w:line="1" w:lineRule="exact"/>
        <w:rPr>
          <w:rFonts w:ascii="Times New Roman" w:cs="Times New Roman" w:eastAsia="Times New Roman" w:hAnsi="Times New Roman"/>
          <w:sz w:val="16"/>
          <w:szCs w:val="16"/>
          <w:color w:val="auto"/>
        </w:rPr>
      </w:pPr>
    </w:p>
    <w:p>
      <w:pPr>
        <w:ind w:left="1660" w:right="320" w:hanging="333"/>
        <w:spacing w:after="0" w:line="252" w:lineRule="auto"/>
        <w:tabs>
          <w:tab w:leader="none" w:pos="1660" w:val="left"/>
        </w:tabs>
        <w:numPr>
          <w:ilvl w:val="1"/>
          <w:numId w:val="164"/>
        </w:numPr>
        <w:rPr>
          <w:rFonts w:ascii="Times New Roman" w:cs="Times New Roman" w:eastAsia="Times New Roman" w:hAnsi="Times New Roman"/>
          <w:sz w:val="16"/>
          <w:szCs w:val="16"/>
          <w:color w:val="auto"/>
        </w:rPr>
      </w:pPr>
      <w:r>
        <w:rPr>
          <w:rFonts w:ascii="Arial" w:cs="Arial" w:eastAsia="Arial" w:hAnsi="Arial"/>
          <w:sz w:val="16"/>
          <w:szCs w:val="16"/>
          <w:color w:val="auto"/>
        </w:rPr>
        <w:t>Does not aford stockholders the beneft of hearing or considering the view and recommendation of the Board and management before action is taken. The proponent incorrectly states that the proposal would give stockholders “greater standing to engage efectively with management.” In fact,</w:t>
      </w:r>
    </w:p>
    <w:p>
      <w:pPr>
        <w:ind w:left="1660" w:right="60"/>
        <w:spacing w:after="0" w:line="279" w:lineRule="auto"/>
        <w:rPr>
          <w:rFonts w:ascii="Times New Roman" w:cs="Times New Roman" w:eastAsia="Times New Roman" w:hAnsi="Times New Roman"/>
          <w:sz w:val="16"/>
          <w:szCs w:val="16"/>
          <w:color w:val="auto"/>
        </w:rPr>
      </w:pPr>
      <w:r>
        <w:rPr>
          <w:rFonts w:ascii="Arial" w:cs="Arial" w:eastAsia="Arial" w:hAnsi="Arial"/>
          <w:sz w:val="16"/>
          <w:szCs w:val="16"/>
          <w:color w:val="auto"/>
        </w:rPr>
        <w:t>this proposal could allow stockholders to take action without any engagement with management or the Board, denying them the opportunity to consider the merits of the proposed action and ofer alternatives for stockholder evaluation.</w:t>
      </w:r>
    </w:p>
    <w:p>
      <w:pPr>
        <w:sectPr>
          <w:pgSz w:w="11900" w:h="16838" w:orient="portrait"/>
          <w:cols w:equalWidth="0" w:num="1">
            <w:col w:w="9720"/>
          </w:cols>
          <w:pgMar w:left="1080" w:top="695"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right"/>
        <w:ind w:right="7720"/>
        <w:spacing w:after="0"/>
        <w:rPr>
          <w:sz w:val="20"/>
          <w:szCs w:val="20"/>
          <w:color w:val="auto"/>
        </w:rPr>
      </w:pPr>
      <w:r>
        <w:rPr>
          <w:rFonts w:ascii="Arial" w:cs="Arial" w:eastAsia="Arial" w:hAnsi="Arial"/>
          <w:sz w:val="16"/>
          <w:szCs w:val="16"/>
          <w:color w:val="auto"/>
        </w:rPr>
        <w:t>​​2026​  Proxy</w:t>
      </w:r>
    </w:p>
    <w:p>
      <w:pPr>
        <w:spacing w:after="0" w:line="5" w:lineRule="exact"/>
        <w:rPr>
          <w:sz w:val="20"/>
          <w:szCs w:val="20"/>
          <w:color w:val="auto"/>
        </w:rPr>
      </w:pPr>
    </w:p>
    <w:p>
      <w:pPr>
        <w:ind w:left="660" w:hanging="656"/>
        <w:spacing w:after="0"/>
        <w:tabs>
          <w:tab w:leader="none" w:pos="660" w:val="left"/>
        </w:tabs>
        <w:numPr>
          <w:ilvl w:val="0"/>
          <w:numId w:val="165"/>
        </w:numPr>
        <w:rPr>
          <w:rFonts w:ascii="Arial" w:cs="Arial" w:eastAsia="Arial" w:hAnsi="Arial"/>
          <w:sz w:val="16"/>
          <w:szCs w:val="16"/>
          <w:b w:val="1"/>
          <w:bCs w:val="1"/>
          <w:color w:val="1414D2"/>
        </w:rPr>
      </w:pPr>
      <w:r>
        <w:rPr>
          <w:rFonts w:ascii="Arial" w:cs="Arial" w:eastAsia="Arial" w:hAnsi="Arial"/>
          <w:sz w:val="16"/>
          <w:szCs w:val="16"/>
          <w:color w:val="auto"/>
        </w:rPr>
        <w:t>Statement</w:t>
      </w:r>
    </w:p>
    <w:p>
      <w:pPr>
        <w:sectPr>
          <w:pgSz w:w="11900" w:h="16838" w:orient="portrait"/>
          <w:cols w:equalWidth="0" w:num="1">
            <w:col w:w="9720"/>
          </w:cols>
          <w:pgMar w:left="1080" w:top="695" w:right="1099" w:bottom="1440" w:gutter="0" w:footer="0" w:header="0"/>
          <w:type w:val="continuous"/>
        </w:sectPr>
      </w:pPr>
    </w:p>
    <w:bookmarkStart w:id="145" w:name="page146"/>
    <w:bookmarkEnd w:id="145"/>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27" w:lineRule="exact"/>
        <w:rPr>
          <w:sz w:val="20"/>
          <w:szCs w:val="20"/>
          <w:color w:val="auto"/>
        </w:rPr>
      </w:pPr>
    </w:p>
    <w:p>
      <w:pPr>
        <w:ind w:left="2800"/>
        <w:spacing w:after="0"/>
        <w:rPr>
          <w:sz w:val="20"/>
          <w:szCs w:val="20"/>
          <w:color w:val="auto"/>
        </w:rPr>
      </w:pPr>
      <w:r>
        <w:rPr>
          <w:rFonts w:ascii="Arial" w:cs="Arial" w:eastAsia="Arial" w:hAnsi="Arial"/>
          <w:sz w:val="13"/>
          <w:szCs w:val="13"/>
          <w:color w:val="6D6F71"/>
        </w:rPr>
        <w:t>Item  4  -  Advisory  Vote  on  Stockholder  Proposal  Regarding  Shareholder  Right  to  Act  by  Written  Consent</w:t>
      </w:r>
    </w:p>
    <w:p>
      <w:pPr>
        <w:spacing w:after="0" w:line="234" w:lineRule="exact"/>
        <w:rPr>
          <w:sz w:val="20"/>
          <w:szCs w:val="20"/>
          <w:color w:val="auto"/>
        </w:rPr>
      </w:pPr>
    </w:p>
    <w:p>
      <w:pPr>
        <w:ind w:left="1300" w:right="240" w:hanging="451"/>
        <w:spacing w:after="0" w:line="268" w:lineRule="auto"/>
        <w:tabs>
          <w:tab w:leader="none" w:pos="1300" w:val="left"/>
        </w:tabs>
        <w:numPr>
          <w:ilvl w:val="0"/>
          <w:numId w:val="166"/>
        </w:numPr>
        <w:rPr>
          <w:rFonts w:ascii="Arial" w:cs="Arial" w:eastAsia="Arial" w:hAnsi="Arial"/>
          <w:sz w:val="16"/>
          <w:szCs w:val="16"/>
          <w:color w:val="auto"/>
        </w:rPr>
      </w:pPr>
      <w:r>
        <w:rPr>
          <w:rFonts w:ascii="Arial" w:cs="Arial" w:eastAsia="Arial" w:hAnsi="Arial"/>
          <w:sz w:val="16"/>
          <w:szCs w:val="16"/>
          <w:b w:val="1"/>
          <w:bCs w:val="1"/>
          <w:i w:val="1"/>
          <w:iCs w:val="1"/>
          <w:u w:val="single" w:color="auto"/>
          <w:color w:val="auto"/>
        </w:rPr>
        <w:t>Permitting stockholder action by written consent would have the potential to inappropriately disenfranchise stockholders: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Requiring stockholders to act by a special or annual meeting both promotes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protects all stockholders’ interests. In addition, since stockholders already have the right to call special meetings, the ability to act by written consent is unnecessary to facilitate prompt action by stockholders. On the other hand, action by written consent:</w:t>
      </w:r>
    </w:p>
    <w:p>
      <w:pPr>
        <w:spacing w:after="0" w:line="41" w:lineRule="exact"/>
        <w:rPr>
          <w:rFonts w:ascii="Arial" w:cs="Arial" w:eastAsia="Arial" w:hAnsi="Arial"/>
          <w:sz w:val="16"/>
          <w:szCs w:val="16"/>
          <w:color w:val="auto"/>
        </w:rPr>
      </w:pPr>
    </w:p>
    <w:p>
      <w:pPr>
        <w:ind w:left="1660" w:right="20" w:hanging="333"/>
        <w:spacing w:after="0" w:line="252" w:lineRule="auto"/>
        <w:tabs>
          <w:tab w:leader="none" w:pos="1660" w:val="left"/>
        </w:tabs>
        <w:numPr>
          <w:ilvl w:val="1"/>
          <w:numId w:val="166"/>
        </w:numPr>
        <w:rPr>
          <w:rFonts w:ascii="Times New Roman" w:cs="Times New Roman" w:eastAsia="Times New Roman" w:hAnsi="Times New Roman"/>
          <w:sz w:val="16"/>
          <w:szCs w:val="16"/>
          <w:color w:val="auto"/>
        </w:rPr>
      </w:pPr>
      <w:r>
        <w:rPr>
          <w:rFonts w:ascii="Arial" w:cs="Arial" w:eastAsia="Arial" w:hAnsi="Arial"/>
          <w:sz w:val="16"/>
          <w:szCs w:val="16"/>
          <w:color w:val="auto"/>
        </w:rPr>
        <w:t>Could disenfranchise certain stockholders by denying them the ability to vote or otherwise carefully consider matters that are important to the Company. This is because a proponent of a written consent may seek approval from the minimum number of stockholders required to authorize an action, potentially relying on consents obtained before other stockholders are aware that a vote is occurring. This dynamic may enable special-interest investors with short-term agendas to advance proposals for their own narrow interests. Should this happen, the Company would be required to divert its attention and resources from implementing the Company’s strategic goals to respond to such stockholders, potentially to the detriment of the interests of all stockholders.</w:t>
      </w:r>
    </w:p>
    <w:p>
      <w:pPr>
        <w:spacing w:after="0" w:line="185" w:lineRule="exact"/>
        <w:rPr>
          <w:rFonts w:ascii="Times New Roman" w:cs="Times New Roman" w:eastAsia="Times New Roman" w:hAnsi="Times New Roman"/>
          <w:sz w:val="16"/>
          <w:szCs w:val="16"/>
          <w:color w:val="auto"/>
        </w:rPr>
      </w:pPr>
    </w:p>
    <w:p>
      <w:pPr>
        <w:ind w:left="1660" w:right="60" w:hanging="333"/>
        <w:spacing w:after="0" w:line="254" w:lineRule="auto"/>
        <w:tabs>
          <w:tab w:leader="none" w:pos="1660" w:val="left"/>
        </w:tabs>
        <w:numPr>
          <w:ilvl w:val="1"/>
          <w:numId w:val="166"/>
        </w:numPr>
        <w:rPr>
          <w:rFonts w:ascii="Times New Roman" w:cs="Times New Roman" w:eastAsia="Times New Roman" w:hAnsi="Times New Roman"/>
          <w:sz w:val="16"/>
          <w:szCs w:val="16"/>
          <w:color w:val="auto"/>
        </w:rPr>
      </w:pPr>
      <w:r>
        <w:rPr>
          <w:rFonts w:ascii="Arial" w:cs="Arial" w:eastAsia="Arial" w:hAnsi="Arial"/>
          <w:sz w:val="16"/>
          <w:szCs w:val="16"/>
          <w:color w:val="auto"/>
        </w:rPr>
        <w:t>Could permit a small group of stockholders (including those who accumulate a short-term voting position through the borrowing of shares) with no fduciary duties to other stockholders</w:t>
      </w:r>
    </w:p>
    <w:p>
      <w:pPr>
        <w:spacing w:after="0" w:line="1" w:lineRule="exact"/>
        <w:rPr>
          <w:rFonts w:ascii="Times New Roman" w:cs="Times New Roman" w:eastAsia="Times New Roman" w:hAnsi="Times New Roman"/>
          <w:sz w:val="16"/>
          <w:szCs w:val="16"/>
          <w:color w:val="auto"/>
        </w:rPr>
      </w:pPr>
    </w:p>
    <w:p>
      <w:pPr>
        <w:ind w:left="1660" w:right="220"/>
        <w:spacing w:after="0" w:line="256" w:lineRule="auto"/>
        <w:rPr>
          <w:rFonts w:ascii="Times New Roman" w:cs="Times New Roman" w:eastAsia="Times New Roman" w:hAnsi="Times New Roman"/>
          <w:sz w:val="16"/>
          <w:szCs w:val="16"/>
          <w:color w:val="auto"/>
        </w:rPr>
      </w:pPr>
      <w:r>
        <w:rPr>
          <w:rFonts w:ascii="Arial" w:cs="Arial" w:eastAsia="Arial" w:hAnsi="Arial"/>
          <w:sz w:val="16"/>
          <w:szCs w:val="16"/>
          <w:color w:val="auto"/>
        </w:rPr>
        <w:t>to initiate corporate action without prior notice either to other stockholders or to the Company. This would deprive stockholders of the opportunity to deliberate in an open and transparent manner, and to consider arguments for and against the proposed action, including other stockholders’ and the Company’s viewpoint.</w:t>
      </w:r>
    </w:p>
    <w:p>
      <w:pPr>
        <w:spacing w:after="0" w:line="180" w:lineRule="exact"/>
        <w:rPr>
          <w:rFonts w:ascii="Times New Roman" w:cs="Times New Roman" w:eastAsia="Times New Roman" w:hAnsi="Times New Roman"/>
          <w:sz w:val="16"/>
          <w:szCs w:val="16"/>
          <w:color w:val="auto"/>
        </w:rPr>
      </w:pPr>
    </w:p>
    <w:p>
      <w:pPr>
        <w:ind w:left="1660" w:right="20" w:hanging="333"/>
        <w:spacing w:after="0" w:line="274" w:lineRule="auto"/>
        <w:tabs>
          <w:tab w:leader="none" w:pos="1660" w:val="left"/>
        </w:tabs>
        <w:numPr>
          <w:ilvl w:val="1"/>
          <w:numId w:val="166"/>
        </w:numPr>
        <w:rPr>
          <w:rFonts w:ascii="Times New Roman" w:cs="Times New Roman" w:eastAsia="Times New Roman" w:hAnsi="Times New Roman"/>
          <w:sz w:val="16"/>
          <w:szCs w:val="16"/>
          <w:color w:val="auto"/>
        </w:rPr>
      </w:pPr>
      <w:r>
        <w:rPr>
          <w:rFonts w:ascii="Arial" w:cs="Arial" w:eastAsia="Arial" w:hAnsi="Arial"/>
          <w:sz w:val="16"/>
          <w:szCs w:val="16"/>
          <w:color w:val="auto"/>
        </w:rPr>
        <w:t>Could encourage short-term stock ownership and manipulation, allowing a small group of stockholders to quietly accumulate large voting positions (including in derivative transactions) and take important corporate action without the waiting periods, requirements and procedural safeguards inherent in the stockholder meeting and voting process.</w:t>
      </w:r>
    </w:p>
    <w:p>
      <w:pPr>
        <w:spacing w:after="0" w:line="169" w:lineRule="exact"/>
        <w:rPr>
          <w:rFonts w:ascii="Times New Roman" w:cs="Times New Roman" w:eastAsia="Times New Roman" w:hAnsi="Times New Roman"/>
          <w:sz w:val="16"/>
          <w:szCs w:val="16"/>
          <w:color w:val="auto"/>
        </w:rPr>
      </w:pPr>
    </w:p>
    <w:p>
      <w:pPr>
        <w:ind w:left="1300" w:right="200" w:hanging="493"/>
        <w:spacing w:after="0" w:line="258" w:lineRule="auto"/>
        <w:tabs>
          <w:tab w:leader="none" w:pos="1300" w:val="left"/>
        </w:tabs>
        <w:numPr>
          <w:ilvl w:val="0"/>
          <w:numId w:val="166"/>
        </w:numPr>
        <w:rPr>
          <w:rFonts w:ascii="Arial" w:cs="Arial" w:eastAsia="Arial" w:hAnsi="Arial"/>
          <w:sz w:val="16"/>
          <w:szCs w:val="16"/>
          <w:color w:val="auto"/>
        </w:rPr>
      </w:pPr>
      <w:r>
        <w:rPr>
          <w:rFonts w:ascii="Arial" w:cs="Arial" w:eastAsia="Arial" w:hAnsi="Arial"/>
          <w:sz w:val="16"/>
          <w:szCs w:val="16"/>
          <w:b w:val="1"/>
          <w:bCs w:val="1"/>
          <w:i w:val="1"/>
          <w:iCs w:val="1"/>
          <w:u w:val="single" w:color="auto"/>
          <w:color w:val="auto"/>
        </w:rPr>
        <w:t>The proposal, if implemented, could prevent stockholders and the board from receiving prior notice of votes on key matters: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Stockholder meetings provide advance notice to all stockholders. Meetings are held at a time, date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venue announced publicly in advance, which help ensure that stockholders have an opportunity to consider, discuss and vote on important decisions that impact the Company in an equitable and transparent manner. This is in part because communications regarding proposed actions to be taken at a meeting are governed by SEC rules that require fair and timely disclosure, which necessitates that accountable, complete and accurate information about any proposed stockholder action is broadly distributed in advance of the meeting through proxy statement materials. On the other hand, action by written consent:</w:t>
      </w:r>
    </w:p>
    <w:p>
      <w:pPr>
        <w:spacing w:after="0" w:line="66" w:lineRule="exact"/>
        <w:rPr>
          <w:rFonts w:ascii="Arial" w:cs="Arial" w:eastAsia="Arial" w:hAnsi="Arial"/>
          <w:sz w:val="16"/>
          <w:szCs w:val="16"/>
          <w:color w:val="auto"/>
        </w:rPr>
      </w:pPr>
    </w:p>
    <w:p>
      <w:pPr>
        <w:ind w:left="1660" w:right="200" w:hanging="333"/>
        <w:spacing w:after="0" w:line="252" w:lineRule="auto"/>
        <w:tabs>
          <w:tab w:leader="none" w:pos="1660" w:val="left"/>
        </w:tabs>
        <w:numPr>
          <w:ilvl w:val="1"/>
          <w:numId w:val="166"/>
        </w:numPr>
        <w:rPr>
          <w:rFonts w:ascii="Times New Roman" w:cs="Times New Roman" w:eastAsia="Times New Roman" w:hAnsi="Times New Roman"/>
          <w:sz w:val="16"/>
          <w:szCs w:val="16"/>
          <w:color w:val="auto"/>
        </w:rPr>
      </w:pPr>
      <w:r>
        <w:rPr>
          <w:rFonts w:ascii="Arial" w:cs="Arial" w:eastAsia="Arial" w:hAnsi="Arial"/>
          <w:sz w:val="16"/>
          <w:szCs w:val="16"/>
          <w:color w:val="auto"/>
        </w:rPr>
        <w:t>Does not require advance notice to all stockholders or provide a defned period for review and deliberation. Therefore, certain stockholders may not be informed about the proposed action until after the action has already been taken, denying these stockholders the ability to exercise their rights.</w:t>
      </w:r>
    </w:p>
    <w:p>
      <w:pPr>
        <w:ind w:left="1660" w:right="140" w:hanging="333"/>
        <w:spacing w:after="0" w:line="312" w:lineRule="auto"/>
        <w:tabs>
          <w:tab w:leader="none" w:pos="1660" w:val="left"/>
        </w:tabs>
        <w:numPr>
          <w:ilvl w:val="1"/>
          <w:numId w:val="166"/>
        </w:numPr>
        <w:rPr>
          <w:rFonts w:ascii="Times New Roman" w:cs="Times New Roman" w:eastAsia="Times New Roman" w:hAnsi="Times New Roman"/>
          <w:sz w:val="16"/>
          <w:szCs w:val="16"/>
          <w:color w:val="auto"/>
        </w:rPr>
      </w:pPr>
      <w:r>
        <w:rPr>
          <w:rFonts w:ascii="Arial" w:cs="Arial" w:eastAsia="Arial" w:hAnsi="Arial"/>
          <w:sz w:val="16"/>
          <w:szCs w:val="16"/>
          <w:color w:val="auto"/>
        </w:rPr>
        <w:t>Does not require the prior distribution of a proxy statement containing accountable, comprehensive and standardized disclosure about the proposed action.</w:t>
      </w:r>
    </w:p>
    <w:p>
      <w:pPr>
        <w:spacing w:after="0" w:line="139" w:lineRule="exact"/>
        <w:rPr>
          <w:rFonts w:ascii="Times New Roman" w:cs="Times New Roman" w:eastAsia="Times New Roman" w:hAnsi="Times New Roman"/>
          <w:sz w:val="16"/>
          <w:szCs w:val="16"/>
          <w:color w:val="auto"/>
        </w:rPr>
      </w:pPr>
    </w:p>
    <w:p>
      <w:pPr>
        <w:ind w:left="1300" w:right="80" w:hanging="485"/>
        <w:spacing w:after="0" w:line="250" w:lineRule="auto"/>
        <w:tabs>
          <w:tab w:leader="none" w:pos="1300" w:val="left"/>
        </w:tabs>
        <w:numPr>
          <w:ilvl w:val="0"/>
          <w:numId w:val="166"/>
        </w:numPr>
        <w:rPr>
          <w:rFonts w:ascii="Arial" w:cs="Arial" w:eastAsia="Arial" w:hAnsi="Arial"/>
          <w:sz w:val="16"/>
          <w:szCs w:val="16"/>
          <w:color w:val="auto"/>
        </w:rPr>
      </w:pPr>
      <w:r>
        <w:rPr>
          <w:rFonts w:ascii="Arial" w:cs="Arial" w:eastAsia="Arial" w:hAnsi="Arial"/>
          <w:sz w:val="16"/>
          <w:szCs w:val="16"/>
          <w:b w:val="1"/>
          <w:bCs w:val="1"/>
          <w:i w:val="1"/>
          <w:iCs w:val="1"/>
          <w:u w:val="single" w:color="auto"/>
          <w:color w:val="auto"/>
        </w:rPr>
        <w:t>Permitting stockholders to act by written consent has the potential to create confusion and disruption and the Board does not believe it is appropriate for the corporate governance of a widely-held public company: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existing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requirement that stockholder action occur at a meeting helps ensure that all stockholders have a meaningful and structured opportunity to exchange views on proposed actions. On the other hand, action by written consent could create confusion and disruption by allowing multiple stockholders or groups</w:t>
      </w:r>
    </w:p>
    <w:p>
      <w:pPr>
        <w:spacing w:after="0" w:line="2" w:lineRule="exact"/>
        <w:rPr>
          <w:rFonts w:ascii="Arial" w:cs="Arial" w:eastAsia="Arial" w:hAnsi="Arial"/>
          <w:sz w:val="16"/>
          <w:szCs w:val="16"/>
          <w:color w:val="auto"/>
        </w:rPr>
      </w:pPr>
    </w:p>
    <w:p>
      <w:pPr>
        <w:ind w:left="1300" w:right="40"/>
        <w:spacing w:after="0" w:line="279" w:lineRule="auto"/>
        <w:rPr>
          <w:rFonts w:ascii="Arial" w:cs="Arial" w:eastAsia="Arial" w:hAnsi="Arial"/>
          <w:sz w:val="16"/>
          <w:szCs w:val="16"/>
          <w:color w:val="auto"/>
        </w:rPr>
      </w:pPr>
      <w:r>
        <w:rPr>
          <w:rFonts w:ascii="Arial" w:cs="Arial" w:eastAsia="Arial" w:hAnsi="Arial"/>
          <w:sz w:val="16"/>
          <w:szCs w:val="16"/>
          <w:color w:val="auto"/>
        </w:rPr>
        <w:t>to solicit consents on overlapping or conficting matters at diferent times. This disruption could also place signifcant administrative and fnancial burdens on management, which could divert signifcant time and focus from management, detracting from their primary focus of operating our business and maximizing long-term stockholder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2026  Proxy  Statement</w:t>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1414D2"/>
        </w:rPr>
        <w:t>135</w:t>
      </w:r>
    </w:p>
    <w:p>
      <w:pPr>
        <w:sectPr>
          <w:pgSz w:w="11900" w:h="16838" w:orient="portrait"/>
          <w:cols w:equalWidth="0" w:num="1">
            <w:col w:w="9720"/>
          </w:cols>
          <w:pgMar w:left="1080" w:top="695" w:right="1099" w:bottom="1440" w:gutter="0" w:footer="0" w:header="0"/>
        </w:sectPr>
      </w:pPr>
    </w:p>
    <w:bookmarkStart w:id="146" w:name="page147"/>
    <w:bookmarkEnd w:id="146"/>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6D6F71"/>
        </w:rPr>
        <w:t>Item  4  -  Advisory  Vote  on  Stockholder  Proposal  Regarding  Shareholder  Right  to  Act  by  Written  Consent</w:t>
      </w:r>
    </w:p>
    <w:p>
      <w:pPr>
        <w:spacing w:after="0" w:line="225" w:lineRule="exact"/>
        <w:rPr>
          <w:sz w:val="20"/>
          <w:szCs w:val="20"/>
          <w:color w:val="auto"/>
        </w:rPr>
      </w:pPr>
    </w:p>
    <w:p>
      <w:pPr>
        <w:ind w:left="660" w:right="220"/>
        <w:spacing w:after="0" w:line="255" w:lineRule="auto"/>
        <w:rPr>
          <w:sz w:val="20"/>
          <w:szCs w:val="20"/>
          <w:color w:val="auto"/>
        </w:rPr>
      </w:pPr>
      <w:r>
        <w:rPr>
          <w:rFonts w:ascii="Arial" w:cs="Arial" w:eastAsia="Arial" w:hAnsi="Arial"/>
          <w:sz w:val="16"/>
          <w:szCs w:val="16"/>
          <w:color w:val="auto"/>
        </w:rPr>
        <w:t>In sum, stockholder interests are best protected when proposed actions are taken at an annual or special meeting of stockholders, which would require all stockholders to receive advance notice and have clearly defned timeframes to</w:t>
      </w:r>
    </w:p>
    <w:p>
      <w:pPr>
        <w:spacing w:after="0" w:line="1" w:lineRule="exact"/>
        <w:rPr>
          <w:sz w:val="20"/>
          <w:szCs w:val="20"/>
          <w:color w:val="auto"/>
        </w:rPr>
      </w:pPr>
    </w:p>
    <w:p>
      <w:pPr>
        <w:ind w:left="660" w:right="260"/>
        <w:spacing w:after="0" w:line="343" w:lineRule="auto"/>
        <w:rPr>
          <w:sz w:val="20"/>
          <w:szCs w:val="20"/>
          <w:color w:val="auto"/>
        </w:rPr>
      </w:pPr>
      <w:r>
        <w:rPr>
          <w:rFonts w:ascii="Arial" w:cs="Arial" w:eastAsia="Arial" w:hAnsi="Arial"/>
          <w:sz w:val="16"/>
          <w:szCs w:val="16"/>
          <w:color w:val="auto"/>
        </w:rPr>
        <w:t>evaluate proposals, engage with other stockholders, hear the Board’s and management’s view on the proposals and cast an informed vote.</w:t>
      </w:r>
    </w:p>
    <w:p>
      <w:pPr>
        <w:spacing w:after="0" w:line="1" w:lineRule="exact"/>
        <w:rPr>
          <w:sz w:val="20"/>
          <w:szCs w:val="20"/>
          <w:color w:val="auto"/>
        </w:rPr>
      </w:pPr>
    </w:p>
    <w:p>
      <w:pPr>
        <w:ind w:left="680" w:right="340" w:hanging="325"/>
        <w:spacing w:after="0" w:line="288" w:lineRule="auto"/>
        <w:tabs>
          <w:tab w:leader="none" w:pos="680" w:val="left"/>
        </w:tabs>
        <w:numPr>
          <w:ilvl w:val="0"/>
          <w:numId w:val="167"/>
        </w:numPr>
        <w:rPr>
          <w:rFonts w:ascii="Arial" w:cs="Arial" w:eastAsia="Arial" w:hAnsi="Arial"/>
          <w:sz w:val="16"/>
          <w:szCs w:val="16"/>
          <w:b w:val="1"/>
          <w:bCs w:val="1"/>
          <w:color w:val="auto"/>
        </w:rPr>
      </w:pPr>
      <w:r>
        <w:rPr>
          <w:rFonts w:ascii="Arial" w:cs="Arial" w:eastAsia="Arial" w:hAnsi="Arial"/>
          <w:sz w:val="16"/>
          <w:szCs w:val="16"/>
          <w:b w:val="1"/>
          <w:bCs w:val="1"/>
          <w:color w:val="auto"/>
        </w:rPr>
        <w:t>The Company Has Demonstrated a Commitment to Active Stockholder Engagement and Efective Corporate Governance Practices, Which Has Promoted Accountability and Contributed to United’s Leading Financial Performance</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Board  believes  that  stockholders  should  evaluate  this  proposal  in  the  context  of  the  Company’s</w:t>
      </w:r>
    </w:p>
    <w:p>
      <w:pPr>
        <w:spacing w:after="0" w:line="5" w:lineRule="exact"/>
        <w:rPr>
          <w:sz w:val="20"/>
          <w:szCs w:val="20"/>
          <w:color w:val="auto"/>
        </w:rPr>
      </w:pPr>
    </w:p>
    <w:p>
      <w:pPr>
        <w:ind w:left="660" w:right="580"/>
        <w:spacing w:after="0" w:line="255" w:lineRule="auto"/>
        <w:rPr>
          <w:sz w:val="20"/>
          <w:szCs w:val="20"/>
          <w:color w:val="auto"/>
        </w:rPr>
      </w:pPr>
      <w:r>
        <w:rPr>
          <w:rFonts w:ascii="Arial" w:cs="Arial" w:eastAsia="Arial" w:hAnsi="Arial"/>
          <w:sz w:val="16"/>
          <w:szCs w:val="16"/>
          <w:color w:val="auto"/>
        </w:rPr>
        <w:t>broader stockholder engagement program and corporate governance framework, which refect the Board’s and management’s ongoing commitment to accountability and responsiveness as well as</w:t>
      </w:r>
    </w:p>
    <w:p>
      <w:pPr>
        <w:spacing w:after="0" w:line="1" w:lineRule="exact"/>
        <w:rPr>
          <w:sz w:val="20"/>
          <w:szCs w:val="20"/>
          <w:color w:val="auto"/>
        </w:rPr>
      </w:pPr>
    </w:p>
    <w:p>
      <w:pPr>
        <w:ind w:left="660" w:right="680"/>
        <w:spacing w:after="0" w:line="313" w:lineRule="auto"/>
        <w:rPr>
          <w:sz w:val="20"/>
          <w:szCs w:val="20"/>
          <w:color w:val="auto"/>
        </w:rPr>
      </w:pPr>
      <w:r>
        <w:rPr>
          <w:rFonts w:ascii="Arial" w:cs="Arial" w:eastAsia="Arial" w:hAnsi="Arial"/>
          <w:sz w:val="16"/>
          <w:szCs w:val="16"/>
          <w:color w:val="auto"/>
        </w:rPr>
        <w:t>to help ensure management executes the strategic initiatives that have driven sustainable, long-term value for shareholders.</w:t>
      </w:r>
    </w:p>
    <w:p>
      <w:pPr>
        <w:spacing w:after="0" w:line="87" w:lineRule="exact"/>
        <w:rPr>
          <w:sz w:val="20"/>
          <w:szCs w:val="20"/>
          <w:color w:val="auto"/>
        </w:rPr>
      </w:pPr>
    </w:p>
    <w:p>
      <w:pPr>
        <w:ind w:left="660" w:right="220"/>
        <w:spacing w:after="0" w:line="255" w:lineRule="auto"/>
        <w:rPr>
          <w:sz w:val="20"/>
          <w:szCs w:val="20"/>
          <w:color w:val="auto"/>
        </w:rPr>
      </w:pPr>
      <w:r>
        <w:rPr>
          <w:rFonts w:ascii="Arial" w:cs="Arial" w:eastAsia="Arial" w:hAnsi="Arial"/>
          <w:sz w:val="16"/>
          <w:szCs w:val="16"/>
          <w:color w:val="auto"/>
        </w:rPr>
        <w:t>As discussed on pages 56-59 of this Proxy Statement, the Company maintains open and regular communication with our stockholders and regularly incorporates feedback from those engagements into our governing</w:t>
      </w:r>
    </w:p>
    <w:p>
      <w:pPr>
        <w:spacing w:after="0" w:line="1" w:lineRule="exact"/>
        <w:rPr>
          <w:sz w:val="20"/>
          <w:szCs w:val="20"/>
          <w:color w:val="auto"/>
        </w:rPr>
      </w:pPr>
    </w:p>
    <w:p>
      <w:pPr>
        <w:ind w:left="660" w:right="280"/>
        <w:spacing w:after="0" w:line="313" w:lineRule="auto"/>
        <w:rPr>
          <w:sz w:val="20"/>
          <w:szCs w:val="20"/>
          <w:color w:val="auto"/>
        </w:rPr>
      </w:pPr>
      <w:r>
        <w:rPr>
          <w:rFonts w:ascii="Arial" w:cs="Arial" w:eastAsia="Arial" w:hAnsi="Arial"/>
          <w:sz w:val="16"/>
          <w:szCs w:val="16"/>
          <w:color w:val="auto"/>
        </w:rPr>
        <w:t>documents, policies and practices. Some actions we have taken in consideration of stockholder feedback in the past few years include the following:</w:t>
      </w:r>
    </w:p>
    <w:p>
      <w:pPr>
        <w:spacing w:after="0" w:line="141" w:lineRule="exact"/>
        <w:rPr>
          <w:sz w:val="20"/>
          <w:szCs w:val="20"/>
          <w:color w:val="auto"/>
        </w:rPr>
      </w:pPr>
    </w:p>
    <w:p>
      <w:pPr>
        <w:ind w:left="1320" w:hanging="317"/>
        <w:spacing w:after="0"/>
        <w:tabs>
          <w:tab w:leader="none" w:pos="1320" w:val="left"/>
        </w:tabs>
        <w:numPr>
          <w:ilvl w:val="0"/>
          <w:numId w:val="168"/>
        </w:numPr>
        <w:rPr>
          <w:rFonts w:ascii="Times New Roman" w:cs="Times New Roman" w:eastAsia="Times New Roman" w:hAnsi="Times New Roman"/>
          <w:sz w:val="16"/>
          <w:szCs w:val="16"/>
          <w:color w:val="auto"/>
        </w:rPr>
      </w:pPr>
      <w:r>
        <w:rPr>
          <w:rFonts w:ascii="Arial" w:cs="Arial" w:eastAsia="Arial" w:hAnsi="Arial"/>
          <w:sz w:val="16"/>
          <w:szCs w:val="16"/>
          <w:color w:val="auto"/>
        </w:rPr>
        <w:t>We  enhanced  our  disclosure  around  our  eforts  to  mitigate  employee  injuries  by  including  a  discussion</w:t>
      </w:r>
    </w:p>
    <w:p>
      <w:pPr>
        <w:spacing w:after="0" w:line="4" w:lineRule="exact"/>
        <w:rPr>
          <w:rFonts w:ascii="Times New Roman" w:cs="Times New Roman" w:eastAsia="Times New Roman" w:hAnsi="Times New Roman"/>
          <w:sz w:val="16"/>
          <w:szCs w:val="16"/>
          <w:color w:val="auto"/>
        </w:rPr>
      </w:pPr>
    </w:p>
    <w:p>
      <w:pPr>
        <w:ind w:left="1320" w:right="300"/>
        <w:spacing w:after="0" w:line="255" w:lineRule="auto"/>
        <w:rPr>
          <w:rFonts w:ascii="Times New Roman" w:cs="Times New Roman" w:eastAsia="Times New Roman" w:hAnsi="Times New Roman"/>
          <w:sz w:val="16"/>
          <w:szCs w:val="16"/>
          <w:color w:val="auto"/>
        </w:rPr>
      </w:pPr>
      <w:r>
        <w:rPr>
          <w:rFonts w:ascii="Arial" w:cs="Arial" w:eastAsia="Arial" w:hAnsi="Arial"/>
          <w:sz w:val="16"/>
          <w:szCs w:val="16"/>
          <w:color w:val="auto"/>
        </w:rPr>
        <w:t>of our Heat Illness Prevention Plan in our Corporate Impact Report and additional disclosure regarding the Board’s oversight of safety topics, including employee injuries, in our proxy statement.</w:t>
      </w:r>
    </w:p>
    <w:p>
      <w:pPr>
        <w:ind w:left="1320" w:right="200" w:hanging="317"/>
        <w:spacing w:after="0" w:line="254" w:lineRule="auto"/>
        <w:tabs>
          <w:tab w:leader="none" w:pos="1320" w:val="left"/>
        </w:tabs>
        <w:numPr>
          <w:ilvl w:val="0"/>
          <w:numId w:val="168"/>
        </w:numPr>
        <w:rPr>
          <w:rFonts w:ascii="Times New Roman" w:cs="Times New Roman" w:eastAsia="Times New Roman" w:hAnsi="Times New Roman"/>
          <w:sz w:val="16"/>
          <w:szCs w:val="16"/>
          <w:color w:val="auto"/>
        </w:rPr>
      </w:pPr>
      <w:r>
        <w:rPr>
          <w:rFonts w:ascii="Arial" w:cs="Arial" w:eastAsia="Arial" w:hAnsi="Arial"/>
          <w:sz w:val="16"/>
          <w:szCs w:val="16"/>
          <w:color w:val="auto"/>
        </w:rPr>
        <w:t>We enhanced our disclosure relating to our Human Rights Policy statement in our Corporate Impact Report, including with respect to our supplier human rights due diligence process.</w:t>
      </w:r>
    </w:p>
    <w:p>
      <w:pPr>
        <w:spacing w:after="0" w:line="1" w:lineRule="exact"/>
        <w:rPr>
          <w:rFonts w:ascii="Times New Roman" w:cs="Times New Roman" w:eastAsia="Times New Roman" w:hAnsi="Times New Roman"/>
          <w:sz w:val="16"/>
          <w:szCs w:val="16"/>
          <w:color w:val="auto"/>
        </w:rPr>
      </w:pPr>
    </w:p>
    <w:p>
      <w:pPr>
        <w:ind w:left="1320" w:hanging="317"/>
        <w:spacing w:after="0" w:line="252" w:lineRule="auto"/>
        <w:tabs>
          <w:tab w:leader="none" w:pos="1320" w:val="left"/>
        </w:tabs>
        <w:numPr>
          <w:ilvl w:val="0"/>
          <w:numId w:val="168"/>
        </w:numPr>
        <w:rPr>
          <w:rFonts w:ascii="Times New Roman" w:cs="Times New Roman" w:eastAsia="Times New Roman" w:hAnsi="Times New Roman"/>
          <w:sz w:val="16"/>
          <w:szCs w:val="16"/>
          <w:color w:val="auto"/>
        </w:rPr>
      </w:pPr>
      <w:r>
        <w:rPr>
          <w:rFonts w:ascii="Arial" w:cs="Arial" w:eastAsia="Arial" w:hAnsi="Arial"/>
          <w:sz w:val="16"/>
          <w:szCs w:val="16"/>
          <w:color w:val="auto"/>
        </w:rPr>
        <w:t>We disclose our climate change strategy as well as our Greenhouse Gas emissions in our Annual Report on Form 10-K and created a comprehensive index that maps our sustainability disclosures across metrics outlined in the Task Force on Climate-related Financial Disclosures framework.</w:t>
      </w:r>
    </w:p>
    <w:p>
      <w:pPr>
        <w:ind w:left="1320" w:right="360" w:hanging="317"/>
        <w:spacing w:after="0" w:line="254" w:lineRule="auto"/>
        <w:tabs>
          <w:tab w:leader="none" w:pos="1320" w:val="left"/>
        </w:tabs>
        <w:numPr>
          <w:ilvl w:val="0"/>
          <w:numId w:val="168"/>
        </w:numPr>
        <w:rPr>
          <w:rFonts w:ascii="Times New Roman" w:cs="Times New Roman" w:eastAsia="Times New Roman" w:hAnsi="Times New Roman"/>
          <w:sz w:val="16"/>
          <w:szCs w:val="16"/>
          <w:color w:val="auto"/>
        </w:rPr>
      </w:pPr>
      <w:r>
        <w:rPr>
          <w:rFonts w:ascii="Arial" w:cs="Arial" w:eastAsia="Arial" w:hAnsi="Arial"/>
          <w:sz w:val="16"/>
          <w:szCs w:val="16"/>
          <w:color w:val="auto"/>
        </w:rPr>
        <w:t>We have expanded the United Airlines, Inc. Political and Lobbying Policy regarding our participation in the political process and policy advocacy.</w:t>
      </w:r>
    </w:p>
    <w:p>
      <w:pPr>
        <w:spacing w:after="0" w:line="1" w:lineRule="exact"/>
        <w:rPr>
          <w:rFonts w:ascii="Times New Roman" w:cs="Times New Roman" w:eastAsia="Times New Roman" w:hAnsi="Times New Roman"/>
          <w:sz w:val="16"/>
          <w:szCs w:val="16"/>
          <w:color w:val="auto"/>
        </w:rPr>
      </w:pPr>
    </w:p>
    <w:p>
      <w:pPr>
        <w:ind w:left="1320" w:hanging="317"/>
        <w:spacing w:after="0" w:line="279" w:lineRule="auto"/>
        <w:tabs>
          <w:tab w:leader="none" w:pos="1320" w:val="left"/>
        </w:tabs>
        <w:numPr>
          <w:ilvl w:val="0"/>
          <w:numId w:val="168"/>
        </w:numPr>
        <w:rPr>
          <w:rFonts w:ascii="Times New Roman" w:cs="Times New Roman" w:eastAsia="Times New Roman" w:hAnsi="Times New Roman"/>
          <w:sz w:val="16"/>
          <w:szCs w:val="16"/>
          <w:color w:val="auto"/>
        </w:rPr>
      </w:pPr>
      <w:r>
        <w:rPr>
          <w:rFonts w:ascii="Arial" w:cs="Arial" w:eastAsia="Arial" w:hAnsi="Arial"/>
          <w:sz w:val="16"/>
          <w:szCs w:val="16"/>
          <w:color w:val="auto"/>
        </w:rPr>
        <w:t>We enhanced several disclosures in our proxy statement, including updating our Board skills matrix to account for the skills and qualifcations that the Board considers most important for future candidates and adding disclosure on our management succession planning process.</w:t>
      </w:r>
    </w:p>
    <w:p>
      <w:pPr>
        <w:spacing w:after="0" w:line="168" w:lineRule="exact"/>
        <w:rPr>
          <w:sz w:val="20"/>
          <w:szCs w:val="20"/>
          <w:color w:val="auto"/>
        </w:rPr>
      </w:pPr>
    </w:p>
    <w:p>
      <w:pPr>
        <w:ind w:left="660" w:right="540"/>
        <w:spacing w:after="0" w:line="330" w:lineRule="auto"/>
        <w:rPr>
          <w:sz w:val="20"/>
          <w:szCs w:val="20"/>
          <w:color w:val="auto"/>
        </w:rPr>
      </w:pPr>
      <w:r>
        <w:rPr>
          <w:rFonts w:ascii="Arial" w:cs="Arial" w:eastAsia="Arial" w:hAnsi="Arial"/>
          <w:sz w:val="16"/>
          <w:szCs w:val="16"/>
          <w:color w:val="auto"/>
        </w:rPr>
        <w:t>In addition to our robust stockholder engagement program, the Company has implemented several governance practices that help ensure meaningful stockholder participation, including the following:</w:t>
      </w:r>
    </w:p>
    <w:p>
      <w:pPr>
        <w:spacing w:after="0" w:line="115" w:lineRule="exact"/>
        <w:rPr>
          <w:sz w:val="20"/>
          <w:szCs w:val="20"/>
          <w:color w:val="auto"/>
        </w:rPr>
      </w:pPr>
    </w:p>
    <w:p>
      <w:pPr>
        <w:ind w:left="1320" w:right="40" w:hanging="317"/>
        <w:spacing w:after="0" w:line="250" w:lineRule="auto"/>
        <w:tabs>
          <w:tab w:leader="none" w:pos="1320" w:val="left"/>
        </w:tabs>
        <w:numPr>
          <w:ilvl w:val="0"/>
          <w:numId w:val="169"/>
        </w:numPr>
        <w:rPr>
          <w:rFonts w:ascii="Times New Roman" w:cs="Times New Roman" w:eastAsia="Times New Roman" w:hAnsi="Times New Roman"/>
          <w:sz w:val="16"/>
          <w:szCs w:val="16"/>
          <w:color w:val="auto"/>
        </w:rPr>
      </w:pPr>
      <w:r>
        <w:rPr>
          <w:rFonts w:ascii="Arial" w:cs="Arial" w:eastAsia="Arial" w:hAnsi="Arial"/>
          <w:sz w:val="16"/>
          <w:szCs w:val="16"/>
          <w:color w:val="auto"/>
        </w:rPr>
        <w:t>The Company’s Amended and Restated Certifcate of Incorporation and Bylaws provide stockholders with the ability to call a special meeting of stockholders outside the annual meeting cycle. A special meeting provides a structured forum for stockholders, the Board and management to engage on matters of importance and allows all stockholders to participate collectively in a single meeting and vote.</w:t>
      </w:r>
    </w:p>
    <w:p>
      <w:pPr>
        <w:spacing w:after="0" w:line="2" w:lineRule="exact"/>
        <w:rPr>
          <w:rFonts w:ascii="Times New Roman" w:cs="Times New Roman" w:eastAsia="Times New Roman" w:hAnsi="Times New Roman"/>
          <w:sz w:val="16"/>
          <w:szCs w:val="16"/>
          <w:color w:val="auto"/>
        </w:rPr>
      </w:pPr>
    </w:p>
    <w:p>
      <w:pPr>
        <w:ind w:left="1320" w:right="420" w:hanging="317"/>
        <w:spacing w:after="0" w:line="254" w:lineRule="auto"/>
        <w:tabs>
          <w:tab w:leader="none" w:pos="1320" w:val="left"/>
        </w:tabs>
        <w:numPr>
          <w:ilvl w:val="0"/>
          <w:numId w:val="169"/>
        </w:numPr>
        <w:rPr>
          <w:rFonts w:ascii="Times New Roman" w:cs="Times New Roman" w:eastAsia="Times New Roman" w:hAnsi="Times New Roman"/>
          <w:sz w:val="16"/>
          <w:szCs w:val="16"/>
          <w:color w:val="auto"/>
        </w:rPr>
      </w:pPr>
      <w:r>
        <w:rPr>
          <w:rFonts w:ascii="Arial" w:cs="Arial" w:eastAsia="Arial" w:hAnsi="Arial"/>
          <w:sz w:val="16"/>
          <w:szCs w:val="16"/>
          <w:color w:val="auto"/>
        </w:rPr>
        <w:t>Our proxy access right allows certain stockholders to include their own director nominations in our proxy statement, as discussed on page 36 of this Proxy Statement.</w:t>
      </w:r>
    </w:p>
    <w:p>
      <w:pPr>
        <w:spacing w:after="0" w:line="1" w:lineRule="exact"/>
        <w:rPr>
          <w:rFonts w:ascii="Times New Roman" w:cs="Times New Roman" w:eastAsia="Times New Roman" w:hAnsi="Times New Roman"/>
          <w:sz w:val="16"/>
          <w:szCs w:val="16"/>
          <w:color w:val="auto"/>
        </w:rPr>
      </w:pPr>
    </w:p>
    <w:p>
      <w:pPr>
        <w:ind w:left="1320" w:hanging="317"/>
        <w:spacing w:after="0"/>
        <w:tabs>
          <w:tab w:leader="none" w:pos="1320" w:val="left"/>
        </w:tabs>
        <w:numPr>
          <w:ilvl w:val="0"/>
          <w:numId w:val="169"/>
        </w:numPr>
        <w:rPr>
          <w:rFonts w:ascii="Times New Roman" w:cs="Times New Roman" w:eastAsia="Times New Roman" w:hAnsi="Times New Roman"/>
          <w:sz w:val="16"/>
          <w:szCs w:val="16"/>
          <w:color w:val="auto"/>
        </w:rPr>
      </w:pPr>
      <w:r>
        <w:rPr>
          <w:rFonts w:ascii="Arial" w:cs="Arial" w:eastAsia="Arial" w:hAnsi="Arial"/>
          <w:sz w:val="16"/>
          <w:szCs w:val="16"/>
          <w:color w:val="auto"/>
        </w:rPr>
        <w:t>All  of  our  directors  are  elected  annually.</w:t>
      </w:r>
    </w:p>
    <w:p>
      <w:pPr>
        <w:spacing w:after="0" w:line="4" w:lineRule="exact"/>
        <w:rPr>
          <w:rFonts w:ascii="Times New Roman" w:cs="Times New Roman" w:eastAsia="Times New Roman" w:hAnsi="Times New Roman"/>
          <w:sz w:val="16"/>
          <w:szCs w:val="16"/>
          <w:color w:val="auto"/>
        </w:rPr>
      </w:pPr>
    </w:p>
    <w:p>
      <w:pPr>
        <w:ind w:left="1320" w:right="420" w:hanging="317"/>
        <w:spacing w:after="0" w:line="254" w:lineRule="auto"/>
        <w:tabs>
          <w:tab w:leader="none" w:pos="1320" w:val="left"/>
        </w:tabs>
        <w:numPr>
          <w:ilvl w:val="0"/>
          <w:numId w:val="169"/>
        </w:numPr>
        <w:rPr>
          <w:rFonts w:ascii="Times New Roman" w:cs="Times New Roman" w:eastAsia="Times New Roman" w:hAnsi="Times New Roman"/>
          <w:sz w:val="16"/>
          <w:szCs w:val="16"/>
          <w:color w:val="auto"/>
        </w:rPr>
      </w:pPr>
      <w:r>
        <w:rPr>
          <w:rFonts w:ascii="Arial" w:cs="Arial" w:eastAsia="Arial" w:hAnsi="Arial"/>
          <w:sz w:val="16"/>
          <w:szCs w:val="16"/>
          <w:color w:val="auto"/>
        </w:rPr>
        <w:t>Our Amended and Restated Certifcate of Incorporation and Bylaws do not require more than a simple or absolute majority stockholder vote on any issue.</w:t>
      </w:r>
    </w:p>
    <w:p>
      <w:pPr>
        <w:spacing w:after="0" w:line="1" w:lineRule="exact"/>
        <w:rPr>
          <w:rFonts w:ascii="Times New Roman" w:cs="Times New Roman" w:eastAsia="Times New Roman" w:hAnsi="Times New Roman"/>
          <w:sz w:val="16"/>
          <w:szCs w:val="16"/>
          <w:color w:val="auto"/>
        </w:rPr>
      </w:pPr>
    </w:p>
    <w:p>
      <w:pPr>
        <w:ind w:left="1320" w:hanging="317"/>
        <w:spacing w:after="0"/>
        <w:tabs>
          <w:tab w:leader="none" w:pos="1320" w:val="left"/>
        </w:tabs>
        <w:numPr>
          <w:ilvl w:val="0"/>
          <w:numId w:val="169"/>
        </w:numPr>
        <w:rPr>
          <w:rFonts w:ascii="Times New Roman" w:cs="Times New Roman" w:eastAsia="Times New Roman" w:hAnsi="Times New Roman"/>
          <w:sz w:val="16"/>
          <w:szCs w:val="16"/>
          <w:color w:val="auto"/>
        </w:rPr>
      </w:pPr>
      <w:r>
        <w:rPr>
          <w:rFonts w:ascii="Arial" w:cs="Arial" w:eastAsia="Arial" w:hAnsi="Arial"/>
          <w:sz w:val="16"/>
          <w:szCs w:val="16"/>
          <w:color w:val="auto"/>
        </w:rPr>
        <w:t>We  have  a  majority  voting  standard  for  the  election  of  directors  in  uncontested  elections.</w:t>
      </w:r>
    </w:p>
    <w:p>
      <w:pPr>
        <w:spacing w:after="0" w:line="4" w:lineRule="exact"/>
        <w:rPr>
          <w:rFonts w:ascii="Times New Roman" w:cs="Times New Roman" w:eastAsia="Times New Roman" w:hAnsi="Times New Roman"/>
          <w:sz w:val="16"/>
          <w:szCs w:val="16"/>
          <w:color w:val="auto"/>
        </w:rPr>
      </w:pPr>
    </w:p>
    <w:p>
      <w:pPr>
        <w:ind w:left="1320" w:right="160" w:hanging="317"/>
        <w:spacing w:after="0" w:line="250" w:lineRule="auto"/>
        <w:tabs>
          <w:tab w:leader="none" w:pos="1320" w:val="left"/>
        </w:tabs>
        <w:numPr>
          <w:ilvl w:val="0"/>
          <w:numId w:val="169"/>
        </w:numPr>
        <w:rPr>
          <w:rFonts w:ascii="Times New Roman" w:cs="Times New Roman" w:eastAsia="Times New Roman" w:hAnsi="Times New Roman"/>
          <w:sz w:val="16"/>
          <w:szCs w:val="16"/>
          <w:color w:val="auto"/>
        </w:rPr>
      </w:pPr>
      <w:r>
        <w:rPr>
          <w:rFonts w:ascii="Arial" w:cs="Arial" w:eastAsia="Arial" w:hAnsi="Arial"/>
          <w:sz w:val="16"/>
          <w:szCs w:val="16"/>
          <w:color w:val="auto"/>
        </w:rPr>
        <w:t>The Board uses robust refreshment practices to enable it to evaluate the continued alignment of the Board’s membership with the needs of Company. The average tenure of our director nominees is 7.31 years, with six of our current directors having joined our Board since 2021. Further, our Board refects a broad range of experience, skills and perspectives.</w:t>
      </w:r>
    </w:p>
    <w:p>
      <w:pPr>
        <w:spacing w:after="0" w:line="2" w:lineRule="exact"/>
        <w:rPr>
          <w:rFonts w:ascii="Times New Roman" w:cs="Times New Roman" w:eastAsia="Times New Roman" w:hAnsi="Times New Roman"/>
          <w:sz w:val="16"/>
          <w:szCs w:val="16"/>
          <w:color w:val="auto"/>
        </w:rPr>
      </w:pPr>
    </w:p>
    <w:p>
      <w:pPr>
        <w:ind w:left="1320" w:hanging="317"/>
        <w:spacing w:after="0"/>
        <w:tabs>
          <w:tab w:leader="none" w:pos="1320" w:val="left"/>
        </w:tabs>
        <w:numPr>
          <w:ilvl w:val="0"/>
          <w:numId w:val="169"/>
        </w:numPr>
        <w:rPr>
          <w:rFonts w:ascii="Times New Roman" w:cs="Times New Roman" w:eastAsia="Times New Roman" w:hAnsi="Times New Roman"/>
          <w:sz w:val="16"/>
          <w:szCs w:val="16"/>
          <w:color w:val="auto"/>
        </w:rPr>
      </w:pPr>
      <w:r>
        <w:rPr>
          <w:rFonts w:ascii="Arial" w:cs="Arial" w:eastAsia="Arial" w:hAnsi="Arial"/>
          <w:sz w:val="16"/>
          <w:szCs w:val="16"/>
          <w:color w:val="auto"/>
        </w:rPr>
        <w:t>We  have  separate  Chairman  of  the  Board  and  CEO  roles,  and  the  Chairman  of  the  Board  is  independent.</w:t>
      </w:r>
    </w:p>
    <w:p>
      <w:pPr>
        <w:sectPr>
          <w:pgSz w:w="11900" w:h="16838" w:orient="portrait"/>
          <w:cols w:equalWidth="0" w:num="1">
            <w:col w:w="9720"/>
          </w:cols>
          <w:pgMar w:left="1080" w:top="695"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right"/>
        <w:ind w:right="7720"/>
        <w:spacing w:after="0"/>
        <w:rPr>
          <w:sz w:val="20"/>
          <w:szCs w:val="20"/>
          <w:color w:val="auto"/>
        </w:rPr>
      </w:pPr>
      <w:r>
        <w:rPr>
          <w:rFonts w:ascii="Arial" w:cs="Arial" w:eastAsia="Arial" w:hAnsi="Arial"/>
          <w:sz w:val="16"/>
          <w:szCs w:val="16"/>
          <w:color w:val="auto"/>
        </w:rPr>
        <w:t>​​2026​  Proxy</w:t>
      </w:r>
    </w:p>
    <w:p>
      <w:pPr>
        <w:spacing w:after="0" w:line="5" w:lineRule="exact"/>
        <w:rPr>
          <w:sz w:val="20"/>
          <w:szCs w:val="20"/>
          <w:color w:val="auto"/>
        </w:rPr>
      </w:pPr>
    </w:p>
    <w:p>
      <w:pPr>
        <w:ind w:left="660" w:hanging="656"/>
        <w:spacing w:after="0"/>
        <w:tabs>
          <w:tab w:leader="none" w:pos="660" w:val="left"/>
        </w:tabs>
        <w:numPr>
          <w:ilvl w:val="0"/>
          <w:numId w:val="170"/>
        </w:numPr>
        <w:rPr>
          <w:rFonts w:ascii="Arial" w:cs="Arial" w:eastAsia="Arial" w:hAnsi="Arial"/>
          <w:sz w:val="16"/>
          <w:szCs w:val="16"/>
          <w:b w:val="1"/>
          <w:bCs w:val="1"/>
          <w:color w:val="1414D2"/>
        </w:rPr>
      </w:pPr>
      <w:r>
        <w:rPr>
          <w:rFonts w:ascii="Arial" w:cs="Arial" w:eastAsia="Arial" w:hAnsi="Arial"/>
          <w:sz w:val="16"/>
          <w:szCs w:val="16"/>
          <w:color w:val="auto"/>
        </w:rPr>
        <w:t>Statement</w:t>
      </w:r>
    </w:p>
    <w:p>
      <w:pPr>
        <w:sectPr>
          <w:pgSz w:w="11900" w:h="16838" w:orient="portrait"/>
          <w:cols w:equalWidth="0" w:num="1">
            <w:col w:w="9720"/>
          </w:cols>
          <w:pgMar w:left="1080" w:top="695" w:right="1099" w:bottom="1440" w:gutter="0" w:footer="0" w:header="0"/>
          <w:type w:val="continuous"/>
        </w:sectPr>
      </w:pPr>
    </w:p>
    <w:bookmarkStart w:id="147" w:name="page148"/>
    <w:bookmarkEnd w:id="147"/>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27" w:lineRule="exact"/>
        <w:rPr>
          <w:sz w:val="20"/>
          <w:szCs w:val="20"/>
          <w:color w:val="auto"/>
        </w:rPr>
      </w:pPr>
    </w:p>
    <w:p>
      <w:pPr>
        <w:ind w:left="2800"/>
        <w:spacing w:after="0"/>
        <w:rPr>
          <w:sz w:val="20"/>
          <w:szCs w:val="20"/>
          <w:color w:val="auto"/>
        </w:rPr>
      </w:pPr>
      <w:r>
        <w:rPr>
          <w:rFonts w:ascii="Arial" w:cs="Arial" w:eastAsia="Arial" w:hAnsi="Arial"/>
          <w:sz w:val="13"/>
          <w:szCs w:val="13"/>
          <w:color w:val="6D6F71"/>
        </w:rPr>
        <w:t>Item  4  -  Advisory  Vote  on  Stockholder  Proposal  Regarding  Shareholder  Right  to  Act  by  Written  Consent</w:t>
      </w:r>
    </w:p>
    <w:p>
      <w:pPr>
        <w:spacing w:after="0" w:line="236" w:lineRule="exact"/>
        <w:rPr>
          <w:sz w:val="20"/>
          <w:szCs w:val="20"/>
          <w:color w:val="auto"/>
        </w:rPr>
      </w:pPr>
    </w:p>
    <w:p>
      <w:pPr>
        <w:ind w:left="1320" w:right="520" w:hanging="317"/>
        <w:spacing w:after="0" w:line="254" w:lineRule="auto"/>
        <w:tabs>
          <w:tab w:leader="none" w:pos="1320" w:val="left"/>
        </w:tabs>
        <w:numPr>
          <w:ilvl w:val="1"/>
          <w:numId w:val="171"/>
        </w:numPr>
        <w:rPr>
          <w:rFonts w:ascii="Times New Roman" w:cs="Times New Roman" w:eastAsia="Times New Roman" w:hAnsi="Times New Roman"/>
          <w:sz w:val="16"/>
          <w:szCs w:val="16"/>
          <w:color w:val="auto"/>
        </w:rPr>
      </w:pPr>
      <w:r>
        <w:rPr>
          <w:rFonts w:ascii="Arial" w:cs="Arial" w:eastAsia="Arial" w:hAnsi="Arial"/>
          <w:sz w:val="16"/>
          <w:szCs w:val="16"/>
          <w:color w:val="auto"/>
        </w:rPr>
        <w:t>Our Corporate Governance Guidelines set forth signifcant share ownership requirements for our non-employee directors to ensure that their interests are fully aligned with the interests of our stockholders.</w:t>
      </w:r>
    </w:p>
    <w:p>
      <w:pPr>
        <w:spacing w:after="0" w:line="1" w:lineRule="exact"/>
        <w:rPr>
          <w:rFonts w:ascii="Times New Roman" w:cs="Times New Roman" w:eastAsia="Times New Roman" w:hAnsi="Times New Roman"/>
          <w:sz w:val="16"/>
          <w:szCs w:val="16"/>
          <w:color w:val="auto"/>
        </w:rPr>
      </w:pPr>
    </w:p>
    <w:p>
      <w:pPr>
        <w:ind w:left="1300" w:hanging="324"/>
        <w:spacing w:after="0"/>
        <w:tabs>
          <w:tab w:leader="none" w:pos="1300" w:val="left"/>
        </w:tabs>
        <w:numPr>
          <w:ilvl w:val="0"/>
          <w:numId w:val="171"/>
        </w:numPr>
        <w:rPr>
          <w:rFonts w:ascii="Times New Roman" w:cs="Times New Roman" w:eastAsia="Times New Roman" w:hAnsi="Times New Roman"/>
          <w:sz w:val="16"/>
          <w:szCs w:val="16"/>
          <w:color w:val="auto"/>
        </w:rPr>
      </w:pPr>
      <w:r>
        <w:rPr>
          <w:rFonts w:ascii="Arial" w:cs="Arial" w:eastAsia="Arial" w:hAnsi="Arial"/>
          <w:sz w:val="16"/>
          <w:szCs w:val="16"/>
          <w:color w:val="auto"/>
        </w:rPr>
        <w:t>We  have  an  annual  say-on-pay  vote.</w:t>
      </w:r>
    </w:p>
    <w:p>
      <w:pPr>
        <w:spacing w:after="0" w:line="247" w:lineRule="exact"/>
        <w:rPr>
          <w:sz w:val="20"/>
          <w:szCs w:val="20"/>
          <w:color w:val="auto"/>
        </w:rPr>
      </w:pPr>
    </w:p>
    <w:p>
      <w:pPr>
        <w:jc w:val="both"/>
        <w:ind w:left="660" w:right="360"/>
        <w:spacing w:after="0" w:line="252" w:lineRule="auto"/>
        <w:rPr>
          <w:sz w:val="20"/>
          <w:szCs w:val="20"/>
          <w:color w:val="auto"/>
        </w:rPr>
      </w:pPr>
      <w:r>
        <w:rPr>
          <w:rFonts w:ascii="Arial" w:cs="Arial" w:eastAsia="Arial" w:hAnsi="Arial"/>
          <w:sz w:val="16"/>
          <w:szCs w:val="16"/>
          <w:color w:val="auto"/>
        </w:rPr>
        <w:t>We have continued to work with management to strengthen our stockholder engagement program and corporate governance framework, which has positioned us to help ensure management executes the strategic initiatives that have created sustained, long-term value for shareholders. Since the May 2020 through year-end 2025, United’s</w:t>
      </w:r>
    </w:p>
    <w:p>
      <w:pPr>
        <w:spacing w:after="0" w:line="1" w:lineRule="exact"/>
        <w:rPr>
          <w:sz w:val="20"/>
          <w:szCs w:val="20"/>
          <w:color w:val="auto"/>
        </w:rPr>
      </w:pPr>
    </w:p>
    <w:p>
      <w:pPr>
        <w:ind w:left="660" w:right="140"/>
        <w:spacing w:after="0" w:line="313" w:lineRule="auto"/>
        <w:rPr>
          <w:sz w:val="20"/>
          <w:szCs w:val="20"/>
          <w:color w:val="auto"/>
        </w:rPr>
      </w:pPr>
      <w:r>
        <w:rPr>
          <w:rFonts w:ascii="Arial" w:cs="Arial" w:eastAsia="Arial" w:hAnsi="Arial"/>
          <w:sz w:val="16"/>
          <w:szCs w:val="16"/>
          <w:color w:val="auto"/>
        </w:rPr>
        <w:t>cumulative TSR was over 320%, which was 159 percentage points higher than the cumulative TSR of the Standard and Poor's 500 Index and 262 percentage points higher than the NYSE Arca Airline Index, each over the same period.</w:t>
      </w:r>
    </w:p>
    <w:p>
      <w:pPr>
        <w:spacing w:after="0" w:line="141" w:lineRule="exact"/>
        <w:rPr>
          <w:sz w:val="20"/>
          <w:szCs w:val="20"/>
          <w:color w:val="auto"/>
        </w:rPr>
      </w:pPr>
    </w:p>
    <w:p>
      <w:pPr>
        <w:ind w:left="680" w:hanging="325"/>
        <w:spacing w:after="0"/>
        <w:tabs>
          <w:tab w:leader="none" w:pos="680" w:val="left"/>
        </w:tabs>
        <w:numPr>
          <w:ilvl w:val="0"/>
          <w:numId w:val="172"/>
        </w:numPr>
        <w:rPr>
          <w:rFonts w:ascii="Arial" w:cs="Arial" w:eastAsia="Arial" w:hAnsi="Arial"/>
          <w:sz w:val="16"/>
          <w:szCs w:val="16"/>
          <w:b w:val="1"/>
          <w:bCs w:val="1"/>
          <w:color w:val="auto"/>
        </w:rPr>
      </w:pPr>
      <w:r>
        <w:rPr>
          <w:rFonts w:ascii="Arial" w:cs="Arial" w:eastAsia="Arial" w:hAnsi="Arial"/>
          <w:sz w:val="16"/>
          <w:szCs w:val="16"/>
          <w:b w:val="1"/>
          <w:bCs w:val="1"/>
          <w:color w:val="auto"/>
        </w:rPr>
        <w:t>The Company’s Stockholders Have Previously Rejected this Proposal</w:t>
      </w:r>
    </w:p>
    <w:p>
      <w:pPr>
        <w:spacing w:after="0" w:line="194" w:lineRule="exact"/>
        <w:rPr>
          <w:sz w:val="20"/>
          <w:szCs w:val="20"/>
          <w:color w:val="auto"/>
        </w:rPr>
      </w:pPr>
    </w:p>
    <w:p>
      <w:pPr>
        <w:ind w:left="660" w:right="540"/>
        <w:spacing w:after="0" w:line="252" w:lineRule="auto"/>
        <w:rPr>
          <w:sz w:val="20"/>
          <w:szCs w:val="20"/>
          <w:color w:val="auto"/>
        </w:rPr>
      </w:pPr>
      <w:r>
        <w:rPr>
          <w:rFonts w:ascii="Arial" w:cs="Arial" w:eastAsia="Arial" w:hAnsi="Arial"/>
          <w:sz w:val="16"/>
          <w:szCs w:val="16"/>
          <w:color w:val="auto"/>
        </w:rPr>
        <w:t>The Board also notes that in 2020 and 2015, the Company’s stockholders considered and rejected a substantially similar proposal from the same proponent. This vote outcome refects the general view of our stockholders that adopting a written consent right is inappropriate and reinforces the Board’s belief that the Company’s existing</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meeting-based  framework  appropriately  refects  stockholder  preferences.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Conclusion</w:t>
      </w:r>
    </w:p>
    <w:p>
      <w:pPr>
        <w:spacing w:after="0" w:line="248" w:lineRule="exact"/>
        <w:rPr>
          <w:sz w:val="20"/>
          <w:szCs w:val="20"/>
          <w:color w:val="auto"/>
        </w:rPr>
      </w:pPr>
    </w:p>
    <w:p>
      <w:pPr>
        <w:ind w:left="320" w:right="120"/>
        <w:spacing w:after="0" w:line="255" w:lineRule="auto"/>
        <w:rPr>
          <w:sz w:val="20"/>
          <w:szCs w:val="20"/>
          <w:color w:val="auto"/>
        </w:rPr>
      </w:pPr>
      <w:r>
        <w:rPr>
          <w:rFonts w:ascii="Arial" w:cs="Arial" w:eastAsia="Arial" w:hAnsi="Arial"/>
          <w:sz w:val="16"/>
          <w:szCs w:val="16"/>
          <w:color w:val="auto"/>
        </w:rPr>
        <w:t>The Board believes that permitting stockholder action by written consent would weaken important procedural protections by allowing corporate action to occur without a meeting, without advance notice to all stockholders and without an</w:t>
      </w:r>
    </w:p>
    <w:p>
      <w:pPr>
        <w:spacing w:after="0" w:line="1" w:lineRule="exact"/>
        <w:rPr>
          <w:sz w:val="20"/>
          <w:szCs w:val="20"/>
          <w:color w:val="auto"/>
        </w:rPr>
      </w:pPr>
    </w:p>
    <w:p>
      <w:pPr>
        <w:ind w:left="320" w:right="40"/>
        <w:spacing w:after="0" w:line="250" w:lineRule="auto"/>
        <w:rPr>
          <w:sz w:val="20"/>
          <w:szCs w:val="20"/>
          <w:color w:val="auto"/>
        </w:rPr>
      </w:pPr>
      <w:r>
        <w:rPr>
          <w:rFonts w:ascii="Arial" w:cs="Arial" w:eastAsia="Arial" w:hAnsi="Arial"/>
          <w:sz w:val="16"/>
          <w:szCs w:val="16"/>
          <w:color w:val="auto"/>
        </w:rPr>
        <w:t>opportunity for collective discussion and consideration. The Company’s Amended and Restated Certifcate of Incorporation requires that stockholder actions be taken at duly called annual or special meetings and does not permit action by written consent. The Company’s existing governance framework strikes an appropriate balance between providing stockholders with meaningful rights and a mechanism to infuence the direction of the Company while preserving transparency, fairness</w:t>
      </w:r>
    </w:p>
    <w:p>
      <w:pPr>
        <w:spacing w:after="0" w:line="3" w:lineRule="exact"/>
        <w:rPr>
          <w:sz w:val="20"/>
          <w:szCs w:val="20"/>
          <w:color w:val="auto"/>
        </w:rPr>
      </w:pPr>
    </w:p>
    <w:p>
      <w:pPr>
        <w:ind w:left="320" w:right="220"/>
        <w:spacing w:after="0" w:line="279" w:lineRule="auto"/>
        <w:rPr>
          <w:sz w:val="20"/>
          <w:szCs w:val="20"/>
          <w:color w:val="auto"/>
        </w:rPr>
      </w:pPr>
      <w:r>
        <w:rPr>
          <w:rFonts w:ascii="Arial" w:cs="Arial" w:eastAsia="Arial" w:hAnsi="Arial"/>
          <w:sz w:val="16"/>
          <w:szCs w:val="16"/>
          <w:color w:val="auto"/>
        </w:rPr>
        <w:t>and informed decision making as well as protecting against the risk of abuse of this proposal by a small group of stockholders—including stockholders with special interests—to the detriment of the best long-term interests of all of our stockholders and the Company.</w:t>
      </w:r>
    </w:p>
    <w:p>
      <w:pPr>
        <w:spacing w:after="0" w:line="128" w:lineRule="exact"/>
        <w:rPr>
          <w:sz w:val="20"/>
          <w:szCs w:val="20"/>
          <w:color w:val="auto"/>
        </w:rPr>
      </w:pPr>
    </w:p>
    <w:p>
      <w:pPr>
        <w:ind w:left="320" w:right="420"/>
        <w:spacing w:after="0" w:line="313" w:lineRule="auto"/>
        <w:rPr>
          <w:sz w:val="20"/>
          <w:szCs w:val="20"/>
          <w:color w:val="auto"/>
        </w:rPr>
      </w:pPr>
      <w:r>
        <w:rPr>
          <w:rFonts w:ascii="Arial" w:cs="Arial" w:eastAsia="Arial" w:hAnsi="Arial"/>
          <w:sz w:val="16"/>
          <w:szCs w:val="16"/>
          <w:color w:val="auto"/>
        </w:rPr>
        <w:t>For these reasons, the Board believes that adoption of this proposal is unnecessary and not in the best interests of the Company or its stockholders and recommends a vote “AGAINST” this proposal.</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THE BOARD UNANIMOUSLY RECOMMENDS A VOTE “</w:t>
      </w:r>
      <w:r>
        <w:rPr>
          <w:rFonts w:ascii="Arial" w:cs="Arial" w:eastAsia="Arial" w:hAnsi="Arial"/>
          <w:sz w:val="16"/>
          <w:szCs w:val="16"/>
          <w:b w:val="1"/>
          <w:bCs w:val="1"/>
          <w:color w:val="FF0000"/>
        </w:rPr>
        <w:t>AGAINST</w:t>
      </w:r>
      <w:r>
        <w:rPr>
          <w:rFonts w:ascii="Arial" w:cs="Arial" w:eastAsia="Arial" w:hAnsi="Arial"/>
          <w:sz w:val="16"/>
          <w:szCs w:val="16"/>
          <w:b w:val="1"/>
          <w:bCs w:val="1"/>
          <w:color w:val="auto"/>
        </w:rPr>
        <w:t>” ITEM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2026  Proxy  Statement</w:t>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1414D2"/>
        </w:rPr>
        <w:t>137</w:t>
      </w:r>
    </w:p>
    <w:p>
      <w:pPr>
        <w:sectPr>
          <w:pgSz w:w="11900" w:h="16838" w:orient="portrait"/>
          <w:cols w:equalWidth="0" w:num="1">
            <w:col w:w="9720"/>
          </w:cols>
          <w:pgMar w:left="1080" w:top="695" w:right="1099" w:bottom="1440" w:gutter="0" w:footer="0" w:header="0"/>
        </w:sectPr>
      </w:pPr>
    </w:p>
    <w:bookmarkStart w:id="148" w:name="page149"/>
    <w:bookmarkEnd w:id="148"/>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27" w:lineRule="exact"/>
        <w:rPr>
          <w:sz w:val="20"/>
          <w:szCs w:val="20"/>
          <w:color w:val="auto"/>
        </w:rPr>
      </w:pPr>
    </w:p>
    <w:p>
      <w:pPr>
        <w:spacing w:after="0"/>
        <w:rPr>
          <w:sz w:val="20"/>
          <w:szCs w:val="20"/>
          <w:color w:val="auto"/>
        </w:rPr>
      </w:pPr>
      <w:r>
        <w:rPr>
          <w:rFonts w:ascii="Arial" w:cs="Arial" w:eastAsia="Arial" w:hAnsi="Arial"/>
          <w:sz w:val="13"/>
          <w:szCs w:val="13"/>
          <w:color w:val="6D6F71"/>
        </w:rPr>
        <w:t>Item  4  -  Advisory  Vote  on  Stockholder  Proposal  Regarding  Shareholder  Right  to  Act  by  Written  Consent</w:t>
      </w:r>
    </w:p>
    <w:p>
      <w:pPr>
        <w:sectPr>
          <w:pgSz w:w="11900" w:h="16838" w:orient="portrait"/>
          <w:cols w:equalWidth="0" w:num="1">
            <w:col w:w="9600"/>
          </w:cols>
          <w:pgMar w:left="1080" w:top="695" w:right="1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40"/>
        <w:spacing w:after="0" w:line="330" w:lineRule="auto"/>
        <w:rPr>
          <w:sz w:val="20"/>
          <w:szCs w:val="20"/>
          <w:color w:val="auto"/>
        </w:rPr>
      </w:pPr>
      <w:r>
        <w:rPr>
          <w:rFonts w:ascii="Arial" w:cs="Arial" w:eastAsia="Arial" w:hAnsi="Arial"/>
          <w:sz w:val="16"/>
          <w:szCs w:val="16"/>
          <w:b w:val="1"/>
          <w:bCs w:val="1"/>
          <w:color w:val="auto"/>
        </w:rPr>
        <w:t xml:space="preserve">The Board recommends you vote </w:t>
      </w:r>
      <w:r>
        <w:rPr>
          <w:rFonts w:ascii="Arial" w:cs="Arial" w:eastAsia="Arial" w:hAnsi="Arial"/>
          <w:sz w:val="16"/>
          <w:szCs w:val="16"/>
          <w:b w:val="1"/>
          <w:bCs w:val="1"/>
          <w:color w:val="FF0000"/>
        </w:rPr>
        <w:t>AGAINST</w:t>
      </w:r>
      <w:r>
        <w:rPr>
          <w:rFonts w:ascii="Arial" w:cs="Arial" w:eastAsia="Arial" w:hAnsi="Arial"/>
          <w:sz w:val="16"/>
          <w:szCs w:val="16"/>
          <w:b w:val="1"/>
          <w:bCs w:val="1"/>
          <w:color w:val="auto"/>
        </w:rPr>
        <w:t xml:space="preserve"> Item 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VOTE REQUIRED</w:t>
      </w:r>
    </w:p>
    <w:p>
      <w:pPr>
        <w:spacing w:after="0" w:line="127" w:lineRule="exact"/>
        <w:rPr>
          <w:sz w:val="20"/>
          <w:szCs w:val="20"/>
          <w:color w:val="auto"/>
        </w:rPr>
      </w:pPr>
    </w:p>
    <w:p>
      <w:pPr>
        <w:ind w:right="140"/>
        <w:spacing w:after="0" w:line="279" w:lineRule="auto"/>
        <w:rPr>
          <w:sz w:val="20"/>
          <w:szCs w:val="20"/>
          <w:color w:val="auto"/>
        </w:rPr>
      </w:pPr>
      <w:r>
        <w:rPr>
          <w:rFonts w:ascii="Arial" w:cs="Arial" w:eastAsia="Arial" w:hAnsi="Arial"/>
          <w:sz w:val="16"/>
          <w:szCs w:val="16"/>
          <w:color w:val="auto"/>
        </w:rPr>
        <w:t>Approval of Item 4-Advisory Vote on Stockholder Proposal Regarding Shareholder Right to Act by Written Consent -requires the afrmative vote of a majority in voting power of the shares present in person or represented by proxy and entitled to vote on such matter.</w:t>
      </w:r>
    </w:p>
    <w:p>
      <w:pPr>
        <w:spacing w:after="0" w:line="33" w:lineRule="exact"/>
        <w:rPr>
          <w:sz w:val="20"/>
          <w:szCs w:val="20"/>
          <w:color w:val="auto"/>
        </w:rPr>
      </w:pPr>
    </w:p>
    <w:p>
      <w:pPr>
        <w:spacing w:after="0" w:line="330" w:lineRule="auto"/>
        <w:rPr>
          <w:sz w:val="20"/>
          <w:szCs w:val="20"/>
          <w:color w:val="auto"/>
        </w:rPr>
      </w:pPr>
      <w:r>
        <w:rPr>
          <w:rFonts w:ascii="Arial" w:cs="Arial" w:eastAsia="Arial" w:hAnsi="Arial"/>
          <w:sz w:val="16"/>
          <w:szCs w:val="16"/>
          <w:color w:val="auto"/>
        </w:rPr>
        <w:t>If you elect to abstain, the abstention will have the same efect as an “AGAINST” vote. Broker non-votes will have no efect on the outcome of this proposal.</w:t>
      </w:r>
    </w:p>
    <w:p>
      <w:pPr>
        <w:spacing w:after="0" w:line="200" w:lineRule="exact"/>
        <w:rPr>
          <w:sz w:val="20"/>
          <w:szCs w:val="20"/>
          <w:color w:val="auto"/>
        </w:rPr>
      </w:pPr>
    </w:p>
    <w:p>
      <w:pPr>
        <w:sectPr>
          <w:pgSz w:w="11900" w:h="16838" w:orient="portrait"/>
          <w:cols w:equalWidth="0" w:num="2">
            <w:col w:w="2260" w:space="360"/>
            <w:col w:w="6980"/>
          </w:cols>
          <w:pgMar w:left="1080" w:top="695" w:right="12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right"/>
        <w:ind w:right="7600"/>
        <w:spacing w:after="0"/>
        <w:rPr>
          <w:sz w:val="20"/>
          <w:szCs w:val="20"/>
          <w:color w:val="auto"/>
        </w:rPr>
      </w:pPr>
      <w:r>
        <w:rPr>
          <w:rFonts w:ascii="Arial" w:cs="Arial" w:eastAsia="Arial" w:hAnsi="Arial"/>
          <w:sz w:val="16"/>
          <w:szCs w:val="16"/>
          <w:color w:val="auto"/>
        </w:rPr>
        <w:t>​​2026​  Proxy</w:t>
      </w:r>
    </w:p>
    <w:p>
      <w:pPr>
        <w:spacing w:after="0" w:line="5" w:lineRule="exact"/>
        <w:rPr>
          <w:sz w:val="20"/>
          <w:szCs w:val="20"/>
          <w:color w:val="auto"/>
        </w:rPr>
      </w:pPr>
    </w:p>
    <w:p>
      <w:pPr>
        <w:ind w:left="660" w:hanging="656"/>
        <w:spacing w:after="0"/>
        <w:tabs>
          <w:tab w:leader="none" w:pos="660" w:val="left"/>
        </w:tabs>
        <w:numPr>
          <w:ilvl w:val="0"/>
          <w:numId w:val="173"/>
        </w:numPr>
        <w:rPr>
          <w:rFonts w:ascii="Arial" w:cs="Arial" w:eastAsia="Arial" w:hAnsi="Arial"/>
          <w:sz w:val="16"/>
          <w:szCs w:val="16"/>
          <w:b w:val="1"/>
          <w:bCs w:val="1"/>
          <w:color w:val="1414D2"/>
        </w:rPr>
      </w:pPr>
      <w:r>
        <w:rPr>
          <w:rFonts w:ascii="Arial" w:cs="Arial" w:eastAsia="Arial" w:hAnsi="Arial"/>
          <w:sz w:val="16"/>
          <w:szCs w:val="16"/>
          <w:color w:val="auto"/>
        </w:rPr>
        <w:t>Statement</w:t>
      </w:r>
    </w:p>
    <w:p>
      <w:pPr>
        <w:sectPr>
          <w:pgSz w:w="11900" w:h="16838" w:orient="portrait"/>
          <w:cols w:equalWidth="0" w:num="1">
            <w:col w:w="9600"/>
          </w:cols>
          <w:pgMar w:left="1080" w:top="695" w:right="1219" w:bottom="1440" w:gutter="0" w:footer="0" w:header="0"/>
          <w:type w:val="continuous"/>
        </w:sectPr>
      </w:pPr>
    </w:p>
    <w:bookmarkStart w:id="149" w:name="page150"/>
    <w:bookmarkEnd w:id="149"/>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43"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Annual Meeting Information</w:t>
      </w:r>
    </w:p>
    <w:p>
      <w:pPr>
        <w:spacing w:after="0" w:line="400" w:lineRule="exact"/>
        <w:rPr>
          <w:sz w:val="20"/>
          <w:szCs w:val="20"/>
          <w:color w:val="auto"/>
        </w:rPr>
      </w:pPr>
    </w:p>
    <w:p>
      <w:pPr>
        <w:spacing w:after="0"/>
        <w:rPr>
          <w:sz w:val="20"/>
          <w:szCs w:val="20"/>
          <w:color w:val="auto"/>
        </w:rPr>
      </w:pPr>
      <w:r>
        <w:rPr>
          <w:rFonts w:ascii="Arial" w:cs="Arial" w:eastAsia="Arial" w:hAnsi="Arial"/>
          <w:sz w:val="25"/>
          <w:szCs w:val="25"/>
          <w:b w:val="1"/>
          <w:bCs w:val="1"/>
          <w:color w:val="1414D2"/>
        </w:rPr>
        <w:t>General Information About the Annual Meeting</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WHO IS SOLICITING MY VOTE?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Board  is  soliciting  your  vote  at  the  Annual  Meeting.</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WHERE AND WHEN WILL THE ANNUAL MEETING TAKE PLACE?</w:t>
      </w:r>
    </w:p>
    <w:p>
      <w:pPr>
        <w:spacing w:after="0" w:line="113" w:lineRule="exact"/>
        <w:rPr>
          <w:sz w:val="20"/>
          <w:szCs w:val="20"/>
          <w:color w:val="auto"/>
        </w:rPr>
      </w:pPr>
    </w:p>
    <w:p>
      <w:pPr>
        <w:ind w:right="20"/>
        <w:spacing w:after="0" w:line="313" w:lineRule="auto"/>
        <w:rPr>
          <w:sz w:val="20"/>
          <w:szCs w:val="20"/>
          <w:color w:val="auto"/>
        </w:rPr>
      </w:pPr>
      <w:r>
        <w:rPr>
          <w:rFonts w:ascii="Arial" w:cs="Arial" w:eastAsia="Arial" w:hAnsi="Arial"/>
          <w:sz w:val="16"/>
          <w:szCs w:val="16"/>
          <w:color w:val="auto"/>
        </w:rPr>
        <w:t xml:space="preserve">The Annual Meeting will be held in a virtual meeting format only, with no physical in-person meeting, on Tuesday, May 19, 2026, at 9:00 a.m., Central Time, via the Internet at </w:t>
      </w:r>
      <w:r>
        <w:rPr>
          <w:rFonts w:ascii="Arial" w:cs="Arial" w:eastAsia="Arial" w:hAnsi="Arial"/>
          <w:sz w:val="16"/>
          <w:szCs w:val="16"/>
          <w:b w:val="1"/>
          <w:bCs w:val="1"/>
          <w:color w:val="1414D2"/>
        </w:rPr>
        <w:t>www.virtualshareholdermeeting.com/UAL2026</w:t>
      </w:r>
      <w:r>
        <w:rPr>
          <w:rFonts w:ascii="Arial" w:cs="Arial" w:eastAsia="Arial" w:hAnsi="Arial"/>
          <w:sz w:val="16"/>
          <w:szCs w:val="16"/>
          <w:color w:val="auto"/>
        </w:rPr>
        <w:t>.</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At  our  virtual  Annual  Meeting,  stockholders  will  be  able  to  attend,  vote  and  submit  questions  via  the  Internet.  Whether  or  not</w:t>
      </w:r>
    </w:p>
    <w:p>
      <w:pPr>
        <w:spacing w:after="0" w:line="19" w:lineRule="exact"/>
        <w:rPr>
          <w:sz w:val="20"/>
          <w:szCs w:val="20"/>
          <w:color w:val="auto"/>
        </w:rPr>
      </w:pPr>
    </w:p>
    <w:p>
      <w:pPr>
        <w:ind w:right="360"/>
        <w:spacing w:after="0" w:line="313" w:lineRule="auto"/>
        <w:rPr>
          <w:sz w:val="20"/>
          <w:szCs w:val="20"/>
          <w:color w:val="auto"/>
        </w:rPr>
      </w:pPr>
      <w:r>
        <w:rPr>
          <w:rFonts w:ascii="Arial" w:cs="Arial" w:eastAsia="Arial" w:hAnsi="Arial"/>
          <w:sz w:val="16"/>
          <w:szCs w:val="16"/>
          <w:color w:val="auto"/>
        </w:rPr>
        <w:t>you plan to attend the Annual Meeting, we urge you to vote and submit your proxy in advance of the meeting by one of the methods described in these proxy materials.</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CAN I ATTEND THE ANNUAL MEETING?</w:t>
      </w:r>
    </w:p>
    <w:p>
      <w:pPr>
        <w:spacing w:after="0" w:line="127"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 xml:space="preserve">Stockholders as of the Record Date (or their duly appointed proxy holder) may attend, vote and submit questions virtually at the Annual Meeting by logging in at </w:t>
      </w:r>
      <w:r>
        <w:rPr>
          <w:rFonts w:ascii="Arial" w:cs="Arial" w:eastAsia="Arial" w:hAnsi="Arial"/>
          <w:sz w:val="16"/>
          <w:szCs w:val="16"/>
          <w:b w:val="1"/>
          <w:bCs w:val="1"/>
          <w:color w:val="1414D2"/>
        </w:rPr>
        <w:t>www.virtualshareholdermeeting.com/UAL2026</w:t>
      </w:r>
      <w:r>
        <w:rPr>
          <w:rFonts w:ascii="Arial" w:cs="Arial" w:eastAsia="Arial" w:hAnsi="Arial"/>
          <w:sz w:val="16"/>
          <w:szCs w:val="16"/>
          <w:color w:val="auto"/>
        </w:rPr>
        <w:t>. To log in, stockholders (or their authorized representatives) will need the control number provided on their proxy card, voting instruction form or Notice of Internet Availability of Proxy Materials. For those stockholders who have elected to receive the proxy materials via electronic delivery,</w:t>
      </w:r>
    </w:p>
    <w:p>
      <w:pPr>
        <w:spacing w:after="0" w:line="3"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you will receive an email from Broadridge (as defned below) containing your control number. If you are not a stockholder or do not have a control number, you may still access the meeting as a guest, but you will not be able to submit questions or vote at the meeting.</w:t>
      </w:r>
    </w:p>
    <w:p>
      <w:pPr>
        <w:spacing w:after="0" w:line="226" w:lineRule="exact"/>
        <w:rPr>
          <w:sz w:val="20"/>
          <w:szCs w:val="20"/>
          <w:color w:val="auto"/>
        </w:rPr>
      </w:pPr>
    </w:p>
    <w:p>
      <w:pPr>
        <w:spacing w:after="0"/>
        <w:rPr>
          <w:sz w:val="20"/>
          <w:szCs w:val="20"/>
          <w:color w:val="auto"/>
        </w:rPr>
      </w:pPr>
      <w:r>
        <w:rPr>
          <w:rFonts w:ascii="Arial" w:cs="Arial" w:eastAsia="Arial" w:hAnsi="Arial"/>
          <w:sz w:val="15"/>
          <w:szCs w:val="15"/>
          <w:color w:val="auto"/>
        </w:rPr>
        <w:t>The  meeting  will  begin  promptly  at  9:00  a.m.,  Central  Time,  on  Tuesday,  May  19,  2026.  We  encourage  you  to  access  the  meeting</w:t>
      </w:r>
    </w:p>
    <w:p>
      <w:pPr>
        <w:spacing w:after="0" w:line="30" w:lineRule="exact"/>
        <w:rPr>
          <w:sz w:val="20"/>
          <w:szCs w:val="20"/>
          <w:color w:val="auto"/>
        </w:rPr>
      </w:pPr>
    </w:p>
    <w:p>
      <w:pPr>
        <w:ind w:right="200"/>
        <w:spacing w:after="0" w:line="250" w:lineRule="auto"/>
        <w:rPr>
          <w:sz w:val="20"/>
          <w:szCs w:val="20"/>
          <w:color w:val="auto"/>
        </w:rPr>
      </w:pPr>
      <w:r>
        <w:rPr>
          <w:rFonts w:ascii="Arial" w:cs="Arial" w:eastAsia="Arial" w:hAnsi="Arial"/>
          <w:sz w:val="16"/>
          <w:szCs w:val="16"/>
          <w:color w:val="auto"/>
        </w:rPr>
        <w:t>prior to the start time. We encourage you to access the Annual Meeting before it begins as participation in the meeting is limited due to the capacity of the host platform and access to the meeting will be accepted on a frst come, frst served basis once electronic entry begins. If you cannot attend the meeting, it will be webcast and available on our Investor Relations website. Online access will open at 8:45 a.m., Central Time, and you should allow ample time to log in to the meeting webcast</w:t>
      </w:r>
    </w:p>
    <w:p>
      <w:pPr>
        <w:spacing w:after="0" w:line="3"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and test your computer audio system. We recommend that you carefully review the procedures needed to gain admission in advance. A recording of the meeting will be available at </w:t>
      </w:r>
      <w:r>
        <w:rPr>
          <w:rFonts w:ascii="Arial" w:cs="Arial" w:eastAsia="Arial" w:hAnsi="Arial"/>
          <w:sz w:val="16"/>
          <w:szCs w:val="16"/>
          <w:b w:val="1"/>
          <w:bCs w:val="1"/>
          <w:color w:val="1414D2"/>
        </w:rPr>
        <w:t>www.virtualshareholdermeeting.com/UAL2026</w:t>
      </w:r>
      <w:r>
        <w:rPr>
          <w:rFonts w:ascii="Arial" w:cs="Arial" w:eastAsia="Arial" w:hAnsi="Arial"/>
          <w:sz w:val="16"/>
          <w:szCs w:val="16"/>
          <w:color w:val="auto"/>
        </w:rPr>
        <w:t xml:space="preserve"> for one year after the meeting.</w:t>
      </w: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CAN I ASK QUESTIONS AT THE VIRTUAL ANNUAL MEETING?</w:t>
      </w:r>
    </w:p>
    <w:p>
      <w:pPr>
        <w:spacing w:after="0" w:line="127"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Stockholders as of the Record Date who attend and participate in our virtual Annual Meeting will have an opportunity to submit questions live via the Internet during a designated portion of the meeting. Additional rules and procedures regarding asking questions will be available on the virtual meeting website. Stockholders must have available their control number provided on</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 xml:space="preserve">their proxy card, voting instruction form or Notice of Internet Availability of Proxy Materials to ask questions during the meeting. A question and answer session will follow the formal business of the Annual Meeting. To submit questions in advance of the Annual Meeting, visit </w:t>
      </w:r>
      <w:r>
        <w:rPr>
          <w:rFonts w:ascii="Arial" w:cs="Arial" w:eastAsia="Arial" w:hAnsi="Arial"/>
          <w:sz w:val="16"/>
          <w:szCs w:val="16"/>
          <w:b w:val="1"/>
          <w:bCs w:val="1"/>
          <w:color w:val="1414D2"/>
        </w:rPr>
        <w:t>www.virtualshareholdermeeting.com/UAL2026</w:t>
      </w:r>
      <w:r>
        <w:rPr>
          <w:rFonts w:ascii="Arial" w:cs="Arial" w:eastAsia="Arial" w:hAnsi="Arial"/>
          <w:sz w:val="16"/>
          <w:szCs w:val="16"/>
          <w:color w:val="auto"/>
        </w:rPr>
        <w:t xml:space="preserve"> before 9:00 a.m. Central Time on May 19, 2026 and enter the control number. To submit a question during the meeting, visit </w:t>
      </w:r>
      <w:r>
        <w:rPr>
          <w:rFonts w:ascii="Arial" w:cs="Arial" w:eastAsia="Arial" w:hAnsi="Arial"/>
          <w:sz w:val="16"/>
          <w:szCs w:val="16"/>
          <w:b w:val="1"/>
          <w:bCs w:val="1"/>
          <w:color w:val="1414D2"/>
        </w:rPr>
        <w:t>www.virtualshareholdermeeting.com/UAL2026</w:t>
      </w:r>
      <w:r>
        <w:rPr>
          <w:rFonts w:ascii="Arial" w:cs="Arial" w:eastAsia="Arial" w:hAnsi="Arial"/>
          <w:sz w:val="16"/>
          <w:szCs w:val="16"/>
          <w:color w:val="auto"/>
        </w:rPr>
        <w:t>,</w:t>
      </w:r>
    </w:p>
    <w:p>
      <w:pPr>
        <w:spacing w:after="0" w:line="3" w:lineRule="exact"/>
        <w:rPr>
          <w:sz w:val="20"/>
          <w:szCs w:val="20"/>
          <w:color w:val="auto"/>
        </w:rPr>
      </w:pPr>
    </w:p>
    <w:p>
      <w:pPr>
        <w:ind w:right="1720"/>
        <w:spacing w:after="0" w:line="457" w:lineRule="auto"/>
        <w:rPr>
          <w:sz w:val="20"/>
          <w:szCs w:val="20"/>
          <w:color w:val="auto"/>
        </w:rPr>
      </w:pPr>
      <w:r>
        <w:rPr>
          <w:rFonts w:ascii="Arial" w:cs="Arial" w:eastAsia="Arial" w:hAnsi="Arial"/>
          <w:sz w:val="16"/>
          <w:szCs w:val="16"/>
          <w:color w:val="auto"/>
        </w:rPr>
        <w:t xml:space="preserve">enter your control number and type your question into the “Ask a Question” feld and click “Submit.” </w:t>
      </w:r>
      <w:r>
        <w:rPr>
          <w:rFonts w:ascii="Arial" w:cs="Arial" w:eastAsia="Arial" w:hAnsi="Arial"/>
          <w:sz w:val="16"/>
          <w:szCs w:val="16"/>
          <w:b w:val="1"/>
          <w:bCs w:val="1"/>
          <w:color w:val="auto"/>
        </w:rPr>
        <w:t>WHAT IF I HAVE TECHNICAL DIFFICULTIES OR TROUBLE ACCESSING THE VIRTUAL ANNUAL MEETING?</w:t>
      </w:r>
    </w:p>
    <w:p>
      <w:pPr>
        <w:spacing w:after="0" w:line="1"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We will have technicians ready to assist you with any technical difculties you may have accessing the virtual meeting. If you encounter any difculties accessing the virtual meeting during check-in or during the meeting, please call the technical support</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number  that  will  be  posted  on  the  virtual  stockholder  meeting  login  page:  </w:t>
      </w:r>
      <w:r>
        <w:rPr>
          <w:rFonts w:ascii="Arial" w:cs="Arial" w:eastAsia="Arial" w:hAnsi="Arial"/>
          <w:sz w:val="16"/>
          <w:szCs w:val="16"/>
          <w:b w:val="1"/>
          <w:bCs w:val="1"/>
          <w:color w:val="1414D2"/>
        </w:rPr>
        <w:t>www.virtualshareholdermeeting.com/UAL2026</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2026  Proxy  Statement</w:t>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1414D2"/>
        </w:rPr>
        <w:t>139</w:t>
      </w:r>
    </w:p>
    <w:p>
      <w:pPr>
        <w:sectPr>
          <w:pgSz w:w="11900" w:h="16838" w:orient="portrait"/>
          <w:cols w:equalWidth="0" w:num="1">
            <w:col w:w="9720"/>
          </w:cols>
          <w:pgMar w:left="1080" w:top="695" w:right="1099" w:bottom="1440" w:gutter="0" w:footer="0" w:header="0"/>
        </w:sectPr>
      </w:pPr>
    </w:p>
    <w:bookmarkStart w:id="150" w:name="page151"/>
    <w:bookmarkEnd w:id="150"/>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6D6F71"/>
        </w:rPr>
        <w:t>Annual  Meeting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WILL I BE VOTING ON?</w:t>
      </w:r>
    </w:p>
    <w:p>
      <w:pPr>
        <w:spacing w:after="0" w:line="113" w:lineRule="exact"/>
        <w:rPr>
          <w:sz w:val="20"/>
          <w:szCs w:val="20"/>
          <w:color w:val="auto"/>
        </w:rPr>
      </w:pPr>
    </w:p>
    <w:p>
      <w:pPr>
        <w:ind w:left="320" w:hanging="316"/>
        <w:spacing w:after="0"/>
        <w:tabs>
          <w:tab w:leader="none" w:pos="320" w:val="left"/>
        </w:tabs>
        <w:numPr>
          <w:ilvl w:val="0"/>
          <w:numId w:val="174"/>
        </w:numPr>
        <w:rPr>
          <w:rFonts w:ascii="Times New Roman" w:cs="Times New Roman" w:eastAsia="Times New Roman" w:hAnsi="Times New Roman"/>
          <w:sz w:val="16"/>
          <w:szCs w:val="16"/>
          <w:color w:val="auto"/>
        </w:rPr>
      </w:pPr>
      <w:r>
        <w:rPr>
          <w:rFonts w:ascii="Arial" w:cs="Arial" w:eastAsia="Arial" w:hAnsi="Arial"/>
          <w:sz w:val="16"/>
          <w:szCs w:val="16"/>
          <w:color w:val="auto"/>
        </w:rPr>
        <w:t>The  election  as  directors  of  the  applicable  nominees  named  in  this  Proxy  Statement  for  a  one-year  term.</w:t>
      </w:r>
    </w:p>
    <w:p>
      <w:pPr>
        <w:spacing w:after="0" w:line="112" w:lineRule="exact"/>
        <w:rPr>
          <w:rFonts w:ascii="Times New Roman" w:cs="Times New Roman" w:eastAsia="Times New Roman" w:hAnsi="Times New Roman"/>
          <w:sz w:val="16"/>
          <w:szCs w:val="16"/>
          <w:color w:val="auto"/>
        </w:rPr>
      </w:pPr>
    </w:p>
    <w:p>
      <w:pPr>
        <w:ind w:left="320" w:right="120" w:hanging="316"/>
        <w:spacing w:after="0" w:line="325" w:lineRule="auto"/>
        <w:tabs>
          <w:tab w:leader="none" w:pos="320" w:val="left"/>
        </w:tabs>
        <w:numPr>
          <w:ilvl w:val="0"/>
          <w:numId w:val="174"/>
        </w:numPr>
        <w:rPr>
          <w:rFonts w:ascii="Times New Roman" w:cs="Times New Roman" w:eastAsia="Times New Roman" w:hAnsi="Times New Roman"/>
          <w:sz w:val="16"/>
          <w:szCs w:val="16"/>
          <w:color w:val="auto"/>
        </w:rPr>
      </w:pPr>
      <w:r>
        <w:rPr>
          <w:rFonts w:ascii="Arial" w:cs="Arial" w:eastAsia="Arial" w:hAnsi="Arial"/>
          <w:sz w:val="16"/>
          <w:szCs w:val="16"/>
          <w:color w:val="auto"/>
        </w:rPr>
        <w:t>The ratifcation of the appointment of Ernst &amp; Young LLP to serve as our independent registered public accounting frm for the fscal year ending December 31, 2026.</w:t>
      </w:r>
    </w:p>
    <w:p>
      <w:pPr>
        <w:ind w:left="320" w:hanging="316"/>
        <w:spacing w:after="0"/>
        <w:tabs>
          <w:tab w:leader="none" w:pos="320" w:val="left"/>
        </w:tabs>
        <w:numPr>
          <w:ilvl w:val="0"/>
          <w:numId w:val="174"/>
        </w:numPr>
        <w:rPr>
          <w:rFonts w:ascii="Times New Roman" w:cs="Times New Roman" w:eastAsia="Times New Roman" w:hAnsi="Times New Roman"/>
          <w:sz w:val="16"/>
          <w:szCs w:val="16"/>
          <w:color w:val="auto"/>
        </w:rPr>
      </w:pPr>
      <w:r>
        <w:rPr>
          <w:rFonts w:ascii="Arial" w:cs="Arial" w:eastAsia="Arial" w:hAnsi="Arial"/>
          <w:sz w:val="16"/>
          <w:szCs w:val="16"/>
          <w:color w:val="auto"/>
        </w:rPr>
        <w:t>A  vote  to  approve,  on  a  nonbinding  advisory  basis,  the  compensation  of  our  named  executive  ofcers.</w:t>
      </w:r>
    </w:p>
    <w:p>
      <w:pPr>
        <w:spacing w:after="0" w:line="112" w:lineRule="exact"/>
        <w:rPr>
          <w:rFonts w:ascii="Times New Roman" w:cs="Times New Roman" w:eastAsia="Times New Roman" w:hAnsi="Times New Roman"/>
          <w:sz w:val="16"/>
          <w:szCs w:val="16"/>
          <w:color w:val="auto"/>
        </w:rPr>
      </w:pPr>
    </w:p>
    <w:p>
      <w:pPr>
        <w:ind w:left="320" w:hanging="316"/>
        <w:spacing w:after="0"/>
        <w:tabs>
          <w:tab w:leader="none" w:pos="320" w:val="left"/>
        </w:tabs>
        <w:numPr>
          <w:ilvl w:val="0"/>
          <w:numId w:val="174"/>
        </w:numPr>
        <w:rPr>
          <w:rFonts w:ascii="Times New Roman" w:cs="Times New Roman" w:eastAsia="Times New Roman" w:hAnsi="Times New Roman"/>
          <w:sz w:val="16"/>
          <w:szCs w:val="16"/>
          <w:color w:val="auto"/>
        </w:rPr>
      </w:pPr>
      <w:r>
        <w:rPr>
          <w:rFonts w:ascii="Arial" w:cs="Arial" w:eastAsia="Arial" w:hAnsi="Arial"/>
          <w:sz w:val="16"/>
          <w:szCs w:val="16"/>
          <w:color w:val="auto"/>
        </w:rPr>
        <w:t>The  stockholder  proposal,  if  properly  presented  before  the  Annual  Meeting.</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WHO IS ENTITLED TO VOTE?</w:t>
      </w:r>
    </w:p>
    <w:p>
      <w:pPr>
        <w:spacing w:after="0" w:line="127" w:lineRule="exact"/>
        <w:rPr>
          <w:sz w:val="20"/>
          <w:szCs w:val="20"/>
          <w:color w:val="auto"/>
        </w:rPr>
      </w:pPr>
    </w:p>
    <w:p>
      <w:pPr>
        <w:ind w:right="80"/>
        <w:spacing w:after="0" w:line="268" w:lineRule="auto"/>
        <w:rPr>
          <w:sz w:val="20"/>
          <w:szCs w:val="20"/>
          <w:color w:val="auto"/>
        </w:rPr>
      </w:pPr>
      <w:r>
        <w:rPr>
          <w:rFonts w:ascii="Arial" w:cs="Arial" w:eastAsia="Arial" w:hAnsi="Arial"/>
          <w:sz w:val="16"/>
          <w:szCs w:val="16"/>
          <w:color w:val="auto"/>
        </w:rPr>
        <w:t>If you are a stockholder with shares of our voting stock, including Common Stock, registered in your name with Computershare Investor Services, the Company’s transfer agent and registrar, then you are considered a “stockholder of record.” Stockholders of record at the close of business on March 24, 2026, which is known as the “Record Date” for the Annual Meeting, are entitled to notice of and to vote at the Annual Meeting or any adjournments or postponements thereof.</w:t>
      </w:r>
    </w:p>
    <w:p>
      <w:pPr>
        <w:spacing w:after="0" w:line="56" w:lineRule="exact"/>
        <w:rPr>
          <w:sz w:val="20"/>
          <w:szCs w:val="20"/>
          <w:color w:val="auto"/>
        </w:rPr>
      </w:pPr>
    </w:p>
    <w:p>
      <w:pPr>
        <w:ind w:right="180"/>
        <w:spacing w:after="0" w:line="279" w:lineRule="auto"/>
        <w:rPr>
          <w:sz w:val="20"/>
          <w:szCs w:val="20"/>
          <w:color w:val="auto"/>
        </w:rPr>
      </w:pPr>
      <w:r>
        <w:rPr>
          <w:rFonts w:ascii="Arial" w:cs="Arial" w:eastAsia="Arial" w:hAnsi="Arial"/>
          <w:sz w:val="16"/>
          <w:szCs w:val="16"/>
          <w:color w:val="auto"/>
        </w:rPr>
        <w:t>A list of the names of stockholders entitled to vote at the Annual Meeting will be available to stockholders for ten days prior to the Annual Meeting for any purpose germane to the Annual Meeting. Please contact our Corporate Secretary at UALBoard@united.com if you wish to examine the list prior to the Annual Meeting.</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chart  shows  the  number  of  shares  of  each  class  of  our  voting  stock  outstanding  as  of  the  Record  Date,  the</w:t>
      </w:r>
    </w:p>
    <w:p>
      <w:pPr>
        <w:spacing w:after="0" w:line="19" w:lineRule="exact"/>
        <w:rPr>
          <w:sz w:val="20"/>
          <w:szCs w:val="20"/>
          <w:color w:val="auto"/>
        </w:rPr>
      </w:pPr>
    </w:p>
    <w:p>
      <w:pPr>
        <w:ind w:right="300"/>
        <w:spacing w:after="0" w:line="279" w:lineRule="auto"/>
        <w:rPr>
          <w:sz w:val="20"/>
          <w:szCs w:val="20"/>
          <w:color w:val="auto"/>
        </w:rPr>
      </w:pPr>
      <w:r>
        <w:rPr>
          <w:rFonts w:ascii="Arial" w:cs="Arial" w:eastAsia="Arial" w:hAnsi="Arial"/>
          <w:sz w:val="16"/>
          <w:szCs w:val="16"/>
          <w:color w:val="auto"/>
        </w:rPr>
        <w:t>number of record holders of each class as of the Record Date entitled to vote at the Annual Meeting, the votes per share for each class for all matters on which the shares vote, and the directors each class is entitled to elect. The aggregate number of votes to which a class is entitled is equal to the number of shares outstanding of such class.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940" w:type="dxa"/>
            <w:vAlign w:val="bottom"/>
            <w:tcBorders>
              <w:top w:val="single" w:sz="8" w:color="1414D2"/>
            </w:tcBorders>
            <w:shd w:val="clear" w:color="auto" w:fill="F2F2F2"/>
          </w:tcPr>
          <w:p>
            <w:pPr>
              <w:spacing w:after="0"/>
              <w:rPr>
                <w:sz w:val="23"/>
                <w:szCs w:val="23"/>
                <w:color w:val="auto"/>
              </w:rPr>
            </w:pPr>
          </w:p>
        </w:tc>
        <w:tc>
          <w:tcPr>
            <w:tcW w:w="320" w:type="dxa"/>
            <w:vAlign w:val="bottom"/>
            <w:tcBorders>
              <w:top w:val="single" w:sz="8" w:color="1414D2"/>
            </w:tcBorders>
            <w:shd w:val="clear" w:color="auto" w:fill="F2F2F2"/>
          </w:tcPr>
          <w:p>
            <w:pPr>
              <w:ind w:left="100"/>
              <w:spacing w:after="0"/>
              <w:rPr>
                <w:sz w:val="20"/>
                <w:szCs w:val="20"/>
                <w:color w:val="auto"/>
              </w:rPr>
            </w:pPr>
            <w:r>
              <w:rPr>
                <w:rFonts w:ascii="Arial" w:cs="Arial" w:eastAsia="Arial" w:hAnsi="Arial"/>
                <w:sz w:val="20"/>
                <w:szCs w:val="20"/>
                <w:b w:val="1"/>
                <w:bCs w:val="1"/>
                <w:color w:val="auto"/>
              </w:rPr>
              <w:t>​​​</w:t>
            </w:r>
          </w:p>
        </w:tc>
        <w:tc>
          <w:tcPr>
            <w:tcW w:w="1040" w:type="dxa"/>
            <w:vAlign w:val="bottom"/>
            <w:tcBorders>
              <w:top w:val="single" w:sz="8" w:color="1414D2"/>
            </w:tcBorders>
            <w:shd w:val="clear" w:color="auto" w:fill="F2F2F2"/>
          </w:tcPr>
          <w:p>
            <w:pPr>
              <w:jc w:val="right"/>
              <w:ind w:right="281"/>
              <w:spacing w:after="0"/>
              <w:rPr>
                <w:sz w:val="20"/>
                <w:szCs w:val="20"/>
                <w:color w:val="auto"/>
              </w:rPr>
            </w:pPr>
            <w:r>
              <w:rPr>
                <w:rFonts w:ascii="Arial" w:cs="Arial" w:eastAsia="Arial" w:hAnsi="Arial"/>
                <w:sz w:val="14"/>
                <w:szCs w:val="14"/>
                <w:b w:val="1"/>
                <w:bCs w:val="1"/>
                <w:color w:val="auto"/>
              </w:rPr>
              <w:t>Shares</w:t>
            </w:r>
          </w:p>
        </w:tc>
        <w:tc>
          <w:tcPr>
            <w:tcW w:w="1200" w:type="dxa"/>
            <w:vAlign w:val="bottom"/>
            <w:tcBorders>
              <w:top w:val="single" w:sz="8" w:color="1414D2"/>
            </w:tcBorders>
            <w:shd w:val="clear" w:color="auto" w:fill="F2F2F2"/>
          </w:tcPr>
          <w:p>
            <w:pPr>
              <w:jc w:val="right"/>
              <w:ind w:right="123"/>
              <w:spacing w:after="0"/>
              <w:rPr>
                <w:sz w:val="20"/>
                <w:szCs w:val="20"/>
                <w:color w:val="auto"/>
              </w:rPr>
            </w:pPr>
            <w:r>
              <w:rPr>
                <w:rFonts w:ascii="Arial" w:cs="Arial" w:eastAsia="Arial" w:hAnsi="Arial"/>
                <w:sz w:val="14"/>
                <w:szCs w:val="14"/>
                <w:b w:val="1"/>
                <w:bCs w:val="1"/>
                <w:color w:val="auto"/>
              </w:rPr>
              <w:t>​​​ Holders of</w:t>
            </w:r>
          </w:p>
        </w:tc>
        <w:tc>
          <w:tcPr>
            <w:tcW w:w="1120" w:type="dxa"/>
            <w:vAlign w:val="bottom"/>
            <w:tcBorders>
              <w:top w:val="single" w:sz="8" w:color="1414D2"/>
            </w:tcBorders>
            <w:shd w:val="clear" w:color="auto" w:fill="F2F2F2"/>
          </w:tcPr>
          <w:p>
            <w:pPr>
              <w:ind w:left="60"/>
              <w:spacing w:after="0"/>
              <w:rPr>
                <w:sz w:val="20"/>
                <w:szCs w:val="20"/>
                <w:color w:val="auto"/>
              </w:rPr>
            </w:pPr>
            <w:r>
              <w:rPr>
                <w:rFonts w:ascii="Arial" w:cs="Arial" w:eastAsia="Arial" w:hAnsi="Arial"/>
                <w:sz w:val="14"/>
                <w:szCs w:val="14"/>
                <w:b w:val="1"/>
                <w:bCs w:val="1"/>
                <w:color w:val="auto"/>
              </w:rPr>
              <w:t>​​​  Votes per</w:t>
            </w:r>
          </w:p>
        </w:tc>
        <w:tc>
          <w:tcPr>
            <w:tcW w:w="280" w:type="dxa"/>
            <w:vAlign w:val="bottom"/>
            <w:tcBorders>
              <w:top w:val="single" w:sz="8" w:color="1414D2"/>
            </w:tcBorders>
            <w:shd w:val="clear" w:color="auto" w:fill="F2F2F2"/>
          </w:tcPr>
          <w:p>
            <w:pPr>
              <w:ind w:left="140"/>
              <w:spacing w:after="0"/>
              <w:rPr>
                <w:sz w:val="20"/>
                <w:szCs w:val="20"/>
                <w:color w:val="auto"/>
              </w:rPr>
            </w:pPr>
            <w:r>
              <w:rPr>
                <w:rFonts w:ascii="Arial" w:cs="Arial" w:eastAsia="Arial" w:hAnsi="Arial"/>
                <w:sz w:val="14"/>
                <w:szCs w:val="14"/>
                <w:b w:val="1"/>
                <w:bCs w:val="1"/>
                <w:color w:val="auto"/>
              </w:rPr>
              <w:t>​​​</w:t>
            </w:r>
          </w:p>
        </w:tc>
        <w:tc>
          <w:tcPr>
            <w:tcW w:w="1820" w:type="dxa"/>
            <w:vAlign w:val="bottom"/>
            <w:tcBorders>
              <w:top w:val="single" w:sz="8" w:color="1414D2"/>
            </w:tcBorders>
            <w:shd w:val="clear" w:color="auto" w:fill="F2F2F2"/>
          </w:tcPr>
          <w:p>
            <w:pPr>
              <w:jc w:val="center"/>
              <w:ind w:right="64"/>
              <w:spacing w:after="0"/>
              <w:rPr>
                <w:sz w:val="20"/>
                <w:szCs w:val="20"/>
                <w:color w:val="auto"/>
              </w:rPr>
            </w:pPr>
            <w:r>
              <w:rPr>
                <w:rFonts w:ascii="Arial" w:cs="Arial" w:eastAsia="Arial" w:hAnsi="Arial"/>
                <w:sz w:val="14"/>
                <w:szCs w:val="14"/>
                <w:b w:val="1"/>
                <w:bCs w:val="1"/>
                <w:color w:val="auto"/>
              </w:rPr>
              <w:t>Voting for</w:t>
            </w:r>
          </w:p>
        </w:tc>
        <w:tc>
          <w:tcPr>
            <w:tcW w:w="40" w:type="dxa"/>
            <w:vAlign w:val="bottom"/>
          </w:tcPr>
          <w:p>
            <w:pPr>
              <w:spacing w:after="0"/>
              <w:rPr>
                <w:sz w:val="23"/>
                <w:szCs w:val="23"/>
                <w:color w:val="auto"/>
              </w:rPr>
            </w:pPr>
          </w:p>
        </w:tc>
      </w:tr>
      <w:tr>
        <w:trPr>
          <w:trHeight w:val="250"/>
        </w:trPr>
        <w:tc>
          <w:tcPr>
            <w:tcW w:w="3940" w:type="dxa"/>
            <w:vAlign w:val="bottom"/>
            <w:tcBorders>
              <w:bottom w:val="single" w:sz="8" w:color="F2F2F2"/>
            </w:tcBorders>
            <w:shd w:val="clear" w:color="auto" w:fill="F2F2F2"/>
          </w:tcPr>
          <w:p>
            <w:pPr>
              <w:ind w:left="120"/>
              <w:spacing w:after="0"/>
              <w:rPr>
                <w:sz w:val="20"/>
                <w:szCs w:val="20"/>
                <w:color w:val="auto"/>
              </w:rPr>
            </w:pPr>
            <w:r>
              <w:rPr>
                <w:rFonts w:ascii="Arial" w:cs="Arial" w:eastAsia="Arial" w:hAnsi="Arial"/>
                <w:sz w:val="14"/>
                <w:szCs w:val="14"/>
                <w:b w:val="1"/>
                <w:bCs w:val="1"/>
                <w:color w:val="auto"/>
              </w:rPr>
              <w:t>Title of Class</w:t>
            </w:r>
          </w:p>
        </w:tc>
        <w:tc>
          <w:tcPr>
            <w:tcW w:w="1360" w:type="dxa"/>
            <w:vAlign w:val="bottom"/>
            <w:tcBorders>
              <w:bottom w:val="single" w:sz="8" w:color="F2F2F2"/>
            </w:tcBorders>
            <w:gridSpan w:val="2"/>
            <w:shd w:val="clear" w:color="auto" w:fill="F2F2F2"/>
          </w:tcPr>
          <w:p>
            <w:pPr>
              <w:jc w:val="right"/>
              <w:spacing w:after="0"/>
              <w:rPr>
                <w:sz w:val="20"/>
                <w:szCs w:val="20"/>
                <w:color w:val="auto"/>
              </w:rPr>
            </w:pPr>
            <w:r>
              <w:rPr>
                <w:rFonts w:ascii="Arial" w:cs="Arial" w:eastAsia="Arial" w:hAnsi="Arial"/>
                <w:sz w:val="14"/>
                <w:szCs w:val="14"/>
                <w:b w:val="1"/>
                <w:bCs w:val="1"/>
                <w:color w:val="auto"/>
              </w:rPr>
              <w:t>Outstanding</w:t>
            </w:r>
            <w:r>
              <w:rPr>
                <w:rFonts w:ascii="Arial" w:cs="Arial" w:eastAsia="Arial" w:hAnsi="Arial"/>
                <w:sz w:val="21"/>
                <w:szCs w:val="21"/>
                <w:b w:val="1"/>
                <w:bCs w:val="1"/>
                <w:color w:val="auto"/>
                <w:vertAlign w:val="superscript"/>
              </w:rPr>
              <w:t>(a)</w:t>
            </w:r>
          </w:p>
        </w:tc>
        <w:tc>
          <w:tcPr>
            <w:tcW w:w="1200" w:type="dxa"/>
            <w:vAlign w:val="bottom"/>
            <w:tcBorders>
              <w:bottom w:val="single" w:sz="8" w:color="F2F2F2"/>
            </w:tcBorders>
            <w:shd w:val="clear" w:color="auto" w:fill="F2F2F2"/>
          </w:tcPr>
          <w:p>
            <w:pPr>
              <w:jc w:val="right"/>
              <w:ind w:right="143"/>
              <w:spacing w:after="0"/>
              <w:rPr>
                <w:sz w:val="20"/>
                <w:szCs w:val="20"/>
                <w:color w:val="auto"/>
              </w:rPr>
            </w:pPr>
            <w:r>
              <w:rPr>
                <w:rFonts w:ascii="Arial" w:cs="Arial" w:eastAsia="Arial" w:hAnsi="Arial"/>
                <w:sz w:val="14"/>
                <w:szCs w:val="14"/>
                <w:b w:val="1"/>
                <w:bCs w:val="1"/>
                <w:color w:val="auto"/>
              </w:rPr>
              <w:t>Record</w:t>
            </w:r>
            <w:r>
              <w:rPr>
                <w:rFonts w:ascii="Arial" w:cs="Arial" w:eastAsia="Arial" w:hAnsi="Arial"/>
                <w:sz w:val="21"/>
                <w:szCs w:val="21"/>
                <w:b w:val="1"/>
                <w:bCs w:val="1"/>
                <w:color w:val="auto"/>
                <w:vertAlign w:val="superscript"/>
              </w:rPr>
              <w:t>(a)</w:t>
            </w:r>
          </w:p>
        </w:tc>
        <w:tc>
          <w:tcPr>
            <w:tcW w:w="1120" w:type="dxa"/>
            <w:vAlign w:val="bottom"/>
            <w:tcBorders>
              <w:bottom w:val="single" w:sz="8" w:color="F2F2F2"/>
            </w:tcBorders>
            <w:shd w:val="clear" w:color="auto" w:fill="F2F2F2"/>
          </w:tcPr>
          <w:p>
            <w:pPr>
              <w:jc w:val="center"/>
              <w:ind w:left="123"/>
              <w:spacing w:after="0"/>
              <w:rPr>
                <w:sz w:val="20"/>
                <w:szCs w:val="20"/>
                <w:color w:val="auto"/>
              </w:rPr>
            </w:pPr>
            <w:r>
              <w:rPr>
                <w:rFonts w:ascii="Arial" w:cs="Arial" w:eastAsia="Arial" w:hAnsi="Arial"/>
                <w:sz w:val="14"/>
                <w:szCs w:val="14"/>
                <w:b w:val="1"/>
                <w:bCs w:val="1"/>
                <w:color w:val="auto"/>
              </w:rPr>
              <w:t>Share</w:t>
            </w:r>
          </w:p>
        </w:tc>
        <w:tc>
          <w:tcPr>
            <w:tcW w:w="280" w:type="dxa"/>
            <w:vAlign w:val="bottom"/>
            <w:tcBorders>
              <w:bottom w:val="single" w:sz="8" w:color="F2F2F2"/>
            </w:tcBorders>
            <w:shd w:val="clear" w:color="auto" w:fill="F2F2F2"/>
          </w:tcPr>
          <w:p>
            <w:pPr>
              <w:spacing w:after="0"/>
              <w:rPr>
                <w:sz w:val="21"/>
                <w:szCs w:val="21"/>
                <w:color w:val="auto"/>
              </w:rPr>
            </w:pPr>
          </w:p>
        </w:tc>
        <w:tc>
          <w:tcPr>
            <w:tcW w:w="1820" w:type="dxa"/>
            <w:vAlign w:val="bottom"/>
            <w:tcBorders>
              <w:bottom w:val="single" w:sz="8" w:color="F2F2F2"/>
            </w:tcBorders>
            <w:shd w:val="clear" w:color="auto" w:fill="F2F2F2"/>
          </w:tcPr>
          <w:p>
            <w:pPr>
              <w:jc w:val="center"/>
              <w:ind w:right="84"/>
              <w:spacing w:after="0"/>
              <w:rPr>
                <w:sz w:val="20"/>
                <w:szCs w:val="20"/>
                <w:color w:val="auto"/>
              </w:rPr>
            </w:pPr>
            <w:r>
              <w:rPr>
                <w:rFonts w:ascii="Arial" w:cs="Arial" w:eastAsia="Arial" w:hAnsi="Arial"/>
                <w:sz w:val="14"/>
                <w:szCs w:val="14"/>
                <w:b w:val="1"/>
                <w:bCs w:val="1"/>
                <w:color w:val="auto"/>
              </w:rPr>
              <w:t>Directors</w:t>
            </w:r>
          </w:p>
        </w:tc>
        <w:tc>
          <w:tcPr>
            <w:tcW w:w="40" w:type="dxa"/>
            <w:vAlign w:val="bottom"/>
          </w:tcPr>
          <w:p>
            <w:pPr>
              <w:spacing w:after="0"/>
              <w:rPr>
                <w:sz w:val="21"/>
                <w:szCs w:val="21"/>
                <w:color w:val="auto"/>
              </w:rPr>
            </w:pPr>
          </w:p>
        </w:tc>
      </w:tr>
      <w:tr>
        <w:trPr>
          <w:trHeight w:val="257"/>
        </w:trPr>
        <w:tc>
          <w:tcPr>
            <w:tcW w:w="3940" w:type="dxa"/>
            <w:vAlign w:val="bottom"/>
          </w:tcPr>
          <w:p>
            <w:pPr>
              <w:ind w:left="120"/>
              <w:spacing w:after="0"/>
              <w:rPr>
                <w:sz w:val="20"/>
                <w:szCs w:val="20"/>
                <w:color w:val="auto"/>
              </w:rPr>
            </w:pPr>
            <w:r>
              <w:rPr>
                <w:rFonts w:ascii="Arial" w:cs="Arial" w:eastAsia="Arial" w:hAnsi="Arial"/>
                <w:sz w:val="16"/>
                <w:szCs w:val="16"/>
                <w:color w:val="auto"/>
              </w:rPr>
              <w:t>Common  Stock</w:t>
            </w:r>
          </w:p>
        </w:tc>
        <w:tc>
          <w:tcPr>
            <w:tcW w:w="320" w:type="dxa"/>
            <w:vAlign w:val="bottom"/>
          </w:tcPr>
          <w:p>
            <w:pPr>
              <w:spacing w:after="0"/>
              <w:rPr>
                <w:sz w:val="22"/>
                <w:szCs w:val="22"/>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324,649,382</w:t>
            </w:r>
          </w:p>
        </w:tc>
        <w:tc>
          <w:tcPr>
            <w:tcW w:w="1200" w:type="dxa"/>
            <w:vAlign w:val="bottom"/>
          </w:tcPr>
          <w:p>
            <w:pPr>
              <w:jc w:val="right"/>
              <w:spacing w:after="0"/>
              <w:rPr>
                <w:sz w:val="20"/>
                <w:szCs w:val="20"/>
                <w:color w:val="auto"/>
              </w:rPr>
            </w:pPr>
            <w:r>
              <w:rPr>
                <w:rFonts w:ascii="Arial" w:cs="Arial" w:eastAsia="Arial" w:hAnsi="Arial"/>
                <w:sz w:val="16"/>
                <w:szCs w:val="16"/>
                <w:color w:val="auto"/>
              </w:rPr>
              <w:t>9,100</w:t>
            </w:r>
          </w:p>
        </w:tc>
        <w:tc>
          <w:tcPr>
            <w:tcW w:w="1120" w:type="dxa"/>
            <w:vAlign w:val="bottom"/>
          </w:tcPr>
          <w:p>
            <w:pPr>
              <w:jc w:val="center"/>
              <w:ind w:left="123"/>
              <w:spacing w:after="0"/>
              <w:rPr>
                <w:sz w:val="20"/>
                <w:szCs w:val="20"/>
                <w:color w:val="auto"/>
              </w:rPr>
            </w:pPr>
            <w:r>
              <w:rPr>
                <w:rFonts w:ascii="Arial" w:cs="Arial" w:eastAsia="Arial" w:hAnsi="Arial"/>
                <w:sz w:val="16"/>
                <w:szCs w:val="16"/>
                <w:color w:val="auto"/>
                <w:w w:val="89"/>
              </w:rPr>
              <w:t>1</w:t>
            </w:r>
          </w:p>
        </w:tc>
        <w:tc>
          <w:tcPr>
            <w:tcW w:w="2140" w:type="dxa"/>
            <w:vAlign w:val="bottom"/>
            <w:gridSpan w:val="3"/>
          </w:tcPr>
          <w:p>
            <w:pPr>
              <w:ind w:left="220"/>
              <w:spacing w:after="0"/>
              <w:rPr>
                <w:sz w:val="20"/>
                <w:szCs w:val="20"/>
                <w:color w:val="auto"/>
              </w:rPr>
            </w:pPr>
            <w:r>
              <w:rPr>
                <w:rFonts w:ascii="Arial" w:cs="Arial" w:eastAsia="Arial" w:hAnsi="Arial"/>
                <w:sz w:val="16"/>
                <w:szCs w:val="16"/>
                <w:color w:val="auto"/>
                <w:w w:val="94"/>
              </w:rPr>
              <w:t>Class  elects  11  directors   ​</w:t>
            </w:r>
          </w:p>
        </w:tc>
      </w:tr>
      <w:tr>
        <w:trPr>
          <w:trHeight w:val="250"/>
        </w:trPr>
        <w:tc>
          <w:tcPr>
            <w:tcW w:w="3940" w:type="dxa"/>
            <w:vAlign w:val="bottom"/>
            <w:tcBorders>
              <w:top w:val="single" w:sz="8" w:color="808080"/>
              <w:bottom w:val="single" w:sz="8" w:color="808080"/>
            </w:tcBorders>
          </w:tcPr>
          <w:p>
            <w:pPr>
              <w:ind w:left="120"/>
              <w:spacing w:after="0" w:line="250" w:lineRule="exact"/>
              <w:rPr>
                <w:sz w:val="20"/>
                <w:szCs w:val="20"/>
                <w:color w:val="auto"/>
              </w:rPr>
            </w:pPr>
            <w:r>
              <w:rPr>
                <w:rFonts w:ascii="Arial" w:cs="Arial" w:eastAsia="Arial" w:hAnsi="Arial"/>
                <w:sz w:val="16"/>
                <w:szCs w:val="16"/>
                <w:color w:val="auto"/>
              </w:rPr>
              <w:t>Class  Pilot  MEC  Junior  Preferred  Stock</w:t>
            </w:r>
            <w:r>
              <w:rPr>
                <w:rFonts w:ascii="Arial" w:cs="Arial" w:eastAsia="Arial" w:hAnsi="Arial"/>
                <w:sz w:val="24"/>
                <w:szCs w:val="24"/>
                <w:color w:val="auto"/>
                <w:vertAlign w:val="superscript"/>
              </w:rPr>
              <w:t>(b)</w:t>
            </w:r>
          </w:p>
        </w:tc>
        <w:tc>
          <w:tcPr>
            <w:tcW w:w="320" w:type="dxa"/>
            <w:vAlign w:val="bottom"/>
            <w:tcBorders>
              <w:top w:val="single" w:sz="8" w:color="808080"/>
              <w:bottom w:val="single" w:sz="8" w:color="808080"/>
            </w:tcBorders>
          </w:tcPr>
          <w:p>
            <w:pPr>
              <w:spacing w:after="0"/>
              <w:rPr>
                <w:sz w:val="21"/>
                <w:szCs w:val="21"/>
                <w:color w:val="auto"/>
              </w:rPr>
            </w:pPr>
          </w:p>
        </w:tc>
        <w:tc>
          <w:tcPr>
            <w:tcW w:w="1040" w:type="dxa"/>
            <w:vAlign w:val="bottom"/>
            <w:tcBorders>
              <w:top w:val="single" w:sz="8" w:color="808080"/>
              <w:bottom w:val="single" w:sz="8" w:color="808080"/>
            </w:tcBorders>
          </w:tcPr>
          <w:p>
            <w:pPr>
              <w:jc w:val="right"/>
              <w:ind w:right="1"/>
              <w:spacing w:after="0"/>
              <w:rPr>
                <w:sz w:val="20"/>
                <w:szCs w:val="20"/>
                <w:color w:val="auto"/>
              </w:rPr>
            </w:pPr>
            <w:r>
              <w:rPr>
                <w:rFonts w:ascii="Arial" w:cs="Arial" w:eastAsia="Arial" w:hAnsi="Arial"/>
                <w:sz w:val="16"/>
                <w:szCs w:val="16"/>
                <w:color w:val="auto"/>
              </w:rPr>
              <w:t>1</w:t>
            </w:r>
          </w:p>
        </w:tc>
        <w:tc>
          <w:tcPr>
            <w:tcW w:w="120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6"/>
                <w:szCs w:val="16"/>
                <w:color w:val="auto"/>
              </w:rPr>
              <w:t>1</w:t>
            </w:r>
          </w:p>
        </w:tc>
        <w:tc>
          <w:tcPr>
            <w:tcW w:w="1120" w:type="dxa"/>
            <w:vAlign w:val="bottom"/>
            <w:tcBorders>
              <w:top w:val="single" w:sz="8" w:color="808080"/>
              <w:bottom w:val="single" w:sz="8" w:color="808080"/>
            </w:tcBorders>
          </w:tcPr>
          <w:p>
            <w:pPr>
              <w:jc w:val="center"/>
              <w:ind w:left="123"/>
              <w:spacing w:after="0"/>
              <w:rPr>
                <w:sz w:val="20"/>
                <w:szCs w:val="20"/>
                <w:color w:val="auto"/>
              </w:rPr>
            </w:pPr>
            <w:r>
              <w:rPr>
                <w:rFonts w:ascii="Arial" w:cs="Arial" w:eastAsia="Arial" w:hAnsi="Arial"/>
                <w:sz w:val="16"/>
                <w:szCs w:val="16"/>
                <w:color w:val="auto"/>
                <w:w w:val="89"/>
              </w:rPr>
              <w:t>1</w:t>
            </w:r>
          </w:p>
        </w:tc>
        <w:tc>
          <w:tcPr>
            <w:tcW w:w="280" w:type="dxa"/>
            <w:vAlign w:val="bottom"/>
            <w:tcBorders>
              <w:top w:val="single" w:sz="8" w:color="808080"/>
              <w:bottom w:val="single" w:sz="8" w:color="808080"/>
            </w:tcBorders>
          </w:tcPr>
          <w:p>
            <w:pPr>
              <w:spacing w:after="0"/>
              <w:rPr>
                <w:sz w:val="21"/>
                <w:szCs w:val="21"/>
                <w:color w:val="auto"/>
              </w:rPr>
            </w:pPr>
          </w:p>
        </w:tc>
        <w:tc>
          <w:tcPr>
            <w:tcW w:w="1820" w:type="dxa"/>
            <w:vAlign w:val="bottom"/>
            <w:tcBorders>
              <w:top w:val="single" w:sz="8" w:color="808080"/>
              <w:bottom w:val="single" w:sz="8" w:color="808080"/>
            </w:tcBorders>
          </w:tcPr>
          <w:p>
            <w:pPr>
              <w:jc w:val="center"/>
              <w:ind w:right="64"/>
              <w:spacing w:after="0"/>
              <w:rPr>
                <w:sz w:val="20"/>
                <w:szCs w:val="20"/>
                <w:color w:val="auto"/>
              </w:rPr>
            </w:pPr>
            <w:r>
              <w:rPr>
                <w:rFonts w:ascii="Arial" w:cs="Arial" w:eastAsia="Arial" w:hAnsi="Arial"/>
                <w:sz w:val="16"/>
                <w:szCs w:val="16"/>
                <w:color w:val="auto"/>
                <w:w w:val="96"/>
              </w:rPr>
              <w:t>Class  elects  1  director</w:t>
            </w:r>
          </w:p>
        </w:tc>
        <w:tc>
          <w:tcPr>
            <w:tcW w:w="40" w:type="dxa"/>
            <w:vAlign w:val="bottom"/>
          </w:tcPr>
          <w:p>
            <w:pPr>
              <w:spacing w:after="0"/>
              <w:rPr>
                <w:sz w:val="21"/>
                <w:szCs w:val="21"/>
                <w:color w:val="auto"/>
              </w:rPr>
            </w:pPr>
          </w:p>
        </w:tc>
      </w:tr>
      <w:tr>
        <w:trPr>
          <w:trHeight w:val="250"/>
        </w:trPr>
        <w:tc>
          <w:tcPr>
            <w:tcW w:w="3940" w:type="dxa"/>
            <w:vAlign w:val="bottom"/>
            <w:tcBorders>
              <w:bottom w:val="single" w:sz="8" w:color="808080"/>
            </w:tcBorders>
          </w:tcPr>
          <w:p>
            <w:pPr>
              <w:ind w:left="120"/>
              <w:spacing w:after="0" w:line="250" w:lineRule="exact"/>
              <w:rPr>
                <w:sz w:val="20"/>
                <w:szCs w:val="20"/>
                <w:color w:val="auto"/>
              </w:rPr>
            </w:pPr>
            <w:r>
              <w:rPr>
                <w:rFonts w:ascii="Arial" w:cs="Arial" w:eastAsia="Arial" w:hAnsi="Arial"/>
                <w:sz w:val="16"/>
                <w:szCs w:val="16"/>
                <w:color w:val="auto"/>
              </w:rPr>
              <w:t>Class  IAM  Junior  Preferred  Stock</w:t>
            </w:r>
            <w:r>
              <w:rPr>
                <w:rFonts w:ascii="Arial" w:cs="Arial" w:eastAsia="Arial" w:hAnsi="Arial"/>
                <w:sz w:val="24"/>
                <w:szCs w:val="24"/>
                <w:color w:val="auto"/>
                <w:vertAlign w:val="superscript"/>
              </w:rPr>
              <w:t>(b)</w:t>
            </w:r>
          </w:p>
        </w:tc>
        <w:tc>
          <w:tcPr>
            <w:tcW w:w="320" w:type="dxa"/>
            <w:vAlign w:val="bottom"/>
            <w:tcBorders>
              <w:bottom w:val="single" w:sz="8" w:color="808080"/>
            </w:tcBorders>
          </w:tcPr>
          <w:p>
            <w:pPr>
              <w:spacing w:after="0"/>
              <w:rPr>
                <w:sz w:val="21"/>
                <w:szCs w:val="21"/>
                <w:color w:val="auto"/>
              </w:rPr>
            </w:pPr>
          </w:p>
        </w:tc>
        <w:tc>
          <w:tcPr>
            <w:tcW w:w="1040" w:type="dxa"/>
            <w:vAlign w:val="bottom"/>
            <w:tcBorders>
              <w:bottom w:val="single" w:sz="8" w:color="808080"/>
            </w:tcBorders>
          </w:tcPr>
          <w:p>
            <w:pPr>
              <w:jc w:val="right"/>
              <w:ind w:right="1"/>
              <w:spacing w:after="0"/>
              <w:rPr>
                <w:sz w:val="20"/>
                <w:szCs w:val="20"/>
                <w:color w:val="auto"/>
              </w:rPr>
            </w:pPr>
            <w:r>
              <w:rPr>
                <w:rFonts w:ascii="Arial" w:cs="Arial" w:eastAsia="Arial" w:hAnsi="Arial"/>
                <w:sz w:val="16"/>
                <w:szCs w:val="16"/>
                <w:color w:val="auto"/>
              </w:rPr>
              <w:t>1</w:t>
            </w:r>
          </w:p>
        </w:tc>
        <w:tc>
          <w:tcPr>
            <w:tcW w:w="1200" w:type="dxa"/>
            <w:vAlign w:val="bottom"/>
            <w:tcBorders>
              <w:bottom w:val="single" w:sz="8" w:color="808080"/>
            </w:tcBorders>
          </w:tcPr>
          <w:p>
            <w:pPr>
              <w:jc w:val="right"/>
              <w:spacing w:after="0"/>
              <w:rPr>
                <w:sz w:val="20"/>
                <w:szCs w:val="20"/>
                <w:color w:val="auto"/>
              </w:rPr>
            </w:pPr>
            <w:r>
              <w:rPr>
                <w:rFonts w:ascii="Arial" w:cs="Arial" w:eastAsia="Arial" w:hAnsi="Arial"/>
                <w:sz w:val="16"/>
                <w:szCs w:val="16"/>
                <w:color w:val="auto"/>
              </w:rPr>
              <w:t>1</w:t>
            </w:r>
          </w:p>
        </w:tc>
        <w:tc>
          <w:tcPr>
            <w:tcW w:w="1120" w:type="dxa"/>
            <w:vAlign w:val="bottom"/>
            <w:tcBorders>
              <w:bottom w:val="single" w:sz="8" w:color="808080"/>
            </w:tcBorders>
          </w:tcPr>
          <w:p>
            <w:pPr>
              <w:jc w:val="center"/>
              <w:ind w:left="123"/>
              <w:spacing w:after="0"/>
              <w:rPr>
                <w:sz w:val="20"/>
                <w:szCs w:val="20"/>
                <w:color w:val="auto"/>
              </w:rPr>
            </w:pPr>
            <w:r>
              <w:rPr>
                <w:rFonts w:ascii="Arial" w:cs="Arial" w:eastAsia="Arial" w:hAnsi="Arial"/>
                <w:sz w:val="16"/>
                <w:szCs w:val="16"/>
                <w:color w:val="auto"/>
                <w:w w:val="89"/>
              </w:rPr>
              <w:t>1</w:t>
            </w:r>
          </w:p>
        </w:tc>
        <w:tc>
          <w:tcPr>
            <w:tcW w:w="280" w:type="dxa"/>
            <w:vAlign w:val="bottom"/>
            <w:tcBorders>
              <w:bottom w:val="single" w:sz="8" w:color="808080"/>
            </w:tcBorders>
          </w:tcPr>
          <w:p>
            <w:pPr>
              <w:spacing w:after="0"/>
              <w:rPr>
                <w:sz w:val="21"/>
                <w:szCs w:val="21"/>
                <w:color w:val="auto"/>
              </w:rPr>
            </w:pPr>
          </w:p>
        </w:tc>
        <w:tc>
          <w:tcPr>
            <w:tcW w:w="1820" w:type="dxa"/>
            <w:vAlign w:val="bottom"/>
            <w:tcBorders>
              <w:bottom w:val="single" w:sz="8" w:color="808080"/>
            </w:tcBorders>
          </w:tcPr>
          <w:p>
            <w:pPr>
              <w:jc w:val="center"/>
              <w:ind w:right="64"/>
              <w:spacing w:after="0"/>
              <w:rPr>
                <w:sz w:val="20"/>
                <w:szCs w:val="20"/>
                <w:color w:val="auto"/>
              </w:rPr>
            </w:pPr>
            <w:r>
              <w:rPr>
                <w:rFonts w:ascii="Arial" w:cs="Arial" w:eastAsia="Arial" w:hAnsi="Arial"/>
                <w:sz w:val="16"/>
                <w:szCs w:val="16"/>
                <w:color w:val="auto"/>
                <w:w w:val="96"/>
              </w:rPr>
              <w:t>Class  elects  1  director</w:t>
            </w:r>
          </w:p>
        </w:tc>
        <w:tc>
          <w:tcPr>
            <w:tcW w:w="40" w:type="dxa"/>
            <w:vAlign w:val="bottom"/>
          </w:tcPr>
          <w:p>
            <w:pPr>
              <w:spacing w:after="0"/>
              <w:rPr>
                <w:sz w:val="21"/>
                <w:szCs w:val="21"/>
                <w:color w:val="auto"/>
              </w:rPr>
            </w:pPr>
          </w:p>
        </w:tc>
      </w:tr>
    </w:tbl>
    <w:p>
      <w:pPr>
        <w:spacing w:after="0" w:line="89" w:lineRule="exact"/>
        <w:rPr>
          <w:sz w:val="20"/>
          <w:szCs w:val="20"/>
          <w:color w:val="auto"/>
        </w:rPr>
      </w:pPr>
    </w:p>
    <w:p>
      <w:pPr>
        <w:ind w:left="320" w:hanging="316"/>
        <w:spacing w:after="0"/>
        <w:tabs>
          <w:tab w:leader="none" w:pos="320" w:val="left"/>
        </w:tabs>
        <w:numPr>
          <w:ilvl w:val="0"/>
          <w:numId w:val="175"/>
        </w:numPr>
        <w:rPr>
          <w:rFonts w:ascii="Arial" w:cs="Arial" w:eastAsia="Arial" w:hAnsi="Arial"/>
          <w:sz w:val="11"/>
          <w:szCs w:val="11"/>
          <w:color w:val="auto"/>
        </w:rPr>
      </w:pPr>
      <w:r>
        <w:rPr>
          <w:rFonts w:ascii="Arial" w:cs="Arial" w:eastAsia="Arial" w:hAnsi="Arial"/>
          <w:sz w:val="14"/>
          <w:szCs w:val="14"/>
          <w:color w:val="auto"/>
        </w:rPr>
        <w:t>As  of  the  Record  Date,  March  24,  2026.</w:t>
      </w:r>
    </w:p>
    <w:p>
      <w:pPr>
        <w:spacing w:after="0" w:line="122" w:lineRule="exact"/>
        <w:rPr>
          <w:rFonts w:ascii="Arial" w:cs="Arial" w:eastAsia="Arial" w:hAnsi="Arial"/>
          <w:sz w:val="11"/>
          <w:szCs w:val="11"/>
          <w:color w:val="auto"/>
        </w:rPr>
      </w:pPr>
    </w:p>
    <w:p>
      <w:pPr>
        <w:ind w:left="320" w:right="280" w:hanging="316"/>
        <w:spacing w:after="0" w:line="275" w:lineRule="auto"/>
        <w:tabs>
          <w:tab w:leader="none" w:pos="320" w:val="left"/>
        </w:tabs>
        <w:numPr>
          <w:ilvl w:val="0"/>
          <w:numId w:val="175"/>
        </w:numPr>
        <w:rPr>
          <w:rFonts w:ascii="Arial" w:cs="Arial" w:eastAsia="Arial" w:hAnsi="Arial"/>
          <w:sz w:val="11"/>
          <w:szCs w:val="11"/>
          <w:color w:val="auto"/>
        </w:rPr>
      </w:pPr>
      <w:r>
        <w:rPr>
          <w:rFonts w:ascii="Arial" w:cs="Arial" w:eastAsia="Arial" w:hAnsi="Arial"/>
          <w:sz w:val="14"/>
          <w:szCs w:val="14"/>
          <w:color w:val="auto"/>
        </w:rPr>
        <w:t>The holder of record of Class Pilot MEC Junior Preferred Stock is the ALPA. The holder of record of Class IAM Junior Preferred Stock is the IAM.</w:t>
      </w: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DO I VOTE IF I AM A STOCKHOLDER OF RECORD?</w:t>
      </w:r>
    </w:p>
    <w:p>
      <w:pPr>
        <w:spacing w:after="0" w:line="113" w:lineRule="exact"/>
        <w:rPr>
          <w:sz w:val="20"/>
          <w:szCs w:val="20"/>
          <w:color w:val="auto"/>
        </w:rPr>
      </w:pPr>
    </w:p>
    <w:p>
      <w:pPr>
        <w:ind w:right="340"/>
        <w:spacing w:after="0" w:line="313" w:lineRule="auto"/>
        <w:rPr>
          <w:sz w:val="20"/>
          <w:szCs w:val="20"/>
          <w:color w:val="auto"/>
        </w:rPr>
      </w:pPr>
      <w:r>
        <w:rPr>
          <w:rFonts w:ascii="Arial" w:cs="Arial" w:eastAsia="Arial" w:hAnsi="Arial"/>
          <w:sz w:val="16"/>
          <w:szCs w:val="16"/>
          <w:color w:val="auto"/>
        </w:rPr>
        <w:t>If you are a stockholder of record that holds shares as of the Record Date, you have four options for delivering your proxy to vote your shares:</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1414D2"/>
        </w:rPr>
        <w:t>Vote by Internet</w:t>
      </w:r>
    </w:p>
    <w:p>
      <w:pPr>
        <w:spacing w:after="0" w:line="129" w:lineRule="exact"/>
        <w:rPr>
          <w:sz w:val="20"/>
          <w:szCs w:val="20"/>
          <w:color w:val="auto"/>
        </w:rPr>
      </w:pPr>
    </w:p>
    <w:p>
      <w:pPr>
        <w:jc w:val="both"/>
        <w:ind w:left="660" w:right="600"/>
        <w:spacing w:after="0" w:line="279" w:lineRule="auto"/>
        <w:rPr>
          <w:sz w:val="20"/>
          <w:szCs w:val="20"/>
          <w:color w:val="auto"/>
        </w:rPr>
      </w:pPr>
      <w:r>
        <w:rPr>
          <w:rFonts w:ascii="Arial" w:cs="Arial" w:eastAsia="Arial" w:hAnsi="Arial"/>
          <w:sz w:val="16"/>
          <w:szCs w:val="16"/>
          <w:color w:val="auto"/>
        </w:rPr>
        <w:t xml:space="preserve">You can vote via the Internet by logging onto </w:t>
      </w:r>
      <w:r>
        <w:rPr>
          <w:rFonts w:ascii="Arial" w:cs="Arial" w:eastAsia="Arial" w:hAnsi="Arial"/>
          <w:sz w:val="16"/>
          <w:szCs w:val="16"/>
          <w:b w:val="1"/>
          <w:bCs w:val="1"/>
          <w:color w:val="1414D2"/>
        </w:rPr>
        <w:t>www.proxyvote.com</w:t>
      </w:r>
      <w:r>
        <w:rPr>
          <w:rFonts w:ascii="Arial" w:cs="Arial" w:eastAsia="Arial" w:hAnsi="Arial"/>
          <w:sz w:val="16"/>
          <w:szCs w:val="16"/>
          <w:color w:val="auto"/>
        </w:rPr>
        <w:t xml:space="preserve"> and following the prompts using the control number located on your Notice of Internet Availability of Proxy Materials or proxy card. This vote will be counted immediately, and there is no need to mail your proxy card.</w:t>
      </w:r>
    </w:p>
    <w:p>
      <w:pPr>
        <w:spacing w:after="0" w:line="31"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1414D2"/>
        </w:rPr>
        <w:t>Vote by Telephone</w:t>
      </w:r>
    </w:p>
    <w:p>
      <w:pPr>
        <w:spacing w:after="0" w:line="129" w:lineRule="exact"/>
        <w:rPr>
          <w:sz w:val="20"/>
          <w:szCs w:val="20"/>
          <w:color w:val="auto"/>
        </w:rPr>
      </w:pPr>
    </w:p>
    <w:p>
      <w:pPr>
        <w:ind w:left="660" w:right="40"/>
        <w:spacing w:after="0" w:line="279" w:lineRule="auto"/>
        <w:rPr>
          <w:sz w:val="20"/>
          <w:szCs w:val="20"/>
          <w:color w:val="auto"/>
        </w:rPr>
      </w:pPr>
      <w:r>
        <w:rPr>
          <w:rFonts w:ascii="Arial" w:cs="Arial" w:eastAsia="Arial" w:hAnsi="Arial"/>
          <w:sz w:val="16"/>
          <w:szCs w:val="16"/>
          <w:color w:val="auto"/>
        </w:rPr>
        <w:t>To use the telephone voting procedure, dial 1-800-690-6903 and listen for further directions. You must use a touch-tone telephone in order to respond to the questions. This vote will be counted immediately, and there is no need to mail your proxy card.</w:t>
      </w:r>
    </w:p>
    <w:p>
      <w:pPr>
        <w:sectPr>
          <w:pgSz w:w="11900" w:h="16838" w:orient="portrait"/>
          <w:cols w:equalWidth="0" w:num="1">
            <w:col w:w="9760"/>
          </w:cols>
          <w:pgMar w:left="1080" w:top="695" w:right="10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right"/>
        <w:ind w:right="7760"/>
        <w:spacing w:after="0"/>
        <w:rPr>
          <w:sz w:val="20"/>
          <w:szCs w:val="20"/>
          <w:color w:val="auto"/>
        </w:rPr>
      </w:pPr>
      <w:r>
        <w:rPr>
          <w:rFonts w:ascii="Arial" w:cs="Arial" w:eastAsia="Arial" w:hAnsi="Arial"/>
          <w:sz w:val="16"/>
          <w:szCs w:val="16"/>
          <w:color w:val="auto"/>
        </w:rPr>
        <w:t>​​2026​  Proxy</w:t>
      </w:r>
    </w:p>
    <w:p>
      <w:pPr>
        <w:spacing w:after="0" w:line="5" w:lineRule="exact"/>
        <w:rPr>
          <w:sz w:val="20"/>
          <w:szCs w:val="20"/>
          <w:color w:val="auto"/>
        </w:rPr>
      </w:pPr>
    </w:p>
    <w:p>
      <w:pPr>
        <w:ind w:left="660" w:hanging="656"/>
        <w:spacing w:after="0"/>
        <w:tabs>
          <w:tab w:leader="none" w:pos="660" w:val="left"/>
        </w:tabs>
        <w:numPr>
          <w:ilvl w:val="0"/>
          <w:numId w:val="176"/>
        </w:numPr>
        <w:rPr>
          <w:rFonts w:ascii="Arial" w:cs="Arial" w:eastAsia="Arial" w:hAnsi="Arial"/>
          <w:sz w:val="16"/>
          <w:szCs w:val="16"/>
          <w:b w:val="1"/>
          <w:bCs w:val="1"/>
          <w:color w:val="1414D2"/>
        </w:rPr>
      </w:pPr>
      <w:r>
        <w:rPr>
          <w:rFonts w:ascii="Arial" w:cs="Arial" w:eastAsia="Arial" w:hAnsi="Arial"/>
          <w:sz w:val="16"/>
          <w:szCs w:val="16"/>
          <w:color w:val="auto"/>
        </w:rPr>
        <w:t>Statement</w:t>
      </w:r>
    </w:p>
    <w:p>
      <w:pPr>
        <w:sectPr>
          <w:pgSz w:w="11900" w:h="16838" w:orient="portrait"/>
          <w:cols w:equalWidth="0" w:num="1">
            <w:col w:w="9760"/>
          </w:cols>
          <w:pgMar w:left="1080" w:top="695" w:right="1059" w:bottom="1440" w:gutter="0" w:footer="0" w:header="0"/>
          <w:type w:val="continuous"/>
        </w:sectPr>
      </w:pPr>
    </w:p>
    <w:bookmarkStart w:id="151" w:name="page152"/>
    <w:bookmarkEnd w:id="151"/>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27" w:lineRule="exact"/>
        <w:rPr>
          <w:sz w:val="20"/>
          <w:szCs w:val="20"/>
          <w:color w:val="auto"/>
        </w:rPr>
      </w:pPr>
    </w:p>
    <w:p>
      <w:pPr>
        <w:jc w:val="right"/>
        <w:spacing w:after="0"/>
        <w:rPr>
          <w:sz w:val="20"/>
          <w:szCs w:val="20"/>
          <w:color w:val="auto"/>
        </w:rPr>
      </w:pPr>
      <w:r>
        <w:rPr>
          <w:rFonts w:ascii="Arial" w:cs="Arial" w:eastAsia="Arial" w:hAnsi="Arial"/>
          <w:sz w:val="14"/>
          <w:szCs w:val="14"/>
          <w:color w:val="6D6F71"/>
        </w:rPr>
        <w:t>Annual  Meeting  Information</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1414D2"/>
        </w:rPr>
        <w:t>Vote by Mail</w:t>
      </w:r>
    </w:p>
    <w:p>
      <w:pPr>
        <w:spacing w:after="0" w:line="115" w:lineRule="exact"/>
        <w:rPr>
          <w:sz w:val="20"/>
          <w:szCs w:val="20"/>
          <w:color w:val="auto"/>
        </w:rPr>
      </w:pPr>
    </w:p>
    <w:p>
      <w:pPr>
        <w:ind w:left="660" w:right="40"/>
        <w:spacing w:after="0" w:line="324" w:lineRule="auto"/>
        <w:rPr>
          <w:sz w:val="20"/>
          <w:szCs w:val="20"/>
          <w:color w:val="auto"/>
        </w:rPr>
      </w:pPr>
      <w:r>
        <w:rPr>
          <w:rFonts w:ascii="Arial" w:cs="Arial" w:eastAsia="Arial" w:hAnsi="Arial"/>
          <w:sz w:val="16"/>
          <w:szCs w:val="16"/>
          <w:color w:val="auto"/>
        </w:rPr>
        <w:t>Shares eligible to be voted, and for which a properly signed proxy card is returned, will be voted in accordance with the instructions specifed on the proxy card.</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1414D2"/>
        </w:rPr>
        <w:t>Vote by QR Code</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Scan  the  QR  code  here  to  vote  with  your  mobile  device  (which  may  require  a  free  app):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60" w:right="120"/>
        <w:spacing w:after="0" w:line="325" w:lineRule="auto"/>
        <w:rPr>
          <w:sz w:val="20"/>
          <w:szCs w:val="20"/>
          <w:color w:val="auto"/>
        </w:rPr>
      </w:pPr>
      <w:r>
        <w:rPr>
          <w:rFonts w:ascii="Arial" w:cs="Arial" w:eastAsia="Arial" w:hAnsi="Arial"/>
          <w:sz w:val="16"/>
          <w:szCs w:val="16"/>
          <w:color w:val="auto"/>
        </w:rPr>
        <w:t>Proxies submitted by Internet (including QR code), telephone or mail must be received by 10:59 p.m., Central Time, on Monday, May 18, 2026, the day before the Annual Meeting.</w:t>
      </w:r>
    </w:p>
    <w:p>
      <w:pPr>
        <w:spacing w:after="0" w:line="1" w:lineRule="exact"/>
        <w:rPr>
          <w:sz w:val="20"/>
          <w:szCs w:val="20"/>
          <w:color w:val="auto"/>
        </w:rPr>
      </w:pPr>
    </w:p>
    <w:p>
      <w:pPr>
        <w:ind w:left="660" w:right="300"/>
        <w:spacing w:after="0" w:line="276" w:lineRule="auto"/>
        <w:rPr>
          <w:sz w:val="20"/>
          <w:szCs w:val="20"/>
          <w:color w:val="auto"/>
        </w:rPr>
      </w:pPr>
      <w:r>
        <w:rPr>
          <w:rFonts w:ascii="Arial" w:cs="Arial" w:eastAsia="Arial" w:hAnsi="Arial"/>
          <w:sz w:val="16"/>
          <w:szCs w:val="16"/>
          <w:color w:val="auto"/>
        </w:rPr>
        <w:t>We encourage you to vote by Internet as instructed on the Notice of Internet Availability of Proxy Materials or proxy card.</w:t>
      </w:r>
    </w:p>
    <w:p>
      <w:pPr>
        <w:spacing w:after="0" w:line="3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ARE MY SHARES VOTED IF I DO NOT INDICATE HOW TO VOTE ON THE PROXY CARD?</w:t>
      </w:r>
    </w:p>
    <w:p>
      <w:pPr>
        <w:spacing w:after="0" w:line="113" w:lineRule="exact"/>
        <w:rPr>
          <w:sz w:val="20"/>
          <w:szCs w:val="20"/>
          <w:color w:val="auto"/>
        </w:rPr>
      </w:pPr>
    </w:p>
    <w:p>
      <w:pPr>
        <w:ind w:right="60"/>
        <w:spacing w:after="0" w:line="313" w:lineRule="auto"/>
        <w:rPr>
          <w:sz w:val="20"/>
          <w:szCs w:val="20"/>
          <w:color w:val="auto"/>
        </w:rPr>
      </w:pPr>
      <w:r>
        <w:rPr>
          <w:rFonts w:ascii="Arial" w:cs="Arial" w:eastAsia="Arial" w:hAnsi="Arial"/>
          <w:sz w:val="16"/>
          <w:szCs w:val="16"/>
          <w:color w:val="auto"/>
        </w:rPr>
        <w:t>If we receive a properly signed and dated proxy card and the proxy card does not specify how your shares are to be voted, your shares will be voted in accordance with the recommendations of the Board, including:</w:t>
      </w:r>
    </w:p>
    <w:p>
      <w:pPr>
        <w:spacing w:after="0" w:line="6" w:lineRule="exact"/>
        <w:rPr>
          <w:sz w:val="20"/>
          <w:szCs w:val="20"/>
          <w:color w:val="auto"/>
        </w:rPr>
      </w:pPr>
    </w:p>
    <w:p>
      <w:pPr>
        <w:ind w:left="680" w:hanging="325"/>
        <w:spacing w:after="0"/>
        <w:tabs>
          <w:tab w:leader="none" w:pos="680" w:val="left"/>
        </w:tabs>
        <w:numPr>
          <w:ilvl w:val="0"/>
          <w:numId w:val="177"/>
        </w:numPr>
        <w:rPr>
          <w:rFonts w:ascii="Times New Roman" w:cs="Times New Roman" w:eastAsia="Times New Roman" w:hAnsi="Times New Roman"/>
          <w:sz w:val="16"/>
          <w:szCs w:val="16"/>
          <w:color w:val="auto"/>
        </w:rPr>
      </w:pPr>
      <w:r>
        <w:rPr>
          <w:rFonts w:ascii="Arial" w:cs="Arial" w:eastAsia="Arial" w:hAnsi="Arial"/>
          <w:sz w:val="16"/>
          <w:szCs w:val="16"/>
          <w:color w:val="auto"/>
        </w:rPr>
        <w:t>FOR  the  election  of  each  of  the  nominees  for  director  (Item  1);</w:t>
      </w:r>
    </w:p>
    <w:p>
      <w:pPr>
        <w:spacing w:after="0" w:line="112" w:lineRule="exact"/>
        <w:rPr>
          <w:rFonts w:ascii="Times New Roman" w:cs="Times New Roman" w:eastAsia="Times New Roman" w:hAnsi="Times New Roman"/>
          <w:sz w:val="16"/>
          <w:szCs w:val="16"/>
          <w:color w:val="auto"/>
        </w:rPr>
      </w:pPr>
    </w:p>
    <w:p>
      <w:pPr>
        <w:ind w:left="680" w:right="40" w:hanging="325"/>
        <w:spacing w:after="0" w:line="325" w:lineRule="auto"/>
        <w:tabs>
          <w:tab w:leader="none" w:pos="680" w:val="left"/>
        </w:tabs>
        <w:numPr>
          <w:ilvl w:val="0"/>
          <w:numId w:val="177"/>
        </w:numPr>
        <w:rPr>
          <w:rFonts w:ascii="Times New Roman" w:cs="Times New Roman" w:eastAsia="Times New Roman" w:hAnsi="Times New Roman"/>
          <w:sz w:val="16"/>
          <w:szCs w:val="16"/>
          <w:color w:val="auto"/>
        </w:rPr>
      </w:pPr>
      <w:r>
        <w:rPr>
          <w:rFonts w:ascii="Arial" w:cs="Arial" w:eastAsia="Arial" w:hAnsi="Arial"/>
          <w:sz w:val="16"/>
          <w:szCs w:val="16"/>
          <w:color w:val="auto"/>
        </w:rPr>
        <w:t>FOR the ratifcation of the appointment of Ernst &amp; Young LLP to serve as our independent registered public accounting frm for the fscal year ending December 31, 2026 (Item 2);</w:t>
      </w:r>
    </w:p>
    <w:p>
      <w:pPr>
        <w:ind w:left="680" w:right="180" w:hanging="325"/>
        <w:spacing w:after="0" w:line="284" w:lineRule="auto"/>
        <w:tabs>
          <w:tab w:leader="none" w:pos="680" w:val="left"/>
        </w:tabs>
        <w:numPr>
          <w:ilvl w:val="0"/>
          <w:numId w:val="177"/>
        </w:numPr>
        <w:rPr>
          <w:rFonts w:ascii="Times New Roman" w:cs="Times New Roman" w:eastAsia="Times New Roman" w:hAnsi="Times New Roman"/>
          <w:sz w:val="16"/>
          <w:szCs w:val="16"/>
          <w:color w:val="auto"/>
        </w:rPr>
      </w:pPr>
      <w:r>
        <w:rPr>
          <w:rFonts w:ascii="Arial" w:cs="Arial" w:eastAsia="Arial" w:hAnsi="Arial"/>
          <w:sz w:val="16"/>
          <w:szCs w:val="16"/>
          <w:color w:val="auto"/>
        </w:rPr>
        <w:t>FOR the vote to approve, on a nonbinding advisory basis, the compensation of our named executive ofcers (Item 3); and</w:t>
      </w:r>
    </w:p>
    <w:p>
      <w:pPr>
        <w:spacing w:after="0" w:line="280" w:lineRule="exact"/>
        <w:rPr>
          <w:rFonts w:ascii="Times New Roman" w:cs="Times New Roman" w:eastAsia="Times New Roman" w:hAnsi="Times New Roman"/>
          <w:sz w:val="16"/>
          <w:szCs w:val="16"/>
          <w:color w:val="auto"/>
        </w:rPr>
      </w:pPr>
    </w:p>
    <w:p>
      <w:pPr>
        <w:ind w:left="680" w:hanging="325"/>
        <w:spacing w:after="0"/>
        <w:tabs>
          <w:tab w:leader="none" w:pos="680" w:val="left"/>
        </w:tabs>
        <w:numPr>
          <w:ilvl w:val="0"/>
          <w:numId w:val="177"/>
        </w:numPr>
        <w:rPr>
          <w:rFonts w:ascii="Times New Roman" w:cs="Times New Roman" w:eastAsia="Times New Roman" w:hAnsi="Times New Roman"/>
          <w:sz w:val="16"/>
          <w:szCs w:val="16"/>
          <w:color w:val="auto"/>
        </w:rPr>
      </w:pPr>
      <w:r>
        <w:rPr>
          <w:rFonts w:ascii="Arial" w:cs="Arial" w:eastAsia="Arial" w:hAnsi="Arial"/>
          <w:sz w:val="16"/>
          <w:szCs w:val="16"/>
          <w:color w:val="auto"/>
        </w:rPr>
        <w:t>AGAINST  the  advisory  vote  on  the  stockholder  proposal  (Item  4).</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DO I VOTE IF I HOLD MY SHARES THROUGH AN ACCOUNT AT A BROKER, BANK, TRUST OR OTHER NOMINEE?</w:t>
      </w:r>
    </w:p>
    <w:p>
      <w:pPr>
        <w:spacing w:after="0" w:line="127"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If you hold your shares in an account at a broker, bank, trust or other nominee, you are considered the “benefcial owner” of shares held in “street name,” and you should have received a Notice of Internet Availability of Proxy Materials or voting instruction card and voting instructions with these proxy materials from that organization rather than from us. To ensure that your vote is counted, follow the directions set forth on the Notice of Internet Availability of Proxy Materials or voting instruction</w:t>
      </w:r>
    </w:p>
    <w:p>
      <w:pPr>
        <w:spacing w:after="0" w:line="3" w:lineRule="exact"/>
        <w:rPr>
          <w:sz w:val="20"/>
          <w:szCs w:val="20"/>
          <w:color w:val="auto"/>
        </w:rPr>
      </w:pPr>
    </w:p>
    <w:p>
      <w:pPr>
        <w:ind w:right="220"/>
        <w:spacing w:after="0" w:line="313" w:lineRule="auto"/>
        <w:rPr>
          <w:sz w:val="20"/>
          <w:szCs w:val="20"/>
          <w:color w:val="auto"/>
        </w:rPr>
      </w:pPr>
      <w:r>
        <w:rPr>
          <w:rFonts w:ascii="Arial" w:cs="Arial" w:eastAsia="Arial" w:hAnsi="Arial"/>
          <w:sz w:val="16"/>
          <w:szCs w:val="16"/>
          <w:color w:val="auto"/>
        </w:rPr>
        <w:t>card and the voting instructions that you receive. To vote during the virtual Annual Meeting, you will need the 16-digit control number included on your Notice of Internet Availability of Proxy Materials or voting instruction card.</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DO I VOTE MY SHARES IF I PARTICIPATE IN ONE OF THE UNITED 401(K) PLANS?</w:t>
      </w:r>
    </w:p>
    <w:p>
      <w:pPr>
        <w:spacing w:after="0" w:line="113" w:lineRule="exact"/>
        <w:rPr>
          <w:sz w:val="20"/>
          <w:szCs w:val="20"/>
          <w:color w:val="auto"/>
        </w:rPr>
      </w:pPr>
    </w:p>
    <w:p>
      <w:pPr>
        <w:spacing w:after="0"/>
        <w:rPr>
          <w:sz w:val="20"/>
          <w:szCs w:val="20"/>
          <w:color w:val="auto"/>
        </w:rPr>
      </w:pPr>
      <w:r>
        <w:rPr>
          <w:rFonts w:ascii="Arial" w:cs="Arial" w:eastAsia="Arial" w:hAnsi="Arial"/>
          <w:sz w:val="15"/>
          <w:szCs w:val="15"/>
          <w:color w:val="auto"/>
        </w:rPr>
        <w:t>If  you  hold  shares  in  an  account  under  the  United  Airlines  401(k)  Savings  Plan  or  the  United  Airlines  Flight  Attendant  401(k)  Plan</w:t>
      </w:r>
    </w:p>
    <w:p>
      <w:pPr>
        <w:spacing w:after="0" w:line="30" w:lineRule="exact"/>
        <w:rPr>
          <w:sz w:val="20"/>
          <w:szCs w:val="20"/>
          <w:color w:val="auto"/>
        </w:rPr>
      </w:pPr>
    </w:p>
    <w:p>
      <w:pPr>
        <w:ind w:right="60"/>
        <w:spacing w:after="0" w:line="252" w:lineRule="auto"/>
        <w:rPr>
          <w:sz w:val="20"/>
          <w:szCs w:val="20"/>
          <w:color w:val="auto"/>
        </w:rPr>
      </w:pPr>
      <w:r>
        <w:rPr>
          <w:rFonts w:ascii="Arial" w:cs="Arial" w:eastAsia="Arial" w:hAnsi="Arial"/>
          <w:sz w:val="16"/>
          <w:szCs w:val="16"/>
          <w:color w:val="auto"/>
        </w:rPr>
        <w:t>(each a “Plan,” and collectively, the “United 401(k) Plans”), Broadridge Financial Solutions, Inc. (“Broadridge”) is sending you the Company’s Notice of Internet Availability of Proxy Materials or proxy materials directly, including the proxy card. You may direct the trustee of the United 401(k) Plans, Newport Trust Company, on how to vote your Plan shares by directing the voting of your</w:t>
      </w:r>
    </w:p>
    <w:p>
      <w:pPr>
        <w:spacing w:after="0" w:line="1"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Plan shares by Internet, telephone or mail pursuant to the instructions included on the Notice of Internet Availability of Proxy Materials or proxy card. Please note that, in order to permit the trustee for the United 401(k) Plans to tally and vote all of the shares of Common Stock held in the United 401(k) Plans, your instructions, whether by Internet, telephone or proxy card, must be completed and received prior to 10:59 p.m., Central Time, on Sunday, May 17, 2026. You may not change your vote related to</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such  Plan  shares  after  this  deadline.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2026  Proxy  Statement</w:t>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1414D2"/>
        </w:rPr>
        <w:t>141</w:t>
      </w:r>
    </w:p>
    <w:p>
      <w:pPr>
        <w:sectPr>
          <w:pgSz w:w="11900" w:h="16838" w:orient="portrait"/>
          <w:cols w:equalWidth="0" w:num="1">
            <w:col w:w="9720"/>
          </w:cols>
          <w:pgMar w:left="1080" w:top="695" w:right="1099" w:bottom="1440" w:gutter="0" w:footer="0" w:header="0"/>
        </w:sectPr>
      </w:pPr>
    </w:p>
    <w:bookmarkStart w:id="152" w:name="page153"/>
    <w:bookmarkEnd w:id="152"/>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6D6F71"/>
        </w:rPr>
        <w:t>Annual  Meeting  Information</w:t>
      </w:r>
    </w:p>
    <w:p>
      <w:pPr>
        <w:spacing w:after="0" w:line="225" w:lineRule="exact"/>
        <w:rPr>
          <w:sz w:val="20"/>
          <w:szCs w:val="20"/>
          <w:color w:val="auto"/>
        </w:rPr>
      </w:pPr>
    </w:p>
    <w:p>
      <w:pPr>
        <w:ind w:right="240"/>
        <w:spacing w:after="0" w:line="255" w:lineRule="auto"/>
        <w:rPr>
          <w:sz w:val="20"/>
          <w:szCs w:val="20"/>
          <w:color w:val="auto"/>
        </w:rPr>
      </w:pPr>
      <w:r>
        <w:rPr>
          <w:rFonts w:ascii="Arial" w:cs="Arial" w:eastAsia="Arial" w:hAnsi="Arial"/>
          <w:sz w:val="16"/>
          <w:szCs w:val="16"/>
          <w:color w:val="auto"/>
        </w:rPr>
        <w:t>If you do not provide voting instructions to the trustee, your Plan shares will be voted by the trustee in the same proportion that it votes shares in other Plan accounts for which it did receive timely voting instructions. The proportional voting policy is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detailed  under  the  terms  of  each  Plan  and  trust  agreement.</w:t>
      </w:r>
    </w:p>
    <w:p>
      <w:pPr>
        <w:spacing w:after="0" w:line="113" w:lineRule="exact"/>
        <w:rPr>
          <w:sz w:val="20"/>
          <w:szCs w:val="20"/>
          <w:color w:val="auto"/>
        </w:rPr>
      </w:pPr>
    </w:p>
    <w:p>
      <w:pPr>
        <w:ind w:right="20"/>
        <w:spacing w:after="0" w:line="313" w:lineRule="auto"/>
        <w:rPr>
          <w:sz w:val="20"/>
          <w:szCs w:val="20"/>
          <w:color w:val="auto"/>
        </w:rPr>
      </w:pPr>
      <w:r>
        <w:rPr>
          <w:rFonts w:ascii="Arial" w:cs="Arial" w:eastAsia="Arial" w:hAnsi="Arial"/>
          <w:sz w:val="16"/>
          <w:szCs w:val="16"/>
          <w:b w:val="1"/>
          <w:bCs w:val="1"/>
          <w:color w:val="auto"/>
        </w:rPr>
        <w:t>WHY DID I RECEIVE A NOTICE IN THE MAIL REGARDING THE INTERNET AVAILABILITY OF PROXY MATERIALS INSTEAD OF A FULL SET OF PROXY MATERIALS?</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Pursuant  to  rules  adopted  by  the  SEC,  the  Company  has  elected  to  provide  access  to  its  proxy  materials  via  the  Internet.</w:t>
      </w:r>
    </w:p>
    <w:p>
      <w:pPr>
        <w:spacing w:after="0" w:line="19"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Accordingly, the Company is sending a Notice of Internet Availability of Proxy Materials to the Company’s stockholders. All stockholders will have the ability to access the proxy materials on the website referred to in the notice or request a printed set of the proxy materials. Instructions on how to access the proxy materials over the Internet or to request a printed copy may be found in the notice. In addition, stockholders may request proxy materials in printed form by mail or electronically by email on</w:t>
      </w:r>
    </w:p>
    <w:p>
      <w:pPr>
        <w:spacing w:after="0" w:line="3" w:lineRule="exact"/>
        <w:rPr>
          <w:sz w:val="20"/>
          <w:szCs w:val="20"/>
          <w:color w:val="auto"/>
        </w:rPr>
      </w:pPr>
    </w:p>
    <w:p>
      <w:pPr>
        <w:ind w:right="320"/>
        <w:spacing w:after="0" w:line="279" w:lineRule="auto"/>
        <w:rPr>
          <w:sz w:val="20"/>
          <w:szCs w:val="20"/>
          <w:color w:val="auto"/>
        </w:rPr>
      </w:pPr>
      <w:r>
        <w:rPr>
          <w:rFonts w:ascii="Arial" w:cs="Arial" w:eastAsia="Arial" w:hAnsi="Arial"/>
          <w:sz w:val="16"/>
          <w:szCs w:val="16"/>
          <w:color w:val="auto"/>
        </w:rPr>
        <w:t>an ongoing basis. The Company encourages stockholders to take advantage of the availability of the proxy materials on the Internet to help reduce the expenses incurred by the Company in connection with the Annual Meeting and to reduce the environmental impact of the Annual Meeting.</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CAN I GET ELECTRONIC ACCESS TO THE PROXY MATERIALS?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Notice  of  Internet  Availability  of  Proxy  Materials  will  provide  you  with  instructions  regarding  how  to:</w:t>
      </w:r>
    </w:p>
    <w:p>
      <w:pPr>
        <w:spacing w:after="0" w:line="113" w:lineRule="exact"/>
        <w:rPr>
          <w:sz w:val="20"/>
          <w:szCs w:val="20"/>
          <w:color w:val="auto"/>
        </w:rPr>
      </w:pPr>
    </w:p>
    <w:p>
      <w:pPr>
        <w:ind w:left="320" w:hanging="316"/>
        <w:spacing w:after="0"/>
        <w:tabs>
          <w:tab w:leader="none" w:pos="320" w:val="left"/>
        </w:tabs>
        <w:numPr>
          <w:ilvl w:val="0"/>
          <w:numId w:val="178"/>
        </w:numPr>
        <w:rPr>
          <w:rFonts w:ascii="Times New Roman" w:cs="Times New Roman" w:eastAsia="Times New Roman" w:hAnsi="Times New Roman"/>
          <w:sz w:val="16"/>
          <w:szCs w:val="16"/>
          <w:color w:val="auto"/>
        </w:rPr>
      </w:pPr>
      <w:r>
        <w:rPr>
          <w:rFonts w:ascii="Arial" w:cs="Arial" w:eastAsia="Arial" w:hAnsi="Arial"/>
          <w:sz w:val="16"/>
          <w:szCs w:val="16"/>
          <w:color w:val="auto"/>
        </w:rPr>
        <w:t>view  on  the  Internet  the  Company’s  proxy  materials  for  the  Annual  Meeting;  and</w:t>
      </w:r>
    </w:p>
    <w:p>
      <w:pPr>
        <w:spacing w:after="0" w:line="112" w:lineRule="exact"/>
        <w:rPr>
          <w:rFonts w:ascii="Times New Roman" w:cs="Times New Roman" w:eastAsia="Times New Roman" w:hAnsi="Times New Roman"/>
          <w:sz w:val="16"/>
          <w:szCs w:val="16"/>
          <w:color w:val="auto"/>
        </w:rPr>
      </w:pPr>
    </w:p>
    <w:p>
      <w:pPr>
        <w:ind w:left="320" w:hanging="316"/>
        <w:spacing w:after="0"/>
        <w:tabs>
          <w:tab w:leader="none" w:pos="320" w:val="left"/>
        </w:tabs>
        <w:numPr>
          <w:ilvl w:val="0"/>
          <w:numId w:val="178"/>
        </w:numPr>
        <w:rPr>
          <w:rFonts w:ascii="Times New Roman" w:cs="Times New Roman" w:eastAsia="Times New Roman" w:hAnsi="Times New Roman"/>
          <w:sz w:val="16"/>
          <w:szCs w:val="16"/>
          <w:color w:val="auto"/>
        </w:rPr>
      </w:pPr>
      <w:r>
        <w:rPr>
          <w:rFonts w:ascii="Arial" w:cs="Arial" w:eastAsia="Arial" w:hAnsi="Arial"/>
          <w:sz w:val="16"/>
          <w:szCs w:val="16"/>
          <w:color w:val="auto"/>
        </w:rPr>
        <w:t>instruct  the  Company  to  send  future  proxy  materials  to  you  by  email.</w:t>
      </w:r>
    </w:p>
    <w:p>
      <w:pPr>
        <w:spacing w:after="0" w:line="112"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Choosing to receive future proxy materials by email will save the Company the cost of printing and mailing documents to you. If you choose to receive future proxy materials by email, you will receive an email message next year with instructions containing</w:t>
      </w:r>
    </w:p>
    <w:p>
      <w:pPr>
        <w:spacing w:after="0" w:line="1" w:lineRule="exact"/>
        <w:rPr>
          <w:sz w:val="20"/>
          <w:szCs w:val="20"/>
          <w:color w:val="auto"/>
        </w:rPr>
      </w:pPr>
    </w:p>
    <w:p>
      <w:pPr>
        <w:ind w:right="160"/>
        <w:spacing w:after="0" w:line="313" w:lineRule="auto"/>
        <w:rPr>
          <w:sz w:val="20"/>
          <w:szCs w:val="20"/>
          <w:color w:val="auto"/>
        </w:rPr>
      </w:pPr>
      <w:r>
        <w:rPr>
          <w:rFonts w:ascii="Arial" w:cs="Arial" w:eastAsia="Arial" w:hAnsi="Arial"/>
          <w:sz w:val="16"/>
          <w:szCs w:val="16"/>
          <w:color w:val="auto"/>
        </w:rPr>
        <w:t>a link to those materials and a link to the proxy voting website. Your election to receive proxy materials by email will remain in efect until you terminate it.</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DOES IT MEAN IF I RECEIVE MORE THAN ONE SET OF PROXY MATERIALS?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If  you  receive  more  than  one  Notice  of  Internet  Availability  of  Proxy  Materials  or  sets  of  proxy  materials,  your  shares  are</w:t>
      </w:r>
    </w:p>
    <w:p>
      <w:pPr>
        <w:spacing w:after="0" w:line="19" w:lineRule="exact"/>
        <w:rPr>
          <w:sz w:val="20"/>
          <w:szCs w:val="20"/>
          <w:color w:val="auto"/>
        </w:rPr>
      </w:pPr>
    </w:p>
    <w:p>
      <w:pPr>
        <w:ind w:right="120"/>
        <w:spacing w:after="0" w:line="279" w:lineRule="auto"/>
        <w:rPr>
          <w:sz w:val="20"/>
          <w:szCs w:val="20"/>
          <w:color w:val="auto"/>
        </w:rPr>
      </w:pPr>
      <w:r>
        <w:rPr>
          <w:rFonts w:ascii="Arial" w:cs="Arial" w:eastAsia="Arial" w:hAnsi="Arial"/>
          <w:sz w:val="16"/>
          <w:szCs w:val="16"/>
          <w:color w:val="auto"/>
        </w:rPr>
        <w:t>registered in more than one name or are registered in diferent accounts. In order to vote all of the shares that you own, you must either sign and return all of the proxy cards or follow the instructions for any alternative voting procedure on each of the Notices of Internet Availability of Proxy Materials or proxy cards that you receive.</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WHO COUNTS THE VOTES?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Representatives  of  Broadridge  will  tabulate  the  votes  and  act  as  Inspector  of  Election  at  the  Annual  Meeting.</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IS A QUORUM DETERMINED?</w:t>
      </w:r>
    </w:p>
    <w:p>
      <w:pPr>
        <w:spacing w:after="0" w:line="113" w:lineRule="exact"/>
        <w:rPr>
          <w:sz w:val="20"/>
          <w:szCs w:val="20"/>
          <w:color w:val="auto"/>
        </w:rPr>
      </w:pPr>
    </w:p>
    <w:p>
      <w:pPr>
        <w:spacing w:after="0"/>
        <w:rPr>
          <w:sz w:val="20"/>
          <w:szCs w:val="20"/>
          <w:color w:val="auto"/>
        </w:rPr>
      </w:pPr>
      <w:r>
        <w:rPr>
          <w:rFonts w:ascii="Arial" w:cs="Arial" w:eastAsia="Arial" w:hAnsi="Arial"/>
          <w:sz w:val="15"/>
          <w:szCs w:val="15"/>
          <w:color w:val="auto"/>
        </w:rPr>
        <w:t>A  quorum  is  necessary  for  conducting  a  valid  Annual  Meeting.  The  presence,  in  person  or  represented  by  proxy,  of  the  holders</w:t>
      </w:r>
    </w:p>
    <w:p>
      <w:pPr>
        <w:spacing w:after="0" w:line="30" w:lineRule="exact"/>
        <w:rPr>
          <w:sz w:val="20"/>
          <w:szCs w:val="20"/>
          <w:color w:val="auto"/>
        </w:rPr>
      </w:pPr>
    </w:p>
    <w:p>
      <w:pPr>
        <w:ind w:right="140"/>
        <w:spacing w:after="0" w:line="250" w:lineRule="auto"/>
        <w:rPr>
          <w:sz w:val="20"/>
          <w:szCs w:val="20"/>
          <w:color w:val="auto"/>
        </w:rPr>
      </w:pPr>
      <w:r>
        <w:rPr>
          <w:rFonts w:ascii="Arial" w:cs="Arial" w:eastAsia="Arial" w:hAnsi="Arial"/>
          <w:sz w:val="16"/>
          <w:szCs w:val="16"/>
          <w:color w:val="auto"/>
        </w:rPr>
        <w:t>of outstanding shares representing at least a majority of the total voting power entitled to vote at the Annual Meeting is necessary to constitute a quorum at the Annual Meeting. Virtual attendance at our Annual Meeting constitutes presence in person for purposes of quorum at the meeting. Where a separate vote of a class or series of stock is required, the presence in person or represented by proxy of the holders of outstanding shares representing at least a majority of the total voting power</w:t>
      </w:r>
    </w:p>
    <w:p>
      <w:pPr>
        <w:spacing w:after="0" w:line="3" w:lineRule="exact"/>
        <w:rPr>
          <w:sz w:val="20"/>
          <w:szCs w:val="20"/>
          <w:color w:val="auto"/>
        </w:rPr>
      </w:pPr>
    </w:p>
    <w:p>
      <w:pPr>
        <w:ind w:right="80"/>
        <w:spacing w:after="0" w:line="313" w:lineRule="auto"/>
        <w:rPr>
          <w:sz w:val="20"/>
          <w:szCs w:val="20"/>
          <w:color w:val="auto"/>
        </w:rPr>
      </w:pPr>
      <w:r>
        <w:rPr>
          <w:rFonts w:ascii="Arial" w:cs="Arial" w:eastAsia="Arial" w:hAnsi="Arial"/>
          <w:sz w:val="16"/>
          <w:szCs w:val="16"/>
          <w:color w:val="auto"/>
        </w:rPr>
        <w:t>of all outstanding shares of such class or series is necessary to constitute a quorum thereof entitled to take action with respect to such separate vote.</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ARE “BROKER NON-VOTES”?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Brokers,  banks,  trusts  or  other  nominees  holding  shares  on  behalf  of  a  benefcial  owner  may  vote  those  shares  in  their</w:t>
      </w:r>
    </w:p>
    <w:p>
      <w:pPr>
        <w:spacing w:after="0" w:line="19"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discretion on certain “routine” matters even if they do not receive timely voting instructions from the benefcial owner. With respect to “non-routine” matters, the broker, bank, trust or other nominee is not permitted to vote shares for a benefcial owner without timely received voting instructions.</w:t>
      </w:r>
    </w:p>
    <w:p>
      <w:pPr>
        <w:sectPr>
          <w:pgSz w:w="11900" w:h="16838" w:orient="portrait"/>
          <w:cols w:equalWidth="0" w:num="1">
            <w:col w:w="9700"/>
          </w:cols>
          <w:pgMar w:left="1080" w:top="696" w:right="11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right"/>
        <w:ind w:right="7700"/>
        <w:spacing w:after="0"/>
        <w:rPr>
          <w:sz w:val="20"/>
          <w:szCs w:val="20"/>
          <w:color w:val="auto"/>
        </w:rPr>
      </w:pPr>
      <w:r>
        <w:rPr>
          <w:rFonts w:ascii="Arial" w:cs="Arial" w:eastAsia="Arial" w:hAnsi="Arial"/>
          <w:sz w:val="16"/>
          <w:szCs w:val="16"/>
          <w:color w:val="auto"/>
        </w:rPr>
        <w:t>​​2026​  Proxy</w:t>
      </w:r>
    </w:p>
    <w:p>
      <w:pPr>
        <w:spacing w:after="0" w:line="5" w:lineRule="exact"/>
        <w:rPr>
          <w:sz w:val="20"/>
          <w:szCs w:val="20"/>
          <w:color w:val="auto"/>
        </w:rPr>
      </w:pPr>
    </w:p>
    <w:p>
      <w:pPr>
        <w:ind w:left="660" w:hanging="656"/>
        <w:spacing w:after="0"/>
        <w:tabs>
          <w:tab w:leader="none" w:pos="660" w:val="left"/>
        </w:tabs>
        <w:numPr>
          <w:ilvl w:val="0"/>
          <w:numId w:val="179"/>
        </w:numPr>
        <w:rPr>
          <w:rFonts w:ascii="Arial" w:cs="Arial" w:eastAsia="Arial" w:hAnsi="Arial"/>
          <w:sz w:val="16"/>
          <w:szCs w:val="16"/>
          <w:b w:val="1"/>
          <w:bCs w:val="1"/>
          <w:color w:val="1414D2"/>
        </w:rPr>
      </w:pPr>
      <w:r>
        <w:rPr>
          <w:rFonts w:ascii="Arial" w:cs="Arial" w:eastAsia="Arial" w:hAnsi="Arial"/>
          <w:sz w:val="16"/>
          <w:szCs w:val="16"/>
          <w:color w:val="auto"/>
        </w:rPr>
        <w:t>Statement</w:t>
      </w:r>
    </w:p>
    <w:p>
      <w:pPr>
        <w:sectPr>
          <w:pgSz w:w="11900" w:h="16838" w:orient="portrait"/>
          <w:cols w:equalWidth="0" w:num="1">
            <w:col w:w="9700"/>
          </w:cols>
          <w:pgMar w:left="1080" w:top="696" w:right="1119" w:bottom="1440" w:gutter="0" w:footer="0" w:header="0"/>
          <w:type w:val="continuous"/>
        </w:sectPr>
      </w:pPr>
    </w:p>
    <w:bookmarkStart w:id="153" w:name="page154"/>
    <w:bookmarkEnd w:id="153"/>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27" w:lineRule="exact"/>
        <w:rPr>
          <w:sz w:val="20"/>
          <w:szCs w:val="20"/>
          <w:color w:val="auto"/>
        </w:rPr>
      </w:pPr>
    </w:p>
    <w:p>
      <w:pPr>
        <w:ind w:left="7800"/>
        <w:spacing w:after="0"/>
        <w:rPr>
          <w:sz w:val="20"/>
          <w:szCs w:val="20"/>
          <w:color w:val="auto"/>
        </w:rPr>
      </w:pPr>
      <w:r>
        <w:rPr>
          <w:rFonts w:ascii="Arial" w:cs="Arial" w:eastAsia="Arial" w:hAnsi="Arial"/>
          <w:sz w:val="14"/>
          <w:szCs w:val="14"/>
          <w:color w:val="6D6F71"/>
        </w:rPr>
        <w:t>Annual  Meeting  Information</w:t>
      </w:r>
    </w:p>
    <w:p>
      <w:pPr>
        <w:spacing w:after="0" w:line="225" w:lineRule="exact"/>
        <w:rPr>
          <w:sz w:val="20"/>
          <w:szCs w:val="20"/>
          <w:color w:val="auto"/>
        </w:rPr>
      </w:pPr>
    </w:p>
    <w:p>
      <w:pPr>
        <w:ind w:right="180"/>
        <w:spacing w:after="0" w:line="255" w:lineRule="auto"/>
        <w:rPr>
          <w:sz w:val="20"/>
          <w:szCs w:val="20"/>
          <w:color w:val="auto"/>
        </w:rPr>
      </w:pPr>
      <w:r>
        <w:rPr>
          <w:rFonts w:ascii="Arial" w:cs="Arial" w:eastAsia="Arial" w:hAnsi="Arial"/>
          <w:sz w:val="16"/>
          <w:szCs w:val="16"/>
          <w:color w:val="auto"/>
        </w:rPr>
        <w:t>A broker non-vote occurs when a benefcial owner of shares held by a broker, bank, trust or other nominee fails to provide the record holder with specifc instructions concerning how to vote on any “non-routine” matters brought to a vote at a</w:t>
      </w:r>
    </w:p>
    <w:p>
      <w:pPr>
        <w:spacing w:after="0" w:line="1"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stockholders meeting. At the Annual Meeting, brokers will have discretionary authority to vote shares on the ratifcation of the appointment of the independent registered public accounting frm (Item 2), which is the only “routine” matter to be presented at the Annual Meeting. If brokers exercise this discretionary voting authority on Item 2, such shares will be considered present at the Annual Meeting for quorum purposes and broker non-votes will occur as to each of the other proposals presented at the</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Annual  Meeting,  which  are  considered  “non-routine.”</w:t>
      </w:r>
    </w:p>
    <w:p>
      <w:pPr>
        <w:spacing w:after="0" w:line="221" w:lineRule="exact"/>
        <w:rPr>
          <w:sz w:val="20"/>
          <w:szCs w:val="20"/>
          <w:color w:val="auto"/>
        </w:rPr>
      </w:pPr>
    </w:p>
    <w:p>
      <w:pPr>
        <w:ind w:right="260"/>
        <w:spacing w:after="0" w:line="313" w:lineRule="auto"/>
        <w:rPr>
          <w:sz w:val="20"/>
          <w:szCs w:val="20"/>
          <w:color w:val="auto"/>
        </w:rPr>
      </w:pPr>
      <w:r>
        <w:rPr>
          <w:rFonts w:ascii="Arial" w:cs="Arial" w:eastAsia="Arial" w:hAnsi="Arial"/>
          <w:sz w:val="16"/>
          <w:szCs w:val="16"/>
          <w:b w:val="1"/>
          <w:bCs w:val="1"/>
          <w:color w:val="auto"/>
        </w:rPr>
        <w:t>HOW ARE ABSTENTIONS AND BROKER NON-VOTES TREATED FOR QUORUM PURPOSES, AND HOW DO THEY IMPACT THE VOTING RESULTS?</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Abstentions  are  counted  for  purposes  of  determining  whether  a  quorum  is  present.  Abstentions  will  have  the  efect  of  a  vote</w:t>
      </w:r>
    </w:p>
    <w:p>
      <w:pPr>
        <w:spacing w:after="0" w:line="19" w:lineRule="exact"/>
        <w:rPr>
          <w:sz w:val="20"/>
          <w:szCs w:val="20"/>
          <w:color w:val="auto"/>
        </w:rPr>
      </w:pPr>
    </w:p>
    <w:p>
      <w:pPr>
        <w:ind w:right="120"/>
        <w:spacing w:after="0" w:line="313" w:lineRule="auto"/>
        <w:rPr>
          <w:sz w:val="20"/>
          <w:szCs w:val="20"/>
          <w:color w:val="auto"/>
        </w:rPr>
      </w:pPr>
      <w:r>
        <w:rPr>
          <w:rFonts w:ascii="Arial" w:cs="Arial" w:eastAsia="Arial" w:hAnsi="Arial"/>
          <w:sz w:val="16"/>
          <w:szCs w:val="16"/>
          <w:color w:val="auto"/>
        </w:rPr>
        <w:t>against the matters presented for a vote of the stockholders, other than the election of directors (Item 1). Abstentions have no efect with respect to the voting results of Item 1.</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As  explained  above  under  “What  are  ‘broker  non-votes’?,”  if  brokers  exercise  their  discretionary  voting  authority  on  Item  2,  such</w:t>
      </w:r>
    </w:p>
    <w:p>
      <w:pPr>
        <w:spacing w:after="0" w:line="30" w:lineRule="exact"/>
        <w:rPr>
          <w:sz w:val="20"/>
          <w:szCs w:val="20"/>
          <w:color w:val="auto"/>
        </w:rPr>
      </w:pPr>
    </w:p>
    <w:p>
      <w:pPr>
        <w:jc w:val="both"/>
        <w:ind w:right="40"/>
        <w:spacing w:after="0" w:line="279" w:lineRule="auto"/>
        <w:rPr>
          <w:sz w:val="20"/>
          <w:szCs w:val="20"/>
          <w:color w:val="auto"/>
        </w:rPr>
      </w:pPr>
      <w:r>
        <w:rPr>
          <w:rFonts w:ascii="Arial" w:cs="Arial" w:eastAsia="Arial" w:hAnsi="Arial"/>
          <w:sz w:val="16"/>
          <w:szCs w:val="16"/>
          <w:color w:val="auto"/>
        </w:rPr>
        <w:t>shares will be considered present at the Annual Meeting for quorum purposes and broker non-votes will occur as to each of the other proposals presented at the Annual Meeting, which are considered “non-routine.” Broker non-votes will have no impact on the voting results of the items to be presented for a vote of the stockholders at the Annual Meeting.</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If  you  are  a  benefcial  owner  of  shares  held  by  a  broker,  bank,  trust  or  other  nominee  holding  shares  on  your  behalf,  we  urge</w:t>
      </w:r>
    </w:p>
    <w:p>
      <w:pPr>
        <w:spacing w:after="0" w:line="30"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you to submit your voting instructions to your broker, bank, trust or other nominee in advance of the Annual Meeting. Please see “How do I vote if I hold my shares through an account at a broker, bank, trust or other nominee?” above for a discussion of the procedures.</w:t>
      </w: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CLASSES OF STOCK VOTE ON EACH PROPOSAL, AND WHAT IS THE VOTE REQUIRED?</w:t>
      </w:r>
    </w:p>
    <w:p>
      <w:pPr>
        <w:spacing w:after="0" w:line="127" w:lineRule="exact"/>
        <w:rPr>
          <w:sz w:val="20"/>
          <w:szCs w:val="20"/>
          <w:color w:val="auto"/>
        </w:rPr>
      </w:pPr>
    </w:p>
    <w:p>
      <w:pPr>
        <w:ind w:right="80"/>
        <w:spacing w:after="0" w:line="313" w:lineRule="auto"/>
        <w:rPr>
          <w:sz w:val="20"/>
          <w:szCs w:val="20"/>
          <w:color w:val="auto"/>
        </w:rPr>
      </w:pPr>
      <w:r>
        <w:rPr>
          <w:rFonts w:ascii="Arial" w:cs="Arial" w:eastAsia="Arial" w:hAnsi="Arial"/>
          <w:sz w:val="16"/>
          <w:szCs w:val="16"/>
          <w:color w:val="auto"/>
        </w:rPr>
        <w:t>The holders of Common Stock, Class Pilot MEC Junior Preferred Stock and Class IAM Junior Preferred Stock will vote together as a single class on all proposals presented at the Annual Meeting other than the election of directors (Item 1).</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Each  director  will  be  elected  by  vote  of  a  majority  of  the  votes  cast  with  respect  to  that  director’s  election  in  person  or</w:t>
      </w:r>
    </w:p>
    <w:p>
      <w:pPr>
        <w:spacing w:after="0" w:line="19" w:lineRule="exact"/>
        <w:rPr>
          <w:sz w:val="20"/>
          <w:szCs w:val="20"/>
          <w:color w:val="auto"/>
        </w:rPr>
      </w:pPr>
    </w:p>
    <w:p>
      <w:pPr>
        <w:ind w:right="60"/>
        <w:spacing w:after="0" w:line="252" w:lineRule="auto"/>
        <w:rPr>
          <w:sz w:val="20"/>
          <w:szCs w:val="20"/>
          <w:color w:val="auto"/>
        </w:rPr>
      </w:pPr>
      <w:r>
        <w:rPr>
          <w:rFonts w:ascii="Arial" w:cs="Arial" w:eastAsia="Arial" w:hAnsi="Arial"/>
          <w:sz w:val="16"/>
          <w:szCs w:val="16"/>
          <w:color w:val="auto"/>
        </w:rPr>
        <w:t>represented by proxy and entitled to vote on the election of directors. “Majority of the votes cast” means that the number of shares voted FOR a director exceeds the number of shares voted AGAINST that director (with abstentions and broker non-votes not counted as a vote cast either FOR or AGAINST that director’s election). Any incumbent director who is not reelected in an</w:t>
      </w:r>
    </w:p>
    <w:p>
      <w:pPr>
        <w:spacing w:after="0" w:line="1"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election in which majority voting applies is required to tender his or her resignation promptly following certifcation of the stockholders’ vote. The Corporate Governance Guidelines require any current director who does not receive a majority of votes cast must tender his or her resignation as a director to the Board promptly following the certifcation of the stockholder vote. The Nominating/Governance Committee, without participation by any director tendering their resignation, will consider the</w:t>
      </w:r>
    </w:p>
    <w:p>
      <w:pPr>
        <w:spacing w:after="0" w:line="3" w:lineRule="exact"/>
        <w:rPr>
          <w:sz w:val="20"/>
          <w:szCs w:val="20"/>
          <w:color w:val="auto"/>
        </w:rPr>
      </w:pPr>
    </w:p>
    <w:p>
      <w:pPr>
        <w:ind w:right="260"/>
        <w:spacing w:after="0" w:line="268" w:lineRule="auto"/>
        <w:rPr>
          <w:sz w:val="20"/>
          <w:szCs w:val="20"/>
          <w:color w:val="auto"/>
        </w:rPr>
      </w:pPr>
      <w:r>
        <w:rPr>
          <w:rFonts w:ascii="Arial" w:cs="Arial" w:eastAsia="Arial" w:hAnsi="Arial"/>
          <w:sz w:val="16"/>
          <w:szCs w:val="16"/>
          <w:color w:val="auto"/>
        </w:rPr>
        <w:t>resignation ofer and recommend to the Board whether to accept or reject the resignation ofer or take another action. The Board, without participation by any director tendering their resignation, will act on the Nominating/Governance Committee’s recommendation within 120 days following certifcation of the stockholder vote and promptly disclose its decision by press release, fling of a Current Report on Form 8-K or any other public means of disclosure deemed appropriate.</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ITEMS 2-4</w:t>
      </w:r>
    </w:p>
    <w:p>
      <w:pPr>
        <w:spacing w:after="0" w:line="113" w:lineRule="exact"/>
        <w:rPr>
          <w:sz w:val="20"/>
          <w:szCs w:val="20"/>
          <w:color w:val="auto"/>
        </w:rPr>
      </w:pPr>
    </w:p>
    <w:p>
      <w:pPr>
        <w:ind w:right="200"/>
        <w:spacing w:after="0" w:line="252" w:lineRule="auto"/>
        <w:rPr>
          <w:sz w:val="20"/>
          <w:szCs w:val="20"/>
          <w:color w:val="auto"/>
        </w:rPr>
      </w:pPr>
      <w:r>
        <w:rPr>
          <w:rFonts w:ascii="Arial" w:cs="Arial" w:eastAsia="Arial" w:hAnsi="Arial"/>
          <w:sz w:val="16"/>
          <w:szCs w:val="16"/>
          <w:color w:val="auto"/>
        </w:rPr>
        <w:t>The afrmative vote of a majority in voting power of the shares present in person or represented by proxy at the Annual Meeting and entitled to vote on the matter will be required to approve the ratifcation of the appointment of the independent registered public accounting frm (Item 2), the advisory vote to approve the compensation of the Company’s named executive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ofcers  (Item  3)  and  the  advisory  vote  on  a  stockholder  proposal  (Item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2026  Proxy  Statement</w:t>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1414D2"/>
        </w:rPr>
        <w:t>143</w:t>
      </w:r>
    </w:p>
    <w:p>
      <w:pPr>
        <w:sectPr>
          <w:pgSz w:w="11900" w:h="16838" w:orient="portrait"/>
          <w:cols w:equalWidth="0" w:num="1">
            <w:col w:w="9720"/>
          </w:cols>
          <w:pgMar w:left="1080" w:top="696" w:right="1099" w:bottom="1440" w:gutter="0" w:footer="0" w:header="0"/>
        </w:sectPr>
      </w:pPr>
    </w:p>
    <w:bookmarkStart w:id="154" w:name="page155"/>
    <w:bookmarkEnd w:id="154"/>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6D6F71"/>
        </w:rPr>
        <w:t>Annual  Meeting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DOES THE PROXY VOTING PROCESS WORK?</w:t>
      </w:r>
    </w:p>
    <w:p>
      <w:pPr>
        <w:spacing w:after="0" w:line="100"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If you vote using the Internet or telephone procedures, or your proxy card is properly dated, signed and returned by mail, the proxy will be voted at the Annual Meeting in accordance with the instructions indicated by it (or if there are no such instructions,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then  in  accordance  with  the  recommendations  of  the  Board).</w:t>
      </w:r>
    </w:p>
    <w:p>
      <w:pPr>
        <w:spacing w:after="0" w:line="86" w:lineRule="exact"/>
        <w:rPr>
          <w:sz w:val="20"/>
          <w:szCs w:val="20"/>
          <w:color w:val="auto"/>
        </w:rPr>
      </w:pPr>
    </w:p>
    <w:p>
      <w:pPr>
        <w:spacing w:after="0"/>
        <w:rPr>
          <w:sz w:val="20"/>
          <w:szCs w:val="20"/>
          <w:color w:val="auto"/>
        </w:rPr>
      </w:pPr>
      <w:r>
        <w:rPr>
          <w:rFonts w:ascii="Arial" w:cs="Arial" w:eastAsia="Arial" w:hAnsi="Arial"/>
          <w:sz w:val="15"/>
          <w:szCs w:val="15"/>
          <w:color w:val="auto"/>
        </w:rPr>
        <w:t>If  a  quorum  is  not  present  at  the  time  the  Annual  Meeting  is  convened  for  any  particular  purpose,  or  if  for  any  other  reason  we</w:t>
      </w:r>
    </w:p>
    <w:p>
      <w:pPr>
        <w:spacing w:after="0" w:line="30" w:lineRule="exact"/>
        <w:rPr>
          <w:sz w:val="20"/>
          <w:szCs w:val="20"/>
          <w:color w:val="auto"/>
        </w:rPr>
      </w:pPr>
    </w:p>
    <w:p>
      <w:pPr>
        <w:ind w:right="120"/>
        <w:spacing w:after="0" w:line="313" w:lineRule="auto"/>
        <w:rPr>
          <w:sz w:val="20"/>
          <w:szCs w:val="20"/>
          <w:color w:val="auto"/>
        </w:rPr>
      </w:pPr>
      <w:r>
        <w:rPr>
          <w:rFonts w:ascii="Arial" w:cs="Arial" w:eastAsia="Arial" w:hAnsi="Arial"/>
          <w:sz w:val="16"/>
          <w:szCs w:val="16"/>
          <w:color w:val="auto"/>
        </w:rPr>
        <w:t>believe that additional time should be allowed for the solicitation of proxies, we may adjourn the Annual Meeting with the vote of the stockholders then present.</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DO I REVOKE A PROXY?</w:t>
      </w:r>
    </w:p>
    <w:p>
      <w:pPr>
        <w:spacing w:after="0" w:line="100" w:lineRule="exact"/>
        <w:rPr>
          <w:sz w:val="20"/>
          <w:szCs w:val="20"/>
          <w:color w:val="auto"/>
        </w:rPr>
      </w:pPr>
    </w:p>
    <w:p>
      <w:pPr>
        <w:ind w:right="500"/>
        <w:spacing w:after="0" w:line="255" w:lineRule="auto"/>
        <w:rPr>
          <w:sz w:val="20"/>
          <w:szCs w:val="20"/>
          <w:color w:val="auto"/>
        </w:rPr>
      </w:pPr>
      <w:r>
        <w:rPr>
          <w:rFonts w:ascii="Arial" w:cs="Arial" w:eastAsia="Arial" w:hAnsi="Arial"/>
          <w:sz w:val="16"/>
          <w:szCs w:val="16"/>
          <w:color w:val="auto"/>
        </w:rPr>
        <w:t>Any proxy may be revoked by the person giving it at any time before it is voted (except as discussed above with respect to shares held in a Plan account). A proxy may be revoked by a later proxy delivered using the Internet or telephone voting</w:t>
      </w:r>
    </w:p>
    <w:p>
      <w:pPr>
        <w:spacing w:after="0" w:line="1" w:lineRule="exact"/>
        <w:rPr>
          <w:sz w:val="20"/>
          <w:szCs w:val="20"/>
          <w:color w:val="auto"/>
        </w:rPr>
      </w:pPr>
    </w:p>
    <w:p>
      <w:pPr>
        <w:ind w:right="280"/>
        <w:spacing w:after="0" w:line="268" w:lineRule="auto"/>
        <w:rPr>
          <w:sz w:val="20"/>
          <w:szCs w:val="20"/>
          <w:color w:val="auto"/>
        </w:rPr>
      </w:pPr>
      <w:r>
        <w:rPr>
          <w:rFonts w:ascii="Arial" w:cs="Arial" w:eastAsia="Arial" w:hAnsi="Arial"/>
          <w:sz w:val="16"/>
          <w:szCs w:val="16"/>
          <w:color w:val="auto"/>
        </w:rPr>
        <w:t>procedures or by written notice mailed to the Secretary of the Company prior to the Annual Meeting. If you hold your shares through a broker, bank, trust or other nominee, you should follow their instructions as to how you can revoke a proxy. Attendance at the Annual Meeting will not automatically revoke a proxy, but a holder of Common Stock who is in attendance and entitled to vote at the Annual Meeting may vote during the Annual Meeting, which revokes a previously granted proxy.</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WHO PAYS SOLICITATION EXPENSES?</w:t>
      </w:r>
    </w:p>
    <w:p>
      <w:pPr>
        <w:spacing w:after="0" w:line="100"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All expenses of the solicitation, including the cost of preparing and mailing this Proxy Statement, will be borne by us. Arrangements will also be made with custodians, nominees and fduciaries for forwarding of proxy solicitation material to benefcial owners of Common Stock and voting preferred stock held of record, and we may reimburse these individuals for their reasonable expenses. In addition to mailed proxy materials and proxy materials available over the Internet, our directors,</w:t>
      </w:r>
    </w:p>
    <w:p>
      <w:pPr>
        <w:spacing w:after="0" w:line="3" w:lineRule="exact"/>
        <w:rPr>
          <w:sz w:val="20"/>
          <w:szCs w:val="20"/>
          <w:color w:val="auto"/>
        </w:rPr>
      </w:pPr>
    </w:p>
    <w:p>
      <w:pPr>
        <w:ind w:right="60"/>
        <w:spacing w:after="0" w:line="252" w:lineRule="auto"/>
        <w:rPr>
          <w:sz w:val="20"/>
          <w:szCs w:val="20"/>
          <w:color w:val="auto"/>
        </w:rPr>
      </w:pPr>
      <w:r>
        <w:rPr>
          <w:rFonts w:ascii="Arial" w:cs="Arial" w:eastAsia="Arial" w:hAnsi="Arial"/>
          <w:sz w:val="16"/>
          <w:szCs w:val="16"/>
          <w:color w:val="auto"/>
        </w:rPr>
        <w:t>ofcers and employees may also solicit proxies in person, by telephone or by other means of communication. These individuals will not be additionally compensated, but may be reimbursed for out-of-pocket expenses associated with solicitation. To help assure the attendance or representation by proxy of the largest number of stockholders possible, we have engaged D.F. King &amp;</w:t>
      </w:r>
    </w:p>
    <w:p>
      <w:pPr>
        <w:spacing w:after="0" w:line="1" w:lineRule="exact"/>
        <w:rPr>
          <w:sz w:val="20"/>
          <w:szCs w:val="20"/>
          <w:color w:val="auto"/>
        </w:rPr>
      </w:pPr>
    </w:p>
    <w:p>
      <w:pPr>
        <w:ind w:right="120"/>
        <w:spacing w:after="0" w:line="313" w:lineRule="auto"/>
        <w:rPr>
          <w:sz w:val="20"/>
          <w:szCs w:val="20"/>
          <w:color w:val="auto"/>
        </w:rPr>
      </w:pPr>
      <w:r>
        <w:rPr>
          <w:rFonts w:ascii="Arial" w:cs="Arial" w:eastAsia="Arial" w:hAnsi="Arial"/>
          <w:sz w:val="16"/>
          <w:szCs w:val="16"/>
          <w:color w:val="auto"/>
        </w:rPr>
        <w:t>Co., Inc. (“D.F. King”), a proxy solicitation frm, to solicit proxies on our behalf. We expect to pay D.F. King a proxy solicitation fee of approximately $19,500 plus reimbursement for reasonable out-of-pocket costs and expenses for its services.</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COULD OTHER MATTERS BE DECIDED AT THE ANNUAL MEETING?</w:t>
      </w:r>
    </w:p>
    <w:p>
      <w:pPr>
        <w:spacing w:after="0" w:line="100" w:lineRule="exact"/>
        <w:rPr>
          <w:sz w:val="20"/>
          <w:szCs w:val="20"/>
          <w:color w:val="auto"/>
        </w:rPr>
      </w:pPr>
    </w:p>
    <w:p>
      <w:pPr>
        <w:ind w:right="100"/>
        <w:spacing w:after="0" w:line="255" w:lineRule="auto"/>
        <w:rPr>
          <w:sz w:val="20"/>
          <w:szCs w:val="20"/>
          <w:color w:val="auto"/>
        </w:rPr>
      </w:pPr>
      <w:r>
        <w:rPr>
          <w:rFonts w:ascii="Arial" w:cs="Arial" w:eastAsia="Arial" w:hAnsi="Arial"/>
          <w:sz w:val="16"/>
          <w:szCs w:val="16"/>
          <w:color w:val="auto"/>
        </w:rPr>
        <w:t>We do not know of any matters that will be considered at the Annual Meeting other than those described in this Proxy Statement. If any other matters are properly presented at the Annual Meeting, the proxies will be voted at the discretion of the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proxy  holders.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SUBMISSION OF STOCKHOLDER PROPOSALS AND DIRECTOR NOMINATIONS FOR THE 2027 ANNUAL MEETING</w:t>
      </w:r>
    </w:p>
    <w:p>
      <w:pPr>
        <w:spacing w:after="0" w:line="100"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If a stockholder of record wishes to submit a proposal for inclusion in the Company’s proxy statement for the 2027 annual meeting of stockholders, the proposal must be received by the Company no later than December 8, 2026 and otherwise comply with SEC rules. Failure to otherwise comply with SEC rules will cause the proposal to be excluded from the proxy materials. All</w:t>
      </w:r>
    </w:p>
    <w:p>
      <w:pPr>
        <w:spacing w:after="0" w:line="1" w:lineRule="exact"/>
        <w:rPr>
          <w:sz w:val="20"/>
          <w:szCs w:val="20"/>
          <w:color w:val="auto"/>
        </w:rPr>
      </w:pPr>
    </w:p>
    <w:p>
      <w:pPr>
        <w:ind w:right="400"/>
        <w:spacing w:after="0" w:line="276" w:lineRule="auto"/>
        <w:rPr>
          <w:sz w:val="20"/>
          <w:szCs w:val="20"/>
          <w:color w:val="auto"/>
        </w:rPr>
      </w:pPr>
      <w:r>
        <w:rPr>
          <w:rFonts w:ascii="Arial" w:cs="Arial" w:eastAsia="Arial" w:hAnsi="Arial"/>
          <w:sz w:val="16"/>
          <w:szCs w:val="16"/>
          <w:color w:val="auto"/>
        </w:rPr>
        <w:t>notices must be submitted to the Corporate Secretary—United Airlines Holdings, Inc., 233 S. Wacker Drive, Chicago, Illinois 60606.</w:t>
      </w:r>
    </w:p>
    <w:p>
      <w:pPr>
        <w:spacing w:after="0" w:line="261" w:lineRule="exact"/>
        <w:rPr>
          <w:sz w:val="20"/>
          <w:szCs w:val="20"/>
          <w:color w:val="auto"/>
        </w:rPr>
      </w:pPr>
    </w:p>
    <w:p>
      <w:pPr>
        <w:ind w:right="100"/>
        <w:spacing w:after="0" w:line="268" w:lineRule="auto"/>
        <w:rPr>
          <w:sz w:val="20"/>
          <w:szCs w:val="20"/>
          <w:color w:val="auto"/>
        </w:rPr>
      </w:pPr>
      <w:r>
        <w:rPr>
          <w:rFonts w:ascii="Arial" w:cs="Arial" w:eastAsia="Arial" w:hAnsi="Arial"/>
          <w:sz w:val="16"/>
          <w:szCs w:val="16"/>
          <w:color w:val="auto"/>
        </w:rPr>
        <w:t>Stockholders who intend to submit director nominees for inclusion in the Company’s proxy materials for the 2027 annual meeting of stockholders must comply with the requirements of proxy access as set forth in the Amended and Restated Bylaws. The stockholder or group of stockholders who wish to submit director nominees pursuant to proxy access must deliver the required materials to the Company no earlier than November 8, 2026, and no later than December 8, 2026.</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To  propose  business  or  nominate  a  director  at  the  2027  annual  meeting  of  stockholders  without  inclusion  of  such  matters  in</w:t>
      </w:r>
    </w:p>
    <w:p>
      <w:pPr>
        <w:spacing w:after="0" w:line="19"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our proxy materials, proper notice must be submitted by a stockholder of record no earlier than January 19, 2027 and no later than February 18, 2027 in accordance with the Amended and Restated Bylaws. The notice must contain the information required by the Amended and Restated Bylaws. No business proposed by a stockholder can be transacted at the 2027 annual meeting of stockholders, and no nomination by a stockholder will be considered, unless the notice satisfes the requirements of</w:t>
      </w:r>
    </w:p>
    <w:p>
      <w:pPr>
        <w:spacing w:after="0" w:line="3" w:lineRule="exact"/>
        <w:rPr>
          <w:sz w:val="20"/>
          <w:szCs w:val="20"/>
          <w:color w:val="auto"/>
        </w:rPr>
      </w:pPr>
    </w:p>
    <w:p>
      <w:pPr>
        <w:ind w:right="180"/>
        <w:spacing w:after="0" w:line="279" w:lineRule="auto"/>
        <w:rPr>
          <w:sz w:val="20"/>
          <w:szCs w:val="20"/>
          <w:color w:val="auto"/>
        </w:rPr>
      </w:pPr>
      <w:r>
        <w:rPr>
          <w:rFonts w:ascii="Arial" w:cs="Arial" w:eastAsia="Arial" w:hAnsi="Arial"/>
          <w:sz w:val="16"/>
          <w:szCs w:val="16"/>
          <w:color w:val="auto"/>
        </w:rPr>
        <w:t>the Amended and Restated Bylaws. If we do not receive timely notice of any other matter that a stockholder wishes to raise at the 2027 annual meeting of stockholders, the Amended and Restated Bylaws provide that the matter shall not be transacted and the nomination shall not be considered.</w:t>
      </w:r>
    </w:p>
    <w:p>
      <w:pPr>
        <w:sectPr>
          <w:pgSz w:w="11900" w:h="16838" w:orient="portrait"/>
          <w:cols w:equalWidth="0" w:num="1">
            <w:col w:w="9720"/>
          </w:cols>
          <w:pgMar w:left="1080" w:top="696"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ind w:right="7720"/>
        <w:spacing w:after="0"/>
        <w:rPr>
          <w:sz w:val="20"/>
          <w:szCs w:val="20"/>
          <w:color w:val="auto"/>
        </w:rPr>
      </w:pPr>
      <w:r>
        <w:rPr>
          <w:rFonts w:ascii="Arial" w:cs="Arial" w:eastAsia="Arial" w:hAnsi="Arial"/>
          <w:sz w:val="16"/>
          <w:szCs w:val="16"/>
          <w:color w:val="auto"/>
        </w:rPr>
        <w:t>​​2026​  Proxy</w:t>
      </w:r>
    </w:p>
    <w:p>
      <w:pPr>
        <w:spacing w:after="0" w:line="5" w:lineRule="exact"/>
        <w:rPr>
          <w:sz w:val="20"/>
          <w:szCs w:val="20"/>
          <w:color w:val="auto"/>
        </w:rPr>
      </w:pPr>
    </w:p>
    <w:p>
      <w:pPr>
        <w:ind w:left="660" w:hanging="656"/>
        <w:spacing w:after="0"/>
        <w:tabs>
          <w:tab w:leader="none" w:pos="660" w:val="left"/>
        </w:tabs>
        <w:numPr>
          <w:ilvl w:val="0"/>
          <w:numId w:val="180"/>
        </w:numPr>
        <w:rPr>
          <w:rFonts w:ascii="Arial" w:cs="Arial" w:eastAsia="Arial" w:hAnsi="Arial"/>
          <w:sz w:val="16"/>
          <w:szCs w:val="16"/>
          <w:b w:val="1"/>
          <w:bCs w:val="1"/>
          <w:color w:val="1414D2"/>
        </w:rPr>
      </w:pPr>
      <w:r>
        <w:rPr>
          <w:rFonts w:ascii="Arial" w:cs="Arial" w:eastAsia="Arial" w:hAnsi="Arial"/>
          <w:sz w:val="16"/>
          <w:szCs w:val="16"/>
          <w:color w:val="auto"/>
        </w:rPr>
        <w:t>Statement</w:t>
      </w:r>
    </w:p>
    <w:p>
      <w:pPr>
        <w:sectPr>
          <w:pgSz w:w="11900" w:h="16838" w:orient="portrait"/>
          <w:cols w:equalWidth="0" w:num="1">
            <w:col w:w="9720"/>
          </w:cols>
          <w:pgMar w:left="1080" w:top="696" w:right="1099" w:bottom="1440" w:gutter="0" w:footer="0" w:header="0"/>
          <w:type w:val="continuous"/>
        </w:sectPr>
      </w:pPr>
    </w:p>
    <w:bookmarkStart w:id="155" w:name="page156"/>
    <w:bookmarkEnd w:id="155"/>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27" w:lineRule="exact"/>
        <w:rPr>
          <w:sz w:val="20"/>
          <w:szCs w:val="20"/>
          <w:color w:val="auto"/>
        </w:rPr>
      </w:pPr>
    </w:p>
    <w:p>
      <w:pPr>
        <w:ind w:left="7800"/>
        <w:spacing w:after="0"/>
        <w:rPr>
          <w:sz w:val="20"/>
          <w:szCs w:val="20"/>
          <w:color w:val="auto"/>
        </w:rPr>
      </w:pPr>
      <w:r>
        <w:rPr>
          <w:rFonts w:ascii="Arial" w:cs="Arial" w:eastAsia="Arial" w:hAnsi="Arial"/>
          <w:sz w:val="14"/>
          <w:szCs w:val="14"/>
          <w:color w:val="6D6F71"/>
        </w:rPr>
        <w:t>Annual  Meeting  Information</w:t>
      </w:r>
    </w:p>
    <w:p>
      <w:pPr>
        <w:spacing w:after="0" w:line="225" w:lineRule="exact"/>
        <w:rPr>
          <w:sz w:val="20"/>
          <w:szCs w:val="20"/>
          <w:color w:val="auto"/>
        </w:rPr>
      </w:pPr>
    </w:p>
    <w:p>
      <w:pPr>
        <w:ind w:right="360"/>
        <w:spacing w:after="0" w:line="255" w:lineRule="auto"/>
        <w:rPr>
          <w:sz w:val="20"/>
          <w:szCs w:val="20"/>
          <w:color w:val="auto"/>
        </w:rPr>
      </w:pPr>
      <w:r>
        <w:rPr>
          <w:rFonts w:ascii="Arial" w:cs="Arial" w:eastAsia="Arial" w:hAnsi="Arial"/>
          <w:sz w:val="16"/>
          <w:szCs w:val="16"/>
          <w:color w:val="auto"/>
        </w:rPr>
        <w:t>In addition to satisfying the foregoing requirements under the Amended and Restated Bylaws, to comply with the universal proxy rules, stockholders who intend to solicit proxies in support of director nominees other than the Company’s nominees</w:t>
      </w:r>
    </w:p>
    <w:p>
      <w:pPr>
        <w:spacing w:after="0" w:line="1" w:lineRule="exact"/>
        <w:rPr>
          <w:sz w:val="20"/>
          <w:szCs w:val="20"/>
          <w:color w:val="auto"/>
        </w:rPr>
      </w:pPr>
    </w:p>
    <w:p>
      <w:pPr>
        <w:ind w:right="300"/>
        <w:spacing w:after="0" w:line="276" w:lineRule="auto"/>
        <w:rPr>
          <w:sz w:val="20"/>
          <w:szCs w:val="20"/>
          <w:color w:val="auto"/>
        </w:rPr>
      </w:pPr>
      <w:r>
        <w:rPr>
          <w:rFonts w:ascii="Arial" w:cs="Arial" w:eastAsia="Arial" w:hAnsi="Arial"/>
          <w:sz w:val="16"/>
          <w:szCs w:val="16"/>
          <w:color w:val="auto"/>
        </w:rPr>
        <w:t>must provide notice that sets forth the information required by Rule 14a-19 under the Exchange Act, no later than March 22, 2027.</w:t>
      </w:r>
    </w:p>
    <w:p>
      <w:pPr>
        <w:spacing w:after="0" w:line="273" w:lineRule="exact"/>
        <w:rPr>
          <w:sz w:val="20"/>
          <w:szCs w:val="20"/>
          <w:color w:val="auto"/>
        </w:rPr>
      </w:pPr>
    </w:p>
    <w:p>
      <w:pPr>
        <w:spacing w:after="0"/>
        <w:rPr>
          <w:sz w:val="20"/>
          <w:szCs w:val="20"/>
          <w:color w:val="auto"/>
        </w:rPr>
      </w:pPr>
      <w:r>
        <w:rPr>
          <w:rFonts w:ascii="Arial" w:cs="Arial" w:eastAsia="Arial" w:hAnsi="Arial"/>
          <w:sz w:val="25"/>
          <w:szCs w:val="25"/>
          <w:b w:val="1"/>
          <w:bCs w:val="1"/>
          <w:color w:val="1414D2"/>
        </w:rPr>
        <w:t>Householding</w:t>
      </w:r>
    </w:p>
    <w:p>
      <w:pPr>
        <w:spacing w:after="0" w:line="119" w:lineRule="exact"/>
        <w:rPr>
          <w:sz w:val="20"/>
          <w:szCs w:val="20"/>
          <w:color w:val="auto"/>
        </w:rPr>
      </w:pPr>
    </w:p>
    <w:p>
      <w:pPr>
        <w:spacing w:after="0"/>
        <w:rPr>
          <w:sz w:val="20"/>
          <w:szCs w:val="20"/>
          <w:color w:val="auto"/>
        </w:rPr>
      </w:pPr>
      <w:r>
        <w:rPr>
          <w:rFonts w:ascii="Arial" w:cs="Arial" w:eastAsia="Arial" w:hAnsi="Arial"/>
          <w:sz w:val="15"/>
          <w:szCs w:val="15"/>
          <w:color w:val="auto"/>
        </w:rPr>
        <w:t>The  rules  of  the  SEC  allow  us  to  deliver  a  single  Notice  of  Internet  Availability  of  Proxy  Materials  or  set  of  proxy  materials  to  one</w:t>
      </w:r>
    </w:p>
    <w:p>
      <w:pPr>
        <w:spacing w:after="0" w:line="30" w:lineRule="exact"/>
        <w:rPr>
          <w:sz w:val="20"/>
          <w:szCs w:val="20"/>
          <w:color w:val="auto"/>
        </w:rPr>
      </w:pPr>
    </w:p>
    <w:p>
      <w:pPr>
        <w:jc w:val="both"/>
        <w:ind w:right="400"/>
        <w:spacing w:after="0" w:line="250" w:lineRule="auto"/>
        <w:rPr>
          <w:sz w:val="20"/>
          <w:szCs w:val="20"/>
          <w:color w:val="auto"/>
        </w:rPr>
      </w:pPr>
      <w:r>
        <w:rPr>
          <w:rFonts w:ascii="Arial" w:cs="Arial" w:eastAsia="Arial" w:hAnsi="Arial"/>
          <w:sz w:val="16"/>
          <w:szCs w:val="16"/>
          <w:color w:val="auto"/>
        </w:rPr>
        <w:t>address shared by two or more of our stockholders. This delivery method is referred to as “householding” and can result in signifcant cost savings. To take advantage of this opportunity, we have delivered only one Notice of Internet Availability of Proxy Materials or set of proxy materials to multiple stockholders who share an address, unless we have received diferent instructions from the impacted stockholders prior to the mailing date. We agree to deliver promptly, upon written or oral</w:t>
      </w:r>
    </w:p>
    <w:p>
      <w:pPr>
        <w:spacing w:after="0" w:line="3" w:lineRule="exact"/>
        <w:rPr>
          <w:sz w:val="20"/>
          <w:szCs w:val="20"/>
          <w:color w:val="auto"/>
        </w:rPr>
      </w:pPr>
    </w:p>
    <w:p>
      <w:pPr>
        <w:ind w:right="120"/>
        <w:spacing w:after="0" w:line="268" w:lineRule="auto"/>
        <w:rPr>
          <w:sz w:val="20"/>
          <w:szCs w:val="20"/>
          <w:color w:val="auto"/>
        </w:rPr>
      </w:pPr>
      <w:r>
        <w:rPr>
          <w:rFonts w:ascii="Arial" w:cs="Arial" w:eastAsia="Arial" w:hAnsi="Arial"/>
          <w:sz w:val="16"/>
          <w:szCs w:val="16"/>
          <w:color w:val="auto"/>
        </w:rPr>
        <w:t>request, a separate Notice of Internet Availability of Proxy Materials or set of proxy materials, as requested, to any stockholder at the shared address to which a single copy of those documents was delivered. If you prefer to receive separate copies of the Notice of Internet Availability of Proxy Materials and proxy materials, contact Broadridge by telephone at (866) 540-7095 or in writing at Broadridge, Householding Department, 51 Mercedes Way, Edgewood, New York 11717.</w:t>
      </w:r>
    </w:p>
    <w:p>
      <w:pPr>
        <w:spacing w:after="0" w:line="56" w:lineRule="exact"/>
        <w:rPr>
          <w:sz w:val="20"/>
          <w:szCs w:val="20"/>
          <w:color w:val="auto"/>
        </w:rPr>
      </w:pPr>
    </w:p>
    <w:p>
      <w:pPr>
        <w:ind w:right="160"/>
        <w:spacing w:after="0" w:line="252" w:lineRule="auto"/>
        <w:rPr>
          <w:sz w:val="20"/>
          <w:szCs w:val="20"/>
          <w:color w:val="auto"/>
        </w:rPr>
      </w:pPr>
      <w:r>
        <w:rPr>
          <w:rFonts w:ascii="Arial" w:cs="Arial" w:eastAsia="Arial" w:hAnsi="Arial"/>
          <w:sz w:val="16"/>
          <w:szCs w:val="16"/>
          <w:color w:val="auto"/>
        </w:rPr>
        <w:t>If you are currently a stockholder sharing an address with another stockholder and are receiving multiple copies of our Notice of Internet Availability of Proxy Materials or proxy materials and wish to receive only one copy of future Notices of Internet Availability of Proxy Materials and proxy materials for your household, please contact Broadridge at the above telephone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number  or  address.</w:t>
      </w:r>
    </w:p>
    <w:p>
      <w:pPr>
        <w:spacing w:after="0" w:line="111" w:lineRule="exact"/>
        <w:rPr>
          <w:sz w:val="20"/>
          <w:szCs w:val="20"/>
          <w:color w:val="auto"/>
        </w:rPr>
      </w:pPr>
    </w:p>
    <w:p>
      <w:pPr>
        <w:spacing w:after="0"/>
        <w:rPr>
          <w:sz w:val="20"/>
          <w:szCs w:val="20"/>
          <w:color w:val="auto"/>
        </w:rPr>
      </w:pPr>
      <w:r>
        <w:rPr>
          <w:rFonts w:ascii="Arial" w:cs="Arial" w:eastAsia="Arial" w:hAnsi="Arial"/>
          <w:sz w:val="25"/>
          <w:szCs w:val="25"/>
          <w:b w:val="1"/>
          <w:bCs w:val="1"/>
          <w:color w:val="1414D2"/>
        </w:rPr>
        <w:t>Other Business</w:t>
      </w:r>
    </w:p>
    <w:p>
      <w:pPr>
        <w:spacing w:after="0" w:line="119" w:lineRule="exact"/>
        <w:rPr>
          <w:sz w:val="20"/>
          <w:szCs w:val="20"/>
          <w:color w:val="auto"/>
        </w:rPr>
      </w:pPr>
    </w:p>
    <w:p>
      <w:pPr>
        <w:ind w:right="140"/>
        <w:spacing w:after="0" w:line="252" w:lineRule="auto"/>
        <w:rPr>
          <w:sz w:val="20"/>
          <w:szCs w:val="20"/>
          <w:color w:val="auto"/>
        </w:rPr>
      </w:pPr>
      <w:r>
        <w:rPr>
          <w:rFonts w:ascii="Arial" w:cs="Arial" w:eastAsia="Arial" w:hAnsi="Arial"/>
          <w:sz w:val="16"/>
          <w:szCs w:val="16"/>
          <w:color w:val="auto"/>
        </w:rPr>
        <w:t>The Company knows of no other matters to be submitted to stockholders at the Annual Meeting, other than the proposals referred to in the Proxy Statement. If any other matters properly come before the stockholders at the Annual Meeting, it is the intention of the proxy holders to vote the shares represented thereby on such matters in accordance with the Board’s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recommendations.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2026  Proxy  Statement</w:t>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1414D2"/>
        </w:rPr>
        <w:t>145</w:t>
      </w:r>
    </w:p>
    <w:p>
      <w:pPr>
        <w:sectPr>
          <w:pgSz w:w="11900" w:h="16838" w:orient="portrait"/>
          <w:cols w:equalWidth="0" w:num="1">
            <w:col w:w="9720"/>
          </w:cols>
          <w:pgMar w:left="1080" w:top="696" w:right="1099" w:bottom="1440" w:gutter="0" w:footer="0" w:header="0"/>
        </w:sectPr>
      </w:pPr>
    </w:p>
    <w:bookmarkStart w:id="156" w:name="page157"/>
    <w:bookmarkEnd w:id="156"/>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16" w:lineRule="exact"/>
        <w:rPr>
          <w:sz w:val="20"/>
          <w:szCs w:val="20"/>
          <w:color w:val="auto"/>
        </w:rPr>
      </w:pPr>
    </w:p>
    <w:p>
      <w:pPr>
        <w:ind w:right="1240"/>
        <w:spacing w:after="0" w:line="334" w:lineRule="auto"/>
        <w:rPr>
          <w:sz w:val="20"/>
          <w:szCs w:val="20"/>
          <w:color w:val="auto"/>
        </w:rPr>
      </w:pPr>
      <w:r>
        <w:rPr>
          <w:rFonts w:ascii="Arial" w:cs="Arial" w:eastAsia="Arial" w:hAnsi="Arial"/>
          <w:sz w:val="43"/>
          <w:szCs w:val="43"/>
          <w:b w:val="1"/>
          <w:bCs w:val="1"/>
          <w:color w:val="auto"/>
        </w:rPr>
        <w:t>Appendix A: Reconciliation of GAAP and Non-GAAP Financial Measures</w:t>
      </w:r>
    </w:p>
    <w:p>
      <w:pPr>
        <w:spacing w:after="0" w:line="45" w:lineRule="exact"/>
        <w:rPr>
          <w:sz w:val="20"/>
          <w:szCs w:val="20"/>
          <w:color w:val="auto"/>
        </w:rPr>
      </w:pPr>
    </w:p>
    <w:p>
      <w:pPr>
        <w:ind w:right="1020"/>
        <w:spacing w:after="0" w:line="267" w:lineRule="auto"/>
        <w:rPr>
          <w:sz w:val="20"/>
          <w:szCs w:val="20"/>
          <w:color w:val="auto"/>
        </w:rPr>
      </w:pPr>
      <w:r>
        <w:rPr>
          <w:rFonts w:ascii="Arial" w:cs="Arial" w:eastAsia="Arial" w:hAnsi="Arial"/>
          <w:sz w:val="48"/>
          <w:szCs w:val="48"/>
          <w:color w:val="auto"/>
        </w:rPr>
        <w:t>UNITED AIRLINES HOLDINGS, INC. NON-GAAP FINANCIAL INFORMATION</w:t>
      </w:r>
    </w:p>
    <w:p>
      <w:pPr>
        <w:spacing w:after="0" w:line="1" w:lineRule="exact"/>
        <w:rPr>
          <w:sz w:val="20"/>
          <w:szCs w:val="20"/>
          <w:color w:val="auto"/>
        </w:rPr>
      </w:pPr>
    </w:p>
    <w:p>
      <w:pPr>
        <w:ind w:right="640"/>
        <w:spacing w:after="0" w:line="255" w:lineRule="auto"/>
        <w:rPr>
          <w:sz w:val="20"/>
          <w:szCs w:val="20"/>
          <w:color w:val="auto"/>
        </w:rPr>
      </w:pPr>
      <w:r>
        <w:rPr>
          <w:rFonts w:ascii="Arial" w:cs="Arial" w:eastAsia="Arial" w:hAnsi="Arial"/>
          <w:sz w:val="16"/>
          <w:szCs w:val="16"/>
          <w:color w:val="auto"/>
        </w:rPr>
        <w:t>UAL evaluates its fnancial performance utilizing various accounting principles generally accepted in the United States of America (GAAP) and non-GAAP fnancial measures, including adjusted net income, adjusted diluted earnings per share,</w:t>
      </w:r>
    </w:p>
    <w:p>
      <w:pPr>
        <w:spacing w:after="0" w:line="1"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adjusted pre-tax income, adjusted pre-tax margin, adjusted capital expenditures and free cash fow, among others. The non-GAAP fnancial measures are provided as supplemental information to the fnancial measures presented that are calculated and presented in accordance with GAAP and are presented because management believes that they supplement or enhance management’s, analysts’ and investors’ overall understanding of UAL’s underlying fnancial performance and trends and</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facilitate  comparisons  among  current,  past  and  future  periods.</w:t>
      </w:r>
    </w:p>
    <w:p>
      <w:pPr>
        <w:spacing w:after="0" w:line="113" w:lineRule="exact"/>
        <w:rPr>
          <w:sz w:val="20"/>
          <w:szCs w:val="20"/>
          <w:color w:val="auto"/>
        </w:rPr>
      </w:pPr>
    </w:p>
    <w:p>
      <w:pPr>
        <w:ind w:right="160"/>
        <w:spacing w:after="0" w:line="255" w:lineRule="auto"/>
        <w:rPr>
          <w:sz w:val="20"/>
          <w:szCs w:val="20"/>
          <w:color w:val="auto"/>
        </w:rPr>
      </w:pPr>
      <w:r>
        <w:rPr>
          <w:rFonts w:ascii="Arial" w:cs="Arial" w:eastAsia="Arial" w:hAnsi="Arial"/>
          <w:sz w:val="16"/>
          <w:szCs w:val="16"/>
          <w:color w:val="auto"/>
        </w:rPr>
        <w:t>Because the non-GAAP fnancial measures are not calculated in accordance with GAAP, they should not be considered superior to and are not intended to be considered in isolation or as a substitute for the related GAAP fnancial measures presented and</w:t>
      </w:r>
    </w:p>
    <w:p>
      <w:pPr>
        <w:spacing w:after="0" w:line="1" w:lineRule="exact"/>
        <w:rPr>
          <w:sz w:val="20"/>
          <w:szCs w:val="20"/>
          <w:color w:val="auto"/>
        </w:rPr>
      </w:pPr>
    </w:p>
    <w:p>
      <w:pPr>
        <w:jc w:val="both"/>
        <w:ind w:right="40"/>
        <w:spacing w:after="0" w:line="279" w:lineRule="auto"/>
        <w:rPr>
          <w:sz w:val="20"/>
          <w:szCs w:val="20"/>
          <w:color w:val="auto"/>
        </w:rPr>
      </w:pPr>
      <w:r>
        <w:rPr>
          <w:rFonts w:ascii="Arial" w:cs="Arial" w:eastAsia="Arial" w:hAnsi="Arial"/>
          <w:sz w:val="16"/>
          <w:szCs w:val="16"/>
          <w:color w:val="auto"/>
        </w:rPr>
        <w:t>may not be the same as or comparable to similarly titled measures presented by other companies due to possible diferences in method and in the items being adjusted. We encourage investors to review our fnancial statements and publicly-fled reports in their entirety and not to rely on any single fnancial measure.</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8260" w:type="dxa"/>
            <w:vAlign w:val="bottom"/>
            <w:tcBorders>
              <w:top w:val="single" w:sz="8" w:color="1414D2"/>
              <w:bottom w:val="single" w:sz="8" w:color="F2F2F2"/>
            </w:tcBorders>
            <w:shd w:val="clear" w:color="auto" w:fill="F2F2F2"/>
          </w:tcPr>
          <w:p>
            <w:pPr>
              <w:ind w:left="120"/>
              <w:spacing w:after="0"/>
              <w:rPr>
                <w:sz w:val="20"/>
                <w:szCs w:val="20"/>
                <w:color w:val="auto"/>
              </w:rPr>
            </w:pPr>
            <w:r>
              <w:rPr>
                <w:rFonts w:ascii="Arial" w:cs="Arial" w:eastAsia="Arial" w:hAnsi="Arial"/>
                <w:sz w:val="14"/>
                <w:szCs w:val="14"/>
                <w:b w:val="1"/>
                <w:bCs w:val="1"/>
                <w:color w:val="auto"/>
              </w:rPr>
              <w:t>(in millions, except per share data)</w:t>
            </w:r>
          </w:p>
        </w:tc>
        <w:tc>
          <w:tcPr>
            <w:tcW w:w="480" w:type="dxa"/>
            <w:vAlign w:val="bottom"/>
            <w:tcBorders>
              <w:top w:val="single" w:sz="8" w:color="1414D2"/>
              <w:bottom w:val="single" w:sz="8" w:color="F2F2F2"/>
            </w:tcBorders>
            <w:gridSpan w:val="3"/>
            <w:shd w:val="clear" w:color="auto" w:fill="F2F2F2"/>
          </w:tcPr>
          <w:p>
            <w:pPr>
              <w:jc w:val="right"/>
              <w:ind w:right="149"/>
              <w:spacing w:after="0"/>
              <w:rPr>
                <w:sz w:val="20"/>
                <w:szCs w:val="20"/>
                <w:color w:val="auto"/>
              </w:rPr>
            </w:pPr>
            <w:r>
              <w:rPr>
                <w:rFonts w:ascii="Arial" w:cs="Arial" w:eastAsia="Arial" w:hAnsi="Arial"/>
                <w:sz w:val="20"/>
                <w:szCs w:val="20"/>
                <w:b w:val="1"/>
                <w:bCs w:val="1"/>
                <w:color w:val="auto"/>
              </w:rPr>
              <w:t>​​​</w:t>
            </w:r>
          </w:p>
        </w:tc>
        <w:tc>
          <w:tcPr>
            <w:tcW w:w="900" w:type="dxa"/>
            <w:vAlign w:val="bottom"/>
            <w:tcBorders>
              <w:top w:val="single" w:sz="8" w:color="1414D2"/>
              <w:bottom w:val="single" w:sz="8" w:color="F2F2F2"/>
            </w:tcBorders>
            <w:shd w:val="clear" w:color="auto" w:fill="F2F2F2"/>
          </w:tcPr>
          <w:p>
            <w:pPr>
              <w:jc w:val="right"/>
              <w:ind w:right="320"/>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top w:val="single" w:sz="8" w:color="1414D2"/>
              <w:bottom w:val="single" w:sz="8" w:color="F2F2F2"/>
            </w:tcBorders>
            <w:shd w:val="clear" w:color="auto" w:fill="F2F2F2"/>
          </w:tcPr>
          <w:p>
            <w:pPr>
              <w:spacing w:after="0"/>
              <w:rPr>
                <w:sz w:val="22"/>
                <w:szCs w:val="22"/>
                <w:color w:val="auto"/>
              </w:rPr>
            </w:pPr>
          </w:p>
        </w:tc>
        <w:tc>
          <w:tcPr>
            <w:tcW w:w="40" w:type="dxa"/>
            <w:vAlign w:val="bottom"/>
            <w:vMerge w:val="restart"/>
          </w:tcPr>
          <w:p>
            <w:pPr>
              <w:spacing w:after="0"/>
              <w:rPr>
                <w:sz w:val="20"/>
                <w:szCs w:val="20"/>
                <w:color w:val="auto"/>
              </w:rPr>
            </w:pPr>
            <w:r>
              <w:rPr>
                <w:rFonts w:ascii="Arial" w:cs="Arial" w:eastAsia="Arial" w:hAnsi="Arial"/>
                <w:sz w:val="16"/>
                <w:szCs w:val="16"/>
                <w:color w:val="231F20"/>
              </w:rPr>
              <w:t>​</w:t>
            </w:r>
          </w:p>
        </w:tc>
        <w:tc>
          <w:tcPr>
            <w:tcW w:w="0" w:type="dxa"/>
            <w:vAlign w:val="bottom"/>
          </w:tcPr>
          <w:p>
            <w:pPr>
              <w:spacing w:after="0"/>
              <w:rPr>
                <w:sz w:val="1"/>
                <w:szCs w:val="1"/>
                <w:color w:val="auto"/>
              </w:rPr>
            </w:pPr>
          </w:p>
        </w:tc>
      </w:tr>
      <w:tr>
        <w:trPr>
          <w:trHeight w:val="232"/>
        </w:trPr>
        <w:tc>
          <w:tcPr>
            <w:tcW w:w="8260" w:type="dxa"/>
            <w:vAlign w:val="bottom"/>
          </w:tcPr>
          <w:p>
            <w:pPr>
              <w:ind w:left="120"/>
              <w:spacing w:after="0"/>
              <w:rPr>
                <w:sz w:val="20"/>
                <w:szCs w:val="20"/>
                <w:color w:val="auto"/>
              </w:rPr>
            </w:pPr>
            <w:r>
              <w:rPr>
                <w:rFonts w:ascii="Arial" w:cs="Arial" w:eastAsia="Arial" w:hAnsi="Arial"/>
                <w:sz w:val="16"/>
                <w:szCs w:val="16"/>
                <w:color w:val="auto"/>
              </w:rPr>
              <w:t>Net  income  (GAAP)</w:t>
            </w:r>
          </w:p>
        </w:tc>
        <w:tc>
          <w:tcPr>
            <w:tcW w:w="480" w:type="dxa"/>
            <w:vAlign w:val="bottom"/>
            <w:gridSpan w:val="3"/>
          </w:tcPr>
          <w:p>
            <w:pPr>
              <w:jc w:val="right"/>
              <w:ind w:right="10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3,353</w:t>
            </w:r>
          </w:p>
        </w:tc>
        <w:tc>
          <w:tcPr>
            <w:tcW w:w="80" w:type="dxa"/>
            <w:vAlign w:val="bottom"/>
          </w:tcPr>
          <w:p>
            <w:pPr>
              <w:spacing w:after="0"/>
              <w:rPr>
                <w:sz w:val="20"/>
                <w:szCs w:val="20"/>
                <w:color w:val="auto"/>
              </w:rPr>
            </w:pPr>
          </w:p>
        </w:tc>
        <w:tc>
          <w:tcPr>
            <w:tcW w:w="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8260" w:type="dxa"/>
            <w:vAlign w:val="bottom"/>
          </w:tcPr>
          <w:p>
            <w:pPr>
              <w:ind w:left="120"/>
              <w:spacing w:after="0"/>
              <w:rPr>
                <w:sz w:val="20"/>
                <w:szCs w:val="20"/>
                <w:color w:val="auto"/>
              </w:rPr>
            </w:pPr>
            <w:r>
              <w:rPr>
                <w:rFonts w:ascii="Arial" w:cs="Arial" w:eastAsia="Arial" w:hAnsi="Arial"/>
                <w:sz w:val="16"/>
                <w:szCs w:val="16"/>
                <w:color w:val="auto"/>
              </w:rPr>
              <w:t>Adjusted  to  exclude:</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8260" w:type="dxa"/>
            <w:vAlign w:val="bottom"/>
          </w:tcPr>
          <w:p>
            <w:pPr>
              <w:ind w:left="120"/>
              <w:spacing w:after="0"/>
              <w:rPr>
                <w:sz w:val="20"/>
                <w:szCs w:val="20"/>
                <w:color w:val="auto"/>
              </w:rPr>
            </w:pPr>
            <w:r>
              <w:rPr>
                <w:rFonts w:ascii="Arial" w:cs="Arial" w:eastAsia="Arial" w:hAnsi="Arial"/>
                <w:sz w:val="16"/>
                <w:szCs w:val="16"/>
                <w:color w:val="auto"/>
              </w:rPr>
              <w:t>Special  charges</w:t>
            </w: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259</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260" w:type="dxa"/>
            <w:vAlign w:val="bottom"/>
          </w:tcPr>
          <w:p>
            <w:pPr>
              <w:ind w:left="120"/>
              <w:spacing w:after="0"/>
              <w:rPr>
                <w:sz w:val="20"/>
                <w:szCs w:val="20"/>
                <w:color w:val="auto"/>
              </w:rPr>
            </w:pPr>
            <w:r>
              <w:rPr>
                <w:rFonts w:ascii="Arial" w:cs="Arial" w:eastAsia="Arial" w:hAnsi="Arial"/>
                <w:sz w:val="16"/>
                <w:szCs w:val="16"/>
                <w:color w:val="auto"/>
              </w:rPr>
              <w:t>Unrealized  gains  on  investments,  net</w:t>
            </w: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(4)</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260" w:type="dxa"/>
            <w:vAlign w:val="bottom"/>
          </w:tcPr>
          <w:p>
            <w:pPr>
              <w:ind w:left="120"/>
              <w:spacing w:after="0"/>
              <w:rPr>
                <w:sz w:val="20"/>
                <w:szCs w:val="20"/>
                <w:color w:val="auto"/>
              </w:rPr>
            </w:pPr>
            <w:r>
              <w:rPr>
                <w:rFonts w:ascii="Arial" w:cs="Arial" w:eastAsia="Arial" w:hAnsi="Arial"/>
                <w:sz w:val="16"/>
                <w:szCs w:val="16"/>
                <w:color w:val="auto"/>
              </w:rPr>
              <w:t>Debt  extinguishment  and  modifcation  fees</w:t>
            </w: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8260" w:type="dxa"/>
            <w:vAlign w:val="bottom"/>
          </w:tcPr>
          <w:p>
            <w:pPr>
              <w:ind w:left="120"/>
              <w:spacing w:after="0"/>
              <w:rPr>
                <w:sz w:val="20"/>
                <w:szCs w:val="20"/>
                <w:color w:val="auto"/>
              </w:rPr>
            </w:pPr>
            <w:r>
              <w:rPr>
                <w:rFonts w:ascii="Arial" w:cs="Arial" w:eastAsia="Arial" w:hAnsi="Arial"/>
                <w:sz w:val="16"/>
                <w:szCs w:val="16"/>
                <w:color w:val="auto"/>
              </w:rPr>
              <w:t>Income  tax  beneft  on  adjustments,  net</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(136)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8260" w:type="dxa"/>
            <w:vAlign w:val="bottom"/>
          </w:tcPr>
          <w:p>
            <w:pPr>
              <w:ind w:left="120"/>
              <w:spacing w:after="0" w:line="183" w:lineRule="exact"/>
              <w:rPr>
                <w:sz w:val="20"/>
                <w:szCs w:val="20"/>
                <w:color w:val="auto"/>
              </w:rPr>
            </w:pPr>
            <w:r>
              <w:rPr>
                <w:rFonts w:ascii="Arial" w:cs="Arial" w:eastAsia="Arial" w:hAnsi="Arial"/>
                <w:sz w:val="16"/>
                <w:szCs w:val="16"/>
                <w:color w:val="auto"/>
              </w:rPr>
              <w:t>Adjusted  net  income  (Non-GAAP)</w:t>
            </w:r>
          </w:p>
        </w:tc>
        <w:tc>
          <w:tcPr>
            <w:tcW w:w="260" w:type="dxa"/>
            <w:vAlign w:val="bottom"/>
            <w:gridSpan w:val="2"/>
          </w:tcPr>
          <w:p>
            <w:pPr>
              <w:spacing w:after="0"/>
              <w:rPr>
                <w:sz w:val="15"/>
                <w:szCs w:val="15"/>
                <w:color w:val="auto"/>
              </w:rPr>
            </w:pP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3,491</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260" w:type="dxa"/>
            <w:vAlign w:val="bottom"/>
            <w:vMerge w:val="restart"/>
          </w:tcPr>
          <w:p>
            <w:pPr>
              <w:ind w:left="120"/>
              <w:spacing w:after="0"/>
              <w:rPr>
                <w:sz w:val="20"/>
                <w:szCs w:val="20"/>
                <w:color w:val="auto"/>
              </w:rPr>
            </w:pPr>
            <w:r>
              <w:rPr>
                <w:rFonts w:ascii="Arial" w:cs="Arial" w:eastAsia="Arial" w:hAnsi="Arial"/>
                <w:sz w:val="16"/>
                <w:szCs w:val="16"/>
                <w:color w:val="auto"/>
              </w:rPr>
              <w:t>Diluted  weighted  average  shares</w:t>
            </w: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2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328.5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7"/>
        </w:trPr>
        <w:tc>
          <w:tcPr>
            <w:tcW w:w="8260" w:type="dxa"/>
            <w:vAlign w:val="bottom"/>
          </w:tcPr>
          <w:p>
            <w:pPr>
              <w:ind w:left="120"/>
              <w:spacing w:after="0"/>
              <w:rPr>
                <w:sz w:val="20"/>
                <w:szCs w:val="20"/>
                <w:color w:val="auto"/>
              </w:rPr>
            </w:pPr>
            <w:r>
              <w:rPr>
                <w:rFonts w:ascii="Arial" w:cs="Arial" w:eastAsia="Arial" w:hAnsi="Arial"/>
                <w:sz w:val="16"/>
                <w:szCs w:val="16"/>
                <w:color w:val="auto"/>
              </w:rPr>
              <w:t>Diluted  earnings  per  share  (GAAP)</w:t>
            </w:r>
          </w:p>
        </w:tc>
        <w:tc>
          <w:tcPr>
            <w:tcW w:w="480" w:type="dxa"/>
            <w:vAlign w:val="bottom"/>
            <w:gridSpan w:val="3"/>
          </w:tcPr>
          <w:p>
            <w:pPr>
              <w:jc w:val="right"/>
              <w:ind w:right="10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10.20</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8260" w:type="dxa"/>
            <w:vAlign w:val="bottom"/>
          </w:tcPr>
          <w:p>
            <w:pPr>
              <w:ind w:left="120"/>
              <w:spacing w:after="0"/>
              <w:rPr>
                <w:sz w:val="20"/>
                <w:szCs w:val="20"/>
                <w:color w:val="auto"/>
              </w:rPr>
            </w:pPr>
            <w:r>
              <w:rPr>
                <w:rFonts w:ascii="Arial" w:cs="Arial" w:eastAsia="Arial" w:hAnsi="Arial"/>
                <w:sz w:val="16"/>
                <w:szCs w:val="16"/>
                <w:color w:val="auto"/>
              </w:rPr>
              <w:t>Adjusted  to  exclude:</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8260" w:type="dxa"/>
            <w:vAlign w:val="bottom"/>
          </w:tcPr>
          <w:p>
            <w:pPr>
              <w:ind w:left="120"/>
              <w:spacing w:after="0"/>
              <w:rPr>
                <w:sz w:val="20"/>
                <w:szCs w:val="20"/>
                <w:color w:val="auto"/>
              </w:rPr>
            </w:pPr>
            <w:r>
              <w:rPr>
                <w:rFonts w:ascii="Arial" w:cs="Arial" w:eastAsia="Arial" w:hAnsi="Arial"/>
                <w:sz w:val="16"/>
                <w:szCs w:val="16"/>
                <w:color w:val="auto"/>
              </w:rPr>
              <w:t>Special  charges</w:t>
            </w: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0.79</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260" w:type="dxa"/>
            <w:vAlign w:val="bottom"/>
          </w:tcPr>
          <w:p>
            <w:pPr>
              <w:ind w:left="120"/>
              <w:spacing w:after="0"/>
              <w:rPr>
                <w:sz w:val="20"/>
                <w:szCs w:val="20"/>
                <w:color w:val="auto"/>
              </w:rPr>
            </w:pPr>
            <w:r>
              <w:rPr>
                <w:rFonts w:ascii="Arial" w:cs="Arial" w:eastAsia="Arial" w:hAnsi="Arial"/>
                <w:sz w:val="16"/>
                <w:szCs w:val="16"/>
                <w:color w:val="auto"/>
              </w:rPr>
              <w:t>Unrealized  gains  on  investments,  net</w:t>
            </w: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(0.01)</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260" w:type="dxa"/>
            <w:vAlign w:val="bottom"/>
          </w:tcPr>
          <w:p>
            <w:pPr>
              <w:ind w:left="120"/>
              <w:spacing w:after="0"/>
              <w:rPr>
                <w:sz w:val="20"/>
                <w:szCs w:val="20"/>
                <w:color w:val="auto"/>
              </w:rPr>
            </w:pPr>
            <w:r>
              <w:rPr>
                <w:rFonts w:ascii="Arial" w:cs="Arial" w:eastAsia="Arial" w:hAnsi="Arial"/>
                <w:sz w:val="16"/>
                <w:szCs w:val="16"/>
                <w:color w:val="auto"/>
              </w:rPr>
              <w:t>Debt  extinguishment  and  modifcation  fees</w:t>
            </w: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0.06</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8260" w:type="dxa"/>
            <w:vAlign w:val="bottom"/>
          </w:tcPr>
          <w:p>
            <w:pPr>
              <w:ind w:left="120"/>
              <w:spacing w:after="0"/>
              <w:rPr>
                <w:sz w:val="20"/>
                <w:szCs w:val="20"/>
                <w:color w:val="auto"/>
              </w:rPr>
            </w:pPr>
            <w:r>
              <w:rPr>
                <w:rFonts w:ascii="Arial" w:cs="Arial" w:eastAsia="Arial" w:hAnsi="Arial"/>
                <w:sz w:val="16"/>
                <w:szCs w:val="16"/>
                <w:color w:val="auto"/>
              </w:rPr>
              <w:t>Income  tax  beneft  on  adjustments,  net</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(0.42)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8260" w:type="dxa"/>
            <w:vAlign w:val="bottom"/>
          </w:tcPr>
          <w:p>
            <w:pPr>
              <w:ind w:left="120"/>
              <w:spacing w:after="0" w:line="183" w:lineRule="exact"/>
              <w:rPr>
                <w:sz w:val="20"/>
                <w:szCs w:val="20"/>
                <w:color w:val="auto"/>
              </w:rPr>
            </w:pPr>
            <w:r>
              <w:rPr>
                <w:rFonts w:ascii="Arial" w:cs="Arial" w:eastAsia="Arial" w:hAnsi="Arial"/>
                <w:sz w:val="16"/>
                <w:szCs w:val="16"/>
                <w:color w:val="auto"/>
              </w:rPr>
              <w:t>Adjusted  diluted  earnings  per  share  (Non-GAAP)</w:t>
            </w:r>
          </w:p>
        </w:tc>
        <w:tc>
          <w:tcPr>
            <w:tcW w:w="260" w:type="dxa"/>
            <w:vAlign w:val="bottom"/>
            <w:gridSpan w:val="2"/>
          </w:tcPr>
          <w:p>
            <w:pPr>
              <w:spacing w:after="0"/>
              <w:rPr>
                <w:sz w:val="15"/>
                <w:szCs w:val="15"/>
                <w:color w:val="auto"/>
              </w:rPr>
            </w:pPr>
          </w:p>
        </w:tc>
        <w:tc>
          <w:tcPr>
            <w:tcW w:w="220" w:type="dxa"/>
            <w:vAlign w:val="bottom"/>
            <w:tcBorders>
              <w:top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10.62</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2026  Proxy  Statement</w:t>
      </w:r>
    </w:p>
    <w:p>
      <w:pPr>
        <w:spacing w:after="0" w:line="167" w:lineRule="exact"/>
        <w:rPr>
          <w:sz w:val="20"/>
          <w:szCs w:val="20"/>
          <w:color w:val="auto"/>
        </w:rPr>
      </w:pPr>
    </w:p>
    <w:p>
      <w:pPr>
        <w:ind w:left="9460"/>
        <w:spacing w:after="0"/>
        <w:rPr>
          <w:sz w:val="20"/>
          <w:szCs w:val="20"/>
          <w:color w:val="auto"/>
        </w:rPr>
      </w:pPr>
      <w:r>
        <w:rPr>
          <w:rFonts w:ascii="Arial" w:cs="Arial" w:eastAsia="Arial" w:hAnsi="Arial"/>
          <w:sz w:val="16"/>
          <w:szCs w:val="16"/>
          <w:b w:val="1"/>
          <w:bCs w:val="1"/>
          <w:color w:val="1414D2"/>
        </w:rPr>
        <w:t>A-1</w:t>
      </w:r>
    </w:p>
    <w:p>
      <w:pPr>
        <w:sectPr>
          <w:pgSz w:w="11900" w:h="16838" w:orient="portrait"/>
          <w:cols w:equalWidth="0" w:num="1">
            <w:col w:w="9760"/>
          </w:cols>
          <w:pgMar w:left="1080" w:top="696" w:right="1059" w:bottom="1440" w:gutter="0" w:footer="0" w:header="0"/>
        </w:sectPr>
      </w:pPr>
    </w:p>
    <w:bookmarkStart w:id="157" w:name="page158"/>
    <w:bookmarkEnd w:id="157"/>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6D6F71"/>
        </w:rPr>
        <w:t>Appendix  A:  Reconciliation  of  GAAP  and  Non-GAAP  Financial  Measures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320" w:type="dxa"/>
            <w:vAlign w:val="bottom"/>
            <w:tcBorders>
              <w:top w:val="single" w:sz="8" w:color="1414D2"/>
            </w:tcBorders>
            <w:vMerge w:val="restart"/>
            <w:shd w:val="clear" w:color="auto" w:fill="F2F2F2"/>
          </w:tcPr>
          <w:p>
            <w:pPr>
              <w:ind w:left="120"/>
              <w:spacing w:after="0"/>
              <w:rPr>
                <w:sz w:val="20"/>
                <w:szCs w:val="20"/>
                <w:color w:val="auto"/>
              </w:rPr>
            </w:pPr>
            <w:r>
              <w:rPr>
                <w:rFonts w:ascii="Arial" w:cs="Arial" w:eastAsia="Arial" w:hAnsi="Arial"/>
                <w:sz w:val="14"/>
                <w:szCs w:val="14"/>
                <w:b w:val="1"/>
                <w:bCs w:val="1"/>
                <w:color w:val="auto"/>
              </w:rPr>
              <w:t>(in millions, except margins)</w:t>
            </w:r>
          </w:p>
        </w:tc>
        <w:tc>
          <w:tcPr>
            <w:tcW w:w="1500" w:type="dxa"/>
            <w:vAlign w:val="bottom"/>
            <w:tcBorders>
              <w:top w:val="single" w:sz="8" w:color="1414D2"/>
            </w:tcBorders>
            <w:gridSpan w:val="2"/>
            <w:shd w:val="clear" w:color="auto" w:fill="F2F2F2"/>
          </w:tcPr>
          <w:p>
            <w:pPr>
              <w:jc w:val="right"/>
              <w:ind w:right="1199"/>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1414D2"/>
            </w:tcBorders>
            <w:vMerge w:val="restart"/>
            <w:shd w:val="clear" w:color="auto" w:fill="F2F2F2"/>
          </w:tcPr>
          <w:p>
            <w:pPr>
              <w:jc w:val="right"/>
              <w:ind w:right="260"/>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top w:val="single" w:sz="8" w:color="1414D2"/>
            </w:tcBorders>
            <w:shd w:val="clear" w:color="auto" w:fill="F2F2F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7320" w:type="dxa"/>
            <w:vAlign w:val="bottom"/>
            <w:tcBorders>
              <w:bottom w:val="single" w:sz="8" w:color="F2F2F2"/>
            </w:tcBorders>
            <w:vMerge w:val="continue"/>
            <w:shd w:val="clear" w:color="auto" w:fill="F2F2F2"/>
          </w:tcPr>
          <w:p>
            <w:pPr>
              <w:spacing w:after="0"/>
              <w:rPr>
                <w:sz w:val="15"/>
                <w:szCs w:val="15"/>
                <w:color w:val="auto"/>
              </w:rPr>
            </w:pPr>
          </w:p>
        </w:tc>
        <w:tc>
          <w:tcPr>
            <w:tcW w:w="1280" w:type="dxa"/>
            <w:vAlign w:val="bottom"/>
            <w:tcBorders>
              <w:bottom w:val="single" w:sz="8" w:color="F2F2F2"/>
            </w:tcBorders>
            <w:shd w:val="clear" w:color="auto" w:fill="F2F2F2"/>
          </w:tcPr>
          <w:p>
            <w:pPr>
              <w:spacing w:after="0"/>
              <w:rPr>
                <w:sz w:val="15"/>
                <w:szCs w:val="15"/>
                <w:color w:val="auto"/>
              </w:rPr>
            </w:pPr>
          </w:p>
        </w:tc>
        <w:tc>
          <w:tcPr>
            <w:tcW w:w="220" w:type="dxa"/>
            <w:vAlign w:val="bottom"/>
            <w:tcBorders>
              <w:bottom w:val="single" w:sz="8" w:color="F2F2F2"/>
            </w:tcBorders>
            <w:shd w:val="clear" w:color="auto" w:fill="F2F2F2"/>
          </w:tcPr>
          <w:p>
            <w:pPr>
              <w:spacing w:after="0"/>
              <w:rPr>
                <w:sz w:val="15"/>
                <w:szCs w:val="15"/>
                <w:color w:val="auto"/>
              </w:rPr>
            </w:pPr>
          </w:p>
        </w:tc>
        <w:tc>
          <w:tcPr>
            <w:tcW w:w="780" w:type="dxa"/>
            <w:vAlign w:val="bottom"/>
            <w:tcBorders>
              <w:bottom w:val="single" w:sz="8" w:color="F2F2F2"/>
            </w:tcBorders>
            <w:vMerge w:val="continue"/>
            <w:shd w:val="clear" w:color="auto" w:fill="F2F2F2"/>
          </w:tcPr>
          <w:p>
            <w:pPr>
              <w:spacing w:after="0"/>
              <w:rPr>
                <w:sz w:val="15"/>
                <w:szCs w:val="15"/>
                <w:color w:val="auto"/>
              </w:rPr>
            </w:pPr>
          </w:p>
        </w:tc>
        <w:tc>
          <w:tcPr>
            <w:tcW w:w="120" w:type="dxa"/>
            <w:vAlign w:val="bottom"/>
            <w:tcBorders>
              <w:bottom w:val="single" w:sz="8" w:color="F2F2F2"/>
            </w:tcBorders>
            <w:shd w:val="clear" w:color="auto" w:fill="F2F2F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7320" w:type="dxa"/>
            <w:vAlign w:val="bottom"/>
          </w:tcPr>
          <w:p>
            <w:pPr>
              <w:ind w:left="120"/>
              <w:spacing w:after="0"/>
              <w:rPr>
                <w:sz w:val="20"/>
                <w:szCs w:val="20"/>
                <w:color w:val="auto"/>
              </w:rPr>
            </w:pPr>
            <w:r>
              <w:rPr>
                <w:rFonts w:ascii="Arial" w:cs="Arial" w:eastAsia="Arial" w:hAnsi="Arial"/>
                <w:sz w:val="16"/>
                <w:szCs w:val="16"/>
                <w:color w:val="auto"/>
              </w:rPr>
              <w:t>Total  operating  revenue</w:t>
            </w:r>
          </w:p>
        </w:tc>
        <w:tc>
          <w:tcPr>
            <w:tcW w:w="150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59,070</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7"/>
        </w:trPr>
        <w:tc>
          <w:tcPr>
            <w:tcW w:w="7320" w:type="dxa"/>
            <w:vAlign w:val="bottom"/>
          </w:tcPr>
          <w:p>
            <w:pPr>
              <w:ind w:left="120"/>
              <w:spacing w:after="0"/>
              <w:rPr>
                <w:sz w:val="20"/>
                <w:szCs w:val="20"/>
                <w:color w:val="auto"/>
              </w:rPr>
            </w:pPr>
            <w:r>
              <w:rPr>
                <w:rFonts w:ascii="Arial" w:cs="Arial" w:eastAsia="Arial" w:hAnsi="Arial"/>
                <w:sz w:val="16"/>
                <w:szCs w:val="16"/>
                <w:color w:val="auto"/>
              </w:rPr>
              <w:t>Pre-tax  income  (GAAP)</w:t>
            </w:r>
          </w:p>
        </w:tc>
        <w:tc>
          <w:tcPr>
            <w:tcW w:w="150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4,306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7320" w:type="dxa"/>
            <w:vAlign w:val="bottom"/>
          </w:tcPr>
          <w:p>
            <w:pPr>
              <w:ind w:left="120"/>
              <w:spacing w:after="0"/>
              <w:rPr>
                <w:sz w:val="20"/>
                <w:szCs w:val="20"/>
                <w:color w:val="auto"/>
              </w:rPr>
            </w:pPr>
            <w:r>
              <w:rPr>
                <w:rFonts w:ascii="Arial" w:cs="Arial" w:eastAsia="Arial" w:hAnsi="Arial"/>
                <w:sz w:val="16"/>
                <w:szCs w:val="16"/>
                <w:color w:val="auto"/>
              </w:rPr>
              <w:t>Adjusted  to  exclude:</w:t>
            </w: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20" w:type="dxa"/>
            <w:vAlign w:val="bottom"/>
          </w:tcPr>
          <w:p>
            <w:pPr>
              <w:ind w:left="120"/>
              <w:spacing w:after="0"/>
              <w:rPr>
                <w:sz w:val="20"/>
                <w:szCs w:val="20"/>
                <w:color w:val="auto"/>
              </w:rPr>
            </w:pPr>
            <w:r>
              <w:rPr>
                <w:rFonts w:ascii="Arial" w:cs="Arial" w:eastAsia="Arial" w:hAnsi="Arial"/>
                <w:sz w:val="16"/>
                <w:szCs w:val="16"/>
                <w:color w:val="auto"/>
              </w:rPr>
              <w:t>Special  charges</w:t>
            </w: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259</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20" w:type="dxa"/>
            <w:vAlign w:val="bottom"/>
          </w:tcPr>
          <w:p>
            <w:pPr>
              <w:ind w:left="120"/>
              <w:spacing w:after="0"/>
              <w:rPr>
                <w:sz w:val="20"/>
                <w:szCs w:val="20"/>
                <w:color w:val="auto"/>
              </w:rPr>
            </w:pPr>
            <w:r>
              <w:rPr>
                <w:rFonts w:ascii="Arial" w:cs="Arial" w:eastAsia="Arial" w:hAnsi="Arial"/>
                <w:sz w:val="16"/>
                <w:szCs w:val="16"/>
                <w:color w:val="auto"/>
              </w:rPr>
              <w:t>Unrealized  gains  on  investments,  net</w:t>
            </w: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jc w:val="right"/>
              <w:ind w:right="39"/>
              <w:spacing w:after="0"/>
              <w:rPr>
                <w:sz w:val="20"/>
                <w:szCs w:val="20"/>
                <w:color w:val="auto"/>
              </w:rPr>
            </w:pPr>
            <w:r>
              <w:rPr>
                <w:rFonts w:ascii="Arial" w:cs="Arial" w:eastAsia="Arial" w:hAnsi="Arial"/>
                <w:sz w:val="16"/>
                <w:szCs w:val="16"/>
                <w:color w:val="auto"/>
              </w:rPr>
              <w:t>(4)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7320" w:type="dxa"/>
            <w:vAlign w:val="bottom"/>
          </w:tcPr>
          <w:p>
            <w:pPr>
              <w:ind w:left="120"/>
              <w:spacing w:after="0"/>
              <w:rPr>
                <w:sz w:val="20"/>
                <w:szCs w:val="20"/>
                <w:color w:val="auto"/>
              </w:rPr>
            </w:pPr>
            <w:r>
              <w:rPr>
                <w:rFonts w:ascii="Arial" w:cs="Arial" w:eastAsia="Arial" w:hAnsi="Arial"/>
                <w:sz w:val="16"/>
                <w:szCs w:val="16"/>
                <w:color w:val="auto"/>
              </w:rPr>
              <w:t>Debt  extinguishment  and  modifcation  fees</w:t>
            </w:r>
          </w:p>
        </w:tc>
        <w:tc>
          <w:tcPr>
            <w:tcW w:w="1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7320" w:type="dxa"/>
            <w:vAlign w:val="bottom"/>
          </w:tcPr>
          <w:p>
            <w:pPr>
              <w:ind w:left="120"/>
              <w:spacing w:after="0" w:line="183" w:lineRule="exact"/>
              <w:rPr>
                <w:sz w:val="20"/>
                <w:szCs w:val="20"/>
                <w:color w:val="auto"/>
              </w:rPr>
            </w:pPr>
            <w:r>
              <w:rPr>
                <w:rFonts w:ascii="Arial" w:cs="Arial" w:eastAsia="Arial" w:hAnsi="Arial"/>
                <w:sz w:val="16"/>
                <w:szCs w:val="16"/>
                <w:color w:val="auto"/>
              </w:rPr>
              <w:t>Adjusted  pre-tax  income  (Non-GAAP)</w:t>
            </w:r>
          </w:p>
        </w:tc>
        <w:tc>
          <w:tcPr>
            <w:tcW w:w="1280" w:type="dxa"/>
            <w:vAlign w:val="bottom"/>
          </w:tcPr>
          <w:p>
            <w:pPr>
              <w:spacing w:after="0"/>
              <w:rPr>
                <w:sz w:val="15"/>
                <w:szCs w:val="15"/>
                <w:color w:val="auto"/>
              </w:rPr>
            </w:pPr>
          </w:p>
        </w:tc>
        <w:tc>
          <w:tcPr>
            <w:tcW w:w="22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4,580</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320" w:type="dxa"/>
            <w:vAlign w:val="bottom"/>
            <w:vMerge w:val="restart"/>
          </w:tcPr>
          <w:p>
            <w:pPr>
              <w:ind w:left="120"/>
              <w:spacing w:after="0" w:line="183" w:lineRule="exact"/>
              <w:rPr>
                <w:sz w:val="20"/>
                <w:szCs w:val="20"/>
                <w:color w:val="auto"/>
              </w:rPr>
            </w:pPr>
            <w:r>
              <w:rPr>
                <w:rFonts w:ascii="Arial" w:cs="Arial" w:eastAsia="Arial" w:hAnsi="Arial"/>
                <w:sz w:val="16"/>
                <w:szCs w:val="16"/>
                <w:b w:val="1"/>
                <w:bCs w:val="1"/>
                <w:i w:val="1"/>
                <w:iCs w:val="1"/>
                <w:color w:val="auto"/>
              </w:rPr>
              <w:t>Pre-tax margin</w:t>
            </w:r>
          </w:p>
        </w:tc>
        <w:tc>
          <w:tcPr>
            <w:tcW w:w="1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gridSpan w:val="2"/>
            <w:vMerge w:val="restart"/>
          </w:tcPr>
          <w:p>
            <w:pPr>
              <w:jc w:val="right"/>
              <w:spacing w:after="0" w:line="183" w:lineRule="exact"/>
              <w:rPr>
                <w:sz w:val="20"/>
                <w:szCs w:val="20"/>
                <w:color w:val="auto"/>
              </w:rPr>
            </w:pPr>
            <w:r>
              <w:rPr>
                <w:rFonts w:ascii="Arial" w:cs="Arial" w:eastAsia="Arial" w:hAnsi="Arial"/>
                <w:sz w:val="16"/>
                <w:szCs w:val="16"/>
                <w:b w:val="1"/>
                <w:bCs w:val="1"/>
                <w:i w:val="1"/>
                <w:iCs w:val="1"/>
                <w:color w:val="auto"/>
                <w:w w:val="84"/>
              </w:rPr>
              <w:t>%</w:t>
            </w:r>
          </w:p>
        </w:tc>
        <w:tc>
          <w:tcPr>
            <w:tcW w:w="0" w:type="dxa"/>
            <w:vAlign w:val="bottom"/>
          </w:tcPr>
          <w:p>
            <w:pPr>
              <w:spacing w:after="0" w:line="20" w:lineRule="exact"/>
              <w:rPr>
                <w:sz w:val="1"/>
                <w:szCs w:val="1"/>
                <w:color w:val="auto"/>
              </w:rPr>
            </w:pPr>
          </w:p>
        </w:tc>
      </w:tr>
      <w:tr>
        <w:trPr>
          <w:trHeight w:val="143"/>
        </w:trPr>
        <w:tc>
          <w:tcPr>
            <w:tcW w:w="7320" w:type="dxa"/>
            <w:vAlign w:val="bottom"/>
            <w:vMerge w:val="continue"/>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spacing w:after="0" w:line="143" w:lineRule="exact"/>
              <w:rPr>
                <w:sz w:val="20"/>
                <w:szCs w:val="20"/>
                <w:color w:val="auto"/>
              </w:rPr>
            </w:pPr>
            <w:r>
              <w:rPr>
                <w:rFonts w:ascii="Arial" w:cs="Arial" w:eastAsia="Arial" w:hAnsi="Arial"/>
                <w:sz w:val="16"/>
                <w:szCs w:val="16"/>
                <w:b w:val="1"/>
                <w:bCs w:val="1"/>
                <w:i w:val="1"/>
                <w:iCs w:val="1"/>
                <w:color w:val="auto"/>
              </w:rPr>
              <w:t>7.3</w:t>
            </w:r>
          </w:p>
        </w:tc>
        <w:tc>
          <w:tcPr>
            <w:tcW w:w="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7320" w:type="dxa"/>
            <w:vAlign w:val="bottom"/>
          </w:tcPr>
          <w:p>
            <w:pPr>
              <w:ind w:left="120"/>
              <w:spacing w:after="0"/>
              <w:rPr>
                <w:sz w:val="20"/>
                <w:szCs w:val="20"/>
                <w:color w:val="auto"/>
              </w:rPr>
            </w:pPr>
            <w:r>
              <w:rPr>
                <w:rFonts w:ascii="Arial" w:cs="Arial" w:eastAsia="Arial" w:hAnsi="Arial"/>
                <w:sz w:val="16"/>
                <w:szCs w:val="16"/>
                <w:b w:val="1"/>
                <w:bCs w:val="1"/>
                <w:i w:val="1"/>
                <w:iCs w:val="1"/>
                <w:color w:val="auto"/>
              </w:rPr>
              <w:t>Adjusted pre-tax margin (Non-GAAP)</w:t>
            </w: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3"/>
          </w:tcPr>
          <w:p>
            <w:pPr>
              <w:jc w:val="right"/>
              <w:spacing w:after="0"/>
              <w:rPr>
                <w:sz w:val="20"/>
                <w:szCs w:val="20"/>
                <w:color w:val="auto"/>
              </w:rPr>
            </w:pPr>
            <w:r>
              <w:rPr>
                <w:rFonts w:ascii="Arial" w:cs="Arial" w:eastAsia="Arial" w:hAnsi="Arial"/>
                <w:sz w:val="16"/>
                <w:szCs w:val="16"/>
                <w:b w:val="1"/>
                <w:bCs w:val="1"/>
                <w:i w:val="1"/>
                <w:iCs w:val="1"/>
                <w:color w:val="auto"/>
              </w:rPr>
              <w:t>7.8 %</w:t>
            </w:r>
          </w:p>
        </w:tc>
        <w:tc>
          <w:tcPr>
            <w:tcW w:w="0" w:type="dxa"/>
            <w:vAlign w:val="bottom"/>
          </w:tcPr>
          <w:p>
            <w:pPr>
              <w:spacing w:after="0"/>
              <w:rPr>
                <w:sz w:val="1"/>
                <w:szCs w:val="1"/>
                <w:color w:val="auto"/>
              </w:rPr>
            </w:pPr>
          </w:p>
        </w:tc>
      </w:tr>
    </w:tbl>
    <w:p>
      <w:pPr>
        <w:spacing w:after="0" w:line="143" w:lineRule="exact"/>
        <w:rPr>
          <w:sz w:val="20"/>
          <w:szCs w:val="20"/>
          <w:color w:val="auto"/>
        </w:rPr>
      </w:pPr>
    </w:p>
    <w:p>
      <w:pPr>
        <w:sectPr>
          <w:pgSz w:w="11900" w:h="16838" w:orient="portrait"/>
          <w:cols w:equalWidth="0" w:num="1">
            <w:col w:w="9740"/>
          </w:cols>
          <w:pgMar w:left="1080" w:top="706" w:right="1079" w:bottom="1440" w:gutter="0" w:footer="0" w:header="0"/>
        </w:sectPr>
      </w:pPr>
    </w:p>
    <w:p>
      <w:pPr>
        <w:ind w:left="120"/>
        <w:spacing w:after="0"/>
        <w:rPr>
          <w:sz w:val="20"/>
          <w:szCs w:val="20"/>
          <w:color w:val="auto"/>
        </w:rPr>
      </w:pPr>
      <w:r>
        <w:rPr>
          <w:rFonts w:ascii="Arial" w:cs="Arial" w:eastAsia="Arial" w:hAnsi="Arial"/>
          <w:sz w:val="15"/>
          <w:szCs w:val="15"/>
          <w:color w:val="auto"/>
        </w:rPr>
        <w:t>Net  cash  provided  by  operating  activities  (GAAP)</w:t>
      </w:r>
    </w:p>
    <w:p>
      <w:pPr>
        <w:spacing w:after="0" w:line="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Net  cash  used  in  investing  activities  (GAAP)</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Adjusted  for:</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Net  change  in  short-term  investments</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Net  change  in  restricted  cash</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Free  cash  fow  (Non-GAAP)</w:t>
      </w:r>
    </w:p>
    <w:p>
      <w:pPr>
        <w:spacing w:after="0" w:line="20" w:lineRule="exact"/>
        <w:rPr>
          <w:sz w:val="20"/>
          <w:szCs w:val="20"/>
          <w:color w:val="auto"/>
        </w:rPr>
      </w:pPr>
      <w:r>
        <w:rPr>
          <w:sz w:val="20"/>
          <w:szCs w:val="20"/>
          <w:color w:val="auto"/>
        </w:rPr>
        <w:br w:type="column"/>
      </w:r>
    </w:p>
    <w:p>
      <w:pPr>
        <w:ind w:left="540" w:hanging="537"/>
        <w:spacing w:after="0"/>
        <w:tabs>
          <w:tab w:leader="none" w:pos="540" w:val="left"/>
        </w:tabs>
        <w:numPr>
          <w:ilvl w:val="0"/>
          <w:numId w:val="181"/>
        </w:numPr>
        <w:rPr>
          <w:rFonts w:ascii="Arial" w:cs="Arial" w:eastAsia="Arial" w:hAnsi="Arial"/>
          <w:sz w:val="16"/>
          <w:szCs w:val="16"/>
          <w:color w:val="auto"/>
        </w:rPr>
      </w:pPr>
      <w:r>
        <w:rPr>
          <w:rFonts w:ascii="Arial" w:cs="Arial" w:eastAsia="Arial" w:hAnsi="Arial"/>
          <w:sz w:val="16"/>
          <w:szCs w:val="16"/>
          <w:color w:val="auto"/>
        </w:rPr>
        <w:t>8,431</w:t>
      </w:r>
    </w:p>
    <w:p>
      <w:pPr>
        <w:spacing w:after="0" w:line="5" w:lineRule="exact"/>
        <w:rPr>
          <w:rFonts w:ascii="Arial" w:cs="Arial" w:eastAsia="Arial" w:hAnsi="Arial"/>
          <w:sz w:val="16"/>
          <w:szCs w:val="16"/>
          <w:color w:val="auto"/>
        </w:rPr>
      </w:pPr>
    </w:p>
    <w:p>
      <w:pPr>
        <w:ind w:left="500"/>
        <w:spacing w:after="0"/>
        <w:rPr>
          <w:rFonts w:ascii="Arial" w:cs="Arial" w:eastAsia="Arial" w:hAnsi="Arial"/>
          <w:sz w:val="16"/>
          <w:szCs w:val="16"/>
          <w:color w:val="auto"/>
        </w:rPr>
      </w:pPr>
      <w:r>
        <w:rPr>
          <w:rFonts w:ascii="Arial" w:cs="Arial" w:eastAsia="Arial" w:hAnsi="Arial"/>
          <w:sz w:val="15"/>
          <w:szCs w:val="15"/>
          <w:color w:val="auto"/>
        </w:rPr>
        <w:t>(6,350)</w:t>
      </w:r>
    </w:p>
    <w:p>
      <w:pPr>
        <w:spacing w:after="0" w:line="206" w:lineRule="exact"/>
        <w:rPr>
          <w:sz w:val="20"/>
          <w:szCs w:val="20"/>
          <w:color w:val="auto"/>
        </w:rPr>
      </w:pPr>
    </w:p>
    <w:p>
      <w:pPr>
        <w:jc w:val="right"/>
        <w:ind w:right="200"/>
        <w:spacing w:after="0"/>
        <w:rPr>
          <w:sz w:val="20"/>
          <w:szCs w:val="20"/>
          <w:color w:val="auto"/>
        </w:rPr>
      </w:pPr>
      <w:r>
        <w:rPr>
          <w:rFonts w:ascii="Arial" w:cs="Arial" w:eastAsia="Arial" w:hAnsi="Arial"/>
          <w:sz w:val="16"/>
          <w:szCs w:val="16"/>
          <w:color w:val="auto"/>
        </w:rPr>
        <w:t>591</w:t>
      </w:r>
    </w:p>
    <w:p>
      <w:pPr>
        <w:spacing w:after="0" w:line="5" w:lineRule="exact"/>
        <w:rPr>
          <w:sz w:val="20"/>
          <w:szCs w:val="20"/>
          <w:color w:val="auto"/>
        </w:rPr>
      </w:pPr>
    </w:p>
    <w:p>
      <w:pPr>
        <w:jc w:val="right"/>
        <w:ind w:right="200"/>
        <w:spacing w:after="0"/>
        <w:rPr>
          <w:sz w:val="20"/>
          <w:szCs w:val="20"/>
          <w:color w:val="auto"/>
        </w:rPr>
      </w:pPr>
      <w:r>
        <w:rPr>
          <w:rFonts w:ascii="Arial" w:cs="Arial" w:eastAsia="Arial" w:hAnsi="Arial"/>
          <w:sz w:val="16"/>
          <w:szCs w:val="16"/>
          <w:color w:val="auto"/>
        </w:rPr>
        <w:t>38</w:t>
      </w:r>
    </w:p>
    <w:p>
      <w:pPr>
        <w:spacing w:after="0" w:line="19" w:lineRule="exact"/>
        <w:rPr>
          <w:sz w:val="20"/>
          <w:szCs w:val="20"/>
          <w:color w:val="auto"/>
        </w:rPr>
      </w:pPr>
    </w:p>
    <w:p>
      <w:pPr>
        <w:ind w:left="540" w:hanging="537"/>
        <w:spacing w:after="0"/>
        <w:tabs>
          <w:tab w:leader="none" w:pos="540" w:val="left"/>
        </w:tabs>
        <w:numPr>
          <w:ilvl w:val="0"/>
          <w:numId w:val="182"/>
        </w:numPr>
        <w:rPr>
          <w:rFonts w:ascii="Arial" w:cs="Arial" w:eastAsia="Arial" w:hAnsi="Arial"/>
          <w:sz w:val="16"/>
          <w:szCs w:val="16"/>
          <w:color w:val="auto"/>
        </w:rPr>
      </w:pPr>
      <w:r>
        <w:rPr>
          <w:rFonts w:ascii="Arial" w:cs="Arial" w:eastAsia="Arial" w:hAnsi="Arial"/>
          <w:sz w:val="16"/>
          <w:szCs w:val="16"/>
          <w:color w:val="auto"/>
        </w:rPr>
        <w:t>2,710</w:t>
      </w:r>
    </w:p>
    <w:p>
      <w:pPr>
        <w:spacing w:after="0" w:line="213" w:lineRule="exact"/>
        <w:rPr>
          <w:sz w:val="20"/>
          <w:szCs w:val="20"/>
          <w:color w:val="auto"/>
        </w:rPr>
      </w:pPr>
    </w:p>
    <w:p>
      <w:pPr>
        <w:sectPr>
          <w:pgSz w:w="11900" w:h="16838" w:orient="portrait"/>
          <w:cols w:equalWidth="0" w:num="2">
            <w:col w:w="7880" w:space="720"/>
            <w:col w:w="1140"/>
          </w:cols>
          <w:pgMar w:left="1080" w:top="706" w:right="10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​​2026​  Proxy</w:t>
      </w:r>
    </w:p>
    <w:p>
      <w:pPr>
        <w:spacing w:after="0" w:line="5"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b w:val="1"/>
          <w:bCs w:val="1"/>
          <w:color w:val="1414D2"/>
        </w:rPr>
        <w:t>A-2</w:t>
      </w:r>
      <w:r>
        <w:rPr>
          <w:sz w:val="20"/>
          <w:szCs w:val="20"/>
          <w:color w:val="auto"/>
        </w:rPr>
        <w:tab/>
      </w:r>
      <w:r>
        <w:rPr>
          <w:rFonts w:ascii="Arial" w:cs="Arial" w:eastAsia="Arial" w:hAnsi="Arial"/>
          <w:sz w:val="16"/>
          <w:szCs w:val="16"/>
          <w:color w:val="auto"/>
        </w:rPr>
        <w:t>Statement</w:t>
      </w:r>
    </w:p>
    <w:p>
      <w:pPr>
        <w:sectPr>
          <w:pgSz w:w="11900" w:h="16838" w:orient="portrait"/>
          <w:cols w:equalWidth="0" w:num="1">
            <w:col w:w="9740"/>
          </w:cols>
          <w:pgMar w:left="1080" w:top="706" w:right="1079" w:bottom="1440" w:gutter="0" w:footer="0" w:header="0"/>
          <w:type w:val="continuous"/>
        </w:sectPr>
      </w:pPr>
    </w:p>
    <w:bookmarkStart w:id="158" w:name="page159"/>
    <w:bookmarkEnd w:id="158"/>
    <w:p>
      <w:pPr>
        <w:spacing w:after="0"/>
        <w:rPr>
          <w:sz w:val="20"/>
          <w:szCs w:val="20"/>
          <w:color w:val="auto"/>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0735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ectPr>
          <w:pgSz w:w="11900" w:h="16838" w:orient="portrait"/>
          <w:cols w:equalWidth="0" w:num="1">
            <w:col w:w="9379"/>
          </w:cols>
          <w:pgMar w:left="1080" w:top="844" w:right="1440" w:bottom="1440" w:gutter="0" w:footer="0" w:header="0"/>
        </w:sectPr>
      </w:pPr>
    </w:p>
    <w:bookmarkStart w:id="159" w:name="page160"/>
    <w:bookmarkEnd w:id="1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8882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016115" cy="9888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0" w:name="page161"/>
    <w:bookmarkEnd w:id="1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198120</wp:posOffset>
            </wp:positionV>
            <wp:extent cx="7016115" cy="98882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016115" cy="9888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1" w:name="page162"/>
    <w:bookmarkEnd w:id="16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A2AC315"/>
    <w:multiLevelType w:val="hybridMultilevel"/>
    <w:lvl w:ilvl="0">
      <w:lvlJc w:val="left"/>
      <w:lvlText w:val="☐"/>
      <w:numFmt w:val="bullet"/>
      <w:start w:val="1"/>
    </w:lvl>
  </w:abstractNum>
  <w:abstractNum w:abstractNumId="1">
    <w:nsid w:val="39EE015C"/>
    <w:multiLevelType w:val="hybridMultilevel"/>
    <w:lvl w:ilvl="0">
      <w:lvlJc w:val="left"/>
      <w:lvlText w:val="☒"/>
      <w:numFmt w:val="bullet"/>
      <w:start w:val="1"/>
    </w:lvl>
  </w:abstractNum>
  <w:abstractNum w:abstractNumId="2">
    <w:nsid w:val="57FC4FBB"/>
    <w:multiLevelType w:val="hybridMultilevel"/>
    <w:lvl w:ilvl="0">
      <w:lvlJc w:val="left"/>
      <w:lvlText w:val="☐"/>
      <w:numFmt w:val="bullet"/>
      <w:start w:val="1"/>
    </w:lvl>
  </w:abstractNum>
  <w:abstractNum w:abstractNumId="3">
    <w:nsid w:val="CC1016F"/>
    <w:multiLevelType w:val="hybridMultilevel"/>
    <w:lvl w:ilvl="0">
      <w:lvlJc w:val="left"/>
      <w:lvlText w:val="•"/>
      <w:numFmt w:val="bullet"/>
      <w:start w:val="1"/>
    </w:lvl>
  </w:abstractNum>
  <w:abstractNum w:abstractNumId="4">
    <w:nsid w:val="43F18422"/>
    <w:multiLevelType w:val="hybridMultilevel"/>
    <w:lvl w:ilvl="0">
      <w:lvlJc w:val="left"/>
      <w:lvlText w:val="(%1)"/>
      <w:numFmt w:val="decimal"/>
      <w:start w:val="1"/>
    </w:lvl>
  </w:abstractNum>
  <w:abstractNum w:abstractNumId="5">
    <w:nsid w:val="60EF0119"/>
    <w:multiLevelType w:val="hybridMultilevel"/>
    <w:lvl w:ilvl="0">
      <w:lvlJc w:val="left"/>
      <w:lvlText w:val="•"/>
      <w:numFmt w:val="bullet"/>
      <w:start w:val="1"/>
    </w:lvl>
  </w:abstractNum>
  <w:abstractNum w:abstractNumId="6">
    <w:nsid w:val="26F324BA"/>
    <w:multiLevelType w:val="hybridMultilevel"/>
    <w:lvl w:ilvl="0">
      <w:lvlJc w:val="left"/>
      <w:lvlText w:val="•"/>
      <w:numFmt w:val="bullet"/>
      <w:start w:val="1"/>
    </w:lvl>
  </w:abstractNum>
  <w:abstractNum w:abstractNumId="7">
    <w:nsid w:val="7F01579B"/>
    <w:multiLevelType w:val="hybridMultilevel"/>
    <w:lvl w:ilvl="0">
      <w:lvlJc w:val="left"/>
      <w:lvlText w:val="•"/>
      <w:numFmt w:val="bullet"/>
      <w:start w:val="1"/>
    </w:lvl>
  </w:abstractNum>
  <w:abstractNum w:abstractNumId="8">
    <w:nsid w:val="49DA307D"/>
    <w:multiLevelType w:val="hybridMultilevel"/>
    <w:lvl w:ilvl="0">
      <w:lvlJc w:val="left"/>
      <w:lvlText w:val="•"/>
      <w:numFmt w:val="bullet"/>
      <w:start w:val="1"/>
    </w:lvl>
  </w:abstractNum>
  <w:abstractNum w:abstractNumId="9">
    <w:nsid w:val="7055A5F5"/>
    <w:multiLevelType w:val="hybridMultilevel"/>
    <w:lvl w:ilvl="0">
      <w:lvlJc w:val="left"/>
      <w:lvlText w:val="(%1)"/>
      <w:numFmt w:val="decimal"/>
      <w:start w:val="3"/>
    </w:lvl>
  </w:abstractNum>
  <w:abstractNum w:abstractNumId="10">
    <w:nsid w:val="5FB8370B"/>
    <w:multiLevelType w:val="hybridMultilevel"/>
    <w:lvl w:ilvl="0">
      <w:lvlJc w:val="left"/>
      <w:lvlText w:val="(%1)"/>
      <w:numFmt w:val="decimal"/>
      <w:start w:val="5"/>
    </w:lvl>
  </w:abstractNum>
  <w:abstractNum w:abstractNumId="11">
    <w:nsid w:val="50801EE1"/>
    <w:multiLevelType w:val="hybridMultilevel"/>
    <w:lvl w:ilvl="0">
      <w:lvlJc w:val="left"/>
      <w:lvlText w:val="1"/>
      <w:numFmt w:val="bullet"/>
      <w:start w:val="1"/>
    </w:lvl>
  </w:abstractNum>
  <w:abstractNum w:abstractNumId="12">
    <w:nsid w:val="488AC1A"/>
    <w:multiLevelType w:val="hybridMultilevel"/>
    <w:lvl w:ilvl="0">
      <w:lvlJc w:val="left"/>
      <w:lvlText w:val="2"/>
      <w:numFmt w:val="bullet"/>
      <w:start w:val="1"/>
    </w:lvl>
  </w:abstractNum>
  <w:abstractNum w:abstractNumId="13">
    <w:nsid w:val="5FB8011C"/>
    <w:multiLevelType w:val="hybridMultilevel"/>
    <w:lvl w:ilvl="0">
      <w:lvlJc w:val="left"/>
      <w:lvlText w:val="3"/>
      <w:numFmt w:val="bullet"/>
      <w:start w:val="1"/>
    </w:lvl>
  </w:abstractNum>
  <w:abstractNum w:abstractNumId="14">
    <w:nsid w:val="6AA78F7F"/>
    <w:multiLevelType w:val="hybridMultilevel"/>
    <w:lvl w:ilvl="0">
      <w:lvlJc w:val="left"/>
      <w:lvlText w:val="4"/>
      <w:numFmt w:val="bullet"/>
      <w:start w:val="1"/>
    </w:lvl>
  </w:abstractNum>
  <w:abstractNum w:abstractNumId="15">
    <w:nsid w:val="7672BD23"/>
    <w:multiLevelType w:val="hybridMultilevel"/>
    <w:lvl w:ilvl="0">
      <w:lvlJc w:val="left"/>
      <w:lvlText w:val="(%1)"/>
      <w:numFmt w:val="decimal"/>
      <w:start w:val="1"/>
    </w:lvl>
  </w:abstractNum>
  <w:abstractNum w:abstractNumId="16">
    <w:nsid w:val="6FC75AF8"/>
    <w:multiLevelType w:val="hybridMultilevel"/>
    <w:lvl w:ilvl="0">
      <w:lvlJc w:val="left"/>
      <w:lvlText w:val="​"/>
      <w:numFmt w:val="bullet"/>
      <w:start w:val="1"/>
    </w:lvl>
    <w:lvl w:ilvl="1">
      <w:lvlJc w:val="left"/>
      <w:lvlText w:val="●"/>
      <w:numFmt w:val="bullet"/>
      <w:start w:val="1"/>
    </w:lvl>
  </w:abstractNum>
  <w:abstractNum w:abstractNumId="17">
    <w:nsid w:val="6A5F7029"/>
    <w:multiLevelType w:val="hybridMultilevel"/>
    <w:lvl w:ilvl="0">
      <w:lvlJc w:val="left"/>
      <w:lvlText w:val="%1"/>
      <w:numFmt w:val="decimal"/>
      <w:start w:val="10"/>
    </w:lvl>
  </w:abstractNum>
  <w:abstractNum w:abstractNumId="18">
    <w:nsid w:val="7D5E18F8"/>
    <w:multiLevelType w:val="hybridMultilevel"/>
    <w:lvl w:ilvl="0">
      <w:lvlJc w:val="left"/>
      <w:lvlText w:val="●"/>
      <w:numFmt w:val="bullet"/>
      <w:start w:val="1"/>
    </w:lvl>
  </w:abstractNum>
  <w:abstractNum w:abstractNumId="19">
    <w:nsid w:val="5F3534A4"/>
    <w:multiLevelType w:val="hybridMultilevel"/>
    <w:lvl w:ilvl="0">
      <w:lvlJc w:val="left"/>
      <w:lvlText w:val="●"/>
      <w:numFmt w:val="bullet"/>
      <w:start w:val="1"/>
    </w:lvl>
  </w:abstractNum>
  <w:abstractNum w:abstractNumId="20">
    <w:nsid w:val="73A1821B"/>
    <w:multiLevelType w:val="hybridMultilevel"/>
    <w:lvl w:ilvl="0">
      <w:lvlJc w:val="left"/>
      <w:lvlText w:val="%1"/>
      <w:numFmt w:val="decimal"/>
      <w:start w:val="12"/>
    </w:lvl>
  </w:abstractNum>
  <w:abstractNum w:abstractNumId="21">
    <w:nsid w:val="7DE67713"/>
    <w:multiLevelType w:val="hybridMultilevel"/>
    <w:lvl w:ilvl="0">
      <w:lvlJc w:val="left"/>
      <w:lvlText w:val="●"/>
      <w:numFmt w:val="bullet"/>
      <w:start w:val="1"/>
    </w:lvl>
  </w:abstractNum>
  <w:abstractNum w:abstractNumId="22">
    <w:nsid w:val="555C55B5"/>
    <w:multiLevelType w:val="hybridMultilevel"/>
    <w:lvl w:ilvl="0">
      <w:lvlJc w:val="left"/>
      <w:lvlText w:val="%1"/>
      <w:numFmt w:val="decimal"/>
      <w:start w:val="14"/>
    </w:lvl>
  </w:abstractNum>
  <w:abstractNum w:abstractNumId="23">
    <w:nsid w:val="3FA62ACA"/>
    <w:multiLevelType w:val="hybridMultilevel"/>
    <w:lvl w:ilvl="0">
      <w:lvlJc w:val="left"/>
      <w:lvlText w:val="●"/>
      <w:numFmt w:val="bullet"/>
      <w:start w:val="1"/>
    </w:lvl>
  </w:abstractNum>
  <w:abstractNum w:abstractNumId="24">
    <w:nsid w:val="14FCE74E"/>
    <w:multiLevelType w:val="hybridMultilevel"/>
    <w:lvl w:ilvl="0">
      <w:lvlJc w:val="left"/>
      <w:lvlText w:val="o"/>
      <w:numFmt w:val="bullet"/>
      <w:start w:val="1"/>
    </w:lvl>
  </w:abstractNum>
  <w:abstractNum w:abstractNumId="25">
    <w:nsid w:val="6A3DD3E8"/>
    <w:multiLevelType w:val="hybridMultilevel"/>
    <w:lvl w:ilvl="0">
      <w:lvlJc w:val="left"/>
      <w:lvlText w:val="%1"/>
      <w:numFmt w:val="decimal"/>
      <w:start w:val="16"/>
    </w:lvl>
  </w:abstractNum>
  <w:abstractNum w:abstractNumId="26">
    <w:nsid w:val="71C91298"/>
    <w:multiLevelType w:val="hybridMultilevel"/>
    <w:lvl w:ilvl="0">
      <w:lvlJc w:val="left"/>
      <w:lvlText w:val="%1"/>
      <w:numFmt w:val="decimal"/>
      <w:start w:val="18"/>
    </w:lvl>
  </w:abstractNum>
  <w:abstractNum w:abstractNumId="27">
    <w:nsid w:val="9DAF632"/>
    <w:multiLevelType w:val="hybridMultilevel"/>
    <w:lvl w:ilvl="0">
      <w:lvlJc w:val="left"/>
      <w:lvlText w:val="%1"/>
      <w:numFmt w:val="decimal"/>
      <w:start w:val="20"/>
    </w:lvl>
  </w:abstractNum>
  <w:abstractNum w:abstractNumId="28">
    <w:nsid w:val="53299938"/>
    <w:multiLevelType w:val="hybridMultilevel"/>
    <w:lvl w:ilvl="0">
      <w:lvlJc w:val="left"/>
      <w:lvlText w:val="%1"/>
      <w:numFmt w:val="decimal"/>
      <w:start w:val="22"/>
    </w:lvl>
  </w:abstractNum>
  <w:abstractNum w:abstractNumId="29">
    <w:nsid w:val="1FBFE8E0"/>
    <w:multiLevelType w:val="hybridMultilevel"/>
    <w:lvl w:ilvl="0">
      <w:lvlJc w:val="left"/>
      <w:lvlText w:val="%1"/>
      <w:numFmt w:val="decimal"/>
      <w:start w:val="24"/>
    </w:lvl>
  </w:abstractNum>
  <w:abstractNum w:abstractNumId="30">
    <w:nsid w:val="5092CA79"/>
    <w:multiLevelType w:val="hybridMultilevel"/>
    <w:lvl w:ilvl="0">
      <w:lvlJc w:val="left"/>
      <w:lvlText w:val="%1"/>
      <w:numFmt w:val="decimal"/>
      <w:start w:val="26"/>
    </w:lvl>
  </w:abstractNum>
  <w:abstractNum w:abstractNumId="31">
    <w:nsid w:val="1D545C4D"/>
    <w:multiLevelType w:val="hybridMultilevel"/>
    <w:lvl w:ilvl="0">
      <w:lvlJc w:val="left"/>
      <w:lvlText w:val="%1"/>
      <w:numFmt w:val="decimal"/>
      <w:start w:val="28"/>
    </w:lvl>
  </w:abstractNum>
  <w:abstractNum w:abstractNumId="32">
    <w:nsid w:val="59ADEA3D"/>
    <w:multiLevelType w:val="hybridMultilevel"/>
    <w:lvl w:ilvl="0">
      <w:lvlJc w:val="left"/>
      <w:lvlText w:val="%1"/>
      <w:numFmt w:val="decimal"/>
      <w:start w:val="30"/>
    </w:lvl>
  </w:abstractNum>
  <w:abstractNum w:abstractNumId="33">
    <w:nsid w:val="288F1A34"/>
    <w:multiLevelType w:val="hybridMultilevel"/>
    <w:lvl w:ilvl="0">
      <w:lvlJc w:val="left"/>
      <w:lvlText w:val="%1"/>
      <w:numFmt w:val="decimal"/>
      <w:start w:val="32"/>
    </w:lvl>
  </w:abstractNum>
  <w:abstractNum w:abstractNumId="34">
    <w:nsid w:val="2A155DBC"/>
    <w:multiLevelType w:val="hybridMultilevel"/>
    <w:lvl w:ilvl="0">
      <w:lvlJc w:val="left"/>
      <w:lvlText w:val="%1"/>
      <w:numFmt w:val="decimal"/>
      <w:start w:val="34"/>
    </w:lvl>
  </w:abstractNum>
  <w:abstractNum w:abstractNumId="35">
    <w:nsid w:val="1D9F6E5F"/>
    <w:multiLevelType w:val="hybridMultilevel"/>
    <w:lvl w:ilvl="0">
      <w:lvlJc w:val="left"/>
      <w:lvlText w:val="%1"/>
      <w:numFmt w:val="decimal"/>
      <w:start w:val="36"/>
    </w:lvl>
  </w:abstractNum>
  <w:abstractNum w:abstractNumId="36">
    <w:nsid w:val="97E1B4E"/>
    <w:multiLevelType w:val="hybridMultilevel"/>
    <w:lvl w:ilvl="0">
      <w:lvlJc w:val="left"/>
      <w:lvlText w:val="%1"/>
      <w:numFmt w:val="decimal"/>
      <w:start w:val="38"/>
    </w:lvl>
  </w:abstractNum>
  <w:abstractNum w:abstractNumId="37">
    <w:nsid w:val="51088277"/>
    <w:multiLevelType w:val="hybridMultilevel"/>
    <w:lvl w:ilvl="0">
      <w:lvlJc w:val="left"/>
      <w:lvlText w:val="●"/>
      <w:numFmt w:val="bullet"/>
      <w:start w:val="1"/>
    </w:lvl>
  </w:abstractNum>
  <w:abstractNum w:abstractNumId="38">
    <w:nsid w:val="1CA0C5FA"/>
    <w:multiLevelType w:val="hybridMultilevel"/>
    <w:lvl w:ilvl="0">
      <w:lvlJc w:val="left"/>
      <w:lvlText w:val="%1"/>
      <w:numFmt w:val="decimal"/>
      <w:start w:val="40"/>
    </w:lvl>
  </w:abstractNum>
  <w:abstractNum w:abstractNumId="39">
    <w:nsid w:val="53584BCB"/>
    <w:multiLevelType w:val="hybridMultilevel"/>
    <w:lvl w:ilvl="0">
      <w:lvlJc w:val="left"/>
      <w:lvlText w:val="%1"/>
      <w:numFmt w:val="decimal"/>
      <w:start w:val="42"/>
    </w:lvl>
  </w:abstractNum>
  <w:abstractNum w:abstractNumId="40">
    <w:nsid w:val="415E286C"/>
    <w:multiLevelType w:val="hybridMultilevel"/>
    <w:lvl w:ilvl="0">
      <w:lvlJc w:val="left"/>
      <w:lvlText w:val="%1"/>
      <w:numFmt w:val="decimal"/>
      <w:start w:val="44"/>
    </w:lvl>
  </w:abstractNum>
  <w:abstractNum w:abstractNumId="41">
    <w:nsid w:val="7C58FD05"/>
    <w:multiLevelType w:val="hybridMultilevel"/>
    <w:lvl w:ilvl="0">
      <w:lvlJc w:val="left"/>
      <w:lvlText w:val="●"/>
      <w:numFmt w:val="bullet"/>
      <w:start w:val="1"/>
    </w:lvl>
  </w:abstractNum>
  <w:abstractNum w:abstractNumId="42">
    <w:nsid w:val="23D86AAC"/>
    <w:multiLevelType w:val="hybridMultilevel"/>
    <w:lvl w:ilvl="0">
      <w:lvlJc w:val="left"/>
      <w:lvlText w:val="●"/>
      <w:numFmt w:val="bullet"/>
      <w:start w:val="1"/>
    </w:lvl>
  </w:abstractNum>
  <w:abstractNum w:abstractNumId="43">
    <w:nsid w:val="45E6D486"/>
    <w:multiLevelType w:val="hybridMultilevel"/>
    <w:lvl w:ilvl="0">
      <w:lvlJc w:val="left"/>
      <w:lvlText w:val="●"/>
      <w:numFmt w:val="bullet"/>
      <w:start w:val="1"/>
    </w:lvl>
  </w:abstractNum>
  <w:abstractNum w:abstractNumId="44">
    <w:nsid w:val="5C10FE21"/>
    <w:multiLevelType w:val="hybridMultilevel"/>
    <w:lvl w:ilvl="0">
      <w:lvlJc w:val="left"/>
      <w:lvlText w:val="%1"/>
      <w:numFmt w:val="decimal"/>
      <w:start w:val="46"/>
    </w:lvl>
  </w:abstractNum>
  <w:abstractNum w:abstractNumId="45">
    <w:nsid w:val="E7FFA2B"/>
    <w:multiLevelType w:val="hybridMultilevel"/>
    <w:lvl w:ilvl="0">
      <w:lvlJc w:val="left"/>
      <w:lvlText w:val="(%1)"/>
      <w:numFmt w:val="lowerLetter"/>
      <w:start w:val="1"/>
    </w:lvl>
  </w:abstractNum>
  <w:abstractNum w:abstractNumId="46">
    <w:nsid w:val="3C5991AA"/>
    <w:multiLevelType w:val="hybridMultilevel"/>
    <w:lvl w:ilvl="0">
      <w:lvlJc w:val="left"/>
      <w:lvlText w:val="%1"/>
      <w:numFmt w:val="decimal"/>
      <w:start w:val="48"/>
    </w:lvl>
  </w:abstractNum>
  <w:abstractNum w:abstractNumId="47">
    <w:nsid w:val="4BD8591A"/>
    <w:multiLevelType w:val="hybridMultilevel"/>
    <w:lvl w:ilvl="0">
      <w:lvlJc w:val="left"/>
      <w:lvlText w:val="●"/>
      <w:numFmt w:val="bullet"/>
      <w:start w:val="1"/>
    </w:lvl>
  </w:abstractNum>
  <w:abstractNum w:abstractNumId="48">
    <w:nsid w:val="78DF6A55"/>
    <w:multiLevelType w:val="hybridMultilevel"/>
    <w:lvl w:ilvl="0">
      <w:lvlJc w:val="left"/>
      <w:lvlText w:val="%1"/>
      <w:numFmt w:val="decimal"/>
      <w:start w:val="50"/>
    </w:lvl>
  </w:abstractNum>
  <w:abstractNum w:abstractNumId="49">
    <w:nsid w:val="39B7AAA2"/>
    <w:multiLevelType w:val="hybridMultilevel"/>
    <w:lvl w:ilvl="0">
      <w:lvlJc w:val="left"/>
      <w:lvlText w:val="●"/>
      <w:numFmt w:val="bullet"/>
      <w:start w:val="1"/>
    </w:lvl>
  </w:abstractNum>
  <w:abstractNum w:abstractNumId="50">
    <w:nsid w:val="2B0D8DBE"/>
    <w:multiLevelType w:val="hybridMultilevel"/>
    <w:lvl w:ilvl="0">
      <w:lvlJc w:val="left"/>
      <w:lvlText w:val="(%1)"/>
      <w:numFmt w:val="decimal"/>
      <w:start w:val="1"/>
    </w:lvl>
  </w:abstractNum>
  <w:abstractNum w:abstractNumId="51">
    <w:nsid w:val="6C80EC70"/>
    <w:multiLevelType w:val="hybridMultilevel"/>
    <w:lvl w:ilvl="0">
      <w:lvlJc w:val="left"/>
      <w:lvlText w:val="●"/>
      <w:numFmt w:val="bullet"/>
      <w:start w:val="1"/>
    </w:lvl>
  </w:abstractNum>
  <w:abstractNum w:abstractNumId="52">
    <w:nsid w:val="379E21B5"/>
    <w:multiLevelType w:val="hybridMultilevel"/>
    <w:lvl w:ilvl="0">
      <w:lvlJc w:val="left"/>
      <w:lvlText w:val="%1"/>
      <w:numFmt w:val="decimal"/>
      <w:start w:val="52"/>
    </w:lvl>
  </w:abstractNum>
  <w:abstractNum w:abstractNumId="53">
    <w:nsid w:val="69E373"/>
    <w:multiLevelType w:val="hybridMultilevel"/>
    <w:lvl w:ilvl="0">
      <w:lvlJc w:val="left"/>
      <w:lvlText w:val="●"/>
      <w:numFmt w:val="bullet"/>
      <w:start w:val="1"/>
    </w:lvl>
  </w:abstractNum>
  <w:abstractNum w:abstractNumId="54">
    <w:nsid w:val="2C27173B"/>
    <w:multiLevelType w:val="hybridMultilevel"/>
    <w:lvl w:ilvl="0">
      <w:lvlJc w:val="left"/>
      <w:lvlText w:val="(%1)"/>
      <w:numFmt w:val="decimal"/>
      <w:start w:val="1"/>
    </w:lvl>
  </w:abstractNum>
  <w:abstractNum w:abstractNumId="55">
    <w:nsid w:val="4C9B0904"/>
    <w:multiLevelType w:val="hybridMultilevel"/>
    <w:lvl w:ilvl="0">
      <w:lvlJc w:val="left"/>
      <w:lvlText w:val="%1"/>
      <w:numFmt w:val="decimal"/>
      <w:start w:val="54"/>
    </w:lvl>
  </w:abstractNum>
  <w:abstractNum w:abstractNumId="56">
    <w:nsid w:val="6AA7B75C"/>
    <w:multiLevelType w:val="hybridMultilevel"/>
    <w:lvl w:ilvl="0">
      <w:lvlJc w:val="left"/>
      <w:lvlText w:val="●"/>
      <w:numFmt w:val="bullet"/>
      <w:start w:val="1"/>
    </w:lvl>
  </w:abstractNum>
  <w:abstractNum w:abstractNumId="57">
    <w:nsid w:val="1DF029D3"/>
    <w:multiLevelType w:val="hybridMultilevel"/>
    <w:lvl w:ilvl="0">
      <w:lvlJc w:val="left"/>
      <w:lvlText w:val="●"/>
      <w:numFmt w:val="bullet"/>
      <w:start w:val="1"/>
    </w:lvl>
  </w:abstractNum>
  <w:abstractNum w:abstractNumId="58">
    <w:nsid w:val="5675FF36"/>
    <w:multiLevelType w:val="hybridMultilevel"/>
    <w:lvl w:ilvl="0">
      <w:lvlJc w:val="left"/>
      <w:lvlText w:val="%1"/>
      <w:numFmt w:val="decimal"/>
      <w:start w:val="56"/>
    </w:lvl>
  </w:abstractNum>
  <w:abstractNum w:abstractNumId="59">
    <w:nsid w:val="3DD15094"/>
    <w:multiLevelType w:val="hybridMultilevel"/>
    <w:lvl w:ilvl="0">
      <w:lvlJc w:val="left"/>
      <w:lvlText w:val="●"/>
      <w:numFmt w:val="bullet"/>
      <w:start w:val="1"/>
    </w:lvl>
  </w:abstractNum>
  <w:abstractNum w:abstractNumId="60">
    <w:nsid w:val="3DB012B3"/>
    <w:multiLevelType w:val="hybridMultilevel"/>
    <w:lvl w:ilvl="0">
      <w:lvlJc w:val="left"/>
      <w:lvlText w:val="●"/>
      <w:numFmt w:val="bullet"/>
      <w:start w:val="1"/>
    </w:lvl>
  </w:abstractNum>
  <w:abstractNum w:abstractNumId="61">
    <w:nsid w:val="2708C9AF"/>
    <w:multiLevelType w:val="hybridMultilevel"/>
    <w:lvl w:ilvl="0">
      <w:lvlJc w:val="left"/>
      <w:lvlText w:val="●"/>
      <w:numFmt w:val="bullet"/>
      <w:start w:val="1"/>
    </w:lvl>
  </w:abstractNum>
  <w:abstractNum w:abstractNumId="62">
    <w:nsid w:val="5B25ACE2"/>
    <w:multiLevelType w:val="hybridMultilevel"/>
    <w:lvl w:ilvl="0">
      <w:lvlJc w:val="left"/>
      <w:lvlText w:val="●"/>
      <w:numFmt w:val="bullet"/>
      <w:start w:val="1"/>
    </w:lvl>
  </w:abstractNum>
  <w:abstractNum w:abstractNumId="63">
    <w:nsid w:val="175DFCF0"/>
    <w:multiLevelType w:val="hybridMultilevel"/>
    <w:lvl w:ilvl="0">
      <w:lvlJc w:val="left"/>
      <w:lvlText w:val="%1"/>
      <w:numFmt w:val="decimal"/>
      <w:start w:val="58"/>
    </w:lvl>
  </w:abstractNum>
  <w:abstractNum w:abstractNumId="64">
    <w:nsid w:val="4F97E3E4"/>
    <w:multiLevelType w:val="hybridMultilevel"/>
    <w:lvl w:ilvl="0">
      <w:lvlJc w:val="left"/>
      <w:lvlText w:val="%1"/>
      <w:numFmt w:val="decimal"/>
      <w:start w:val="60"/>
    </w:lvl>
  </w:abstractNum>
  <w:abstractNum w:abstractNumId="65">
    <w:nsid w:val="53B0A9E"/>
    <w:multiLevelType w:val="hybridMultilevel"/>
    <w:lvl w:ilvl="0">
      <w:lvlJc w:val="left"/>
      <w:lvlText w:val="●"/>
      <w:numFmt w:val="bullet"/>
      <w:start w:val="1"/>
    </w:lvl>
  </w:abstractNum>
  <w:abstractNum w:abstractNumId="66">
    <w:nsid w:val="34FD6B4F"/>
    <w:multiLevelType w:val="hybridMultilevel"/>
    <w:lvl w:ilvl="0">
      <w:lvlJc w:val="left"/>
      <w:lvlText w:val="(%1)"/>
      <w:numFmt w:val="decimal"/>
      <w:start w:val="1"/>
    </w:lvl>
  </w:abstractNum>
  <w:abstractNum w:abstractNumId="67">
    <w:nsid w:val="5915FF32"/>
    <w:multiLevelType w:val="hybridMultilevel"/>
    <w:lvl w:ilvl="0">
      <w:lvlJc w:val="left"/>
      <w:lvlText w:val="%1"/>
      <w:numFmt w:val="decimal"/>
      <w:start w:val="62"/>
    </w:lvl>
  </w:abstractNum>
  <w:abstractNum w:abstractNumId="68">
    <w:nsid w:val="56438D15"/>
    <w:multiLevelType w:val="hybridMultilevel"/>
    <w:lvl w:ilvl="0">
      <w:lvlJc w:val="left"/>
      <w:lvlText w:val="%1"/>
      <w:numFmt w:val="decimal"/>
      <w:start w:val="64"/>
    </w:lvl>
  </w:abstractNum>
  <w:abstractNum w:abstractNumId="69">
    <w:nsid w:val="519E3149"/>
    <w:multiLevelType w:val="hybridMultilevel"/>
    <w:lvl w:ilvl="0">
      <w:lvlJc w:val="left"/>
      <w:lvlText w:val="(%1)"/>
      <w:numFmt w:val="decimal"/>
      <w:start w:val="1"/>
    </w:lvl>
  </w:abstractNum>
  <w:abstractNum w:abstractNumId="70">
    <w:nsid w:val="2C6E4AFD"/>
    <w:multiLevelType w:val="hybridMultilevel"/>
    <w:lvl w:ilvl="0">
      <w:lvlJc w:val="left"/>
      <w:lvlText w:val="(%1)"/>
      <w:numFmt w:val="decimal"/>
      <w:start w:val="4"/>
    </w:lvl>
  </w:abstractNum>
  <w:abstractNum w:abstractNumId="71">
    <w:nsid w:val="17A1B582"/>
    <w:multiLevelType w:val="hybridMultilevel"/>
    <w:lvl w:ilvl="0">
      <w:lvlJc w:val="left"/>
      <w:lvlText w:val="%1"/>
      <w:numFmt w:val="decimal"/>
      <w:start w:val="66"/>
    </w:lvl>
  </w:abstractNum>
  <w:abstractNum w:abstractNumId="72">
    <w:nsid w:val="4DF72E4E"/>
    <w:multiLevelType w:val="hybridMultilevel"/>
    <w:lvl w:ilvl="0">
      <w:lvlJc w:val="left"/>
      <w:lvlText w:val="(%1)"/>
      <w:numFmt w:val="decimal"/>
      <w:start w:val="1"/>
    </w:lvl>
  </w:abstractNum>
  <w:abstractNum w:abstractNumId="73">
    <w:nsid w:val="5046B5A9"/>
    <w:multiLevelType w:val="hybridMultilevel"/>
    <w:lvl w:ilvl="0">
      <w:lvlJc w:val="left"/>
      <w:lvlText w:val="*"/>
      <w:numFmt w:val="bullet"/>
      <w:start w:val="1"/>
    </w:lvl>
  </w:abstractNum>
  <w:abstractNum w:abstractNumId="74">
    <w:nsid w:val="5D888A08"/>
    <w:multiLevelType w:val="hybridMultilevel"/>
    <w:lvl w:ilvl="0">
      <w:lvlJc w:val="left"/>
      <w:lvlText w:val="(%1)"/>
      <w:numFmt w:val="decimal"/>
      <w:start w:val="1"/>
    </w:lvl>
  </w:abstractNum>
  <w:abstractNum w:abstractNumId="75">
    <w:nsid w:val="2A082C70"/>
    <w:multiLevelType w:val="hybridMultilevel"/>
    <w:lvl w:ilvl="0">
      <w:lvlJc w:val="left"/>
      <w:lvlText w:val="%1"/>
      <w:numFmt w:val="decimal"/>
      <w:start w:val="68"/>
    </w:lvl>
  </w:abstractNum>
  <w:abstractNum w:abstractNumId="76">
    <w:nsid w:val="5EC6AFD4"/>
    <w:multiLevelType w:val="hybridMultilevel"/>
    <w:lvl w:ilvl="0">
      <w:lvlJc w:val="left"/>
      <w:lvlText w:val="(%1)"/>
      <w:numFmt w:val="decimal"/>
      <w:start w:val="3"/>
    </w:lvl>
  </w:abstractNum>
  <w:abstractNum w:abstractNumId="77">
    <w:nsid w:val="19E21BB2"/>
    <w:multiLevelType w:val="hybridMultilevel"/>
    <w:lvl w:ilvl="0">
      <w:lvlJc w:val="left"/>
      <w:lvlText w:val="(%1)"/>
      <w:numFmt w:val="decimal"/>
      <w:start w:val="1"/>
    </w:lvl>
  </w:abstractNum>
  <w:abstractNum w:abstractNumId="78">
    <w:nsid w:val="75E0858A"/>
    <w:multiLevelType w:val="hybridMultilevel"/>
    <w:lvl w:ilvl="0">
      <w:lvlJc w:val="left"/>
      <w:lvlText w:val="%1"/>
      <w:numFmt w:val="decimal"/>
      <w:start w:val="70"/>
    </w:lvl>
  </w:abstractNum>
  <w:abstractNum w:abstractNumId="79">
    <w:nsid w:val="57A61A29"/>
    <w:multiLevelType w:val="hybridMultilevel"/>
    <w:lvl w:ilvl="0">
      <w:lvlJc w:val="left"/>
      <w:lvlText w:val="●"/>
      <w:numFmt w:val="bullet"/>
      <w:start w:val="1"/>
    </w:lvl>
  </w:abstractNum>
  <w:abstractNum w:abstractNumId="80">
    <w:nsid w:val="5399C654"/>
    <w:multiLevelType w:val="hybridMultilevel"/>
    <w:lvl w:ilvl="0">
      <w:lvlJc w:val="left"/>
      <w:lvlText w:val="%1"/>
      <w:numFmt w:val="decimal"/>
      <w:start w:val="72"/>
    </w:lvl>
  </w:abstractNum>
  <w:abstractNum w:abstractNumId="81">
    <w:nsid w:val="20EE1348"/>
    <w:multiLevelType w:val="hybridMultilevel"/>
    <w:lvl w:ilvl="0">
      <w:lvlJc w:val="left"/>
      <w:lvlText w:val="%1"/>
      <w:numFmt w:val="decimal"/>
      <w:start w:val="74"/>
    </w:lvl>
  </w:abstractNum>
  <w:abstractNum w:abstractNumId="82">
    <w:nsid w:val="4427069A"/>
    <w:multiLevelType w:val="hybridMultilevel"/>
    <w:lvl w:ilvl="0">
      <w:lvlJc w:val="left"/>
      <w:lvlText w:val="%1"/>
      <w:numFmt w:val="decimal"/>
      <w:start w:val="76"/>
    </w:lvl>
  </w:abstractNum>
  <w:abstractNum w:abstractNumId="83">
    <w:nsid w:val="B37E80A"/>
    <w:multiLevelType w:val="hybridMultilevel"/>
    <w:lvl w:ilvl="0">
      <w:lvlJc w:val="left"/>
      <w:lvlText w:val="%1"/>
      <w:numFmt w:val="decimal"/>
      <w:start w:val="78"/>
    </w:lvl>
  </w:abstractNum>
  <w:abstractNum w:abstractNumId="84">
    <w:nsid w:val="2157F6BC"/>
    <w:multiLevelType w:val="hybridMultilevel"/>
    <w:lvl w:ilvl="0">
      <w:lvlJc w:val="left"/>
      <w:lvlText w:val="(%1)"/>
      <w:numFmt w:val="decimal"/>
      <w:start w:val="1"/>
    </w:lvl>
  </w:abstractNum>
  <w:abstractNum w:abstractNumId="85">
    <w:nsid w:val="704E1DD5"/>
    <w:multiLevelType w:val="hybridMultilevel"/>
    <w:lvl w:ilvl="0">
      <w:lvlJc w:val="left"/>
      <w:lvlText w:val="%1"/>
      <w:numFmt w:val="decimal"/>
      <w:start w:val="80"/>
    </w:lvl>
  </w:abstractNum>
  <w:abstractNum w:abstractNumId="86">
    <w:nsid w:val="57D2F10E"/>
    <w:multiLevelType w:val="hybridMultilevel"/>
    <w:lvl w:ilvl="0">
      <w:lvlJc w:val="left"/>
      <w:lvlText w:val="(%1)"/>
      <w:numFmt w:val="decimal"/>
      <w:start w:val="1"/>
    </w:lvl>
  </w:abstractNum>
  <w:abstractNum w:abstractNumId="87">
    <w:nsid w:val="BFFAE18"/>
    <w:multiLevelType w:val="hybridMultilevel"/>
    <w:lvl w:ilvl="0">
      <w:lvlJc w:val="left"/>
      <w:lvlText w:val="(%1)"/>
      <w:numFmt w:val="decimal"/>
      <w:start w:val="1"/>
    </w:lvl>
  </w:abstractNum>
  <w:abstractNum w:abstractNumId="88">
    <w:nsid w:val="E3E47A8"/>
    <w:multiLevelType w:val="hybridMultilevel"/>
    <w:lvl w:ilvl="0">
      <w:lvlJc w:val="left"/>
      <w:lvlText w:val="%1"/>
      <w:numFmt w:val="decimal"/>
      <w:start w:val="82"/>
    </w:lvl>
  </w:abstractNum>
  <w:abstractNum w:abstractNumId="89">
    <w:nsid w:val="2E48F044"/>
    <w:multiLevelType w:val="hybridMultilevel"/>
    <w:lvl w:ilvl="0">
      <w:lvlJc w:val="left"/>
      <w:lvlText w:val="%1"/>
      <w:numFmt w:val="decimal"/>
      <w:start w:val="84"/>
    </w:lvl>
  </w:abstractNum>
  <w:abstractNum w:abstractNumId="90">
    <w:nsid w:val="49D0FEAC"/>
    <w:multiLevelType w:val="hybridMultilevel"/>
    <w:lvl w:ilvl="0">
      <w:lvlJc w:val="left"/>
      <w:lvlText w:val="●"/>
      <w:numFmt w:val="bullet"/>
      <w:start w:val="1"/>
    </w:lvl>
  </w:abstractNum>
  <w:abstractNum w:abstractNumId="91">
    <w:nsid w:val="4BEE5A5B"/>
    <w:multiLevelType w:val="hybridMultilevel"/>
    <w:lvl w:ilvl="0">
      <w:lvlJc w:val="left"/>
      <w:lvlText w:val="●"/>
      <w:numFmt w:val="bullet"/>
      <w:start w:val="1"/>
    </w:lvl>
  </w:abstractNum>
  <w:abstractNum w:abstractNumId="92">
    <w:nsid w:val="5551B9F3"/>
    <w:multiLevelType w:val="hybridMultilevel"/>
    <w:lvl w:ilvl="0">
      <w:lvlJc w:val="left"/>
      <w:lvlText w:val="%1"/>
      <w:numFmt w:val="decimal"/>
      <w:start w:val="86"/>
    </w:lvl>
  </w:abstractNum>
  <w:abstractNum w:abstractNumId="93">
    <w:nsid w:val="24F6AB8E"/>
    <w:multiLevelType w:val="hybridMultilevel"/>
    <w:lvl w:ilvl="0">
      <w:lvlJc w:val="left"/>
      <w:lvlText w:val="%1"/>
      <w:numFmt w:val="decimal"/>
      <w:start w:val="88"/>
    </w:lvl>
  </w:abstractNum>
  <w:abstractNum w:abstractNumId="94">
    <w:nsid w:val="634C574C"/>
    <w:multiLevelType w:val="hybridMultilevel"/>
    <w:lvl w:ilvl="0">
      <w:lvlJc w:val="left"/>
      <w:lvlText w:val="●"/>
      <w:numFmt w:val="bullet"/>
      <w:start w:val="1"/>
    </w:lvl>
  </w:abstractNum>
  <w:abstractNum w:abstractNumId="95">
    <w:nsid w:val="24E99DD7"/>
    <w:multiLevelType w:val="hybridMultilevel"/>
    <w:lvl w:ilvl="0">
      <w:lvlJc w:val="left"/>
      <w:lvlText w:val="%1"/>
      <w:numFmt w:val="decimal"/>
      <w:start w:val="90"/>
    </w:lvl>
  </w:abstractNum>
  <w:abstractNum w:abstractNumId="96">
    <w:nsid w:val="2A31B62D"/>
    <w:multiLevelType w:val="hybridMultilevel"/>
    <w:lvl w:ilvl="0">
      <w:lvlJc w:val="left"/>
      <w:lvlText w:val="●"/>
      <w:numFmt w:val="bullet"/>
      <w:start w:val="1"/>
    </w:lvl>
  </w:abstractNum>
  <w:abstractNum w:abstractNumId="97">
    <w:nsid w:val="1849C29B"/>
    <w:multiLevelType w:val="hybridMultilevel"/>
    <w:lvl w:ilvl="0">
      <w:lvlJc w:val="left"/>
      <w:lvlText w:val="●"/>
      <w:numFmt w:val="bullet"/>
      <w:start w:val="1"/>
    </w:lvl>
  </w:abstractNum>
  <w:abstractNum w:abstractNumId="98">
    <w:nsid w:val="7DFF9D09"/>
    <w:multiLevelType w:val="hybridMultilevel"/>
    <w:lvl w:ilvl="0">
      <w:lvlJc w:val="left"/>
      <w:lvlText w:val="●"/>
      <w:numFmt w:val="bullet"/>
      <w:start w:val="1"/>
    </w:lvl>
  </w:abstractNum>
  <w:abstractNum w:abstractNumId="99">
    <w:nsid w:val="754342"/>
    <w:multiLevelType w:val="hybridMultilevel"/>
    <w:lvl w:ilvl="0">
      <w:lvlJc w:val="left"/>
      <w:lvlText w:val="%1"/>
      <w:numFmt w:val="decimal"/>
      <w:start w:val="92"/>
    </w:lvl>
  </w:abstractNum>
  <w:abstractNum w:abstractNumId="100">
    <w:nsid w:val="69E7F3E5"/>
    <w:multiLevelType w:val="hybridMultilevel"/>
    <w:lvl w:ilvl="0">
      <w:lvlJc w:val="left"/>
      <w:lvlText w:val="(%1)"/>
      <w:numFmt w:val="decimal"/>
      <w:start w:val="1"/>
    </w:lvl>
  </w:abstractNum>
  <w:abstractNum w:abstractNumId="101">
    <w:nsid w:val="2A6DE806"/>
    <w:multiLevelType w:val="hybridMultilevel"/>
    <w:lvl w:ilvl="0">
      <w:lvlJc w:val="left"/>
      <w:lvlText w:val="●"/>
      <w:numFmt w:val="bullet"/>
      <w:start w:val="1"/>
    </w:lvl>
  </w:abstractNum>
  <w:abstractNum w:abstractNumId="102">
    <w:nsid w:val="1816F8C4"/>
    <w:multiLevelType w:val="hybridMultilevel"/>
    <w:lvl w:ilvl="0">
      <w:lvlJc w:val="left"/>
      <w:lvlText w:val="%1"/>
      <w:numFmt w:val="decimal"/>
      <w:start w:val="94"/>
    </w:lvl>
  </w:abstractNum>
  <w:abstractNum w:abstractNumId="103">
    <w:nsid w:val="37DF2233"/>
    <w:multiLevelType w:val="hybridMultilevel"/>
    <w:lvl w:ilvl="0">
      <w:lvlJc w:val="left"/>
      <w:lvlText w:val="%1"/>
      <w:numFmt w:val="decimal"/>
      <w:start w:val="96"/>
    </w:lvl>
  </w:abstractNum>
  <w:abstractNum w:abstractNumId="104">
    <w:nsid w:val="7AB49DAF"/>
    <w:multiLevelType w:val="hybridMultilevel"/>
    <w:lvl w:ilvl="0">
      <w:lvlJc w:val="left"/>
      <w:lvlText w:val="(%1)"/>
      <w:numFmt w:val="decimal"/>
      <w:start w:val="1"/>
    </w:lvl>
  </w:abstractNum>
  <w:abstractNum w:abstractNumId="105">
    <w:nsid w:val="759F82CD"/>
    <w:multiLevelType w:val="hybridMultilevel"/>
    <w:lvl w:ilvl="0">
      <w:lvlJc w:val="left"/>
      <w:lvlText w:val="(%1)"/>
      <w:numFmt w:val="decimal"/>
      <w:start w:val="1"/>
    </w:lvl>
  </w:abstractNum>
  <w:abstractNum w:abstractNumId="106">
    <w:nsid w:val="61E74EA3"/>
    <w:multiLevelType w:val="hybridMultilevel"/>
    <w:lvl w:ilvl="0">
      <w:lvlJc w:val="left"/>
      <w:lvlText w:val="●"/>
      <w:numFmt w:val="bullet"/>
      <w:start w:val="1"/>
    </w:lvl>
  </w:abstractNum>
  <w:abstractNum w:abstractNumId="107">
    <w:nsid w:val="597B4D84"/>
    <w:multiLevelType w:val="hybridMultilevel"/>
    <w:lvl w:ilvl="0">
      <w:lvlJc w:val="left"/>
      <w:lvlText w:val="%1"/>
      <w:numFmt w:val="decimal"/>
      <w:start w:val="98"/>
    </w:lvl>
  </w:abstractNum>
  <w:abstractNum w:abstractNumId="108">
    <w:nsid w:val="F819E7F"/>
    <w:multiLevelType w:val="hybridMultilevel"/>
    <w:lvl w:ilvl="0">
      <w:lvlJc w:val="left"/>
      <w:lvlText w:val="(%1)"/>
      <w:numFmt w:val="decimal"/>
      <w:start w:val="1"/>
    </w:lvl>
  </w:abstractNum>
  <w:abstractNum w:abstractNumId="109">
    <w:nsid w:val="57C7D42D"/>
    <w:multiLevelType w:val="hybridMultilevel"/>
    <w:lvl w:ilvl="0">
      <w:lvlJc w:val="left"/>
      <w:lvlText w:val="●"/>
      <w:numFmt w:val="bullet"/>
      <w:start w:val="1"/>
    </w:lvl>
  </w:abstractNum>
  <w:abstractNum w:abstractNumId="110">
    <w:nsid w:val="312167AD"/>
    <w:multiLevelType w:val="hybridMultilevel"/>
    <w:lvl w:ilvl="0">
      <w:lvlJc w:val="left"/>
      <w:lvlText w:val="(%1)"/>
      <w:numFmt w:val="decimal"/>
      <w:start w:val="1"/>
    </w:lvl>
  </w:abstractNum>
  <w:abstractNum w:abstractNumId="111">
    <w:nsid w:val="631B64D4"/>
    <w:multiLevelType w:val="hybridMultilevel"/>
    <w:lvl w:ilvl="0">
      <w:lvlJc w:val="left"/>
      <w:lvlText w:val="%1"/>
      <w:numFmt w:val="decimal"/>
      <w:start w:val="100"/>
    </w:lvl>
  </w:abstractNum>
  <w:abstractNum w:abstractNumId="112">
    <w:nsid w:val="78B5E776"/>
    <w:multiLevelType w:val="hybridMultilevel"/>
    <w:lvl w:ilvl="0">
      <w:lvlJc w:val="left"/>
      <w:lvlText w:val="(%1)"/>
      <w:numFmt w:val="decimal"/>
      <w:start w:val="2"/>
    </w:lvl>
  </w:abstractNum>
  <w:abstractNum w:abstractNumId="113">
    <w:nsid w:val="75486E47"/>
    <w:multiLevelType w:val="hybridMultilevel"/>
    <w:lvl w:ilvl="0">
      <w:lvlJc w:val="left"/>
      <w:lvlText w:val="%1"/>
      <w:numFmt w:val="decimal"/>
      <w:start w:val="102"/>
    </w:lvl>
  </w:abstractNum>
  <w:abstractNum w:abstractNumId="114">
    <w:nsid w:val="6E534CDE"/>
    <w:multiLevelType w:val="hybridMultilevel"/>
    <w:lvl w:ilvl="0">
      <w:lvlJc w:val="left"/>
      <w:lvlText w:val="(%1)"/>
      <w:numFmt w:val="decimal"/>
      <w:start w:val="1"/>
    </w:lvl>
  </w:abstractNum>
  <w:abstractNum w:abstractNumId="115">
    <w:nsid w:val="1A0DDE32"/>
    <w:multiLevelType w:val="hybridMultilevel"/>
    <w:lvl w:ilvl="0">
      <w:lvlJc w:val="left"/>
      <w:lvlText w:val="(%1)"/>
      <w:numFmt w:val="decimal"/>
      <w:start w:val="6"/>
    </w:lvl>
  </w:abstractNum>
  <w:abstractNum w:abstractNumId="116">
    <w:nsid w:val="65968C1C"/>
    <w:multiLevelType w:val="hybridMultilevel"/>
    <w:lvl w:ilvl="0">
      <w:lvlJc w:val="left"/>
      <w:lvlText w:val="%1"/>
      <w:numFmt w:val="decimal"/>
      <w:start w:val="104"/>
    </w:lvl>
  </w:abstractNum>
  <w:abstractNum w:abstractNumId="117">
    <w:nsid w:val="46263DEC"/>
    <w:multiLevelType w:val="hybridMultilevel"/>
    <w:lvl w:ilvl="0">
      <w:lvlJc w:val="left"/>
      <w:lvlText w:val="(%1)"/>
      <w:numFmt w:val="lowerRoman"/>
      <w:start w:val="3"/>
    </w:lvl>
  </w:abstractNum>
  <w:abstractNum w:abstractNumId="118">
    <w:nsid w:val="260D8C4A"/>
    <w:multiLevelType w:val="hybridMultilevel"/>
    <w:lvl w:ilvl="0">
      <w:lvlJc w:val="left"/>
      <w:lvlText w:val="(%1)"/>
      <w:numFmt w:val="decimal"/>
      <w:start w:val="1"/>
    </w:lvl>
  </w:abstractNum>
  <w:abstractNum w:abstractNumId="119">
    <w:nsid w:val="73D4D3C4"/>
    <w:multiLevelType w:val="hybridMultilevel"/>
    <w:lvl w:ilvl="0">
      <w:lvlJc w:val="left"/>
      <w:lvlText w:val="●"/>
      <w:numFmt w:val="bullet"/>
      <w:start w:val="1"/>
    </w:lvl>
  </w:abstractNum>
  <w:abstractNum w:abstractNumId="120">
    <w:nsid w:val="746F2E30"/>
    <w:multiLevelType w:val="hybridMultilevel"/>
    <w:lvl w:ilvl="0">
      <w:lvlJc w:val="left"/>
      <w:lvlText w:val="%1"/>
      <w:numFmt w:val="decimal"/>
      <w:start w:val="106"/>
    </w:lvl>
  </w:abstractNum>
  <w:abstractNum w:abstractNumId="121">
    <w:nsid w:val="6FDE8AF6"/>
    <w:multiLevelType w:val="hybridMultilevel"/>
    <w:lvl w:ilvl="0">
      <w:lvlJc w:val="left"/>
      <w:lvlText w:val="●"/>
      <w:numFmt w:val="bullet"/>
      <w:start w:val="1"/>
    </w:lvl>
  </w:abstractNum>
  <w:abstractNum w:abstractNumId="122">
    <w:nsid w:val="3FC32E20"/>
    <w:multiLevelType w:val="hybridMultilevel"/>
    <w:lvl w:ilvl="0">
      <w:lvlJc w:val="left"/>
      <w:lvlText w:val="%1"/>
      <w:numFmt w:val="decimal"/>
      <w:start w:val="108"/>
    </w:lvl>
  </w:abstractNum>
  <w:abstractNum w:abstractNumId="123">
    <w:nsid w:val="49C0E823"/>
    <w:multiLevelType w:val="hybridMultilevel"/>
    <w:lvl w:ilvl="0">
      <w:lvlJc w:val="left"/>
      <w:lvlText w:val="%1"/>
      <w:numFmt w:val="decimal"/>
      <w:start w:val="110"/>
    </w:lvl>
  </w:abstractNum>
  <w:abstractNum w:abstractNumId="124">
    <w:nsid w:val="14D53685"/>
    <w:multiLevelType w:val="hybridMultilevel"/>
    <w:lvl w:ilvl="0">
      <w:lvlJc w:val="left"/>
      <w:lvlText w:val="(%1)"/>
      <w:numFmt w:val="decimal"/>
      <w:start w:val="1"/>
    </w:lvl>
  </w:abstractNum>
  <w:abstractNum w:abstractNumId="125">
    <w:nsid w:val="230F856C"/>
    <w:multiLevelType w:val="hybridMultilevel"/>
    <w:lvl w:ilvl="0">
      <w:lvlJc w:val="left"/>
      <w:lvlText w:val="(%1)"/>
      <w:numFmt w:val="lowerLetter"/>
      <w:start w:val="1"/>
    </w:lvl>
  </w:abstractNum>
  <w:abstractNum w:abstractNumId="126">
    <w:nsid w:val="6EAA85FB"/>
    <w:multiLevelType w:val="hybridMultilevel"/>
    <w:lvl w:ilvl="0">
      <w:lvlJc w:val="left"/>
      <w:lvlText w:val="(%1)"/>
      <w:numFmt w:val="decimal"/>
      <w:start w:val="3"/>
    </w:lvl>
  </w:abstractNum>
  <w:abstractNum w:abstractNumId="127">
    <w:nsid w:val="3F06ECB2"/>
    <w:multiLevelType w:val="hybridMultilevel"/>
    <w:lvl w:ilvl="0">
      <w:lvlJc w:val="left"/>
      <w:lvlText w:val="%1"/>
      <w:numFmt w:val="decimal"/>
      <w:start w:val="112"/>
    </w:lvl>
  </w:abstractNum>
  <w:abstractNum w:abstractNumId="128">
    <w:nsid w:val="3B594807"/>
    <w:multiLevelType w:val="hybridMultilevel"/>
    <w:lvl w:ilvl="0">
      <w:lvlJc w:val="left"/>
      <w:lvlText w:val="(%1)"/>
      <w:numFmt w:val="decimal"/>
      <w:start w:val="5"/>
    </w:lvl>
  </w:abstractNum>
  <w:abstractNum w:abstractNumId="129">
    <w:nsid w:val="6CAA2304"/>
    <w:multiLevelType w:val="hybridMultilevel"/>
    <w:lvl w:ilvl="0">
      <w:lvlJc w:val="left"/>
      <w:lvlText w:val="(%1)"/>
      <w:numFmt w:val="lowerLetter"/>
      <w:start w:val="1"/>
    </w:lvl>
  </w:abstractNum>
  <w:abstractNum w:abstractNumId="130">
    <w:nsid w:val="3F7C2FF4"/>
    <w:multiLevelType w:val="hybridMultilevel"/>
    <w:lvl w:ilvl="0">
      <w:lvlJc w:val="left"/>
      <w:lvlText w:val="(%1)"/>
      <w:numFmt w:val="lowerLetter"/>
      <w:start w:val="5"/>
    </w:lvl>
  </w:abstractNum>
  <w:abstractNum w:abstractNumId="131">
    <w:nsid w:val="25413BEC"/>
    <w:multiLevelType w:val="hybridMultilevel"/>
    <w:lvl w:ilvl="0">
      <w:lvlJc w:val="left"/>
      <w:lvlText w:val="(%1)"/>
      <w:numFmt w:val="decimal"/>
      <w:start w:val="1"/>
    </w:lvl>
  </w:abstractNum>
  <w:abstractNum w:abstractNumId="132">
    <w:nsid w:val="17180B0B"/>
    <w:multiLevelType w:val="hybridMultilevel"/>
    <w:lvl w:ilvl="0">
      <w:lvlJc w:val="left"/>
      <w:lvlText w:val="%1"/>
      <w:numFmt w:val="decimal"/>
      <w:start w:val="114"/>
    </w:lvl>
  </w:abstractNum>
  <w:abstractNum w:abstractNumId="133">
    <w:nsid w:val="579328B9"/>
    <w:multiLevelType w:val="hybridMultilevel"/>
    <w:lvl w:ilvl="0">
      <w:lvlJc w:val="left"/>
      <w:lvlText w:val="(%1)"/>
      <w:numFmt w:val="decimal"/>
      <w:start w:val="2"/>
    </w:lvl>
  </w:abstractNum>
  <w:abstractNum w:abstractNumId="134">
    <w:nsid w:val="5D205E20"/>
    <w:multiLevelType w:val="hybridMultilevel"/>
    <w:lvl w:ilvl="0">
      <w:lvlJc w:val="left"/>
      <w:lvlText w:val="%1"/>
      <w:numFmt w:val="decimal"/>
      <w:start w:val="116"/>
    </w:lvl>
  </w:abstractNum>
  <w:abstractNum w:abstractNumId="135">
    <w:nsid w:val="11CCA8BA"/>
    <w:multiLevelType w:val="hybridMultilevel"/>
    <w:lvl w:ilvl="0">
      <w:lvlJc w:val="left"/>
      <w:lvlText w:val="(%1)"/>
      <w:numFmt w:val="decimal"/>
      <w:start w:val="1"/>
    </w:lvl>
  </w:abstractNum>
  <w:abstractNum w:abstractNumId="136">
    <w:nsid w:val="4D32AB86"/>
    <w:multiLevelType w:val="hybridMultilevel"/>
    <w:lvl w:ilvl="0">
      <w:lvlJc w:val="left"/>
      <w:lvlText w:val="(%1)"/>
      <w:numFmt w:val="decimal"/>
      <w:start w:val="3"/>
    </w:lvl>
    <w:lvl w:ilvl="1">
      <w:lvlJc w:val="left"/>
      <w:lvlText w:val="(%2)"/>
      <w:numFmt w:val="decimal"/>
      <w:start w:val="9"/>
    </w:lvl>
  </w:abstractNum>
  <w:abstractNum w:abstractNumId="137">
    <w:nsid w:val="3F07ACC3"/>
    <w:multiLevelType w:val="hybridMultilevel"/>
    <w:lvl w:ilvl="0">
      <w:lvlJc w:val="left"/>
      <w:lvlText w:val="(%1)"/>
      <w:numFmt w:val="decimal"/>
      <w:start w:val="10"/>
    </w:lvl>
  </w:abstractNum>
  <w:abstractNum w:abstractNumId="138">
    <w:nsid w:val="6B47F63E"/>
    <w:multiLevelType w:val="hybridMultilevel"/>
    <w:lvl w:ilvl="0">
      <w:lvlJc w:val="left"/>
      <w:lvlText w:val="%1"/>
      <w:numFmt w:val="decimal"/>
      <w:start w:val="118"/>
    </w:lvl>
  </w:abstractNum>
  <w:abstractNum w:abstractNumId="139">
    <w:nsid w:val="5CB44A05"/>
    <w:multiLevelType w:val="hybridMultilevel"/>
    <w:lvl w:ilvl="0">
      <w:lvlJc w:val="left"/>
      <w:lvlText w:val="(%1)"/>
      <w:numFmt w:val="decimal"/>
      <w:start w:val="1"/>
    </w:lvl>
  </w:abstractNum>
  <w:abstractNum w:abstractNumId="140">
    <w:nsid w:val="16CF80F1"/>
    <w:multiLevelType w:val="hybridMultilevel"/>
    <w:lvl w:ilvl="0">
      <w:lvlJc w:val="left"/>
      <w:lvlText w:val="(%1)"/>
      <w:numFmt w:val="decimal"/>
      <w:start w:val="4"/>
    </w:lvl>
  </w:abstractNum>
  <w:abstractNum w:abstractNumId="141">
    <w:nsid w:val="1C695DEC"/>
    <w:multiLevelType w:val="hybridMultilevel"/>
    <w:lvl w:ilvl="0">
      <w:lvlJc w:val="left"/>
      <w:lvlText w:val="%1"/>
      <w:numFmt w:val="decimal"/>
      <w:start w:val="120"/>
    </w:lvl>
  </w:abstractNum>
  <w:abstractNum w:abstractNumId="142">
    <w:nsid w:val="3FCFAED9"/>
    <w:multiLevelType w:val="hybridMultilevel"/>
    <w:lvl w:ilvl="0">
      <w:lvlJc w:val="left"/>
      <w:lvlText w:val="(%1)"/>
      <w:numFmt w:val="decimal"/>
      <w:start w:val="1"/>
    </w:lvl>
  </w:abstractNum>
  <w:abstractNum w:abstractNumId="143">
    <w:nsid w:val="F856867"/>
    <w:multiLevelType w:val="hybridMultilevel"/>
    <w:lvl w:ilvl="0">
      <w:lvlJc w:val="left"/>
      <w:lvlText w:val="(%1)"/>
      <w:numFmt w:val="lowerLetter"/>
      <w:start w:val="1"/>
    </w:lvl>
  </w:abstractNum>
  <w:abstractNum w:abstractNumId="144">
    <w:nsid w:val="11B1CC33"/>
    <w:multiLevelType w:val="hybridMultilevel"/>
    <w:lvl w:ilvl="0">
      <w:lvlJc w:val="left"/>
      <w:lvlText w:val="%1"/>
      <w:numFmt w:val="decimal"/>
      <w:start w:val="122"/>
    </w:lvl>
  </w:abstractNum>
  <w:abstractNum w:abstractNumId="145">
    <w:nsid w:val="2E22FBB7"/>
    <w:multiLevelType w:val="hybridMultilevel"/>
    <w:lvl w:ilvl="0">
      <w:lvlJc w:val="left"/>
      <w:lvlText w:val="(%1)"/>
      <w:numFmt w:val="lowerRoman"/>
      <w:start w:val="1"/>
    </w:lvl>
  </w:abstractNum>
  <w:abstractNum w:abstractNumId="146">
    <w:nsid w:val="29934699"/>
    <w:multiLevelType w:val="hybridMultilevel"/>
    <w:lvl w:ilvl="0">
      <w:lvlJc w:val="left"/>
      <w:lvlText w:val="●"/>
      <w:numFmt w:val="bullet"/>
      <w:start w:val="1"/>
    </w:lvl>
  </w:abstractNum>
  <w:abstractNum w:abstractNumId="147">
    <w:nsid w:val="77485850"/>
    <w:multiLevelType w:val="hybridMultilevel"/>
    <w:lvl w:ilvl="0">
      <w:lvlJc w:val="left"/>
      <w:lvlText w:val="●"/>
      <w:numFmt w:val="bullet"/>
      <w:start w:val="1"/>
    </w:lvl>
  </w:abstractNum>
  <w:abstractNum w:abstractNumId="148">
    <w:nsid w:val="744939A3"/>
    <w:multiLevelType w:val="hybridMultilevel"/>
    <w:lvl w:ilvl="0">
      <w:lvlJc w:val="left"/>
      <w:lvlText w:val="●"/>
      <w:numFmt w:val="bullet"/>
      <w:start w:val="1"/>
    </w:lvl>
  </w:abstractNum>
  <w:abstractNum w:abstractNumId="149">
    <w:nsid w:val="4FA0D2E3"/>
    <w:multiLevelType w:val="hybridMultilevel"/>
    <w:lvl w:ilvl="0">
      <w:lvlJc w:val="left"/>
      <w:lvlText w:val="%1"/>
      <w:numFmt w:val="decimal"/>
      <w:start w:val="124"/>
    </w:lvl>
  </w:abstractNum>
  <w:abstractNum w:abstractNumId="150">
    <w:nsid w:val="6B1D2C14"/>
    <w:multiLevelType w:val="hybridMultilevel"/>
    <w:lvl w:ilvl="0">
      <w:lvlJc w:val="left"/>
      <w:lvlText w:val="●"/>
      <w:numFmt w:val="bullet"/>
      <w:start w:val="1"/>
    </w:lvl>
  </w:abstractNum>
  <w:abstractNum w:abstractNumId="151">
    <w:nsid w:val="68B867D3"/>
    <w:multiLevelType w:val="hybridMultilevel"/>
    <w:lvl w:ilvl="0">
      <w:lvlJc w:val="left"/>
      <w:lvlText w:val="(%1)"/>
      <w:numFmt w:val="decimal"/>
      <w:start w:val="1"/>
    </w:lvl>
  </w:abstractNum>
  <w:abstractNum w:abstractNumId="152">
    <w:nsid w:val="3F7F5DD9"/>
    <w:multiLevelType w:val="hybridMultilevel"/>
    <w:lvl w:ilvl="0">
      <w:lvlJc w:val="left"/>
      <w:lvlText w:val="%1"/>
      <w:numFmt w:val="decimal"/>
      <w:start w:val="126"/>
    </w:lvl>
  </w:abstractNum>
  <w:abstractNum w:abstractNumId="153">
    <w:nsid w:val="2AE05A34"/>
    <w:multiLevelType w:val="hybridMultilevel"/>
    <w:lvl w:ilvl="0">
      <w:lvlJc w:val="left"/>
      <w:lvlText w:val="(%1)"/>
      <w:numFmt w:val="decimal"/>
      <w:start w:val="3"/>
    </w:lvl>
  </w:abstractNum>
  <w:abstractNum w:abstractNumId="154">
    <w:nsid w:val="32794FF7"/>
    <w:multiLevelType w:val="hybridMultilevel"/>
    <w:lvl w:ilvl="0">
      <w:lvlJc w:val="left"/>
      <w:lvlText w:val="%1"/>
      <w:numFmt w:val="decimal"/>
      <w:start w:val="128"/>
    </w:lvl>
  </w:abstractNum>
  <w:abstractNum w:abstractNumId="155">
    <w:nsid w:val="5454945E"/>
    <w:multiLevelType w:val="hybridMultilevel"/>
    <w:lvl w:ilvl="0">
      <w:lvlJc w:val="left"/>
      <w:lvlText w:val="(%1)"/>
      <w:numFmt w:val="decimal"/>
      <w:start w:val="1"/>
    </w:lvl>
  </w:abstractNum>
  <w:abstractNum w:abstractNumId="156">
    <w:nsid w:val="4DEFDFA0"/>
    <w:multiLevelType w:val="hybridMultilevel"/>
    <w:lvl w:ilvl="0">
      <w:lvlJc w:val="left"/>
      <w:lvlText w:val="(%1)"/>
      <w:numFmt w:val="lowerLetter"/>
      <w:start w:val="1"/>
    </w:lvl>
  </w:abstractNum>
  <w:abstractNum w:abstractNumId="157">
    <w:nsid w:val="2123D5F2"/>
    <w:multiLevelType w:val="hybridMultilevel"/>
    <w:lvl w:ilvl="0">
      <w:lvlJc w:val="left"/>
      <w:lvlText w:val="%1"/>
      <w:numFmt w:val="decimal"/>
      <w:start w:val="130"/>
    </w:lvl>
  </w:abstractNum>
  <w:abstractNum w:abstractNumId="158">
    <w:nsid w:val="135B8110"/>
    <w:multiLevelType w:val="hybridMultilevel"/>
    <w:lvl w:ilvl="0">
      <w:lvlJc w:val="left"/>
      <w:lvlText w:val="(%1)"/>
      <w:numFmt w:val="lowerLetter"/>
      <w:start w:val="7"/>
    </w:lvl>
  </w:abstractNum>
  <w:abstractNum w:abstractNumId="159">
    <w:nsid w:val="94927A8"/>
    <w:multiLevelType w:val="hybridMultilevel"/>
    <w:lvl w:ilvl="0">
      <w:lvlJc w:val="left"/>
      <w:lvlText w:val="●"/>
      <w:numFmt w:val="bullet"/>
      <w:start w:val="1"/>
    </w:lvl>
  </w:abstractNum>
  <w:abstractNum w:abstractNumId="160">
    <w:nsid w:val="DCDF8F6"/>
    <w:multiLevelType w:val="hybridMultilevel"/>
    <w:lvl w:ilvl="0">
      <w:lvlJc w:val="left"/>
      <w:lvlText w:val="(%1)"/>
      <w:numFmt w:val="decimal"/>
      <w:start w:val="1"/>
    </w:lvl>
    <w:lvl w:ilvl="1">
      <w:lvlJc w:val="left"/>
      <w:lvlText w:val="(%2)"/>
      <w:numFmt w:val="lowerLetter"/>
      <w:start w:val="1"/>
    </w:lvl>
  </w:abstractNum>
  <w:abstractNum w:abstractNumId="161">
    <w:nsid w:val="52D7B105"/>
    <w:multiLevelType w:val="hybridMultilevel"/>
    <w:lvl w:ilvl="0">
      <w:lvlJc w:val="left"/>
      <w:lvlText w:val="%1"/>
      <w:numFmt w:val="decimal"/>
      <w:start w:val="132"/>
    </w:lvl>
  </w:abstractNum>
  <w:abstractNum w:abstractNumId="162">
    <w:nsid w:val="2E8A6394"/>
    <w:multiLevelType w:val="hybridMultilevel"/>
    <w:lvl w:ilvl="0">
      <w:lvlJc w:val="left"/>
      <w:lvlText w:val="%1."/>
      <w:numFmt w:val="decimal"/>
      <w:start w:val="1"/>
    </w:lvl>
  </w:abstractNum>
  <w:abstractNum w:abstractNumId="163">
    <w:nsid w:val="24E60401"/>
    <w:multiLevelType w:val="hybridMultilevel"/>
    <w:lvl w:ilvl="0">
      <w:lvlJc w:val="left"/>
      <w:lvlText w:val="%1."/>
      <w:numFmt w:val="lowerRoman"/>
      <w:start w:val="1"/>
    </w:lvl>
    <w:lvl w:ilvl="1">
      <w:lvlJc w:val="left"/>
      <w:lvlText w:val="●"/>
      <w:numFmt w:val="bullet"/>
      <w:start w:val="1"/>
    </w:lvl>
  </w:abstractNum>
  <w:abstractNum w:abstractNumId="164">
    <w:nsid w:val="2A6AD9BE"/>
    <w:multiLevelType w:val="hybridMultilevel"/>
    <w:lvl w:ilvl="0">
      <w:lvlJc w:val="left"/>
      <w:lvlText w:val="%1"/>
      <w:numFmt w:val="decimal"/>
      <w:start w:val="134"/>
    </w:lvl>
  </w:abstractNum>
  <w:abstractNum w:abstractNumId="165">
    <w:nsid w:val="BAAC1B4"/>
    <w:multiLevelType w:val="hybridMultilevel"/>
    <w:lvl w:ilvl="0">
      <w:lvlJc w:val="left"/>
      <w:lvlText w:val="%1."/>
      <w:numFmt w:val="lowerRoman"/>
      <w:start w:val="2"/>
    </w:lvl>
    <w:lvl w:ilvl="1">
      <w:lvlJc w:val="left"/>
      <w:lvlText w:val="●"/>
      <w:numFmt w:val="bullet"/>
      <w:start w:val="1"/>
    </w:lvl>
  </w:abstractNum>
  <w:abstractNum w:abstractNumId="166">
    <w:nsid w:val="36B2ACBC"/>
    <w:multiLevelType w:val="hybridMultilevel"/>
    <w:lvl w:ilvl="0">
      <w:lvlJc w:val="left"/>
      <w:lvlText w:val="%1."/>
      <w:numFmt w:val="decimal"/>
      <w:start w:val="2"/>
    </w:lvl>
  </w:abstractNum>
  <w:abstractNum w:abstractNumId="167">
    <w:nsid w:val="779D8544"/>
    <w:multiLevelType w:val="hybridMultilevel"/>
    <w:lvl w:ilvl="0">
      <w:lvlJc w:val="left"/>
      <w:lvlText w:val="●"/>
      <w:numFmt w:val="bullet"/>
      <w:start w:val="1"/>
    </w:lvl>
  </w:abstractNum>
  <w:abstractNum w:abstractNumId="168">
    <w:nsid w:val="4AB26E78"/>
    <w:multiLevelType w:val="hybridMultilevel"/>
    <w:lvl w:ilvl="0">
      <w:lvlJc w:val="left"/>
      <w:lvlText w:val="●"/>
      <w:numFmt w:val="bullet"/>
      <w:start w:val="1"/>
    </w:lvl>
  </w:abstractNum>
  <w:abstractNum w:abstractNumId="169">
    <w:nsid w:val="21FAA2FA"/>
    <w:multiLevelType w:val="hybridMultilevel"/>
    <w:lvl w:ilvl="0">
      <w:lvlJc w:val="left"/>
      <w:lvlText w:val="%1"/>
      <w:numFmt w:val="decimal"/>
      <w:start w:val="136"/>
    </w:lvl>
  </w:abstractNum>
  <w:abstractNum w:abstractNumId="170">
    <w:nsid w:val="5451CF49"/>
    <w:multiLevelType w:val="hybridMultilevel"/>
    <w:lvl w:ilvl="0">
      <w:lvlJc w:val="left"/>
      <w:lvlText w:val="●"/>
      <w:numFmt w:val="bullet"/>
      <w:start w:val="1"/>
    </w:lvl>
    <w:lvl w:ilvl="1">
      <w:lvlJc w:val="left"/>
      <w:lvlText w:val="●"/>
      <w:numFmt w:val="bullet"/>
      <w:start w:val="1"/>
    </w:lvl>
  </w:abstractNum>
  <w:abstractNum w:abstractNumId="171">
    <w:nsid w:val="6181EF69"/>
    <w:multiLevelType w:val="hybridMultilevel"/>
    <w:lvl w:ilvl="0">
      <w:lvlJc w:val="left"/>
      <w:lvlText w:val="%1."/>
      <w:numFmt w:val="decimal"/>
      <w:start w:val="3"/>
    </w:lvl>
  </w:abstractNum>
  <w:abstractNum w:abstractNumId="172">
    <w:nsid w:val="3E6400E6"/>
    <w:multiLevelType w:val="hybridMultilevel"/>
    <w:lvl w:ilvl="0">
      <w:lvlJc w:val="left"/>
      <w:lvlText w:val="%1"/>
      <w:numFmt w:val="decimal"/>
      <w:start w:val="138"/>
    </w:lvl>
  </w:abstractNum>
  <w:abstractNum w:abstractNumId="173">
    <w:nsid w:val="14217E23"/>
    <w:multiLevelType w:val="hybridMultilevel"/>
    <w:lvl w:ilvl="0">
      <w:lvlJc w:val="left"/>
      <w:lvlText w:val="●"/>
      <w:numFmt w:val="bullet"/>
      <w:start w:val="1"/>
    </w:lvl>
  </w:abstractNum>
  <w:abstractNum w:abstractNumId="174">
    <w:nsid w:val="710757D0"/>
    <w:multiLevelType w:val="hybridMultilevel"/>
    <w:lvl w:ilvl="0">
      <w:lvlJc w:val="left"/>
      <w:lvlText w:val="(%1)"/>
      <w:numFmt w:val="lowerLetter"/>
      <w:start w:val="1"/>
    </w:lvl>
  </w:abstractNum>
  <w:abstractNum w:abstractNumId="175">
    <w:nsid w:val="5015CD1A"/>
    <w:multiLevelType w:val="hybridMultilevel"/>
    <w:lvl w:ilvl="0">
      <w:lvlJc w:val="left"/>
      <w:lvlText w:val="%1"/>
      <w:numFmt w:val="decimal"/>
      <w:start w:val="140"/>
    </w:lvl>
  </w:abstractNum>
  <w:abstractNum w:abstractNumId="176">
    <w:nsid w:val="424479DA"/>
    <w:multiLevelType w:val="hybridMultilevel"/>
    <w:lvl w:ilvl="0">
      <w:lvlJc w:val="left"/>
      <w:lvlText w:val="●"/>
      <w:numFmt w:val="bullet"/>
      <w:start w:val="1"/>
    </w:lvl>
  </w:abstractNum>
  <w:abstractNum w:abstractNumId="177">
    <w:nsid w:val="1A9A9E69"/>
    <w:multiLevelType w:val="hybridMultilevel"/>
    <w:lvl w:ilvl="0">
      <w:lvlJc w:val="left"/>
      <w:lvlText w:val="●"/>
      <w:numFmt w:val="bullet"/>
      <w:start w:val="1"/>
    </w:lvl>
  </w:abstractNum>
  <w:abstractNum w:abstractNumId="178">
    <w:nsid w:val="475E256A"/>
    <w:multiLevelType w:val="hybridMultilevel"/>
    <w:lvl w:ilvl="0">
      <w:lvlJc w:val="left"/>
      <w:lvlText w:val="%1"/>
      <w:numFmt w:val="decimal"/>
      <w:start w:val="142"/>
    </w:lvl>
  </w:abstractNum>
  <w:abstractNum w:abstractNumId="179">
    <w:nsid w:val="368DB37E"/>
    <w:multiLevelType w:val="hybridMultilevel"/>
    <w:lvl w:ilvl="0">
      <w:lvlJc w:val="left"/>
      <w:lvlText w:val="%1"/>
      <w:numFmt w:val="decimal"/>
      <w:start w:val="144"/>
    </w:lvl>
  </w:abstractNum>
  <w:abstractNum w:abstractNumId="180">
    <w:nsid w:val="6A3B714C"/>
    <w:multiLevelType w:val="hybridMultilevel"/>
    <w:lvl w:ilvl="0">
      <w:lvlJc w:val="left"/>
      <w:lvlText w:val="$"/>
      <w:numFmt w:val="bullet"/>
      <w:start w:val="1"/>
    </w:lvl>
  </w:abstractNum>
  <w:abstractNum w:abstractNumId="181">
    <w:nsid w:val="327B517E"/>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2026-04-07T16:14:41Z</dcterms:created>
  <dcterms:modified xsi:type="dcterms:W3CDTF">2026-04-07T16:14:41Z</dcterms:modified>
</cp:coreProperties>
</file>