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9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0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1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21, 2020</w:t>
      </w:r>
    </w:p>
    <w:p>
      <w:pPr>
        <w:spacing w:after="0" w:line="21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AIRLINES HOLDINGS, INC.</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AIRLINES, INC.</w:t>
      </w:r>
    </w:p>
    <w:p>
      <w:pPr>
        <w:spacing w:after="0" w:line="203" w:lineRule="exact"/>
        <w:rPr>
          <w:sz w:val="24"/>
          <w:szCs w:val="24"/>
          <w:color w:val="auto"/>
        </w:rPr>
      </w:pPr>
    </w:p>
    <w:tbl>
      <w:tblPr>
        <w:tblLayout w:type="fixed"/>
        <w:tblInd w:w="1520" w:type="dxa"/>
        <w:tblCellMar>
          <w:top w:w="0" w:type="dxa"/>
          <w:left w:w="0" w:type="dxa"/>
          <w:bottom w:w="0" w:type="dxa"/>
          <w:right w:w="0" w:type="dxa"/>
        </w:tblCellMar>
      </w:tblPr>
      <w:tr>
        <w:trPr>
          <w:trHeight w:val="230"/>
        </w:trPr>
        <w:tc>
          <w:tcPr>
            <w:tcW w:w="6100" w:type="dxa"/>
            <w:vAlign w:val="bottom"/>
            <w:gridSpan w:val="3"/>
          </w:tcPr>
          <w:p>
            <w:pPr>
              <w:jc w:val="center"/>
              <w:ind w:left="2010"/>
              <w:spacing w:after="0"/>
              <w:rPr>
                <w:sz w:val="20"/>
                <w:szCs w:val="20"/>
                <w:color w:val="auto"/>
              </w:rPr>
            </w:pPr>
            <w:r>
              <w:rPr>
                <w:rFonts w:ascii="Arial" w:cs="Arial" w:eastAsia="Arial" w:hAnsi="Arial"/>
                <w:sz w:val="18"/>
                <w:szCs w:val="18"/>
                <w:color w:val="auto"/>
                <w:w w:val="90"/>
              </w:rPr>
              <w:t>(Exact name of registrant as specified in its charter)</w:t>
            </w:r>
          </w:p>
        </w:tc>
        <w:tc>
          <w:tcPr>
            <w:tcW w:w="1980" w:type="dxa"/>
            <w:vAlign w:val="bottom"/>
          </w:tcPr>
          <w:p>
            <w:pPr>
              <w:spacing w:after="0"/>
              <w:rPr>
                <w:sz w:val="20"/>
                <w:szCs w:val="20"/>
                <w:color w:val="auto"/>
              </w:rPr>
            </w:pPr>
          </w:p>
        </w:tc>
      </w:tr>
      <w:tr>
        <w:trPr>
          <w:trHeight w:val="594"/>
        </w:trPr>
        <w:tc>
          <w:tcPr>
            <w:tcW w:w="3020" w:type="dxa"/>
            <w:vAlign w:val="bottom"/>
          </w:tcPr>
          <w:p>
            <w:pPr>
              <w:jc w:val="center"/>
              <w:ind w:right="1030"/>
              <w:spacing w:after="0"/>
              <w:rPr>
                <w:sz w:val="20"/>
                <w:szCs w:val="20"/>
                <w:color w:val="auto"/>
              </w:rPr>
            </w:pPr>
            <w:r>
              <w:rPr>
                <w:rFonts w:ascii="Arial" w:cs="Arial" w:eastAsia="Arial" w:hAnsi="Arial"/>
                <w:sz w:val="18"/>
                <w:szCs w:val="18"/>
                <w:b w:val="1"/>
                <w:bCs w:val="1"/>
                <w:color w:val="auto"/>
                <w:w w:val="93"/>
              </w:rPr>
              <w:t>Delaware</w:t>
            </w:r>
          </w:p>
        </w:tc>
        <w:tc>
          <w:tcPr>
            <w:tcW w:w="3080" w:type="dxa"/>
            <w:vAlign w:val="bottom"/>
            <w:gridSpan w:val="2"/>
          </w:tcPr>
          <w:p>
            <w:pPr>
              <w:jc w:val="center"/>
              <w:ind w:right="850"/>
              <w:spacing w:after="0"/>
              <w:rPr>
                <w:sz w:val="20"/>
                <w:szCs w:val="20"/>
                <w:color w:val="auto"/>
              </w:rPr>
            </w:pPr>
            <w:r>
              <w:rPr>
                <w:rFonts w:ascii="Arial" w:cs="Arial" w:eastAsia="Arial" w:hAnsi="Arial"/>
                <w:sz w:val="18"/>
                <w:szCs w:val="18"/>
                <w:b w:val="1"/>
                <w:bCs w:val="1"/>
                <w:color w:val="auto"/>
                <w:w w:val="90"/>
              </w:rPr>
              <w:t>001-06033</w:t>
            </w:r>
          </w:p>
        </w:tc>
        <w:tc>
          <w:tcPr>
            <w:tcW w:w="1980" w:type="dxa"/>
            <w:vAlign w:val="bottom"/>
          </w:tcPr>
          <w:p>
            <w:pPr>
              <w:jc w:val="center"/>
              <w:ind w:left="230"/>
              <w:spacing w:after="0"/>
              <w:rPr>
                <w:sz w:val="20"/>
                <w:szCs w:val="20"/>
                <w:color w:val="auto"/>
              </w:rPr>
            </w:pPr>
            <w:r>
              <w:rPr>
                <w:rFonts w:ascii="Arial" w:cs="Arial" w:eastAsia="Arial" w:hAnsi="Arial"/>
                <w:sz w:val="18"/>
                <w:szCs w:val="18"/>
                <w:b w:val="1"/>
                <w:bCs w:val="1"/>
                <w:color w:val="auto"/>
                <w:w w:val="89"/>
              </w:rPr>
              <w:t>36-2675207</w:t>
            </w:r>
          </w:p>
        </w:tc>
      </w:tr>
      <w:tr>
        <w:trPr>
          <w:trHeight w:val="270"/>
        </w:trPr>
        <w:tc>
          <w:tcPr>
            <w:tcW w:w="3020" w:type="dxa"/>
            <w:vAlign w:val="bottom"/>
          </w:tcPr>
          <w:p>
            <w:pPr>
              <w:jc w:val="center"/>
              <w:ind w:right="1030"/>
              <w:spacing w:after="0"/>
              <w:rPr>
                <w:sz w:val="20"/>
                <w:szCs w:val="20"/>
                <w:color w:val="auto"/>
              </w:rPr>
            </w:pPr>
            <w:r>
              <w:rPr>
                <w:rFonts w:ascii="Arial" w:cs="Arial" w:eastAsia="Arial" w:hAnsi="Arial"/>
                <w:sz w:val="18"/>
                <w:szCs w:val="18"/>
                <w:b w:val="1"/>
                <w:bCs w:val="1"/>
                <w:color w:val="auto"/>
                <w:w w:val="93"/>
              </w:rPr>
              <w:t>Delaware</w:t>
            </w:r>
          </w:p>
        </w:tc>
        <w:tc>
          <w:tcPr>
            <w:tcW w:w="3080" w:type="dxa"/>
            <w:vAlign w:val="bottom"/>
            <w:gridSpan w:val="2"/>
          </w:tcPr>
          <w:p>
            <w:pPr>
              <w:jc w:val="center"/>
              <w:ind w:right="850"/>
              <w:spacing w:after="0"/>
              <w:rPr>
                <w:sz w:val="20"/>
                <w:szCs w:val="20"/>
                <w:color w:val="auto"/>
              </w:rPr>
            </w:pPr>
            <w:r>
              <w:rPr>
                <w:rFonts w:ascii="Arial" w:cs="Arial" w:eastAsia="Arial" w:hAnsi="Arial"/>
                <w:sz w:val="18"/>
                <w:szCs w:val="18"/>
                <w:b w:val="1"/>
                <w:bCs w:val="1"/>
                <w:color w:val="auto"/>
                <w:w w:val="90"/>
              </w:rPr>
              <w:t>001-10323</w:t>
            </w:r>
          </w:p>
        </w:tc>
        <w:tc>
          <w:tcPr>
            <w:tcW w:w="1980" w:type="dxa"/>
            <w:vAlign w:val="bottom"/>
          </w:tcPr>
          <w:p>
            <w:pPr>
              <w:jc w:val="center"/>
              <w:ind w:left="230"/>
              <w:spacing w:after="0"/>
              <w:rPr>
                <w:sz w:val="20"/>
                <w:szCs w:val="20"/>
                <w:color w:val="auto"/>
              </w:rPr>
            </w:pPr>
            <w:r>
              <w:rPr>
                <w:rFonts w:ascii="Arial" w:cs="Arial" w:eastAsia="Arial" w:hAnsi="Arial"/>
                <w:sz w:val="18"/>
                <w:szCs w:val="18"/>
                <w:b w:val="1"/>
                <w:bCs w:val="1"/>
                <w:color w:val="auto"/>
                <w:w w:val="89"/>
              </w:rPr>
              <w:t>74-2099724</w:t>
            </w:r>
          </w:p>
        </w:tc>
      </w:tr>
      <w:tr>
        <w:trPr>
          <w:trHeight w:val="270"/>
        </w:trPr>
        <w:tc>
          <w:tcPr>
            <w:tcW w:w="3020" w:type="dxa"/>
            <w:vAlign w:val="bottom"/>
          </w:tcPr>
          <w:p>
            <w:pPr>
              <w:jc w:val="center"/>
              <w:ind w:right="1030"/>
              <w:spacing w:after="0"/>
              <w:rPr>
                <w:sz w:val="20"/>
                <w:szCs w:val="20"/>
                <w:color w:val="auto"/>
              </w:rPr>
            </w:pPr>
            <w:r>
              <w:rPr>
                <w:rFonts w:ascii="Arial" w:cs="Arial" w:eastAsia="Arial" w:hAnsi="Arial"/>
                <w:sz w:val="18"/>
                <w:szCs w:val="18"/>
                <w:color w:val="auto"/>
                <w:w w:val="92"/>
              </w:rPr>
              <w:t>(State or other jurisdiction</w:t>
            </w:r>
          </w:p>
        </w:tc>
        <w:tc>
          <w:tcPr>
            <w:tcW w:w="3080" w:type="dxa"/>
            <w:vAlign w:val="bottom"/>
            <w:gridSpan w:val="2"/>
          </w:tcPr>
          <w:p>
            <w:pPr>
              <w:jc w:val="center"/>
              <w:ind w:right="830"/>
              <w:spacing w:after="0"/>
              <w:rPr>
                <w:sz w:val="20"/>
                <w:szCs w:val="20"/>
                <w:color w:val="auto"/>
              </w:rPr>
            </w:pPr>
            <w:r>
              <w:rPr>
                <w:rFonts w:ascii="Arial" w:cs="Arial" w:eastAsia="Arial" w:hAnsi="Arial"/>
                <w:sz w:val="18"/>
                <w:szCs w:val="18"/>
                <w:color w:val="auto"/>
                <w:w w:val="93"/>
              </w:rPr>
              <w:t>(Commission File Number)</w:t>
            </w:r>
          </w:p>
        </w:tc>
        <w:tc>
          <w:tcPr>
            <w:tcW w:w="1980" w:type="dxa"/>
            <w:vAlign w:val="bottom"/>
          </w:tcPr>
          <w:p>
            <w:pPr>
              <w:jc w:val="center"/>
              <w:ind w:left="230"/>
              <w:spacing w:after="0"/>
              <w:rPr>
                <w:sz w:val="20"/>
                <w:szCs w:val="20"/>
                <w:color w:val="auto"/>
              </w:rPr>
            </w:pPr>
            <w:r>
              <w:rPr>
                <w:rFonts w:ascii="Arial" w:cs="Arial" w:eastAsia="Arial" w:hAnsi="Arial"/>
                <w:sz w:val="18"/>
                <w:szCs w:val="18"/>
                <w:color w:val="auto"/>
                <w:w w:val="93"/>
              </w:rPr>
              <w:t>(IRS Employer</w:t>
            </w:r>
          </w:p>
        </w:tc>
      </w:tr>
      <w:tr>
        <w:trPr>
          <w:trHeight w:val="270"/>
        </w:trPr>
        <w:tc>
          <w:tcPr>
            <w:tcW w:w="3020" w:type="dxa"/>
            <w:vAlign w:val="bottom"/>
          </w:tcPr>
          <w:p>
            <w:pPr>
              <w:jc w:val="center"/>
              <w:ind w:right="1030"/>
              <w:spacing w:after="0"/>
              <w:rPr>
                <w:sz w:val="20"/>
                <w:szCs w:val="20"/>
                <w:color w:val="auto"/>
              </w:rPr>
            </w:pPr>
            <w:r>
              <w:rPr>
                <w:rFonts w:ascii="Arial" w:cs="Arial" w:eastAsia="Arial" w:hAnsi="Arial"/>
                <w:sz w:val="18"/>
                <w:szCs w:val="18"/>
                <w:color w:val="auto"/>
                <w:w w:val="93"/>
              </w:rPr>
              <w:t>of incorporation)</w:t>
            </w:r>
          </w:p>
        </w:tc>
        <w:tc>
          <w:tcPr>
            <w:tcW w:w="12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980" w:type="dxa"/>
            <w:vAlign w:val="bottom"/>
          </w:tcPr>
          <w:p>
            <w:pPr>
              <w:jc w:val="center"/>
              <w:ind w:left="230"/>
              <w:spacing w:after="0"/>
              <w:rPr>
                <w:sz w:val="20"/>
                <w:szCs w:val="20"/>
                <w:color w:val="auto"/>
              </w:rPr>
            </w:pPr>
            <w:r>
              <w:rPr>
                <w:rFonts w:ascii="Arial" w:cs="Arial" w:eastAsia="Arial" w:hAnsi="Arial"/>
                <w:sz w:val="18"/>
                <w:szCs w:val="18"/>
                <w:color w:val="auto"/>
                <w:w w:val="94"/>
              </w:rPr>
              <w:t>Identification Number)</w:t>
            </w:r>
          </w:p>
        </w:tc>
      </w:tr>
      <w:tr>
        <w:trPr>
          <w:trHeight w:val="405"/>
        </w:trPr>
        <w:tc>
          <w:tcPr>
            <w:tcW w:w="3020" w:type="dxa"/>
            <w:vAlign w:val="bottom"/>
          </w:tcPr>
          <w:p>
            <w:pPr>
              <w:jc w:val="center"/>
              <w:spacing w:after="0"/>
              <w:rPr>
                <w:sz w:val="20"/>
                <w:szCs w:val="20"/>
                <w:color w:val="auto"/>
              </w:rPr>
            </w:pPr>
            <w:r>
              <w:rPr>
                <w:rFonts w:ascii="Arial" w:cs="Arial" w:eastAsia="Arial" w:hAnsi="Arial"/>
                <w:sz w:val="18"/>
                <w:szCs w:val="18"/>
                <w:b w:val="1"/>
                <w:bCs w:val="1"/>
                <w:color w:val="auto"/>
                <w:w w:val="91"/>
              </w:rPr>
              <w:t>233 S. Wacker Drive,</w:t>
            </w:r>
          </w:p>
        </w:tc>
        <w:tc>
          <w:tcPr>
            <w:tcW w:w="1220" w:type="dxa"/>
            <w:vAlign w:val="bottom"/>
          </w:tcPr>
          <w:p>
            <w:pPr>
              <w:ind w:left="440"/>
              <w:spacing w:after="0"/>
              <w:rPr>
                <w:sz w:val="20"/>
                <w:szCs w:val="20"/>
                <w:color w:val="auto"/>
              </w:rPr>
            </w:pPr>
            <w:r>
              <w:rPr>
                <w:rFonts w:ascii="Arial" w:cs="Arial" w:eastAsia="Arial" w:hAnsi="Arial"/>
                <w:sz w:val="18"/>
                <w:szCs w:val="18"/>
                <w:b w:val="1"/>
                <w:bCs w:val="1"/>
                <w:color w:val="auto"/>
                <w:w w:val="99"/>
              </w:rPr>
              <w:t>Chicago,</w:t>
            </w:r>
          </w:p>
        </w:tc>
        <w:tc>
          <w:tcPr>
            <w:tcW w:w="1860" w:type="dxa"/>
            <w:vAlign w:val="bottom"/>
          </w:tcPr>
          <w:p>
            <w:pPr>
              <w:ind w:left="120"/>
              <w:spacing w:after="0"/>
              <w:rPr>
                <w:sz w:val="20"/>
                <w:szCs w:val="20"/>
                <w:color w:val="auto"/>
              </w:rPr>
            </w:pPr>
            <w:r>
              <w:rPr>
                <w:rFonts w:ascii="Arial" w:cs="Arial" w:eastAsia="Arial" w:hAnsi="Arial"/>
                <w:sz w:val="18"/>
                <w:szCs w:val="18"/>
                <w:b w:val="1"/>
                <w:bCs w:val="1"/>
                <w:color w:val="auto"/>
              </w:rPr>
              <w:t>IL</w:t>
            </w:r>
          </w:p>
        </w:tc>
        <w:tc>
          <w:tcPr>
            <w:tcW w:w="1980" w:type="dxa"/>
            <w:vAlign w:val="bottom"/>
          </w:tcPr>
          <w:p>
            <w:pPr>
              <w:jc w:val="center"/>
              <w:ind w:right="850"/>
              <w:spacing w:after="0"/>
              <w:rPr>
                <w:sz w:val="20"/>
                <w:szCs w:val="20"/>
                <w:color w:val="auto"/>
              </w:rPr>
            </w:pPr>
            <w:r>
              <w:rPr>
                <w:rFonts w:ascii="Arial" w:cs="Arial" w:eastAsia="Arial" w:hAnsi="Arial"/>
                <w:sz w:val="18"/>
                <w:szCs w:val="18"/>
                <w:b w:val="1"/>
                <w:bCs w:val="1"/>
                <w:color w:val="auto"/>
                <w:w w:val="87"/>
              </w:rPr>
              <w:t>60606</w:t>
            </w:r>
          </w:p>
        </w:tc>
      </w:tr>
      <w:tr>
        <w:trPr>
          <w:trHeight w:val="270"/>
        </w:trPr>
        <w:tc>
          <w:tcPr>
            <w:tcW w:w="3020" w:type="dxa"/>
            <w:vAlign w:val="bottom"/>
          </w:tcPr>
          <w:p>
            <w:pPr>
              <w:jc w:val="center"/>
              <w:spacing w:after="0"/>
              <w:rPr>
                <w:sz w:val="20"/>
                <w:szCs w:val="20"/>
                <w:color w:val="auto"/>
              </w:rPr>
            </w:pPr>
            <w:r>
              <w:rPr>
                <w:rFonts w:ascii="Arial" w:cs="Arial" w:eastAsia="Arial" w:hAnsi="Arial"/>
                <w:sz w:val="18"/>
                <w:szCs w:val="18"/>
                <w:b w:val="1"/>
                <w:bCs w:val="1"/>
                <w:color w:val="auto"/>
                <w:w w:val="91"/>
              </w:rPr>
              <w:t>233 S. Wacker Drive,</w:t>
            </w:r>
          </w:p>
        </w:tc>
        <w:tc>
          <w:tcPr>
            <w:tcW w:w="1220" w:type="dxa"/>
            <w:vAlign w:val="bottom"/>
          </w:tcPr>
          <w:p>
            <w:pPr>
              <w:ind w:left="440"/>
              <w:spacing w:after="0"/>
              <w:rPr>
                <w:sz w:val="20"/>
                <w:szCs w:val="20"/>
                <w:color w:val="auto"/>
              </w:rPr>
            </w:pPr>
            <w:r>
              <w:rPr>
                <w:rFonts w:ascii="Arial" w:cs="Arial" w:eastAsia="Arial" w:hAnsi="Arial"/>
                <w:sz w:val="18"/>
                <w:szCs w:val="18"/>
                <w:b w:val="1"/>
                <w:bCs w:val="1"/>
                <w:color w:val="auto"/>
                <w:w w:val="99"/>
              </w:rPr>
              <w:t>Chicago,</w:t>
            </w:r>
          </w:p>
        </w:tc>
        <w:tc>
          <w:tcPr>
            <w:tcW w:w="1860" w:type="dxa"/>
            <w:vAlign w:val="bottom"/>
          </w:tcPr>
          <w:p>
            <w:pPr>
              <w:ind w:left="120"/>
              <w:spacing w:after="0"/>
              <w:rPr>
                <w:sz w:val="20"/>
                <w:szCs w:val="20"/>
                <w:color w:val="auto"/>
              </w:rPr>
            </w:pPr>
            <w:r>
              <w:rPr>
                <w:rFonts w:ascii="Arial" w:cs="Arial" w:eastAsia="Arial" w:hAnsi="Arial"/>
                <w:sz w:val="18"/>
                <w:szCs w:val="18"/>
                <w:b w:val="1"/>
                <w:bCs w:val="1"/>
                <w:color w:val="auto"/>
              </w:rPr>
              <w:t>IL</w:t>
            </w:r>
          </w:p>
        </w:tc>
        <w:tc>
          <w:tcPr>
            <w:tcW w:w="1980" w:type="dxa"/>
            <w:vAlign w:val="bottom"/>
          </w:tcPr>
          <w:p>
            <w:pPr>
              <w:jc w:val="center"/>
              <w:ind w:right="850"/>
              <w:spacing w:after="0"/>
              <w:rPr>
                <w:sz w:val="20"/>
                <w:szCs w:val="20"/>
                <w:color w:val="auto"/>
              </w:rPr>
            </w:pPr>
            <w:r>
              <w:rPr>
                <w:rFonts w:ascii="Arial" w:cs="Arial" w:eastAsia="Arial" w:hAnsi="Arial"/>
                <w:sz w:val="18"/>
                <w:szCs w:val="18"/>
                <w:b w:val="1"/>
                <w:bCs w:val="1"/>
                <w:color w:val="auto"/>
                <w:w w:val="87"/>
              </w:rPr>
              <w:t>60606</w:t>
            </w:r>
          </w:p>
        </w:tc>
      </w:tr>
      <w:tr>
        <w:trPr>
          <w:trHeight w:val="270"/>
        </w:trPr>
        <w:tc>
          <w:tcPr>
            <w:tcW w:w="302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2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980" w:type="dxa"/>
            <w:vAlign w:val="bottom"/>
          </w:tcPr>
          <w:p>
            <w:pPr>
              <w:jc w:val="center"/>
              <w:ind w:right="85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ind w:left="5500" w:hanging="438"/>
        <w:spacing w:after="0"/>
        <w:tabs>
          <w:tab w:leader="none" w:pos="55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825-4000</w:t>
      </w:r>
    </w:p>
    <w:p>
      <w:pPr>
        <w:spacing w:after="0" w:line="27" w:lineRule="exact"/>
        <w:rPr>
          <w:rFonts w:ascii="Arial" w:cs="Arial" w:eastAsia="Arial" w:hAnsi="Arial"/>
          <w:sz w:val="18"/>
          <w:szCs w:val="18"/>
          <w:b w:val="1"/>
          <w:bCs w:val="1"/>
          <w:color w:val="auto"/>
        </w:rPr>
      </w:pPr>
    </w:p>
    <w:p>
      <w:pPr>
        <w:ind w:left="5500" w:hanging="438"/>
        <w:spacing w:after="0"/>
        <w:tabs>
          <w:tab w:leader="none" w:pos="5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825-4000</w:t>
      </w:r>
    </w:p>
    <w:p>
      <w:pPr>
        <w:spacing w:after="0" w:line="103"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Registrant’s telephone number, including area code</w:t>
      </w:r>
    </w:p>
    <w:p>
      <w:pPr>
        <w:spacing w:after="0" w:line="117" w:lineRule="exact"/>
        <w:rPr>
          <w:sz w:val="24"/>
          <w:szCs w:val="24"/>
          <w:color w:val="auto"/>
        </w:rPr>
      </w:pPr>
    </w:p>
    <w:p>
      <w:pPr>
        <w:ind w:left="338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22"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33" w:lineRule="exact"/>
        <w:rPr>
          <w:sz w:val="24"/>
          <w:szCs w:val="24"/>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5"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72"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30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Registrant</w:t>
            </w:r>
          </w:p>
        </w:tc>
        <w:tc>
          <w:tcPr>
            <w:tcW w:w="220" w:type="dxa"/>
            <w:vAlign w:val="bottom"/>
          </w:tcPr>
          <w:p>
            <w:pPr>
              <w:spacing w:after="0"/>
              <w:rPr>
                <w:sz w:val="15"/>
                <w:szCs w:val="15"/>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Title of Each Class</w:t>
            </w:r>
          </w:p>
        </w:tc>
        <w:tc>
          <w:tcPr>
            <w:tcW w:w="22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Trading Symbol</w:t>
            </w:r>
          </w:p>
        </w:tc>
        <w:tc>
          <w:tcPr>
            <w:tcW w:w="220" w:type="dxa"/>
            <w:vAlign w:val="bottom"/>
          </w:tcPr>
          <w:p>
            <w:pPr>
              <w:spacing w:after="0"/>
              <w:rPr>
                <w:sz w:val="15"/>
                <w:szCs w:val="15"/>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Name of Each Exchange on Which Registered</w:t>
            </w:r>
          </w:p>
        </w:tc>
      </w:tr>
      <w:tr>
        <w:trPr>
          <w:trHeight w:val="240"/>
        </w:trPr>
        <w:tc>
          <w:tcPr>
            <w:tcW w:w="3240" w:type="dxa"/>
            <w:vAlign w:val="bottom"/>
            <w:gridSpan w:val="2"/>
          </w:tcPr>
          <w:p>
            <w:pPr>
              <w:ind w:left="40"/>
              <w:spacing w:after="0"/>
              <w:rPr>
                <w:sz w:val="20"/>
                <w:szCs w:val="20"/>
                <w:color w:val="auto"/>
              </w:rPr>
            </w:pPr>
            <w:r>
              <w:rPr>
                <w:rFonts w:ascii="Arial" w:cs="Arial" w:eastAsia="Arial" w:hAnsi="Arial"/>
                <w:sz w:val="13"/>
                <w:szCs w:val="13"/>
                <w:color w:val="auto"/>
              </w:rPr>
              <w:t>United Airlines Holdings, Inc.</w:t>
            </w:r>
          </w:p>
        </w:tc>
        <w:tc>
          <w:tcPr>
            <w:tcW w:w="2340" w:type="dxa"/>
            <w:vAlign w:val="bottom"/>
            <w:gridSpan w:val="2"/>
          </w:tcPr>
          <w:p>
            <w:pPr>
              <w:jc w:val="center"/>
              <w:ind w:right="200"/>
              <w:spacing w:after="0"/>
              <w:rPr>
                <w:sz w:val="20"/>
                <w:szCs w:val="20"/>
                <w:color w:val="auto"/>
              </w:rPr>
            </w:pPr>
            <w:r>
              <w:rPr>
                <w:rFonts w:ascii="Arial" w:cs="Arial" w:eastAsia="Arial" w:hAnsi="Arial"/>
                <w:sz w:val="13"/>
                <w:szCs w:val="13"/>
                <w:color w:val="auto"/>
                <w:w w:val="87"/>
              </w:rPr>
              <w:t>Common Stock, $0.01 par value</w:t>
            </w:r>
          </w:p>
        </w:tc>
        <w:tc>
          <w:tcPr>
            <w:tcW w:w="1880" w:type="dxa"/>
            <w:vAlign w:val="bottom"/>
            <w:gridSpan w:val="2"/>
          </w:tcPr>
          <w:p>
            <w:pPr>
              <w:jc w:val="center"/>
              <w:ind w:right="220"/>
              <w:spacing w:after="0"/>
              <w:rPr>
                <w:sz w:val="20"/>
                <w:szCs w:val="20"/>
                <w:color w:val="auto"/>
              </w:rPr>
            </w:pPr>
            <w:r>
              <w:rPr>
                <w:rFonts w:ascii="Arial" w:cs="Arial" w:eastAsia="Arial" w:hAnsi="Arial"/>
                <w:sz w:val="13"/>
                <w:szCs w:val="13"/>
                <w:color w:val="auto"/>
              </w:rPr>
              <w:t>UAL</w:t>
            </w:r>
          </w:p>
        </w:tc>
        <w:tc>
          <w:tcPr>
            <w:tcW w:w="3660" w:type="dxa"/>
            <w:vAlign w:val="bottom"/>
          </w:tcPr>
          <w:p>
            <w:pPr>
              <w:jc w:val="center"/>
              <w:spacing w:after="0"/>
              <w:rPr>
                <w:sz w:val="20"/>
                <w:szCs w:val="20"/>
                <w:color w:val="auto"/>
              </w:rPr>
            </w:pPr>
            <w:r>
              <w:rPr>
                <w:rFonts w:ascii="Arial" w:cs="Arial" w:eastAsia="Arial" w:hAnsi="Arial"/>
                <w:sz w:val="13"/>
                <w:szCs w:val="13"/>
                <w:color w:val="auto"/>
                <w:w w:val="88"/>
              </w:rPr>
              <w:t>The Nasdaq Stock Market LLC</w:t>
            </w:r>
          </w:p>
        </w:tc>
      </w:tr>
      <w:tr>
        <w:trPr>
          <w:trHeight w:val="270"/>
        </w:trPr>
        <w:tc>
          <w:tcPr>
            <w:tcW w:w="3240" w:type="dxa"/>
            <w:vAlign w:val="bottom"/>
            <w:gridSpan w:val="2"/>
          </w:tcPr>
          <w:p>
            <w:pPr>
              <w:ind w:left="40"/>
              <w:spacing w:after="0"/>
              <w:rPr>
                <w:sz w:val="20"/>
                <w:szCs w:val="20"/>
                <w:color w:val="auto"/>
              </w:rPr>
            </w:pPr>
            <w:r>
              <w:rPr>
                <w:rFonts w:ascii="Arial" w:cs="Arial" w:eastAsia="Arial" w:hAnsi="Arial"/>
                <w:sz w:val="13"/>
                <w:szCs w:val="13"/>
                <w:color w:val="auto"/>
              </w:rPr>
              <w:t>United Airlines, Inc.</w:t>
            </w:r>
          </w:p>
        </w:tc>
        <w:tc>
          <w:tcPr>
            <w:tcW w:w="2340" w:type="dxa"/>
            <w:vAlign w:val="bottom"/>
            <w:gridSpan w:val="2"/>
          </w:tcPr>
          <w:p>
            <w:pPr>
              <w:jc w:val="center"/>
              <w:ind w:right="200"/>
              <w:spacing w:after="0"/>
              <w:rPr>
                <w:sz w:val="20"/>
                <w:szCs w:val="20"/>
                <w:color w:val="auto"/>
              </w:rPr>
            </w:pPr>
            <w:r>
              <w:rPr>
                <w:rFonts w:ascii="Arial" w:cs="Arial" w:eastAsia="Arial" w:hAnsi="Arial"/>
                <w:sz w:val="13"/>
                <w:szCs w:val="13"/>
                <w:color w:val="auto"/>
                <w:w w:val="83"/>
              </w:rPr>
              <w:t>None</w:t>
            </w:r>
          </w:p>
        </w:tc>
        <w:tc>
          <w:tcPr>
            <w:tcW w:w="1880" w:type="dxa"/>
            <w:vAlign w:val="bottom"/>
            <w:gridSpan w:val="2"/>
          </w:tcPr>
          <w:p>
            <w:pPr>
              <w:jc w:val="center"/>
              <w:ind w:right="200"/>
              <w:spacing w:after="0"/>
              <w:rPr>
                <w:sz w:val="20"/>
                <w:szCs w:val="20"/>
                <w:color w:val="auto"/>
              </w:rPr>
            </w:pPr>
            <w:r>
              <w:rPr>
                <w:rFonts w:ascii="Arial" w:cs="Arial" w:eastAsia="Arial" w:hAnsi="Arial"/>
                <w:sz w:val="13"/>
                <w:szCs w:val="13"/>
                <w:color w:val="auto"/>
                <w:w w:val="89"/>
              </w:rPr>
              <w:t>None</w:t>
            </w:r>
          </w:p>
        </w:tc>
        <w:tc>
          <w:tcPr>
            <w:tcW w:w="3660" w:type="dxa"/>
            <w:vAlign w:val="bottom"/>
          </w:tcPr>
          <w:p>
            <w:pPr>
              <w:jc w:val="center"/>
              <w:spacing w:after="0"/>
              <w:rPr>
                <w:sz w:val="20"/>
                <w:szCs w:val="20"/>
                <w:color w:val="auto"/>
              </w:rPr>
            </w:pPr>
            <w:r>
              <w:rPr>
                <w:rFonts w:ascii="Arial" w:cs="Arial" w:eastAsia="Arial" w:hAnsi="Arial"/>
                <w:sz w:val="13"/>
                <w:szCs w:val="13"/>
                <w:color w:val="auto"/>
                <w:w w:val="83"/>
              </w:rPr>
              <w:t>None</w:t>
            </w:r>
          </w:p>
        </w:tc>
      </w:tr>
    </w:tbl>
    <w:p>
      <w:pPr>
        <w:spacing w:after="0" w:line="222" w:lineRule="exact"/>
        <w:rPr>
          <w:sz w:val="24"/>
          <w:szCs w:val="24"/>
          <w:color w:val="auto"/>
        </w:rPr>
      </w:pPr>
    </w:p>
    <w:p>
      <w:pPr>
        <w:ind w:right="40"/>
        <w:spacing w:after="0" w:line="207"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155" w:lineRule="exact"/>
        <w:rPr>
          <w:sz w:val="24"/>
          <w:szCs w:val="24"/>
          <w:color w:val="auto"/>
        </w:rPr>
      </w:pPr>
    </w:p>
    <w:p>
      <w:pPr>
        <w:ind w:right="9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301625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760" w:right="45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On July 21, 2020, United Airlines Holdings, Inc. ("UAL"), the holding company whose primary subsidiary is United Airlines, Inc. ("United," and together with UAL, the "Company"), issued a press release announcing the financial results of the Company for second quarter 2020. The press release is attached as Exhibit 99.1 and is incorporated herein by reference.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in this Item 2.02, including Exhibit 99.1, is being furnished and shall not be deemed to be "filed" for purposes of Section 18 of the Securities Exchange Act of 1934, as amended (the "Exchange Act"), or otherwise subject to the liabilities of that Section and shall not be deemed incorporated by reference into any registration statement or other document filed pursuant to the Securities Act of 1933, as amended, except as shall be expressly set forth by specific reference in such filing.</w:t>
      </w:r>
    </w:p>
    <w:p>
      <w:pPr>
        <w:spacing w:after="0" w:line="7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Exhibit No.</w:t>
            </w:r>
          </w:p>
        </w:tc>
        <w:tc>
          <w:tcPr>
            <w:tcW w:w="64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5060" w:type="dxa"/>
            <w:vAlign w:val="bottom"/>
          </w:tcPr>
          <w:p>
            <w:pPr>
              <w:spacing w:after="0"/>
              <w:rPr>
                <w:sz w:val="14"/>
                <w:szCs w:val="14"/>
                <w:color w:val="auto"/>
              </w:rPr>
            </w:pPr>
          </w:p>
        </w:tc>
      </w:tr>
      <w:tr>
        <w:trPr>
          <w:trHeight w:val="439"/>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40" w:type="dxa"/>
            <w:vAlign w:val="bottom"/>
          </w:tcPr>
          <w:p>
            <w:pPr>
              <w:spacing w:after="0"/>
              <w:rPr>
                <w:sz w:val="24"/>
                <w:szCs w:val="24"/>
                <w:color w:val="auto"/>
              </w:rPr>
            </w:pPr>
          </w:p>
        </w:tc>
        <w:tc>
          <w:tcPr>
            <w:tcW w:w="5780" w:type="dxa"/>
            <w:vAlign w:val="bottom"/>
            <w:gridSpan w:val="2"/>
          </w:tcPr>
          <w:p>
            <w:pPr>
              <w:spacing w:after="0"/>
              <w:rPr>
                <w:rFonts w:ascii="Arial" w:cs="Arial" w:eastAsia="Arial" w:hAnsi="Arial"/>
                <w:sz w:val="18"/>
                <w:szCs w:val="18"/>
                <w:u w:val="single" w:color="auto"/>
                <w:color w:val="0000FF"/>
                <w:w w:val="96"/>
              </w:rPr>
            </w:pPr>
            <w:hyperlink w:anchor="page4">
              <w:r>
                <w:rPr>
                  <w:rFonts w:ascii="Arial" w:cs="Arial" w:eastAsia="Arial" w:hAnsi="Arial"/>
                  <w:sz w:val="18"/>
                  <w:szCs w:val="18"/>
                  <w:u w:val="single" w:color="auto"/>
                  <w:color w:val="0000FF"/>
                  <w:w w:val="96"/>
                </w:rPr>
                <w:t>Press Release issued by United Airlines Holdings, Inc. dated July 21, 2020</w:t>
              </w:r>
            </w:hyperlink>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104</w:t>
            </w:r>
          </w:p>
        </w:tc>
        <w:tc>
          <w:tcPr>
            <w:tcW w:w="640" w:type="dxa"/>
            <w:vAlign w:val="bottom"/>
          </w:tcPr>
          <w:p>
            <w:pPr>
              <w:spacing w:after="0"/>
              <w:rPr>
                <w:sz w:val="24"/>
                <w:szCs w:val="24"/>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w w:val="91"/>
              </w:rPr>
              <w:t>Cover Page Interactive Data File (embedded within the Inline XBRL document)</w:t>
            </w:r>
          </w:p>
        </w:tc>
      </w:tr>
    </w:tbl>
    <w:p>
      <w:pPr>
        <w:sectPr>
          <w:pgSz w:w="11900" w:h="16838" w:orient="portrait"/>
          <w:cols w:equalWidth="0" w:num="1">
            <w:col w:w="11240"/>
          </w:cols>
          <w:pgMar w:left="320" w:top="5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200" w:lineRule="exact"/>
        <w:rPr>
          <w:sz w:val="20"/>
          <w:szCs w:val="20"/>
          <w:color w:val="auto"/>
        </w:rPr>
      </w:pPr>
    </w:p>
    <w:p>
      <w:pPr>
        <w:spacing w:after="0" w:line="358"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UNITED AIRLINES HOLDINGS, INC.</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UNITED AIRLINES, INC.</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518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Pr>
          <w:p>
            <w:pPr>
              <w:ind w:left="40"/>
              <w:spacing w:after="0"/>
              <w:rPr>
                <w:sz w:val="20"/>
                <w:szCs w:val="20"/>
                <w:color w:val="auto"/>
              </w:rPr>
            </w:pPr>
            <w:r>
              <w:rPr>
                <w:rFonts w:ascii="Arial" w:cs="Arial" w:eastAsia="Arial" w:hAnsi="Arial"/>
                <w:sz w:val="18"/>
                <w:szCs w:val="18"/>
                <w:color w:val="auto"/>
              </w:rPr>
              <w:t>/s/ Chris Kenny</w:t>
            </w:r>
          </w:p>
        </w:tc>
      </w:tr>
      <w:tr>
        <w:trPr>
          <w:trHeight w:val="27"/>
        </w:trPr>
        <w:tc>
          <w:tcPr>
            <w:tcW w:w="88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5180" w:type="dxa"/>
            <w:vAlign w:val="bottom"/>
          </w:tcPr>
          <w:p>
            <w:pPr>
              <w:ind w:left="40"/>
              <w:spacing w:after="0"/>
              <w:rPr>
                <w:sz w:val="20"/>
                <w:szCs w:val="20"/>
                <w:color w:val="auto"/>
              </w:rPr>
            </w:pPr>
            <w:r>
              <w:rPr>
                <w:rFonts w:ascii="Arial" w:cs="Arial" w:eastAsia="Arial" w:hAnsi="Arial"/>
                <w:sz w:val="18"/>
                <w:szCs w:val="18"/>
                <w:color w:val="auto"/>
              </w:rPr>
              <w:t>Chris Kenny</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180" w:type="dxa"/>
            <w:vAlign w:val="bottom"/>
          </w:tcPr>
          <w:p>
            <w:pPr>
              <w:ind w:left="40"/>
              <w:spacing w:after="0"/>
              <w:rPr>
                <w:sz w:val="20"/>
                <w:szCs w:val="20"/>
                <w:color w:val="auto"/>
              </w:rPr>
            </w:pPr>
            <w:r>
              <w:rPr>
                <w:rFonts w:ascii="Arial" w:cs="Arial" w:eastAsia="Arial" w:hAnsi="Arial"/>
                <w:sz w:val="18"/>
                <w:szCs w:val="18"/>
                <w:color w:val="auto"/>
              </w:rPr>
              <w:t>Vice President and Controller</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July 21, 2020</w:t>
      </w:r>
    </w:p>
    <w:p>
      <w:pPr>
        <w:sectPr>
          <w:pgSz w:w="11900" w:h="16838" w:orient="portrait"/>
          <w:cols w:equalWidth="0" w:num="1">
            <w:col w:w="11240"/>
          </w:cols>
          <w:pgMar w:left="320" w:top="137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-13335</wp:posOffset>
            </wp:positionV>
            <wp:extent cx="1748790" cy="720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48790" cy="720090"/>
                    </a:xfrm>
                    <a:prstGeom prst="rect">
                      <a:avLst/>
                    </a:prstGeom>
                    <a:noFill/>
                  </pic:spPr>
                </pic:pic>
              </a:graphicData>
            </a:graphic>
          </wp:anchor>
        </w:drawing>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United Airlines</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Worldwide Media Relations</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872.825.8640</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media.relations@united.com</w:t>
      </w:r>
    </w:p>
    <w:p>
      <w:pPr>
        <w:spacing w:after="0" w:line="310" w:lineRule="exact"/>
        <w:rPr>
          <w:sz w:val="20"/>
          <w:szCs w:val="20"/>
          <w:color w:val="auto"/>
        </w:rPr>
      </w:pPr>
    </w:p>
    <w:p>
      <w:pPr>
        <w:jc w:val="center"/>
        <w:ind w:left="340" w:right="140"/>
        <w:spacing w:after="0" w:line="400" w:lineRule="auto"/>
        <w:rPr>
          <w:sz w:val="20"/>
          <w:szCs w:val="20"/>
          <w:color w:val="auto"/>
        </w:rPr>
      </w:pPr>
      <w:r>
        <w:rPr>
          <w:rFonts w:ascii="Arial" w:cs="Arial" w:eastAsia="Arial" w:hAnsi="Arial"/>
          <w:sz w:val="32"/>
          <w:szCs w:val="32"/>
          <w:b w:val="1"/>
          <w:bCs w:val="1"/>
          <w:color w:val="auto"/>
        </w:rPr>
        <w:t xml:space="preserve">United Airlines Took Industry-Leading Steps to Manage </w:t>
      </w:r>
      <w:r>
        <w:rPr>
          <w:rFonts w:ascii="Arial" w:cs="Arial" w:eastAsia="Arial" w:hAnsi="Arial"/>
          <w:sz w:val="32"/>
          <w:szCs w:val="32"/>
          <w:b w:val="1"/>
          <w:bCs w:val="1"/>
          <w:u w:val="single" w:color="auto"/>
          <w:color w:val="auto"/>
        </w:rPr>
        <w:t>Historic Impact</w:t>
      </w:r>
      <w:r>
        <w:rPr>
          <w:rFonts w:ascii="Arial" w:cs="Arial" w:eastAsia="Arial" w:hAnsi="Arial"/>
          <w:sz w:val="32"/>
          <w:szCs w:val="32"/>
          <w:b w:val="1"/>
          <w:bCs w:val="1"/>
          <w:color w:val="auto"/>
        </w:rPr>
        <w:t xml:space="preserve"> </w:t>
      </w:r>
      <w:r>
        <w:rPr>
          <w:rFonts w:ascii="Arial" w:cs="Arial" w:eastAsia="Arial" w:hAnsi="Arial"/>
          <w:sz w:val="32"/>
          <w:szCs w:val="32"/>
          <w:b w:val="1"/>
          <w:bCs w:val="1"/>
          <w:u w:val="single" w:color="auto"/>
          <w:color w:val="auto"/>
        </w:rPr>
        <w:t>of COVID-19 in Q2</w:t>
      </w:r>
    </w:p>
    <w:p>
      <w:pPr>
        <w:spacing w:after="0" w:line="65" w:lineRule="exact"/>
        <w:rPr>
          <w:sz w:val="20"/>
          <w:szCs w:val="20"/>
          <w:color w:val="auto"/>
        </w:rPr>
      </w:pPr>
    </w:p>
    <w:p>
      <w:pPr>
        <w:ind w:right="100" w:firstLine="648"/>
        <w:spacing w:after="0" w:line="346" w:lineRule="auto"/>
        <w:rPr>
          <w:sz w:val="20"/>
          <w:szCs w:val="20"/>
          <w:color w:val="auto"/>
        </w:rPr>
      </w:pPr>
      <w:r>
        <w:rPr>
          <w:rFonts w:ascii="Arial" w:cs="Arial" w:eastAsia="Arial" w:hAnsi="Arial"/>
          <w:sz w:val="20"/>
          <w:szCs w:val="20"/>
          <w:b w:val="1"/>
          <w:bCs w:val="1"/>
          <w:color w:val="auto"/>
        </w:rPr>
        <w:t xml:space="preserve">CHICAGO, July 21, 2020 </w:t>
      </w:r>
      <w:r>
        <w:rPr>
          <w:rFonts w:ascii="Arial" w:cs="Arial" w:eastAsia="Arial" w:hAnsi="Arial"/>
          <w:sz w:val="20"/>
          <w:szCs w:val="20"/>
          <w:color w:val="auto"/>
        </w:rPr>
        <w:t>- United Airlines (UAL) today announced second quarter 2020 financial results, the most</w:t>
      </w:r>
      <w:r>
        <w:rPr>
          <w:rFonts w:ascii="Arial" w:cs="Arial" w:eastAsia="Arial" w:hAnsi="Arial"/>
          <w:sz w:val="20"/>
          <w:szCs w:val="20"/>
          <w:b w:val="1"/>
          <w:bCs w:val="1"/>
          <w:color w:val="auto"/>
        </w:rPr>
        <w:t xml:space="preserve"> </w:t>
      </w:r>
      <w:r>
        <w:rPr>
          <w:rFonts w:ascii="Arial" w:cs="Arial" w:eastAsia="Arial" w:hAnsi="Arial"/>
          <w:sz w:val="20"/>
          <w:szCs w:val="20"/>
          <w:color w:val="auto"/>
        </w:rPr>
        <w:t>difficult financial quarter in its 94-year history, with a net loss of $1.6 billion, and an adjusted net loss¹ of $2.6 billion. Total operating revenues were down 87.1% year-over-year, on an 87.8 percent decrease in capacity year-over-year. The company's total liquidity as of the close of business on Monday, July 20, 2020 was approximately $15.2 billion. United now expects liquidity at the end of the third quarter to be over $18 billion.</w:t>
      </w:r>
    </w:p>
    <w:p>
      <w:pPr>
        <w:ind w:right="200" w:firstLine="648"/>
        <w:spacing w:after="0" w:line="370" w:lineRule="auto"/>
        <w:rPr>
          <w:sz w:val="20"/>
          <w:szCs w:val="20"/>
          <w:color w:val="auto"/>
        </w:rPr>
      </w:pPr>
      <w:r>
        <w:rPr>
          <w:rFonts w:ascii="Arial" w:cs="Arial" w:eastAsia="Arial" w:hAnsi="Arial"/>
          <w:sz w:val="20"/>
          <w:szCs w:val="20"/>
          <w:color w:val="auto"/>
        </w:rPr>
        <w:t>Cash burn</w:t>
      </w:r>
      <w:r>
        <w:rPr>
          <w:rFonts w:ascii="Arial" w:cs="Arial" w:eastAsia="Arial" w:hAnsi="Arial"/>
          <w:sz w:val="20"/>
          <w:szCs w:val="20"/>
          <w:color w:val="auto"/>
          <w:vertAlign w:val="superscript"/>
        </w:rPr>
        <w:t>2</w:t>
      </w:r>
      <w:r>
        <w:rPr>
          <w:rFonts w:ascii="Arial" w:cs="Arial" w:eastAsia="Arial" w:hAnsi="Arial"/>
          <w:sz w:val="20"/>
          <w:szCs w:val="20"/>
          <w:color w:val="auto"/>
        </w:rPr>
        <w:t xml:space="preserve"> during the second quarter averaged $40 million a day, including $3 million of principal payments and severance expenses. The company currently is forecasting average daily cash burn to be approximately $25 million during the third quarter of 2020 including $6 million of principal repayments and severance expenses.</w:t>
      </w:r>
    </w:p>
    <w:p>
      <w:pPr>
        <w:spacing w:after="0" w:line="2" w:lineRule="exact"/>
        <w:rPr>
          <w:sz w:val="20"/>
          <w:szCs w:val="20"/>
          <w:color w:val="auto"/>
        </w:rPr>
      </w:pPr>
    </w:p>
    <w:p>
      <w:pPr>
        <w:ind w:right="60" w:firstLine="660"/>
        <w:spacing w:after="0" w:line="352" w:lineRule="auto"/>
        <w:rPr>
          <w:sz w:val="20"/>
          <w:szCs w:val="20"/>
          <w:color w:val="auto"/>
        </w:rPr>
      </w:pPr>
      <w:r>
        <w:rPr>
          <w:rFonts w:ascii="Arial" w:cs="Arial" w:eastAsia="Arial" w:hAnsi="Arial"/>
          <w:sz w:val="20"/>
          <w:szCs w:val="20"/>
          <w:color w:val="auto"/>
        </w:rPr>
        <w:t>United believes it did the best job of matching actual capacity to demand among its largest network peers. The company also expects to finish the quarter with the lowest average daily cash burn among large network carriers.</w:t>
      </w:r>
    </w:p>
    <w:p>
      <w:pPr>
        <w:ind w:right="20" w:firstLine="648"/>
        <w:spacing w:after="0" w:line="353" w:lineRule="auto"/>
        <w:rPr>
          <w:sz w:val="20"/>
          <w:szCs w:val="20"/>
          <w:color w:val="auto"/>
        </w:rPr>
      </w:pPr>
      <w:r>
        <w:rPr>
          <w:rFonts w:ascii="Arial" w:cs="Arial" w:eastAsia="Arial" w:hAnsi="Arial"/>
          <w:sz w:val="20"/>
          <w:szCs w:val="20"/>
          <w:color w:val="auto"/>
        </w:rPr>
        <w:t>"I am grateful for the professionalism and dedication of our United team members who persevered through an historic and challenging period to deliver for our customers," said CEO Scott Kirby. "While this unprecedented crisis has been difficult for our team, we expect United produced fewer losses and lower cash burn in the second quarter than any of our large network competitors. We accomplished this by quickly and accurately forecasting the impact that COVID would have on passenger and cargo demand, accurately matching our schedule to that reduced demand, completing the largest debt financing deal in aviation history, and cutting expenses across our business. We believe this quick and aggressive action has positioned United to both survive the COVID crisis and capitalize on consumer demand when it sustainably returns."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Q2 Financial Actions to Mitigate COVID-19 Impact</w:t>
      </w:r>
    </w:p>
    <w:p>
      <w:pPr>
        <w:spacing w:after="0" w:line="78" w:lineRule="exact"/>
        <w:rPr>
          <w:sz w:val="20"/>
          <w:szCs w:val="20"/>
          <w:color w:val="auto"/>
        </w:rPr>
      </w:pPr>
    </w:p>
    <w:p>
      <w:pPr>
        <w:ind w:right="240" w:firstLine="648"/>
        <w:spacing w:after="0" w:line="355" w:lineRule="auto"/>
        <w:rPr>
          <w:sz w:val="20"/>
          <w:szCs w:val="20"/>
          <w:color w:val="auto"/>
        </w:rPr>
      </w:pPr>
      <w:r>
        <w:rPr>
          <w:rFonts w:ascii="Arial" w:cs="Arial" w:eastAsia="Arial" w:hAnsi="Arial"/>
          <w:sz w:val="20"/>
          <w:szCs w:val="20"/>
          <w:color w:val="auto"/>
        </w:rPr>
        <w:t>The company continued to take aggressive action to mitigate the impact of the COVID-19 pandemic by raising liquidity and reducing cash burn. The company is focused on remaining flexible to position the airline to bounce back when demand recovers.</w:t>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United Airlines Reports Second-Quarter 2020 Performance</w:t>
      </w:r>
    </w:p>
    <w:p>
      <w:pPr>
        <w:spacing w:after="0" w:line="329" w:lineRule="exact"/>
        <w:rPr>
          <w:sz w:val="20"/>
          <w:szCs w:val="20"/>
          <w:color w:val="auto"/>
        </w:rPr>
      </w:pPr>
    </w:p>
    <w:p>
      <w:pPr>
        <w:ind w:left="660" w:right="280" w:hanging="328"/>
        <w:spacing w:after="0" w:line="352" w:lineRule="auto"/>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Since the start of the crisis the company has raised a total of $16.1 billion through debt offerings, stock issuances and the CARES Act Payroll Support Program grant and loan, among other items.</w:t>
      </w:r>
    </w:p>
    <w:p>
      <w:pPr>
        <w:ind w:left="660" w:right="60" w:hanging="328"/>
        <w:spacing w:after="0" w:line="352" w:lineRule="auto"/>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As of July 2, raised $6.8 billion in financings secured against MileagePlus Holdings in the form of a $3.8 billion bond and a $3.0 billion term loan, with interest rates of 6.5% and LIBOR plus 5.25%, respectively.</w:t>
      </w:r>
    </w:p>
    <w:p>
      <w:pPr>
        <w:ind w:left="660" w:right="140" w:hanging="328"/>
        <w:spacing w:after="0" w:line="352" w:lineRule="auto"/>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Entered into an equity distribution agreement for the issuance and sale from time to time of up to 28 million shares of UAL common stock in "at-the-market" offerings. Utilized the at-the-market program to raise $22 million through the sale of approximately 532,000 shares in the second quarter.</w:t>
      </w:r>
    </w:p>
    <w:p>
      <w:pPr>
        <w:ind w:left="660" w:right="140" w:hanging="328"/>
        <w:spacing w:after="0" w:line="35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color w:val="auto"/>
        </w:rPr>
        <w:t>The company entered into an agreement with a subsidiary of BOC Aviation Limited to finance through a sale leaseback transaction six Boeing 787-9 and 16 Boeing 737 MAX 9 aircraft that are currently subject to purchase agreements between United and The Boeing Company and are scheduled to deliver in 2020.</w:t>
      </w:r>
    </w:p>
    <w:p>
      <w:pPr>
        <w:ind w:left="660" w:hanging="328"/>
        <w:spacing w:after="0"/>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Raised $250 million in a secured term loan facility.</w:t>
      </w:r>
    </w:p>
    <w:p>
      <w:pPr>
        <w:spacing w:after="0" w:line="107" w:lineRule="exact"/>
        <w:rPr>
          <w:rFonts w:ascii="Arial" w:cs="Arial" w:eastAsia="Arial" w:hAnsi="Arial"/>
          <w:sz w:val="20"/>
          <w:szCs w:val="20"/>
          <w:color w:val="auto"/>
        </w:rPr>
      </w:pPr>
    </w:p>
    <w:p>
      <w:pPr>
        <w:ind w:left="660" w:hanging="328"/>
        <w:spacing w:after="0" w:line="324" w:lineRule="auto"/>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Increased cargo revenue by 36.3% by serving strategic international cargo-only missions and optimizing aircraft capacity with low passenger demand.</w:t>
      </w:r>
    </w:p>
    <w:p>
      <w:pPr>
        <w:ind w:left="660" w:right="20" w:hanging="328"/>
        <w:spacing w:after="0" w:line="352" w:lineRule="auto"/>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Reduced total operating costs by 69% versus the second quarter of 2019; excluding special charges</w:t>
      </w:r>
      <w:r>
        <w:rPr>
          <w:rFonts w:ascii="Arial" w:cs="Arial" w:eastAsia="Arial" w:hAnsi="Arial"/>
          <w:sz w:val="20"/>
          <w:szCs w:val="20"/>
          <w:color w:val="auto"/>
          <w:vertAlign w:val="superscript"/>
        </w:rPr>
        <w:t>3</w:t>
      </w:r>
      <w:r>
        <w:rPr>
          <w:rFonts w:ascii="Arial" w:cs="Arial" w:eastAsia="Arial" w:hAnsi="Arial"/>
          <w:sz w:val="20"/>
          <w:szCs w:val="20"/>
          <w:color w:val="auto"/>
        </w:rPr>
        <w:t>, reduced operating costs by 54%.</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color w:val="auto"/>
        </w:rPr>
        <w:t>Full-year 2020 adjusted capital expenditures</w:t>
      </w:r>
      <w:r>
        <w:rPr>
          <w:rFonts w:ascii="Arial" w:cs="Arial" w:eastAsia="Arial" w:hAnsi="Arial"/>
          <w:sz w:val="20"/>
          <w:szCs w:val="20"/>
          <w:color w:val="auto"/>
          <w:vertAlign w:val="superscript"/>
        </w:rPr>
        <w:t>4</w:t>
      </w:r>
      <w:r>
        <w:rPr>
          <w:rFonts w:ascii="Arial" w:cs="Arial" w:eastAsia="Arial" w:hAnsi="Arial"/>
          <w:sz w:val="20"/>
          <w:szCs w:val="20"/>
          <w:color w:val="auto"/>
        </w:rPr>
        <w:t xml:space="preserve"> are now expected to be approximately $3.7 billion.</w:t>
      </w:r>
    </w:p>
    <w:p>
      <w:pPr>
        <w:spacing w:after="0" w:line="161" w:lineRule="exact"/>
        <w:rPr>
          <w:rFonts w:ascii="Arial" w:cs="Arial" w:eastAsia="Arial" w:hAnsi="Arial"/>
          <w:sz w:val="18"/>
          <w:szCs w:val="18"/>
          <w:color w:val="auto"/>
        </w:rPr>
      </w:pPr>
    </w:p>
    <w:p>
      <w:pPr>
        <w:ind w:left="660" w:right="20" w:hanging="328"/>
        <w:spacing w:after="0" w:line="352" w:lineRule="auto"/>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In third quarter 2020 the company expects consolidated system capacity to be down 65% versus third quarter 2019. The company will continue to proactively evaluate and cancel flights on a rolling 60-day basis until it sees signs of a recovery in demand, and expects demand to remain suppressed until the availability of a widely accepted treatment and/or vaccine for COVID-19.</w:t>
      </w:r>
    </w:p>
    <w:p>
      <w:pPr>
        <w:ind w:left="660" w:right="180" w:hanging="328"/>
        <w:spacing w:after="0" w:line="359" w:lineRule="auto"/>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Offered employees comprehensive voluntary separation packages including flight benefits and continuous pay through Nov. 30, 2020 with more than 6,000 employees opting to participate.</w:t>
      </w:r>
    </w:p>
    <w:p>
      <w:pPr>
        <w:spacing w:after="0" w:line="300" w:lineRule="exact"/>
        <w:rPr>
          <w:sz w:val="20"/>
          <w:szCs w:val="20"/>
          <w:color w:val="auto"/>
        </w:rPr>
      </w:pPr>
    </w:p>
    <w:p>
      <w:pPr>
        <w:ind w:left="2940"/>
        <w:spacing w:after="0"/>
        <w:rPr>
          <w:sz w:val="20"/>
          <w:szCs w:val="20"/>
          <w:color w:val="auto"/>
        </w:rPr>
      </w:pPr>
      <w:r>
        <w:rPr>
          <w:rFonts w:ascii="Arial" w:cs="Arial" w:eastAsia="Arial" w:hAnsi="Arial"/>
          <w:sz w:val="20"/>
          <w:szCs w:val="20"/>
          <w:b w:val="1"/>
          <w:bCs w:val="1"/>
          <w:color w:val="auto"/>
        </w:rPr>
        <w:t>United CleanPlus: Keeping Our Customers and Employees Safe</w:t>
      </w:r>
    </w:p>
    <w:p>
      <w:pPr>
        <w:spacing w:after="0" w:line="132" w:lineRule="exact"/>
        <w:rPr>
          <w:sz w:val="20"/>
          <w:szCs w:val="20"/>
          <w:color w:val="auto"/>
        </w:rPr>
      </w:pPr>
    </w:p>
    <w:p>
      <w:pPr>
        <w:ind w:left="660" w:right="220" w:hanging="328"/>
        <w:spacing w:after="0" w:line="352" w:lineRule="auto"/>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Launched United CleanPlus, to reinforce the company's commitment to putting health and safety at the forefront of the entire customer experience, with the goal of delivering an industry-leading standard of cleanliness by partnering with Clorox and experts from the Cleveland Clinic.</w:t>
      </w:r>
    </w:p>
    <w:p>
      <w:pPr>
        <w:ind w:left="660" w:hanging="328"/>
        <w:spacing w:after="0"/>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Require all United flight attendants and passengers to wear face coverings.</w:t>
      </w:r>
    </w:p>
    <w:p>
      <w:pPr>
        <w:spacing w:after="0" w:line="107" w:lineRule="exact"/>
        <w:rPr>
          <w:rFonts w:ascii="Arial" w:cs="Arial" w:eastAsia="Arial" w:hAnsi="Arial"/>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20"/>
          <w:szCs w:val="20"/>
          <w:color w:val="auto"/>
        </w:rPr>
        <w:t>Among first US airlines to enforce policy that bans customers for refusing to follow mask requirements.</w:t>
      </w:r>
    </w:p>
    <w:p>
      <w:pPr>
        <w:spacing w:after="0" w:line="107" w:lineRule="exact"/>
        <w:rPr>
          <w:rFonts w:ascii="Arial" w:cs="Arial" w:eastAsia="Arial" w:hAnsi="Arial"/>
          <w:sz w:val="18"/>
          <w:szCs w:val="18"/>
          <w:color w:val="auto"/>
        </w:rPr>
      </w:pPr>
    </w:p>
    <w:p>
      <w:pPr>
        <w:ind w:left="660" w:right="400" w:hanging="328"/>
        <w:spacing w:after="0" w:line="355" w:lineRule="auto"/>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This week, the company announced it will now maximize air flow volume for all mainline aircraft high-efficiency particulate air (HEPA) filtration systems during the entire boarding and deplaning process, helping further reduce the spread of COVID-19.</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140" w:right="37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United Airlines Reports Second-Quarter 2020 Performance</w:t>
      </w:r>
    </w:p>
    <w:p>
      <w:pPr>
        <w:spacing w:after="0" w:line="329" w:lineRule="exact"/>
        <w:rPr>
          <w:sz w:val="20"/>
          <w:szCs w:val="20"/>
          <w:color w:val="auto"/>
        </w:rPr>
      </w:pPr>
    </w:p>
    <w:p>
      <w:pPr>
        <w:ind w:left="660" w:right="160" w:hanging="328"/>
        <w:spacing w:after="0" w:line="352" w:lineRule="auto"/>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First major U.S. airline to ask all passengers to complete a health self-assessment during their check-in process based on recommendations from the Cleveland Clinic.</w:t>
      </w:r>
    </w:p>
    <w:p>
      <w:pPr>
        <w:ind w:left="660" w:hanging="328"/>
        <w:spacing w:after="0"/>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As of July 1, all US airports are electrostatic spraying aircraft interiors.</w:t>
      </w:r>
    </w:p>
    <w:p>
      <w:pPr>
        <w:spacing w:after="0" w:line="107" w:lineRule="exact"/>
        <w:rPr>
          <w:rFonts w:ascii="Arial" w:cs="Arial" w:eastAsia="Arial" w:hAnsi="Arial"/>
          <w:sz w:val="20"/>
          <w:szCs w:val="20"/>
          <w:color w:val="auto"/>
        </w:rPr>
      </w:pPr>
    </w:p>
    <w:p>
      <w:pPr>
        <w:ind w:left="660" w:hanging="328"/>
        <w:spacing w:after="0"/>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Expanded touchless check-in capabilities to kiosks at more than 215 airports.</w:t>
      </w:r>
    </w:p>
    <w:p>
      <w:pPr>
        <w:spacing w:after="0" w:line="107" w:lineRule="exact"/>
        <w:rPr>
          <w:rFonts w:ascii="Arial" w:cs="Arial" w:eastAsia="Arial" w:hAnsi="Arial"/>
          <w:sz w:val="20"/>
          <w:szCs w:val="20"/>
          <w:color w:val="auto"/>
        </w:rPr>
      </w:pPr>
    </w:p>
    <w:p>
      <w:pPr>
        <w:ind w:left="660" w:hanging="328"/>
        <w:spacing w:after="0" w:line="35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20"/>
          <w:szCs w:val="20"/>
          <w:color w:val="auto"/>
        </w:rPr>
        <w:t>The company offers free COVID-19 testing to all employees, and checks their temperatures before they begin work at all US airports.</w:t>
      </w:r>
    </w:p>
    <w:p>
      <w:pPr>
        <w:ind w:left="660" w:right="140" w:hanging="328"/>
        <w:spacing w:after="0" w:line="359" w:lineRule="auto"/>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In May, started providing individually wrapped hand wipes and snack bag with pretzels, Stroopwafel, water, and a hand sanitizer wipe as customers board to reduce touchpoints.</w:t>
      </w: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More Space and Flexibility to Build Our Customers' Confidence</w:t>
      </w:r>
    </w:p>
    <w:p>
      <w:pPr>
        <w:spacing w:after="0" w:line="186" w:lineRule="exact"/>
        <w:rPr>
          <w:sz w:val="20"/>
          <w:szCs w:val="20"/>
          <w:color w:val="auto"/>
        </w:rPr>
      </w:pPr>
    </w:p>
    <w:p>
      <w:pPr>
        <w:ind w:left="660" w:right="140" w:hanging="328"/>
        <w:spacing w:after="0" w:line="324" w:lineRule="auto"/>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First airline to contact customers when flights are more than 70% full to give them the opportunity to change their plans for free.</w:t>
      </w:r>
    </w:p>
    <w:p>
      <w:pPr>
        <w:ind w:left="660" w:right="340" w:hanging="328"/>
        <w:spacing w:after="0" w:line="380" w:lineRule="auto"/>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Upgauged more than 4,000 flights in May and June to give customers more space on-board. Seat factor</w:t>
      </w:r>
      <w:r>
        <w:rPr>
          <w:rFonts w:ascii="Arial" w:cs="Arial" w:eastAsia="Arial" w:hAnsi="Arial"/>
          <w:sz w:val="20"/>
          <w:szCs w:val="20"/>
          <w:color w:val="auto"/>
          <w:vertAlign w:val="superscript"/>
        </w:rPr>
        <w:t>5</w:t>
      </w:r>
      <w:r>
        <w:rPr>
          <w:rFonts w:ascii="Arial" w:cs="Arial" w:eastAsia="Arial" w:hAnsi="Arial"/>
          <w:sz w:val="20"/>
          <w:szCs w:val="20"/>
          <w:color w:val="auto"/>
        </w:rPr>
        <w:t xml:space="preserve"> in May was 38.0% and in June was 57.8%.</w:t>
      </w:r>
    </w:p>
    <w:p>
      <w:pPr>
        <w:ind w:left="660" w:right="160" w:hanging="328"/>
        <w:spacing w:after="0" w:line="352" w:lineRule="auto"/>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United doubled the size of its schedule from June to July - meaning more flights, more seats, and more space onboard for our customers. Our schedule will expand again in August.</w:t>
      </w:r>
    </w:p>
    <w:p>
      <w:pPr>
        <w:ind w:left="660" w:hanging="328"/>
        <w:spacing w:after="0"/>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Expecting a July load factor of 45%, with less than 15% of flights with more than 70% of seats filled.</w:t>
      </w:r>
    </w:p>
    <w:p>
      <w:pPr>
        <w:spacing w:after="0" w:line="107" w:lineRule="exact"/>
        <w:rPr>
          <w:rFonts w:ascii="Arial" w:cs="Arial" w:eastAsia="Arial" w:hAnsi="Arial"/>
          <w:sz w:val="20"/>
          <w:szCs w:val="20"/>
          <w:color w:val="auto"/>
        </w:rPr>
      </w:pPr>
    </w:p>
    <w:p>
      <w:pPr>
        <w:ind w:left="660" w:hanging="328"/>
        <w:spacing w:after="0"/>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Waiving change fees for tickets bought through July 31, 2020.</w:t>
      </w: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Doing Our Part to Help Fight COVID-19 Since Crisis Began</w:t>
      </w:r>
    </w:p>
    <w:p>
      <w:pPr>
        <w:spacing w:after="0" w:line="186" w:lineRule="exact"/>
        <w:rPr>
          <w:sz w:val="20"/>
          <w:szCs w:val="20"/>
          <w:color w:val="auto"/>
        </w:rPr>
      </w:pPr>
    </w:p>
    <w:p>
      <w:pPr>
        <w:ind w:left="660" w:right="60" w:hanging="328"/>
        <w:spacing w:after="0" w:line="35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20"/>
          <w:szCs w:val="20"/>
          <w:color w:val="auto"/>
        </w:rPr>
        <w:t>Booked over 2,900 in-kind flights for medical professionals to support COVID-19 response in New Jersey/New York and California.</w:t>
      </w:r>
    </w:p>
    <w:p>
      <w:pPr>
        <w:ind w:left="660" w:right="620" w:hanging="328"/>
        <w:spacing w:after="0" w:line="35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20"/>
          <w:szCs w:val="20"/>
          <w:color w:val="auto"/>
        </w:rPr>
        <w:t>More than 19.2 million miles donated by MileagePlus members and 7.6 million miles matched from United to help organizations providing relief during COVID-19.</w:t>
      </w:r>
    </w:p>
    <w:p>
      <w:pPr>
        <w:ind w:left="660" w:right="360" w:hanging="328"/>
        <w:spacing w:after="0" w:line="35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20"/>
          <w:szCs w:val="20"/>
          <w:color w:val="auto"/>
        </w:rPr>
        <w:t>Donated more than 500,000 pounds of food from United Polaris lounges, United Clubs and catering kitchens to local food banks and charities.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20"/>
          <w:szCs w:val="20"/>
          <w:color w:val="auto"/>
        </w:rPr>
        <w:t>Over 7,500 face masks were made from upcycled unused ramp uniforms.</w:t>
      </w:r>
    </w:p>
    <w:p>
      <w:pPr>
        <w:spacing w:after="0" w:line="10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20"/>
          <w:szCs w:val="20"/>
          <w:color w:val="auto"/>
        </w:rPr>
        <w:t>More than 800 gallons of hand sanitizer produced by United employees in San Francisco for use by United employees.</w:t>
      </w:r>
    </w:p>
    <w:p>
      <w:pPr>
        <w:spacing w:after="0" w:line="10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20"/>
          <w:szCs w:val="20"/>
          <w:color w:val="auto"/>
        </w:rPr>
        <w:t>Donated 15,000 pillows, 2,800 amenity kits and 5,000 self-care products to charities and homeless shelters.</w:t>
      </w:r>
    </w:p>
    <w:p>
      <w:pPr>
        <w:spacing w:after="0" w:line="107" w:lineRule="exact"/>
        <w:rPr>
          <w:rFonts w:ascii="Arial" w:cs="Arial" w:eastAsia="Arial" w:hAnsi="Arial"/>
          <w:sz w:val="18"/>
          <w:szCs w:val="18"/>
          <w:color w:val="auto"/>
        </w:rPr>
      </w:pPr>
    </w:p>
    <w:p>
      <w:pPr>
        <w:ind w:left="660" w:right="180" w:hanging="328"/>
        <w:spacing w:after="0" w:line="35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20"/>
          <w:szCs w:val="20"/>
          <w:color w:val="auto"/>
        </w:rPr>
        <w:t>More than 2.2 million pounds of food and household goods were processed by United employees at the Houston Food Bank.</w:t>
      </w:r>
    </w:p>
    <w:p>
      <w:pPr>
        <w:ind w:left="660" w:hanging="328"/>
        <w:spacing w:after="0" w:line="3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20"/>
          <w:szCs w:val="20"/>
          <w:color w:val="auto"/>
        </w:rPr>
        <w:t>Flew over 78.6 million pounds of medical equipment and personal protective equipment and 2 million pounds of supplies to support military troops.</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80"/>
          </w:cols>
          <w:pgMar w:left="320" w:top="140" w:right="39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United Airlines Reports Second-Quarter 2020 Performance</w:t>
      </w:r>
    </w:p>
    <w:p>
      <w:pPr>
        <w:spacing w:after="0" w:line="329"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20"/>
          <w:szCs w:val="20"/>
          <w:color w:val="auto"/>
        </w:rPr>
        <w:t>Operated over 3,800 cargo-only flights to bring 204,000,000 pounds of cargo to communities in need.</w:t>
      </w:r>
    </w:p>
    <w:p>
      <w:pPr>
        <w:spacing w:after="0" w:line="10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20"/>
          <w:szCs w:val="20"/>
          <w:color w:val="auto"/>
        </w:rPr>
        <w:t>More than 2,300 United employees worldwide have volunteered, with over 30,800 hours served.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_____________________________________________________________________________</w:t>
      </w:r>
    </w:p>
    <w:p>
      <w:pPr>
        <w:spacing w:after="0" w:line="389" w:lineRule="exact"/>
        <w:rPr>
          <w:sz w:val="20"/>
          <w:szCs w:val="20"/>
          <w:color w:val="auto"/>
        </w:rPr>
      </w:pPr>
    </w:p>
    <w:p>
      <w:pPr>
        <w:ind w:right="220" w:firstLine="8"/>
        <w:spacing w:after="0" w:line="242" w:lineRule="auto"/>
        <w:tabs>
          <w:tab w:leader="none" w:pos="75" w:val="left"/>
        </w:tabs>
        <w:numPr>
          <w:ilvl w:val="0"/>
          <w:numId w:val="10"/>
        </w:numPr>
        <w:rPr>
          <w:rFonts w:ascii="Arial" w:cs="Arial" w:eastAsia="Arial" w:hAnsi="Arial"/>
          <w:sz w:val="9"/>
          <w:szCs w:val="9"/>
          <w:color w:val="auto"/>
        </w:rPr>
      </w:pPr>
      <w:r>
        <w:rPr>
          <w:rFonts w:ascii="Arial" w:cs="Arial" w:eastAsia="Arial" w:hAnsi="Arial"/>
          <w:sz w:val="13"/>
          <w:szCs w:val="13"/>
          <w:color w:val="auto"/>
        </w:rPr>
        <w:t>Excludes special charges, nonoperating special termination benefits and settlement losses and unrealized gains and losses on investments. Reconciliations of non-GAAP financial measures to the most directly comparable GAAP measures are included in the tables accompanying this release.</w:t>
      </w:r>
    </w:p>
    <w:p>
      <w:pPr>
        <w:spacing w:after="0" w:line="50" w:lineRule="exact"/>
        <w:rPr>
          <w:sz w:val="20"/>
          <w:szCs w:val="20"/>
          <w:color w:val="auto"/>
        </w:rPr>
      </w:pPr>
    </w:p>
    <w:p>
      <w:pPr>
        <w:ind w:right="260" w:firstLine="8"/>
        <w:spacing w:after="0"/>
        <w:tabs>
          <w:tab w:leader="none" w:pos="85" w:val="left"/>
        </w:tabs>
        <w:numPr>
          <w:ilvl w:val="0"/>
          <w:numId w:val="11"/>
        </w:numPr>
        <w:rPr>
          <w:rFonts w:ascii="Arial" w:cs="Arial" w:eastAsia="Arial" w:hAnsi="Arial"/>
          <w:sz w:val="9"/>
          <w:szCs w:val="9"/>
          <w:color w:val="auto"/>
        </w:rPr>
      </w:pPr>
      <w:r>
        <w:rPr>
          <w:rFonts w:ascii="Arial" w:cs="Arial" w:eastAsia="Arial" w:hAnsi="Arial"/>
          <w:sz w:val="13"/>
          <w:szCs w:val="13"/>
          <w:color w:val="auto"/>
        </w:rPr>
        <w:t>Cash burn is defined as: Net cash from operations, less investing and financing activities. Proceeds from the issuance of new debt (excluding expected aircraft financing), government grants associated with the Payroll Support Program of the CARES Act, issuance of new stock, net proceeds from sale of short-term and other investments and changes in restricted cash balances are not included in this figure.</w:t>
      </w:r>
    </w:p>
    <w:p>
      <w:pPr>
        <w:spacing w:after="0" w:line="51" w:lineRule="exact"/>
        <w:rPr>
          <w:sz w:val="20"/>
          <w:szCs w:val="20"/>
          <w:color w:val="auto"/>
        </w:rPr>
      </w:pPr>
    </w:p>
    <w:p>
      <w:pPr>
        <w:ind w:left="100" w:hanging="92"/>
        <w:spacing w:after="0"/>
        <w:tabs>
          <w:tab w:leader="none" w:pos="100" w:val="left"/>
        </w:tabs>
        <w:numPr>
          <w:ilvl w:val="0"/>
          <w:numId w:val="12"/>
        </w:numPr>
        <w:rPr>
          <w:rFonts w:ascii="Arial" w:cs="Arial" w:eastAsia="Arial" w:hAnsi="Arial"/>
          <w:sz w:val="9"/>
          <w:szCs w:val="9"/>
          <w:color w:val="auto"/>
        </w:rPr>
      </w:pPr>
      <w:r>
        <w:rPr>
          <w:rFonts w:ascii="Arial" w:cs="Arial" w:eastAsia="Arial" w:hAnsi="Arial"/>
          <w:sz w:val="13"/>
          <w:szCs w:val="13"/>
          <w:color w:val="auto"/>
        </w:rPr>
        <w:t>Reconciliations of non-GAAP financial measures to the most directly comparable GAAP measures are included in the tables accompanying this release.</w:t>
      </w:r>
    </w:p>
    <w:p>
      <w:pPr>
        <w:spacing w:after="0" w:line="53" w:lineRule="exact"/>
        <w:rPr>
          <w:sz w:val="20"/>
          <w:szCs w:val="20"/>
          <w:color w:val="auto"/>
        </w:rPr>
      </w:pPr>
    </w:p>
    <w:p>
      <w:pPr>
        <w:ind w:left="100" w:hanging="92"/>
        <w:spacing w:after="0"/>
        <w:tabs>
          <w:tab w:leader="none" w:pos="100" w:val="left"/>
        </w:tabs>
        <w:numPr>
          <w:ilvl w:val="0"/>
          <w:numId w:val="13"/>
        </w:numPr>
        <w:rPr>
          <w:rFonts w:ascii="Arial" w:cs="Arial" w:eastAsia="Arial" w:hAnsi="Arial"/>
          <w:sz w:val="9"/>
          <w:szCs w:val="9"/>
          <w:color w:val="auto"/>
        </w:rPr>
      </w:pPr>
      <w:r>
        <w:rPr>
          <w:rFonts w:ascii="Arial" w:cs="Arial" w:eastAsia="Arial" w:hAnsi="Arial"/>
          <w:sz w:val="13"/>
          <w:szCs w:val="13"/>
          <w:color w:val="auto"/>
        </w:rPr>
        <w:t>Non-cash capital expenditures are not determinable at this time. Accordingly, the Company is not providing capital expenditure guidance on a GAAP basis.</w:t>
      </w:r>
    </w:p>
    <w:p>
      <w:pPr>
        <w:spacing w:after="0" w:line="53"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9"/>
          <w:szCs w:val="9"/>
          <w:color w:val="auto"/>
        </w:rPr>
        <w:t xml:space="preserve">5 </w:t>
      </w:r>
      <w:r>
        <w:rPr>
          <w:rFonts w:ascii="Arial" w:cs="Arial" w:eastAsia="Arial" w:hAnsi="Arial"/>
          <w:sz w:val="12"/>
          <w:szCs w:val="12"/>
          <w:color w:val="auto"/>
        </w:rPr>
        <w:t>Seat factor is defined as total number of seats filled divided by total number of seats. This number includes both revenue and non-revenue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Earnings Call</w:t>
      </w:r>
    </w:p>
    <w:p>
      <w:pPr>
        <w:spacing w:after="0" w:line="132" w:lineRule="exact"/>
        <w:rPr>
          <w:sz w:val="20"/>
          <w:szCs w:val="20"/>
          <w:color w:val="auto"/>
        </w:rPr>
      </w:pPr>
    </w:p>
    <w:p>
      <w:pPr>
        <w:ind w:right="220" w:firstLine="648"/>
        <w:spacing w:after="0" w:line="352" w:lineRule="auto"/>
        <w:rPr>
          <w:sz w:val="20"/>
          <w:szCs w:val="20"/>
          <w:color w:val="auto"/>
        </w:rPr>
      </w:pPr>
      <w:r>
        <w:rPr>
          <w:rFonts w:ascii="Arial" w:cs="Arial" w:eastAsia="Arial" w:hAnsi="Arial"/>
          <w:sz w:val="20"/>
          <w:szCs w:val="20"/>
          <w:color w:val="auto"/>
        </w:rPr>
        <w:t>UAL will hold a conference call to discuss second-quarter 2020 financial results as well as its financial and operational outlook for the third quarter and full year 2020, on Wednesday, July 22, at 9:30 a.m. CT/10:30 a.m. ET. A live, listen-only webcast of the conference call will be available at ir.united.com.</w:t>
      </w:r>
    </w:p>
    <w:p>
      <w:pPr>
        <w:spacing w:after="0" w:line="1" w:lineRule="exact"/>
        <w:rPr>
          <w:sz w:val="20"/>
          <w:szCs w:val="20"/>
          <w:color w:val="auto"/>
        </w:rPr>
      </w:pPr>
    </w:p>
    <w:p>
      <w:pPr>
        <w:ind w:firstLine="648"/>
        <w:spacing w:after="0" w:line="339" w:lineRule="auto"/>
        <w:rPr>
          <w:sz w:val="20"/>
          <w:szCs w:val="20"/>
          <w:color w:val="auto"/>
        </w:rPr>
      </w:pPr>
      <w:r>
        <w:rPr>
          <w:rFonts w:ascii="Arial" w:cs="Arial" w:eastAsia="Arial" w:hAnsi="Arial"/>
          <w:sz w:val="20"/>
          <w:szCs w:val="20"/>
          <w:color w:val="auto"/>
        </w:rPr>
        <w:t>The webcast will be available for replay within 24 hours of the conference call and then archived on the website for three months.</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About United</w:t>
      </w:r>
    </w:p>
    <w:p>
      <w:pPr>
        <w:spacing w:after="0" w:line="132" w:lineRule="exact"/>
        <w:rPr>
          <w:sz w:val="20"/>
          <w:szCs w:val="20"/>
          <w:color w:val="auto"/>
        </w:rPr>
      </w:pPr>
    </w:p>
    <w:p>
      <w:pPr>
        <w:ind w:right="340" w:firstLine="648"/>
        <w:spacing w:after="0" w:line="355" w:lineRule="auto"/>
        <w:rPr>
          <w:sz w:val="20"/>
          <w:szCs w:val="20"/>
          <w:color w:val="auto"/>
        </w:rPr>
      </w:pPr>
      <w:r>
        <w:rPr>
          <w:rFonts w:ascii="Arial" w:cs="Arial" w:eastAsia="Arial" w:hAnsi="Arial"/>
          <w:sz w:val="20"/>
          <w:szCs w:val="20"/>
          <w:color w:val="auto"/>
        </w:rPr>
        <w:t>United's shared purpose is "Connecting People. Uniting the World." For more information, visit united.com, follow @United on Twitter and Instagram or connect on Facebook. The common stock of United's parent, United Airlines Holdings, Inc., is traded on the Nasdaq under the symbol "UAL".</w:t>
      </w:r>
    </w:p>
    <w:p>
      <w:pPr>
        <w:spacing w:after="0" w:line="130" w:lineRule="exact"/>
        <w:rPr>
          <w:sz w:val="20"/>
          <w:szCs w:val="20"/>
          <w:color w:val="auto"/>
        </w:rPr>
      </w:pPr>
    </w:p>
    <w:p>
      <w:pPr>
        <w:ind w:right="100"/>
        <w:spacing w:after="0" w:line="242" w:lineRule="auto"/>
        <w:rPr>
          <w:sz w:val="20"/>
          <w:szCs w:val="20"/>
          <w:color w:val="auto"/>
        </w:rPr>
      </w:pPr>
      <w:r>
        <w:rPr>
          <w:rFonts w:ascii="Arial" w:cs="Arial" w:eastAsia="Arial" w:hAnsi="Arial"/>
          <w:sz w:val="20"/>
          <w:szCs w:val="20"/>
          <w:b w:val="1"/>
          <w:bCs w:val="1"/>
          <w:color w:val="auto"/>
        </w:rPr>
        <w:t xml:space="preserve">Safe Harbor Statement under the Private Securities Litigation Reform Act of 1995: </w:t>
      </w:r>
      <w:r>
        <w:rPr>
          <w:rFonts w:ascii="Arial" w:cs="Arial" w:eastAsia="Arial" w:hAnsi="Arial"/>
          <w:sz w:val="20"/>
          <w:szCs w:val="20"/>
          <w:color w:val="auto"/>
        </w:rPr>
        <w:t>Certain statements in this release are</w:t>
      </w:r>
      <w:r>
        <w:rPr>
          <w:rFonts w:ascii="Arial" w:cs="Arial" w:eastAsia="Arial" w:hAnsi="Arial"/>
          <w:sz w:val="20"/>
          <w:szCs w:val="20"/>
          <w:b w:val="1"/>
          <w:bCs w:val="1"/>
          <w:color w:val="auto"/>
        </w:rPr>
        <w:t xml:space="preserve"> </w:t>
      </w:r>
      <w:r>
        <w:rPr>
          <w:rFonts w:ascii="Arial" w:cs="Arial" w:eastAsia="Arial" w:hAnsi="Arial"/>
          <w:sz w:val="20"/>
          <w:szCs w:val="20"/>
          <w:color w:val="auto"/>
        </w:rPr>
        <w:t>forward-looking and thus reflect our current expectations and beliefs with respect to certain current and future events and anticipated financial and operating performance. Such forward-looking statements are and will be subject to many risks and uncertainties relating to our operations and business environment that may cause actual results to differ materially from any future results expressed or implied in such forward-looking statements. Words such as "expects," "will," "plans," "anticipates," "indicates," "remains," "believes," "estimates," "forecast," "guidance," "outlook," "goals," "targets" and similar expressions are intended to identify forward-looking statements. Additionally, forward-looking statements include statements that do not relate solely to historical facts, such as statements which identify uncertainties or trends, discuss the possible future effects of current known trends or uncertainties, or which indicate that the future effects of known trends or uncertainties cannot be predicted, guaranteed or assured. All forward-looking statements in this release are based upon information available to us on the date of this release. We undertake no obligation to publicly update or</w:t>
      </w: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80"/>
          </w:cols>
          <w:pgMar w:left="320" w:top="140" w:right="39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United Airlines Reports Second-Quarter 2020 Performance</w:t>
      </w:r>
    </w:p>
    <w:p>
      <w:pPr>
        <w:spacing w:after="0" w:line="275" w:lineRule="exact"/>
        <w:rPr>
          <w:sz w:val="20"/>
          <w:szCs w:val="20"/>
          <w:color w:val="auto"/>
        </w:rPr>
      </w:pPr>
    </w:p>
    <w:p>
      <w:pPr>
        <w:spacing w:after="0" w:line="252" w:lineRule="auto"/>
        <w:rPr>
          <w:sz w:val="20"/>
          <w:szCs w:val="20"/>
          <w:color w:val="auto"/>
        </w:rPr>
      </w:pPr>
      <w:r>
        <w:rPr>
          <w:rFonts w:ascii="Arial" w:cs="Arial" w:eastAsia="Arial" w:hAnsi="Arial"/>
          <w:sz w:val="19"/>
          <w:szCs w:val="19"/>
          <w:color w:val="auto"/>
        </w:rPr>
        <w:t>revise any forward-looking statement, whether as a result of new information, future events, changed circumstances or otherwise, except as required by applicable law. Our actual results could differ materially from these forward-looking statements due to numerous factors including, without limitation, the following: the duration and spread of the ongoing global COVID-19 pandemic and the outbreak of any other disease or similar public health threat and the impact on our business, results of operations and financial condition; the lenders' ability to accelerate the MileagePlus indebtedness, foreclose upon the collateral securing the MileagePlus indebtedness or exercise other remedies if we are not able to comply with the covenants in the MileagePlus financing agreement; the final terms of borrowing pursuant to the Loan Program under the CARES Act, if any, and the effects of the grant and promissory note through the Payroll Support Program under the CARES Act; the costs and availability of financing; our significant amount of financial leverage from fixed obligations and ability to seek additional liquidity and maintain adequate liquidity; our ability to comply with the terms of our various financing arrangements; the material disruption of our strategic operating plan as a result of the COVID-19 pandemic, and our ability to execute our strategic operating plans in the long term; general economic conditions (including interest rates, foreign currency exchange rates, investment or credit market conditions, crude oil prices, costs of aircraft fuel and energy refining capacity in relevant markets); risks of doing business globally, including instability and political developments that may impact our operations in certain countries; demand for travel and the impact that global economic and political conditions have on customer travel patterns; our capacity decisions and the capacity decisions of our competitors; competitive pressures on pricing and on demand; changes in aircraft fuel prices; disruptions in our supply of aircraft fuel; our ability to cost-effectively hedge against increases in the price of aircraft fuel, if we decide to do so; the effects of any technology failures or cybersecurity or significant data breaches; disruptions to services provided by third-party service providers; potential reputational or other impact from adverse events involving our aircraft or operations, the aircraft or operations of our regional carriers or our code share partners or the aircraft or operations of another airline; our ability to attract and retain customers; the effects of any terrorist attacks, international hostilities or other security events, or the fear of such events; the mandatory grounding of aircraft in our fleet; disruptions to our regional network, as a result of the COVID-19 pandemic or otherwise; the impact of regulatory, investigative and legal proceedings and legal compliance risks; the success of our investments in other airlines, including in other parts of the world, which involve significant challenges and risks, particularly given the impact of the COVID-19 pandemic; industry consolidation or changes in airline alliances; the ability of other air carriers with whom we have alliances or partnerships to provide the services contemplated by the respective arrangements with such carriers; costs associated with any modification or termination of our aircraft orders; disruptions in the availability of aircraft, parts or support from our suppliers; our ability to maintain satisfactory labor relations and the results of any collective bargaining agreement process with our union groups; any disruptions to operations due to any potential actions by our labor groups; labor costs; the impact of any management changes; extended interruptions or disruptions in service at major airports where we operate; U.S. or foreign governmental legislation, regulation and other actions (including Open Skies agreements, environmental regulations and the United Kingdom's withdrawal from the European Union); the seasonality of the airline industry; weather conditions; the costs and availability of aviation and other insurance; our ability to realize the full value of our intangible assets and long-lived assets; any impact to our reputation or brand image; and other risks and uncertainties set forth under Part I, Item 1A., "Risk Factors," of our Annual Report on Form 10-K for the fiscal year</w:t>
      </w:r>
    </w:p>
    <w:p>
      <w:pPr>
        <w:spacing w:after="0" w:line="233" w:lineRule="exact"/>
        <w:rPr>
          <w:sz w:val="20"/>
          <w:szCs w:val="20"/>
          <w:color w:val="auto"/>
        </w:rPr>
      </w:pPr>
    </w:p>
    <w:p>
      <w:pPr>
        <w:ind w:right="180"/>
        <w:spacing w:after="0" w:line="243" w:lineRule="auto"/>
        <w:rPr>
          <w:sz w:val="20"/>
          <w:szCs w:val="20"/>
          <w:color w:val="auto"/>
        </w:rPr>
      </w:pPr>
      <w:r>
        <w:rPr>
          <w:rFonts w:ascii="Arial" w:cs="Arial" w:eastAsia="Arial" w:hAnsi="Arial"/>
          <w:sz w:val="20"/>
          <w:szCs w:val="20"/>
          <w:color w:val="auto"/>
        </w:rPr>
        <w:t>ended December 31, 2019, as updated by our Quarterly Report on Form 10-Q for the quarter ended March 31, 2020 and the Company's Current Report on Form 8-K filed June 15, 2020, as well as other risks and uncertainties set forth from time to time in the reports we file with the U.S. Securities and Exchange Commission.</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-tables attached-</w:t>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140" w:right="359" w:bottom="1440" w:gutter="0" w:footer="0" w:header="0"/>
        </w:sectPr>
      </w:pPr>
    </w:p>
    <w:bookmarkStart w:id="8" w:name="page9"/>
    <w:bookmarkEnd w:id="8"/>
    <w:p>
      <w:pPr>
        <w:spacing w:after="0"/>
        <w:rPr>
          <w:sz w:val="20"/>
          <w:szCs w:val="20"/>
          <w:color w:val="auto"/>
        </w:rPr>
      </w:pPr>
      <w:r>
        <w:rPr>
          <w:rFonts w:ascii="Arial" w:cs="Arial" w:eastAsia="Arial" w:hAnsi="Arial"/>
          <w:sz w:val="17"/>
          <w:szCs w:val="17"/>
          <w:color w:val="auto"/>
        </w:rPr>
        <w:t>United Airlines Reports Second-Quarter 2020 Performance</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0"/>
        <w:spacing w:after="0"/>
        <w:rPr>
          <w:sz w:val="20"/>
          <w:szCs w:val="20"/>
          <w:color w:val="auto"/>
        </w:rPr>
      </w:pPr>
      <w:r>
        <w:rPr>
          <w:rFonts w:ascii="Arial" w:cs="Arial" w:eastAsia="Arial" w:hAnsi="Arial"/>
          <w:sz w:val="14"/>
          <w:szCs w:val="14"/>
          <w:color w:val="auto"/>
        </w:rPr>
        <w:t>(In millions, except per share data)</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Operating revenue:</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Passenger</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Cargo</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Other operating revenue</w:t>
      </w:r>
    </w:p>
    <w:p>
      <w:pPr>
        <w:spacing w:after="0" w:line="86" w:lineRule="exact"/>
        <w:rPr>
          <w:sz w:val="20"/>
          <w:szCs w:val="20"/>
          <w:color w:val="auto"/>
        </w:rPr>
      </w:pPr>
    </w:p>
    <w:p>
      <w:pPr>
        <w:ind w:left="740"/>
        <w:spacing w:after="0"/>
        <w:rPr>
          <w:sz w:val="20"/>
          <w:szCs w:val="20"/>
          <w:color w:val="auto"/>
        </w:rPr>
      </w:pPr>
      <w:r>
        <w:rPr>
          <w:rFonts w:ascii="Arial" w:cs="Arial" w:eastAsia="Arial" w:hAnsi="Arial"/>
          <w:sz w:val="14"/>
          <w:szCs w:val="14"/>
          <w:color w:val="auto"/>
        </w:rPr>
        <w:t>Total operating revenue</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jc w:val="center"/>
        <w:ind w:right="3260"/>
        <w:spacing w:after="0"/>
        <w:rPr>
          <w:sz w:val="20"/>
          <w:szCs w:val="20"/>
          <w:color w:val="auto"/>
        </w:rPr>
      </w:pPr>
      <w:r>
        <w:rPr>
          <w:rFonts w:ascii="Arial" w:cs="Arial" w:eastAsia="Arial" w:hAnsi="Arial"/>
          <w:sz w:val="16"/>
          <w:szCs w:val="16"/>
          <w:b w:val="1"/>
          <w:bCs w:val="1"/>
          <w:color w:val="auto"/>
        </w:rPr>
        <w:t>UNITED AIRLINES HOLDINGS, INC</w:t>
      </w:r>
    </w:p>
    <w:p>
      <w:pPr>
        <w:spacing w:after="0" w:line="23" w:lineRule="exact"/>
        <w:rPr>
          <w:sz w:val="20"/>
          <w:szCs w:val="20"/>
          <w:color w:val="auto"/>
        </w:rPr>
      </w:pPr>
    </w:p>
    <w:p>
      <w:pPr>
        <w:jc w:val="center"/>
        <w:ind w:right="3260"/>
        <w:spacing w:after="0"/>
        <w:rPr>
          <w:sz w:val="20"/>
          <w:szCs w:val="20"/>
          <w:color w:val="auto"/>
        </w:rPr>
      </w:pPr>
      <w:r>
        <w:rPr>
          <w:rFonts w:ascii="Arial" w:cs="Arial" w:eastAsia="Arial" w:hAnsi="Arial"/>
          <w:sz w:val="15"/>
          <w:szCs w:val="15"/>
          <w:color w:val="auto"/>
        </w:rPr>
        <w:t>STATEMENTS OF CONSOLIDATED OPERATIONS (UNAUDITED)</w:t>
      </w:r>
    </w:p>
    <w:p>
      <w:pPr>
        <w:spacing w:after="0" w:line="165" w:lineRule="exact"/>
        <w:rPr>
          <w:sz w:val="20"/>
          <w:szCs w:val="20"/>
          <w:color w:val="auto"/>
        </w:rPr>
      </w:pPr>
    </w:p>
    <w:tbl>
      <w:tblPr>
        <w:tblLayout w:type="fixed"/>
        <w:tblInd w:w="920" w:type="dxa"/>
        <w:tblCellMar>
          <w:top w:w="0" w:type="dxa"/>
          <w:left w:w="0" w:type="dxa"/>
          <w:bottom w:w="0" w:type="dxa"/>
          <w:right w:w="0" w:type="dxa"/>
        </w:tblCellMar>
      </w:tblPr>
      <w:tr>
        <w:trPr>
          <w:trHeight w:val="203"/>
        </w:trPr>
        <w:tc>
          <w:tcPr>
            <w:tcW w:w="180" w:type="dxa"/>
            <w:vAlign w:val="bottom"/>
          </w:tcPr>
          <w:p>
            <w:pPr>
              <w:spacing w:after="0"/>
              <w:rPr>
                <w:sz w:val="17"/>
                <w:szCs w:val="17"/>
                <w:color w:val="auto"/>
              </w:rPr>
            </w:pPr>
          </w:p>
        </w:tc>
        <w:tc>
          <w:tcPr>
            <w:tcW w:w="1640" w:type="dxa"/>
            <w:vAlign w:val="bottom"/>
            <w:gridSpan w:val="4"/>
          </w:tcPr>
          <w:p>
            <w:pPr>
              <w:jc w:val="center"/>
              <w:ind w:right="79"/>
              <w:spacing w:after="0"/>
              <w:rPr>
                <w:sz w:val="20"/>
                <w:szCs w:val="20"/>
                <w:color w:val="auto"/>
              </w:rPr>
            </w:pPr>
            <w:r>
              <w:rPr>
                <w:rFonts w:ascii="Arial" w:cs="Arial" w:eastAsia="Arial" w:hAnsi="Arial"/>
                <w:sz w:val="16"/>
                <w:szCs w:val="16"/>
                <w:color w:val="auto"/>
                <w:w w:val="90"/>
              </w:rPr>
              <w:t>Three Months Ended</w:t>
            </w:r>
          </w:p>
        </w:tc>
        <w:tc>
          <w:tcPr>
            <w:tcW w:w="108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w w:val="98"/>
              </w:rPr>
              <w:t>%</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gridSpan w:val="4"/>
          </w:tcPr>
          <w:p>
            <w:pPr>
              <w:jc w:val="center"/>
              <w:ind w:right="139"/>
              <w:spacing w:after="0"/>
              <w:rPr>
                <w:sz w:val="20"/>
                <w:szCs w:val="20"/>
                <w:color w:val="auto"/>
              </w:rPr>
            </w:pPr>
            <w:r>
              <w:rPr>
                <w:rFonts w:ascii="Arial" w:cs="Arial" w:eastAsia="Arial" w:hAnsi="Arial"/>
                <w:sz w:val="16"/>
                <w:szCs w:val="16"/>
                <w:color w:val="auto"/>
                <w:w w:val="92"/>
              </w:rPr>
              <w:t>Six Months Ended</w:t>
            </w:r>
          </w:p>
        </w:tc>
        <w:tc>
          <w:tcPr>
            <w:tcW w:w="110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81"/>
        </w:trPr>
        <w:tc>
          <w:tcPr>
            <w:tcW w:w="180" w:type="dxa"/>
            <w:vAlign w:val="bottom"/>
          </w:tcPr>
          <w:p>
            <w:pPr>
              <w:spacing w:after="0"/>
              <w:rPr>
                <w:sz w:val="7"/>
                <w:szCs w:val="7"/>
                <w:color w:val="auto"/>
              </w:rPr>
            </w:pPr>
          </w:p>
        </w:tc>
        <w:tc>
          <w:tcPr>
            <w:tcW w:w="1020" w:type="dxa"/>
            <w:vAlign w:val="bottom"/>
            <w:gridSpan w:val="3"/>
            <w:vMerge w:val="restart"/>
          </w:tcPr>
          <w:p>
            <w:pPr>
              <w:jc w:val="center"/>
              <w:ind w:left="399"/>
              <w:spacing w:after="0"/>
              <w:rPr>
                <w:sz w:val="20"/>
                <w:szCs w:val="20"/>
                <w:color w:val="auto"/>
              </w:rPr>
            </w:pPr>
            <w:r>
              <w:rPr>
                <w:rFonts w:ascii="Arial" w:cs="Arial" w:eastAsia="Arial" w:hAnsi="Arial"/>
                <w:sz w:val="16"/>
                <w:szCs w:val="16"/>
                <w:color w:val="auto"/>
                <w:w w:val="87"/>
              </w:rPr>
              <w:t>June 30,</w:t>
            </w:r>
          </w:p>
        </w:tc>
        <w:tc>
          <w:tcPr>
            <w:tcW w:w="62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gridSpan w:val="3"/>
            <w:vMerge w:val="restart"/>
          </w:tcPr>
          <w:p>
            <w:pPr>
              <w:jc w:val="center"/>
              <w:ind w:left="399"/>
              <w:spacing w:after="0"/>
              <w:rPr>
                <w:sz w:val="20"/>
                <w:szCs w:val="20"/>
                <w:color w:val="auto"/>
              </w:rPr>
            </w:pPr>
            <w:r>
              <w:rPr>
                <w:rFonts w:ascii="Arial" w:cs="Arial" w:eastAsia="Arial" w:hAnsi="Arial"/>
                <w:sz w:val="16"/>
                <w:szCs w:val="16"/>
                <w:color w:val="auto"/>
                <w:w w:val="87"/>
              </w:rPr>
              <w:t>June 30,</w:t>
            </w:r>
          </w:p>
        </w:tc>
        <w:tc>
          <w:tcPr>
            <w:tcW w:w="68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8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2"/>
            <w:vMerge w:val="restart"/>
          </w:tcPr>
          <w:p>
            <w:pPr>
              <w:jc w:val="center"/>
              <w:ind w:right="540"/>
              <w:spacing w:after="0" w:line="138" w:lineRule="exact"/>
              <w:rPr>
                <w:sz w:val="20"/>
                <w:szCs w:val="20"/>
                <w:color w:val="auto"/>
              </w:rPr>
            </w:pPr>
            <w:r>
              <w:rPr>
                <w:rFonts w:ascii="Arial" w:cs="Arial" w:eastAsia="Arial" w:hAnsi="Arial"/>
                <w:sz w:val="16"/>
                <w:szCs w:val="16"/>
                <w:color w:val="auto"/>
                <w:w w:val="88"/>
              </w:rPr>
              <w:t>Increase/</w:t>
            </w:r>
          </w:p>
        </w:tc>
        <w:tc>
          <w:tcPr>
            <w:tcW w:w="220" w:type="dxa"/>
            <w:vAlign w:val="bottom"/>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vMerge w:val="restart"/>
          </w:tcPr>
          <w:p>
            <w:pPr>
              <w:jc w:val="center"/>
              <w:spacing w:after="0" w:line="138" w:lineRule="exact"/>
              <w:rPr>
                <w:sz w:val="20"/>
                <w:szCs w:val="20"/>
                <w:color w:val="auto"/>
              </w:rPr>
            </w:pPr>
            <w:r>
              <w:rPr>
                <w:rFonts w:ascii="Arial" w:cs="Arial" w:eastAsia="Arial" w:hAnsi="Arial"/>
                <w:sz w:val="16"/>
                <w:szCs w:val="16"/>
                <w:color w:val="auto"/>
                <w:w w:val="91"/>
              </w:rPr>
              <w:t>Increase/</w:t>
            </w:r>
          </w:p>
        </w:tc>
        <w:tc>
          <w:tcPr>
            <w:tcW w:w="0" w:type="dxa"/>
            <w:vAlign w:val="bottom"/>
          </w:tcPr>
          <w:p>
            <w:pPr>
              <w:spacing w:after="0"/>
              <w:rPr>
                <w:sz w:val="1"/>
                <w:szCs w:val="1"/>
                <w:color w:val="auto"/>
              </w:rPr>
            </w:pPr>
          </w:p>
        </w:tc>
      </w:tr>
      <w:tr>
        <w:trPr>
          <w:trHeight w:val="33"/>
        </w:trPr>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gridSpan w:val="2"/>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8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ind w:right="179"/>
              <w:spacing w:after="0"/>
              <w:rPr>
                <w:sz w:val="20"/>
                <w:szCs w:val="20"/>
                <w:color w:val="auto"/>
              </w:rPr>
            </w:pPr>
            <w:r>
              <w:rPr>
                <w:rFonts w:ascii="Arial" w:cs="Arial" w:eastAsia="Arial" w:hAnsi="Arial"/>
                <w:sz w:val="16"/>
                <w:szCs w:val="16"/>
                <w:color w:val="auto"/>
                <w:w w:val="95"/>
              </w:rPr>
              <w:t>2019</w:t>
            </w:r>
          </w:p>
        </w:tc>
        <w:tc>
          <w:tcPr>
            <w:tcW w:w="100" w:type="dxa"/>
            <w:vAlign w:val="bottom"/>
          </w:tcPr>
          <w:p>
            <w:pPr>
              <w:spacing w:after="0"/>
              <w:rPr>
                <w:sz w:val="20"/>
                <w:szCs w:val="20"/>
                <w:color w:val="auto"/>
              </w:rPr>
            </w:pPr>
          </w:p>
        </w:tc>
        <w:tc>
          <w:tcPr>
            <w:tcW w:w="1520" w:type="dxa"/>
            <w:vAlign w:val="bottom"/>
            <w:gridSpan w:val="2"/>
          </w:tcPr>
          <w:p>
            <w:pPr>
              <w:jc w:val="center"/>
              <w:ind w:right="540"/>
              <w:spacing w:after="0"/>
              <w:rPr>
                <w:sz w:val="20"/>
                <w:szCs w:val="20"/>
                <w:color w:val="auto"/>
              </w:rPr>
            </w:pPr>
            <w:r>
              <w:rPr>
                <w:rFonts w:ascii="Arial" w:cs="Arial" w:eastAsia="Arial" w:hAnsi="Arial"/>
                <w:sz w:val="16"/>
                <w:szCs w:val="16"/>
                <w:color w:val="auto"/>
                <w:w w:val="88"/>
              </w:rPr>
              <w:t>(Decrease)</w:t>
            </w:r>
          </w:p>
        </w:tc>
        <w:tc>
          <w:tcPr>
            <w:tcW w:w="22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ind w:right="219"/>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8"/>
              </w:rPr>
              <w:t>(Decrease)</w:t>
            </w:r>
          </w:p>
        </w:tc>
        <w:tc>
          <w:tcPr>
            <w:tcW w:w="0" w:type="dxa"/>
            <w:vAlign w:val="bottom"/>
          </w:tcPr>
          <w:p>
            <w:pPr>
              <w:spacing w:after="0"/>
              <w:rPr>
                <w:sz w:val="1"/>
                <w:szCs w:val="1"/>
                <w:color w:val="auto"/>
              </w:rPr>
            </w:pPr>
          </w:p>
        </w:tc>
      </w:tr>
      <w:tr>
        <w:trPr>
          <w:trHeight w:val="33"/>
        </w:trPr>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1"/>
        </w:trPr>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39"/>
              <w:spacing w:after="0"/>
              <w:rPr>
                <w:sz w:val="20"/>
                <w:szCs w:val="20"/>
                <w:color w:val="auto"/>
              </w:rPr>
            </w:pPr>
            <w:r>
              <w:rPr>
                <w:rFonts w:ascii="Arial" w:cs="Arial" w:eastAsia="Arial" w:hAnsi="Arial"/>
                <w:sz w:val="16"/>
                <w:szCs w:val="16"/>
                <w:color w:val="auto"/>
              </w:rPr>
              <w:t>681</w:t>
            </w:r>
          </w:p>
        </w:tc>
        <w:tc>
          <w:tcPr>
            <w:tcW w:w="12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79"/>
              <w:spacing w:after="0"/>
              <w:rPr>
                <w:sz w:val="20"/>
                <w:szCs w:val="20"/>
                <w:color w:val="auto"/>
              </w:rPr>
            </w:pPr>
            <w:r>
              <w:rPr>
                <w:rFonts w:ascii="Arial" w:cs="Arial" w:eastAsia="Arial" w:hAnsi="Arial"/>
                <w:sz w:val="16"/>
                <w:szCs w:val="16"/>
                <w:color w:val="auto"/>
                <w:w w:val="89"/>
              </w:rPr>
              <w:t>10,486</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(93.5)</w:t>
            </w:r>
          </w:p>
        </w:tc>
        <w:tc>
          <w:tcPr>
            <w:tcW w:w="54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39"/>
              <w:spacing w:after="0"/>
              <w:rPr>
                <w:sz w:val="20"/>
                <w:szCs w:val="20"/>
                <w:color w:val="auto"/>
              </w:rPr>
            </w:pPr>
            <w:r>
              <w:rPr>
                <w:rFonts w:ascii="Arial" w:cs="Arial" w:eastAsia="Arial" w:hAnsi="Arial"/>
                <w:sz w:val="16"/>
                <w:szCs w:val="16"/>
                <w:color w:val="auto"/>
              </w:rPr>
              <w:t>7,746</w:t>
            </w:r>
          </w:p>
        </w:tc>
        <w:tc>
          <w:tcPr>
            <w:tcW w:w="10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19,211</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(59.7)</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700" w:type="dxa"/>
            <w:vAlign w:val="bottom"/>
          </w:tcPr>
          <w:p>
            <w:pPr>
              <w:jc w:val="right"/>
              <w:ind w:right="139"/>
              <w:spacing w:after="0"/>
              <w:rPr>
                <w:sz w:val="20"/>
                <w:szCs w:val="20"/>
                <w:color w:val="auto"/>
              </w:rPr>
            </w:pPr>
            <w:r>
              <w:rPr>
                <w:rFonts w:ascii="Arial" w:cs="Arial" w:eastAsia="Arial" w:hAnsi="Arial"/>
                <w:sz w:val="16"/>
                <w:szCs w:val="16"/>
                <w:color w:val="auto"/>
              </w:rPr>
              <w:t>402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295</w:t>
            </w:r>
          </w:p>
        </w:tc>
        <w:tc>
          <w:tcPr>
            <w:tcW w:w="1080" w:type="dxa"/>
            <w:vAlign w:val="bottom"/>
            <w:gridSpan w:val="2"/>
          </w:tcPr>
          <w:p>
            <w:pPr>
              <w:jc w:val="right"/>
              <w:ind w:right="19"/>
              <w:spacing w:after="0"/>
              <w:rPr>
                <w:sz w:val="20"/>
                <w:szCs w:val="20"/>
                <w:color w:val="auto"/>
              </w:rPr>
            </w:pPr>
            <w:r>
              <w:rPr>
                <w:rFonts w:ascii="Arial" w:cs="Arial" w:eastAsia="Arial" w:hAnsi="Arial"/>
                <w:sz w:val="16"/>
                <w:szCs w:val="16"/>
                <w:color w:val="auto"/>
              </w:rPr>
              <w:t>36.3</w:t>
            </w: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139"/>
              <w:spacing w:after="0"/>
              <w:rPr>
                <w:sz w:val="20"/>
                <w:szCs w:val="20"/>
                <w:color w:val="auto"/>
              </w:rPr>
            </w:pPr>
            <w:r>
              <w:rPr>
                <w:rFonts w:ascii="Arial" w:cs="Arial" w:eastAsia="Arial" w:hAnsi="Arial"/>
                <w:sz w:val="16"/>
                <w:szCs w:val="16"/>
                <w:color w:val="auto"/>
              </w:rPr>
              <w:t>666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581</w:t>
            </w:r>
          </w:p>
        </w:tc>
        <w:tc>
          <w:tcPr>
            <w:tcW w:w="1100" w:type="dxa"/>
            <w:vAlign w:val="bottom"/>
            <w:gridSpan w:val="2"/>
          </w:tcPr>
          <w:p>
            <w:pPr>
              <w:jc w:val="right"/>
              <w:ind w:right="19"/>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700" w:type="dxa"/>
            <w:vAlign w:val="bottom"/>
          </w:tcPr>
          <w:p>
            <w:pPr>
              <w:jc w:val="right"/>
              <w:ind w:right="139"/>
              <w:spacing w:after="0"/>
              <w:rPr>
                <w:sz w:val="20"/>
                <w:szCs w:val="20"/>
                <w:color w:val="auto"/>
              </w:rPr>
            </w:pPr>
            <w:r>
              <w:rPr>
                <w:rFonts w:ascii="Arial" w:cs="Arial" w:eastAsia="Arial" w:hAnsi="Arial"/>
                <w:sz w:val="16"/>
                <w:szCs w:val="16"/>
                <w:color w:val="auto"/>
              </w:rPr>
              <w:t>392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621</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(36.9)</w:t>
            </w: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139"/>
              <w:spacing w:after="0"/>
              <w:rPr>
                <w:sz w:val="20"/>
                <w:szCs w:val="20"/>
                <w:color w:val="auto"/>
              </w:rPr>
            </w:pPr>
            <w:r>
              <w:rPr>
                <w:rFonts w:ascii="Arial" w:cs="Arial" w:eastAsia="Arial" w:hAnsi="Arial"/>
                <w:sz w:val="16"/>
                <w:szCs w:val="16"/>
                <w:color w:val="auto"/>
              </w:rPr>
              <w:t>1,042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1,199</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33"/>
        </w:trPr>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80" w:type="dxa"/>
            <w:vAlign w:val="bottom"/>
          </w:tcPr>
          <w:p>
            <w:pPr>
              <w:spacing w:after="0"/>
              <w:rPr>
                <w:sz w:val="18"/>
                <w:szCs w:val="18"/>
                <w:color w:val="auto"/>
              </w:rPr>
            </w:pPr>
          </w:p>
        </w:tc>
        <w:tc>
          <w:tcPr>
            <w:tcW w:w="700" w:type="dxa"/>
            <w:vAlign w:val="bottom"/>
          </w:tcPr>
          <w:p>
            <w:pPr>
              <w:jc w:val="right"/>
              <w:ind w:right="139"/>
              <w:spacing w:after="0"/>
              <w:rPr>
                <w:sz w:val="20"/>
                <w:szCs w:val="20"/>
                <w:color w:val="auto"/>
              </w:rPr>
            </w:pPr>
            <w:r>
              <w:rPr>
                <w:rFonts w:ascii="Arial" w:cs="Arial" w:eastAsia="Arial" w:hAnsi="Arial"/>
                <w:sz w:val="16"/>
                <w:szCs w:val="16"/>
                <w:color w:val="auto"/>
              </w:rPr>
              <w:t>1,475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w w:val="89"/>
              </w:rPr>
              <w:t>11,402</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(87.1)</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39"/>
              <w:spacing w:after="0"/>
              <w:rPr>
                <w:sz w:val="20"/>
                <w:szCs w:val="20"/>
                <w:color w:val="auto"/>
              </w:rPr>
            </w:pPr>
            <w:r>
              <w:rPr>
                <w:rFonts w:ascii="Arial" w:cs="Arial" w:eastAsia="Arial" w:hAnsi="Arial"/>
                <w:sz w:val="16"/>
                <w:szCs w:val="16"/>
                <w:color w:val="auto"/>
              </w:rPr>
              <w:t>9,454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20,991</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(55.0)</w:t>
            </w:r>
          </w:p>
        </w:tc>
        <w:tc>
          <w:tcPr>
            <w:tcW w:w="0" w:type="dxa"/>
            <w:vAlign w:val="bottom"/>
          </w:tcPr>
          <w:p>
            <w:pPr>
              <w:spacing w:after="0"/>
              <w:rPr>
                <w:sz w:val="1"/>
                <w:szCs w:val="1"/>
                <w:color w:val="auto"/>
              </w:rPr>
            </w:pPr>
          </w:p>
        </w:tc>
      </w:tr>
      <w:tr>
        <w:trPr>
          <w:trHeight w:val="33"/>
        </w:trPr>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-2059940</wp:posOffset>
            </wp:positionH>
            <wp:positionV relativeFrom="paragraph">
              <wp:posOffset>-873760</wp:posOffset>
            </wp:positionV>
            <wp:extent cx="7098030" cy="1797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8030" cy="17970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-521970</wp:posOffset>
            </wp:positionV>
            <wp:extent cx="709803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8030" cy="171450"/>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-179070</wp:posOffset>
            </wp:positionV>
            <wp:extent cx="709803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8030" cy="171450"/>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111760</wp:posOffset>
            </wp:positionV>
            <wp:extent cx="709803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60" w:space="720"/>
            <w:col w:w="7940"/>
          </w:cols>
          <w:pgMar w:left="320" w:top="140" w:right="359" w:bottom="1440" w:gutter="0" w:footer="0" w:header="0"/>
          <w:type w:val="continuous"/>
        </w:sectPr>
      </w:pPr>
    </w:p>
    <w:p>
      <w:pPr>
        <w:spacing w:after="0" w:line="6" w:lineRule="exact"/>
        <w:rPr>
          <w:sz w:val="20"/>
          <w:szCs w:val="20"/>
          <w:color w:val="auto"/>
        </w:rPr>
      </w:pPr>
    </w:p>
    <w:p>
      <w:pPr>
        <w:ind w:left="60"/>
        <w:spacing w:after="0"/>
        <w:rPr>
          <w:sz w:val="20"/>
          <w:szCs w:val="20"/>
          <w:color w:val="auto"/>
        </w:rPr>
      </w:pPr>
      <w:r>
        <w:rPr>
          <w:rFonts w:ascii="Arial" w:cs="Arial" w:eastAsia="Arial" w:hAnsi="Arial"/>
          <w:sz w:val="16"/>
          <w:szCs w:val="16"/>
          <w:color w:val="auto"/>
        </w:rPr>
        <w:t>Operating expense:</w:t>
      </w:r>
    </w:p>
    <w:p>
      <w:pPr>
        <w:spacing w:after="0" w:line="73"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4160" w:type="dxa"/>
            <w:vAlign w:val="bottom"/>
          </w:tcPr>
          <w:p>
            <w:pPr>
              <w:ind w:left="380"/>
              <w:spacing w:after="0"/>
              <w:rPr>
                <w:sz w:val="20"/>
                <w:szCs w:val="20"/>
                <w:color w:val="auto"/>
              </w:rPr>
            </w:pPr>
            <w:r>
              <w:rPr>
                <w:rFonts w:ascii="Arial" w:cs="Arial" w:eastAsia="Arial" w:hAnsi="Arial"/>
                <w:sz w:val="16"/>
                <w:szCs w:val="16"/>
                <w:color w:val="auto"/>
              </w:rPr>
              <w:t>Salaries and related costs</w:t>
            </w:r>
          </w:p>
        </w:tc>
        <w:tc>
          <w:tcPr>
            <w:tcW w:w="180" w:type="dxa"/>
            <w:vAlign w:val="bottom"/>
          </w:tcPr>
          <w:p>
            <w:pPr>
              <w:spacing w:after="0"/>
              <w:rPr>
                <w:sz w:val="19"/>
                <w:szCs w:val="19"/>
                <w:color w:val="auto"/>
              </w:rPr>
            </w:pPr>
          </w:p>
        </w:tc>
        <w:tc>
          <w:tcPr>
            <w:tcW w:w="700" w:type="dxa"/>
            <w:vAlign w:val="bottom"/>
          </w:tcPr>
          <w:p>
            <w:pPr>
              <w:jc w:val="right"/>
              <w:ind w:right="139"/>
              <w:spacing w:after="0"/>
              <w:rPr>
                <w:sz w:val="20"/>
                <w:szCs w:val="20"/>
                <w:color w:val="auto"/>
              </w:rPr>
            </w:pPr>
            <w:r>
              <w:rPr>
                <w:rFonts w:ascii="Arial" w:cs="Arial" w:eastAsia="Arial" w:hAnsi="Arial"/>
                <w:sz w:val="16"/>
                <w:szCs w:val="16"/>
                <w:color w:val="auto"/>
              </w:rPr>
              <w:t>2,170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3,057</w:t>
            </w:r>
          </w:p>
        </w:tc>
        <w:tc>
          <w:tcPr>
            <w:tcW w:w="1620" w:type="dxa"/>
            <w:vAlign w:val="bottom"/>
          </w:tcPr>
          <w:p>
            <w:pPr>
              <w:jc w:val="right"/>
              <w:ind w:right="499"/>
              <w:spacing w:after="0"/>
              <w:rPr>
                <w:sz w:val="20"/>
                <w:szCs w:val="20"/>
                <w:color w:val="auto"/>
              </w:rPr>
            </w:pPr>
            <w:r>
              <w:rPr>
                <w:rFonts w:ascii="Arial" w:cs="Arial" w:eastAsia="Arial" w:hAnsi="Arial"/>
                <w:sz w:val="16"/>
                <w:szCs w:val="16"/>
                <w:color w:val="auto"/>
              </w:rPr>
              <w:t>(29.0)</w:t>
            </w:r>
          </w:p>
        </w:tc>
        <w:tc>
          <w:tcPr>
            <w:tcW w:w="220" w:type="dxa"/>
            <w:vAlign w:val="bottom"/>
          </w:tcPr>
          <w:p>
            <w:pPr>
              <w:spacing w:after="0"/>
              <w:rPr>
                <w:sz w:val="19"/>
                <w:szCs w:val="19"/>
                <w:color w:val="auto"/>
              </w:rPr>
            </w:pPr>
          </w:p>
        </w:tc>
        <w:tc>
          <w:tcPr>
            <w:tcW w:w="780" w:type="dxa"/>
            <w:vAlign w:val="bottom"/>
          </w:tcPr>
          <w:p>
            <w:pPr>
              <w:jc w:val="right"/>
              <w:ind w:right="139"/>
              <w:spacing w:after="0"/>
              <w:rPr>
                <w:sz w:val="20"/>
                <w:szCs w:val="20"/>
                <w:color w:val="auto"/>
              </w:rPr>
            </w:pPr>
            <w:r>
              <w:rPr>
                <w:rFonts w:ascii="Arial" w:cs="Arial" w:eastAsia="Arial" w:hAnsi="Arial"/>
                <w:sz w:val="16"/>
                <w:szCs w:val="16"/>
                <w:color w:val="auto"/>
              </w:rPr>
              <w:t>5,125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5,930</w:t>
            </w:r>
          </w:p>
        </w:tc>
        <w:tc>
          <w:tcPr>
            <w:tcW w:w="1540" w:type="dxa"/>
            <w:vAlign w:val="bottom"/>
          </w:tcPr>
          <w:p>
            <w:pPr>
              <w:jc w:val="right"/>
              <w:ind w:right="419"/>
              <w:spacing w:after="0"/>
              <w:rPr>
                <w:sz w:val="20"/>
                <w:szCs w:val="20"/>
                <w:color w:val="auto"/>
              </w:rPr>
            </w:pPr>
            <w:r>
              <w:rPr>
                <w:rFonts w:ascii="Arial" w:cs="Arial" w:eastAsia="Arial" w:hAnsi="Arial"/>
                <w:sz w:val="16"/>
                <w:szCs w:val="16"/>
                <w:color w:val="auto"/>
              </w:rPr>
              <w:t>(13.6)</w:t>
            </w:r>
          </w:p>
        </w:tc>
      </w:tr>
      <w:tr>
        <w:trPr>
          <w:trHeight w:val="33"/>
        </w:trPr>
        <w:tc>
          <w:tcPr>
            <w:tcW w:w="4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Aircraft fuel</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2,385</w:t>
            </w:r>
          </w:p>
        </w:tc>
        <w:tc>
          <w:tcPr>
            <w:tcW w:w="162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(89.9)</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1,966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4,408</w:t>
            </w:r>
          </w:p>
        </w:tc>
        <w:tc>
          <w:tcPr>
            <w:tcW w:w="154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(55.4)</w:t>
            </w:r>
          </w:p>
        </w:tc>
      </w:tr>
      <w:tr>
        <w:trPr>
          <w:trHeight w:val="237"/>
        </w:trPr>
        <w:tc>
          <w:tcPr>
            <w:tcW w:w="4160" w:type="dxa"/>
            <w:vAlign w:val="bottom"/>
          </w:tcPr>
          <w:p>
            <w:pPr>
              <w:ind w:left="380"/>
              <w:spacing w:after="0"/>
              <w:rPr>
                <w:sz w:val="20"/>
                <w:szCs w:val="20"/>
                <w:color w:val="auto"/>
              </w:rPr>
            </w:pPr>
            <w:r>
              <w:rPr>
                <w:rFonts w:ascii="Arial" w:cs="Arial" w:eastAsia="Arial" w:hAnsi="Arial"/>
                <w:sz w:val="16"/>
                <w:szCs w:val="16"/>
                <w:color w:val="auto"/>
              </w:rPr>
              <w:t>Regional capacity purchase</w:t>
            </w:r>
          </w:p>
        </w:tc>
        <w:tc>
          <w:tcPr>
            <w:tcW w:w="180" w:type="dxa"/>
            <w:vAlign w:val="bottom"/>
          </w:tcPr>
          <w:p>
            <w:pPr>
              <w:spacing w:after="0"/>
              <w:rPr>
                <w:sz w:val="20"/>
                <w:szCs w:val="20"/>
                <w:color w:val="auto"/>
              </w:rPr>
            </w:pPr>
          </w:p>
        </w:tc>
        <w:tc>
          <w:tcPr>
            <w:tcW w:w="700" w:type="dxa"/>
            <w:vAlign w:val="bottom"/>
          </w:tcPr>
          <w:p>
            <w:pPr>
              <w:jc w:val="right"/>
              <w:ind w:right="139"/>
              <w:spacing w:after="0"/>
              <w:rPr>
                <w:sz w:val="20"/>
                <w:szCs w:val="20"/>
                <w:color w:val="auto"/>
              </w:rPr>
            </w:pPr>
            <w:r>
              <w:rPr>
                <w:rFonts w:ascii="Arial" w:cs="Arial" w:eastAsia="Arial" w:hAnsi="Arial"/>
                <w:sz w:val="16"/>
                <w:szCs w:val="16"/>
                <w:color w:val="auto"/>
              </w:rPr>
              <w:t>388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715</w:t>
            </w:r>
          </w:p>
        </w:tc>
        <w:tc>
          <w:tcPr>
            <w:tcW w:w="1620" w:type="dxa"/>
            <w:vAlign w:val="bottom"/>
          </w:tcPr>
          <w:p>
            <w:pPr>
              <w:jc w:val="right"/>
              <w:ind w:right="499"/>
              <w:spacing w:after="0"/>
              <w:rPr>
                <w:sz w:val="20"/>
                <w:szCs w:val="20"/>
                <w:color w:val="auto"/>
              </w:rPr>
            </w:pPr>
            <w:r>
              <w:rPr>
                <w:rFonts w:ascii="Arial" w:cs="Arial" w:eastAsia="Arial" w:hAnsi="Arial"/>
                <w:sz w:val="16"/>
                <w:szCs w:val="16"/>
                <w:color w:val="auto"/>
              </w:rPr>
              <w:t>(45.7)</w:t>
            </w:r>
          </w:p>
        </w:tc>
        <w:tc>
          <w:tcPr>
            <w:tcW w:w="220" w:type="dxa"/>
            <w:vAlign w:val="bottom"/>
          </w:tcPr>
          <w:p>
            <w:pPr>
              <w:spacing w:after="0"/>
              <w:rPr>
                <w:sz w:val="20"/>
                <w:szCs w:val="20"/>
                <w:color w:val="auto"/>
              </w:rPr>
            </w:pPr>
          </w:p>
        </w:tc>
        <w:tc>
          <w:tcPr>
            <w:tcW w:w="780" w:type="dxa"/>
            <w:vAlign w:val="bottom"/>
          </w:tcPr>
          <w:p>
            <w:pPr>
              <w:jc w:val="right"/>
              <w:ind w:right="139"/>
              <w:spacing w:after="0"/>
              <w:rPr>
                <w:sz w:val="20"/>
                <w:szCs w:val="20"/>
                <w:color w:val="auto"/>
              </w:rPr>
            </w:pPr>
            <w:r>
              <w:rPr>
                <w:rFonts w:ascii="Arial" w:cs="Arial" w:eastAsia="Arial" w:hAnsi="Arial"/>
                <w:sz w:val="16"/>
                <w:szCs w:val="16"/>
                <w:color w:val="auto"/>
              </w:rPr>
              <w:t>1,125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1,403</w:t>
            </w:r>
          </w:p>
        </w:tc>
        <w:tc>
          <w:tcPr>
            <w:tcW w:w="1540" w:type="dxa"/>
            <w:vAlign w:val="bottom"/>
          </w:tcPr>
          <w:p>
            <w:pPr>
              <w:jc w:val="right"/>
              <w:ind w:right="419"/>
              <w:spacing w:after="0"/>
              <w:rPr>
                <w:sz w:val="20"/>
                <w:szCs w:val="20"/>
                <w:color w:val="auto"/>
              </w:rPr>
            </w:pPr>
            <w:r>
              <w:rPr>
                <w:rFonts w:ascii="Arial" w:cs="Arial" w:eastAsia="Arial" w:hAnsi="Arial"/>
                <w:sz w:val="16"/>
                <w:szCs w:val="16"/>
                <w:color w:val="auto"/>
              </w:rPr>
              <w:t>(19.8)</w:t>
            </w:r>
          </w:p>
        </w:tc>
      </w:tr>
      <w:tr>
        <w:trPr>
          <w:trHeight w:val="33"/>
        </w:trPr>
        <w:tc>
          <w:tcPr>
            <w:tcW w:w="4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Landing fees and other rent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660</w:t>
            </w:r>
          </w:p>
        </w:tc>
        <w:tc>
          <w:tcPr>
            <w:tcW w:w="162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(35.0)</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1,248</w:t>
            </w:r>
          </w:p>
        </w:tc>
        <w:tc>
          <w:tcPr>
            <w:tcW w:w="154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(15.7)</w:t>
            </w:r>
          </w:p>
        </w:tc>
      </w:tr>
      <w:tr>
        <w:trPr>
          <w:trHeight w:val="237"/>
        </w:trPr>
        <w:tc>
          <w:tcPr>
            <w:tcW w:w="416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20"/>
                <w:szCs w:val="20"/>
                <w:color w:val="auto"/>
              </w:rPr>
            </w:pPr>
          </w:p>
        </w:tc>
        <w:tc>
          <w:tcPr>
            <w:tcW w:w="700" w:type="dxa"/>
            <w:vAlign w:val="bottom"/>
          </w:tcPr>
          <w:p>
            <w:pPr>
              <w:jc w:val="right"/>
              <w:ind w:right="139"/>
              <w:spacing w:after="0"/>
              <w:rPr>
                <w:sz w:val="20"/>
                <w:szCs w:val="20"/>
                <w:color w:val="auto"/>
              </w:rPr>
            </w:pPr>
            <w:r>
              <w:rPr>
                <w:rFonts w:ascii="Arial" w:cs="Arial" w:eastAsia="Arial" w:hAnsi="Arial"/>
                <w:sz w:val="16"/>
                <w:szCs w:val="16"/>
                <w:color w:val="auto"/>
              </w:rPr>
              <w:t>618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560</w:t>
            </w:r>
          </w:p>
        </w:tc>
        <w:tc>
          <w:tcPr>
            <w:tcW w:w="1620" w:type="dxa"/>
            <w:vAlign w:val="bottom"/>
          </w:tcPr>
          <w:p>
            <w:pPr>
              <w:jc w:val="right"/>
              <w:ind w:right="559"/>
              <w:spacing w:after="0"/>
              <w:rPr>
                <w:sz w:val="20"/>
                <w:szCs w:val="20"/>
                <w:color w:val="auto"/>
              </w:rPr>
            </w:pPr>
            <w:r>
              <w:rPr>
                <w:rFonts w:ascii="Arial" w:cs="Arial" w:eastAsia="Arial" w:hAnsi="Arial"/>
                <w:sz w:val="16"/>
                <w:szCs w:val="16"/>
                <w:color w:val="auto"/>
              </w:rPr>
              <w:t>10.4</w:t>
            </w:r>
          </w:p>
        </w:tc>
        <w:tc>
          <w:tcPr>
            <w:tcW w:w="220" w:type="dxa"/>
            <w:vAlign w:val="bottom"/>
          </w:tcPr>
          <w:p>
            <w:pPr>
              <w:spacing w:after="0"/>
              <w:rPr>
                <w:sz w:val="20"/>
                <w:szCs w:val="20"/>
                <w:color w:val="auto"/>
              </w:rPr>
            </w:pPr>
          </w:p>
        </w:tc>
        <w:tc>
          <w:tcPr>
            <w:tcW w:w="780" w:type="dxa"/>
            <w:vAlign w:val="bottom"/>
          </w:tcPr>
          <w:p>
            <w:pPr>
              <w:jc w:val="right"/>
              <w:ind w:right="139"/>
              <w:spacing w:after="0"/>
              <w:rPr>
                <w:sz w:val="20"/>
                <w:szCs w:val="20"/>
                <w:color w:val="auto"/>
              </w:rPr>
            </w:pPr>
            <w:r>
              <w:rPr>
                <w:rFonts w:ascii="Arial" w:cs="Arial" w:eastAsia="Arial" w:hAnsi="Arial"/>
                <w:sz w:val="16"/>
                <w:szCs w:val="16"/>
                <w:color w:val="auto"/>
              </w:rPr>
              <w:t>1,233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1,107</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11.4</w:t>
            </w:r>
          </w:p>
        </w:tc>
      </w:tr>
      <w:tr>
        <w:trPr>
          <w:trHeight w:val="33"/>
        </w:trPr>
        <w:tc>
          <w:tcPr>
            <w:tcW w:w="4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Aircraft maintenance materials and outside repairs</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421</w:t>
            </w:r>
          </w:p>
        </w:tc>
        <w:tc>
          <w:tcPr>
            <w:tcW w:w="162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(73.9)</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829</w:t>
            </w:r>
          </w:p>
        </w:tc>
        <w:tc>
          <w:tcPr>
            <w:tcW w:w="154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(34.4)</w:t>
            </w:r>
          </w:p>
        </w:tc>
      </w:tr>
      <w:tr>
        <w:trPr>
          <w:trHeight w:val="237"/>
        </w:trPr>
        <w:tc>
          <w:tcPr>
            <w:tcW w:w="4160" w:type="dxa"/>
            <w:vAlign w:val="bottom"/>
          </w:tcPr>
          <w:p>
            <w:pPr>
              <w:ind w:left="380"/>
              <w:spacing w:after="0"/>
              <w:rPr>
                <w:sz w:val="20"/>
                <w:szCs w:val="20"/>
                <w:color w:val="auto"/>
              </w:rPr>
            </w:pPr>
            <w:r>
              <w:rPr>
                <w:rFonts w:ascii="Arial" w:cs="Arial" w:eastAsia="Arial" w:hAnsi="Arial"/>
                <w:sz w:val="16"/>
                <w:szCs w:val="16"/>
                <w:color w:val="auto"/>
              </w:rPr>
              <w:t>Distribution expenses</w:t>
            </w:r>
          </w:p>
        </w:tc>
        <w:tc>
          <w:tcPr>
            <w:tcW w:w="180" w:type="dxa"/>
            <w:vAlign w:val="bottom"/>
          </w:tcPr>
          <w:p>
            <w:pPr>
              <w:spacing w:after="0"/>
              <w:rPr>
                <w:sz w:val="20"/>
                <w:szCs w:val="20"/>
                <w:color w:val="auto"/>
              </w:rPr>
            </w:pPr>
          </w:p>
        </w:tc>
        <w:tc>
          <w:tcPr>
            <w:tcW w:w="700" w:type="dxa"/>
            <w:vAlign w:val="bottom"/>
          </w:tcPr>
          <w:p>
            <w:pPr>
              <w:jc w:val="right"/>
              <w:ind w:right="13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442</w:t>
            </w:r>
          </w:p>
        </w:tc>
        <w:tc>
          <w:tcPr>
            <w:tcW w:w="1620" w:type="dxa"/>
            <w:vAlign w:val="bottom"/>
          </w:tcPr>
          <w:p>
            <w:pPr>
              <w:jc w:val="right"/>
              <w:ind w:right="499"/>
              <w:spacing w:after="0"/>
              <w:rPr>
                <w:sz w:val="20"/>
                <w:szCs w:val="20"/>
                <w:color w:val="auto"/>
              </w:rPr>
            </w:pPr>
            <w:r>
              <w:rPr>
                <w:rFonts w:ascii="Arial" w:cs="Arial" w:eastAsia="Arial" w:hAnsi="Arial"/>
                <w:sz w:val="16"/>
                <w:szCs w:val="16"/>
                <w:color w:val="auto"/>
              </w:rPr>
              <w:t>(93.0)</w:t>
            </w:r>
          </w:p>
        </w:tc>
        <w:tc>
          <w:tcPr>
            <w:tcW w:w="220" w:type="dxa"/>
            <w:vAlign w:val="bottom"/>
          </w:tcPr>
          <w:p>
            <w:pPr>
              <w:spacing w:after="0"/>
              <w:rPr>
                <w:sz w:val="20"/>
                <w:szCs w:val="20"/>
                <w:color w:val="auto"/>
              </w:rPr>
            </w:pPr>
          </w:p>
        </w:tc>
        <w:tc>
          <w:tcPr>
            <w:tcW w:w="780" w:type="dxa"/>
            <w:vAlign w:val="bottom"/>
          </w:tcPr>
          <w:p>
            <w:pPr>
              <w:jc w:val="right"/>
              <w:ind w:right="139"/>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802</w:t>
            </w:r>
          </w:p>
        </w:tc>
        <w:tc>
          <w:tcPr>
            <w:tcW w:w="1540" w:type="dxa"/>
            <w:vAlign w:val="bottom"/>
          </w:tcPr>
          <w:p>
            <w:pPr>
              <w:jc w:val="right"/>
              <w:ind w:right="419"/>
              <w:spacing w:after="0"/>
              <w:rPr>
                <w:sz w:val="20"/>
                <w:szCs w:val="20"/>
                <w:color w:val="auto"/>
              </w:rPr>
            </w:pPr>
            <w:r>
              <w:rPr>
                <w:rFonts w:ascii="Arial" w:cs="Arial" w:eastAsia="Arial" w:hAnsi="Arial"/>
                <w:sz w:val="16"/>
                <w:szCs w:val="16"/>
                <w:color w:val="auto"/>
              </w:rPr>
              <w:t>(59.4)</w:t>
            </w:r>
          </w:p>
        </w:tc>
      </w:tr>
      <w:tr>
        <w:trPr>
          <w:trHeight w:val="33"/>
        </w:trPr>
        <w:tc>
          <w:tcPr>
            <w:tcW w:w="4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Aircraft rent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73</w:t>
            </w:r>
          </w:p>
        </w:tc>
        <w:tc>
          <w:tcPr>
            <w:tcW w:w="162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(35.6)</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154</w:t>
            </w:r>
          </w:p>
        </w:tc>
        <w:tc>
          <w:tcPr>
            <w:tcW w:w="154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(37.0)</w:t>
            </w:r>
          </w:p>
        </w:tc>
      </w:tr>
      <w:tr>
        <w:trPr>
          <w:trHeight w:val="237"/>
        </w:trPr>
        <w:tc>
          <w:tcPr>
            <w:tcW w:w="4160" w:type="dxa"/>
            <w:vAlign w:val="bottom"/>
          </w:tcPr>
          <w:p>
            <w:pPr>
              <w:ind w:left="380"/>
              <w:spacing w:after="0"/>
              <w:rPr>
                <w:sz w:val="20"/>
                <w:szCs w:val="20"/>
                <w:color w:val="auto"/>
              </w:rPr>
            </w:pPr>
            <w:r>
              <w:rPr>
                <w:rFonts w:ascii="Arial" w:cs="Arial" w:eastAsia="Arial" w:hAnsi="Arial"/>
                <w:sz w:val="16"/>
                <w:szCs w:val="16"/>
                <w:color w:val="auto"/>
              </w:rPr>
              <w:t>Special charges (credits) (B)</w:t>
            </w:r>
          </w:p>
        </w:tc>
        <w:tc>
          <w:tcPr>
            <w:tcW w:w="180" w:type="dxa"/>
            <w:vAlign w:val="bottom"/>
          </w:tcPr>
          <w:p>
            <w:pPr>
              <w:spacing w:after="0"/>
              <w:rPr>
                <w:sz w:val="20"/>
                <w:szCs w:val="20"/>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(1,449)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71</w:t>
            </w:r>
          </w:p>
        </w:tc>
        <w:tc>
          <w:tcPr>
            <w:tcW w:w="1620" w:type="dxa"/>
            <w:vAlign w:val="bottom"/>
          </w:tcPr>
          <w:p>
            <w:pPr>
              <w:jc w:val="right"/>
              <w:ind w:right="559"/>
              <w:spacing w:after="0"/>
              <w:rPr>
                <w:sz w:val="20"/>
                <w:szCs w:val="20"/>
                <w:color w:val="auto"/>
              </w:rPr>
            </w:pPr>
            <w:r>
              <w:rPr>
                <w:rFonts w:ascii="Arial" w:cs="Arial" w:eastAsia="Arial" w:hAnsi="Arial"/>
                <w:sz w:val="16"/>
                <w:szCs w:val="16"/>
                <w:color w:val="auto"/>
              </w:rPr>
              <w:t>NM</w:t>
            </w:r>
          </w:p>
        </w:tc>
        <w:tc>
          <w:tcPr>
            <w:tcW w:w="220" w:type="dxa"/>
            <w:vAlign w:val="bottom"/>
          </w:tcPr>
          <w:p>
            <w:pPr>
              <w:spacing w:after="0"/>
              <w:rPr>
                <w:sz w:val="20"/>
                <w:szCs w:val="20"/>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(1,386)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89</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NM</w:t>
            </w:r>
          </w:p>
        </w:tc>
      </w:tr>
      <w:tr>
        <w:trPr>
          <w:trHeight w:val="33"/>
        </w:trPr>
        <w:tc>
          <w:tcPr>
            <w:tcW w:w="4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operating expenses</w:t>
            </w: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528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1,546</w:t>
            </w:r>
          </w:p>
        </w:tc>
        <w:tc>
          <w:tcPr>
            <w:tcW w:w="162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(65.8)</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1,981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3,054</w:t>
            </w:r>
          </w:p>
        </w:tc>
        <w:tc>
          <w:tcPr>
            <w:tcW w:w="154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(35.1)</w:t>
            </w:r>
          </w:p>
        </w:tc>
      </w:tr>
      <w:tr>
        <w:trPr>
          <w:trHeight w:val="217"/>
        </w:trPr>
        <w:tc>
          <w:tcPr>
            <w:tcW w:w="4160" w:type="dxa"/>
            <w:vAlign w:val="bottom"/>
          </w:tcPr>
          <w:p>
            <w:pPr>
              <w:ind w:left="700"/>
              <w:spacing w:after="0"/>
              <w:rPr>
                <w:sz w:val="20"/>
                <w:szCs w:val="20"/>
                <w:color w:val="auto"/>
              </w:rPr>
            </w:pPr>
            <w:r>
              <w:rPr>
                <w:rFonts w:ascii="Arial" w:cs="Arial" w:eastAsia="Arial" w:hAnsi="Arial"/>
                <w:sz w:val="16"/>
                <w:szCs w:val="16"/>
                <w:color w:val="auto"/>
              </w:rPr>
              <w:t>Total operating expense</w:t>
            </w: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3,112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9,930</w:t>
            </w:r>
          </w:p>
        </w:tc>
        <w:tc>
          <w:tcPr>
            <w:tcW w:w="1620" w:type="dxa"/>
            <w:vAlign w:val="bottom"/>
          </w:tcPr>
          <w:p>
            <w:pPr>
              <w:jc w:val="right"/>
              <w:ind w:right="499"/>
              <w:spacing w:after="0"/>
              <w:rPr>
                <w:sz w:val="20"/>
                <w:szCs w:val="20"/>
                <w:color w:val="auto"/>
              </w:rPr>
            </w:pPr>
            <w:r>
              <w:rPr>
                <w:rFonts w:ascii="Arial" w:cs="Arial" w:eastAsia="Arial" w:hAnsi="Arial"/>
                <w:sz w:val="16"/>
                <w:szCs w:val="16"/>
                <w:color w:val="auto"/>
              </w:rPr>
              <w:t>(68.7)</w:t>
            </w: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12,063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19,024</w:t>
            </w:r>
          </w:p>
        </w:tc>
        <w:tc>
          <w:tcPr>
            <w:tcW w:w="1540" w:type="dxa"/>
            <w:vAlign w:val="bottom"/>
          </w:tcPr>
          <w:p>
            <w:pPr>
              <w:jc w:val="right"/>
              <w:ind w:right="419"/>
              <w:spacing w:after="0"/>
              <w:rPr>
                <w:sz w:val="20"/>
                <w:szCs w:val="20"/>
                <w:color w:val="auto"/>
              </w:rPr>
            </w:pPr>
            <w:r>
              <w:rPr>
                <w:rFonts w:ascii="Arial" w:cs="Arial" w:eastAsia="Arial" w:hAnsi="Arial"/>
                <w:sz w:val="16"/>
                <w:szCs w:val="16"/>
                <w:color w:val="auto"/>
              </w:rPr>
              <w:t>(36.6)</w:t>
            </w:r>
          </w:p>
        </w:tc>
      </w:tr>
      <w:tr>
        <w:trPr>
          <w:trHeight w:val="33"/>
        </w:trPr>
        <w:tc>
          <w:tcPr>
            <w:tcW w:w="4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r>
      <w:tr>
        <w:trPr>
          <w:trHeight w:val="169"/>
        </w:trPr>
        <w:tc>
          <w:tcPr>
            <w:tcW w:w="4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r>
      <w:tr>
        <w:trPr>
          <w:trHeight w:val="237"/>
        </w:trPr>
        <w:tc>
          <w:tcPr>
            <w:tcW w:w="416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180" w:type="dxa"/>
            <w:vAlign w:val="bottom"/>
          </w:tcPr>
          <w:p>
            <w:pPr>
              <w:spacing w:after="0"/>
              <w:rPr>
                <w:sz w:val="20"/>
                <w:szCs w:val="20"/>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(1,637)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1,472</w:t>
            </w:r>
          </w:p>
        </w:tc>
        <w:tc>
          <w:tcPr>
            <w:tcW w:w="1620" w:type="dxa"/>
            <w:vAlign w:val="bottom"/>
          </w:tcPr>
          <w:p>
            <w:pPr>
              <w:jc w:val="right"/>
              <w:ind w:right="559"/>
              <w:spacing w:after="0"/>
              <w:rPr>
                <w:sz w:val="20"/>
                <w:szCs w:val="20"/>
                <w:color w:val="auto"/>
              </w:rPr>
            </w:pPr>
            <w:r>
              <w:rPr>
                <w:rFonts w:ascii="Arial" w:cs="Arial" w:eastAsia="Arial" w:hAnsi="Arial"/>
                <w:sz w:val="16"/>
                <w:szCs w:val="16"/>
                <w:color w:val="auto"/>
              </w:rPr>
              <w:t>NM</w:t>
            </w:r>
          </w:p>
        </w:tc>
        <w:tc>
          <w:tcPr>
            <w:tcW w:w="220" w:type="dxa"/>
            <w:vAlign w:val="bottom"/>
          </w:tcPr>
          <w:p>
            <w:pPr>
              <w:spacing w:after="0"/>
              <w:rPr>
                <w:sz w:val="20"/>
                <w:szCs w:val="20"/>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(2,609)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1,967</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NM</w:t>
            </w:r>
          </w:p>
        </w:tc>
      </w:tr>
      <w:tr>
        <w:trPr>
          <w:trHeight w:val="33"/>
        </w:trPr>
        <w:tc>
          <w:tcPr>
            <w:tcW w:w="4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75"/>
        </w:trPr>
        <w:tc>
          <w:tcPr>
            <w:tcW w:w="4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37"/>
        </w:trPr>
        <w:tc>
          <w:tcPr>
            <w:tcW w:w="4160" w:type="dxa"/>
            <w:vAlign w:val="bottom"/>
          </w:tcPr>
          <w:p>
            <w:pPr>
              <w:ind w:left="20"/>
              <w:spacing w:after="0"/>
              <w:rPr>
                <w:sz w:val="20"/>
                <w:szCs w:val="20"/>
                <w:color w:val="auto"/>
              </w:rPr>
            </w:pPr>
            <w:r>
              <w:rPr>
                <w:rFonts w:ascii="Arial" w:cs="Arial" w:eastAsia="Arial" w:hAnsi="Arial"/>
                <w:sz w:val="16"/>
                <w:szCs w:val="16"/>
                <w:i w:val="1"/>
                <w:iCs w:val="1"/>
                <w:color w:val="auto"/>
              </w:rPr>
              <w:t>Operating margin</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i w:val="1"/>
                <w:iCs w:val="1"/>
                <w:color w:val="auto"/>
              </w:rPr>
              <w:t>(111.0)%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i w:val="1"/>
                <w:iCs w:val="1"/>
                <w:color w:val="auto"/>
              </w:rPr>
              <w:t>12.9%</w:t>
            </w:r>
          </w:p>
        </w:tc>
        <w:tc>
          <w:tcPr>
            <w:tcW w:w="1620" w:type="dxa"/>
            <w:vAlign w:val="bottom"/>
          </w:tcPr>
          <w:p>
            <w:pPr>
              <w:jc w:val="right"/>
              <w:ind w:right="559"/>
              <w:spacing w:after="0"/>
              <w:rPr>
                <w:sz w:val="20"/>
                <w:szCs w:val="20"/>
                <w:color w:val="auto"/>
              </w:rPr>
            </w:pPr>
            <w:r>
              <w:rPr>
                <w:rFonts w:ascii="Arial" w:cs="Arial" w:eastAsia="Arial" w:hAnsi="Arial"/>
                <w:sz w:val="16"/>
                <w:szCs w:val="16"/>
                <w:i w:val="1"/>
                <w:iCs w:val="1"/>
                <w:color w:val="auto"/>
              </w:rPr>
              <w:t>NM</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i w:val="1"/>
                <w:iCs w:val="1"/>
                <w:color w:val="auto"/>
              </w:rPr>
              <w:t>(27.6)%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i w:val="1"/>
                <w:iCs w:val="1"/>
                <w:color w:val="auto"/>
              </w:rPr>
              <w:t>9.4%</w:t>
            </w:r>
          </w:p>
        </w:tc>
        <w:tc>
          <w:tcPr>
            <w:tcW w:w="1540" w:type="dxa"/>
            <w:vAlign w:val="bottom"/>
          </w:tcPr>
          <w:p>
            <w:pPr>
              <w:jc w:val="right"/>
              <w:ind w:right="459"/>
              <w:spacing w:after="0"/>
              <w:rPr>
                <w:sz w:val="20"/>
                <w:szCs w:val="20"/>
                <w:color w:val="auto"/>
              </w:rPr>
            </w:pPr>
            <w:r>
              <w:rPr>
                <w:rFonts w:ascii="Arial" w:cs="Arial" w:eastAsia="Arial" w:hAnsi="Arial"/>
                <w:sz w:val="16"/>
                <w:szCs w:val="16"/>
                <w:i w:val="1"/>
                <w:iCs w:val="1"/>
                <w:color w:val="auto"/>
              </w:rPr>
              <w:t>NM</w:t>
            </w:r>
          </w:p>
        </w:tc>
      </w:tr>
      <w:tr>
        <w:trPr>
          <w:trHeight w:val="33"/>
        </w:trPr>
        <w:tc>
          <w:tcPr>
            <w:tcW w:w="4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75"/>
        </w:trPr>
        <w:tc>
          <w:tcPr>
            <w:tcW w:w="4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37"/>
        </w:trPr>
        <w:tc>
          <w:tcPr>
            <w:tcW w:w="4160" w:type="dxa"/>
            <w:vAlign w:val="bottom"/>
          </w:tcPr>
          <w:p>
            <w:pPr>
              <w:ind w:left="20"/>
              <w:spacing w:after="0"/>
              <w:rPr>
                <w:sz w:val="20"/>
                <w:szCs w:val="20"/>
                <w:color w:val="auto"/>
              </w:rPr>
            </w:pPr>
            <w:r>
              <w:rPr>
                <w:rFonts w:ascii="Arial" w:cs="Arial" w:eastAsia="Arial" w:hAnsi="Arial"/>
                <w:sz w:val="16"/>
                <w:szCs w:val="16"/>
                <w:color w:val="auto"/>
              </w:rPr>
              <w:t>Nonoperating income (expense):</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3"/>
        </w:trPr>
        <w:tc>
          <w:tcPr>
            <w:tcW w:w="4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w:t>
            </w:r>
          </w:p>
        </w:tc>
        <w:tc>
          <w:tcPr>
            <w:tcW w:w="162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color w:val="auto"/>
              </w:rPr>
              <w:t>2.6</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(379)</w:t>
            </w:r>
          </w:p>
        </w:tc>
        <w:tc>
          <w:tcPr>
            <w:tcW w:w="154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(3.2)</w:t>
            </w:r>
          </w:p>
        </w:tc>
      </w:tr>
      <w:tr>
        <w:trPr>
          <w:trHeight w:val="237"/>
        </w:trPr>
        <w:tc>
          <w:tcPr>
            <w:tcW w:w="4160" w:type="dxa"/>
            <w:vAlign w:val="bottom"/>
          </w:tcPr>
          <w:p>
            <w:pPr>
              <w:ind w:left="380"/>
              <w:spacing w:after="0"/>
              <w:rPr>
                <w:sz w:val="20"/>
                <w:szCs w:val="20"/>
                <w:color w:val="auto"/>
              </w:rPr>
            </w:pPr>
            <w:r>
              <w:rPr>
                <w:rFonts w:ascii="Arial" w:cs="Arial" w:eastAsia="Arial" w:hAnsi="Arial"/>
                <w:sz w:val="16"/>
                <w:szCs w:val="16"/>
                <w:color w:val="auto"/>
              </w:rPr>
              <w:t>Interest capitalized</w:t>
            </w:r>
          </w:p>
        </w:tc>
        <w:tc>
          <w:tcPr>
            <w:tcW w:w="180" w:type="dxa"/>
            <w:vAlign w:val="bottom"/>
          </w:tcPr>
          <w:p>
            <w:pPr>
              <w:spacing w:after="0"/>
              <w:rPr>
                <w:sz w:val="20"/>
                <w:szCs w:val="20"/>
                <w:color w:val="auto"/>
              </w:rPr>
            </w:pPr>
          </w:p>
        </w:tc>
        <w:tc>
          <w:tcPr>
            <w:tcW w:w="700" w:type="dxa"/>
            <w:vAlign w:val="bottom"/>
          </w:tcPr>
          <w:p>
            <w:pPr>
              <w:jc w:val="right"/>
              <w:ind w:right="13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21</w:t>
            </w:r>
          </w:p>
        </w:tc>
        <w:tc>
          <w:tcPr>
            <w:tcW w:w="1620" w:type="dxa"/>
            <w:vAlign w:val="bottom"/>
          </w:tcPr>
          <w:p>
            <w:pPr>
              <w:jc w:val="right"/>
              <w:ind w:right="499"/>
              <w:spacing w:after="0"/>
              <w:rPr>
                <w:sz w:val="20"/>
                <w:szCs w:val="20"/>
                <w:color w:val="auto"/>
              </w:rPr>
            </w:pPr>
            <w:r>
              <w:rPr>
                <w:rFonts w:ascii="Arial" w:cs="Arial" w:eastAsia="Arial" w:hAnsi="Arial"/>
                <w:sz w:val="16"/>
                <w:szCs w:val="16"/>
                <w:color w:val="auto"/>
              </w:rPr>
              <w:t>(19.0)</w:t>
            </w:r>
          </w:p>
        </w:tc>
        <w:tc>
          <w:tcPr>
            <w:tcW w:w="220" w:type="dxa"/>
            <w:vAlign w:val="bottom"/>
          </w:tcPr>
          <w:p>
            <w:pPr>
              <w:spacing w:after="0"/>
              <w:rPr>
                <w:sz w:val="20"/>
                <w:szCs w:val="20"/>
                <w:color w:val="auto"/>
              </w:rPr>
            </w:pPr>
          </w:p>
        </w:tc>
        <w:tc>
          <w:tcPr>
            <w:tcW w:w="780" w:type="dxa"/>
            <w:vAlign w:val="bottom"/>
          </w:tcPr>
          <w:p>
            <w:pPr>
              <w:jc w:val="right"/>
              <w:ind w:right="13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43</w:t>
            </w:r>
          </w:p>
        </w:tc>
        <w:tc>
          <w:tcPr>
            <w:tcW w:w="1540" w:type="dxa"/>
            <w:vAlign w:val="bottom"/>
          </w:tcPr>
          <w:p>
            <w:pPr>
              <w:jc w:val="right"/>
              <w:ind w:right="419"/>
              <w:spacing w:after="0"/>
              <w:rPr>
                <w:sz w:val="20"/>
                <w:szCs w:val="20"/>
                <w:color w:val="auto"/>
              </w:rPr>
            </w:pPr>
            <w:r>
              <w:rPr>
                <w:rFonts w:ascii="Arial" w:cs="Arial" w:eastAsia="Arial" w:hAnsi="Arial"/>
                <w:sz w:val="16"/>
                <w:szCs w:val="16"/>
                <w:color w:val="auto"/>
              </w:rPr>
              <w:t>(11.6)</w:t>
            </w:r>
          </w:p>
        </w:tc>
      </w:tr>
      <w:tr>
        <w:trPr>
          <w:trHeight w:val="33"/>
        </w:trPr>
        <w:tc>
          <w:tcPr>
            <w:tcW w:w="4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w:t>
            </w:r>
          </w:p>
        </w:tc>
        <w:tc>
          <w:tcPr>
            <w:tcW w:w="162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(71.1)</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67</w:t>
            </w:r>
          </w:p>
        </w:tc>
        <w:tc>
          <w:tcPr>
            <w:tcW w:w="154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(44.8)</w:t>
            </w:r>
          </w:p>
        </w:tc>
      </w:tr>
      <w:tr>
        <w:trPr>
          <w:trHeight w:val="237"/>
        </w:trPr>
        <w:tc>
          <w:tcPr>
            <w:tcW w:w="4160" w:type="dxa"/>
            <w:vAlign w:val="bottom"/>
          </w:tcPr>
          <w:p>
            <w:pPr>
              <w:ind w:left="380"/>
              <w:spacing w:after="0"/>
              <w:rPr>
                <w:sz w:val="20"/>
                <w:szCs w:val="20"/>
                <w:color w:val="auto"/>
              </w:rPr>
            </w:pPr>
            <w:r>
              <w:rPr>
                <w:rFonts w:ascii="Arial" w:cs="Arial" w:eastAsia="Arial" w:hAnsi="Arial"/>
                <w:sz w:val="16"/>
                <w:szCs w:val="16"/>
                <w:color w:val="auto"/>
              </w:rPr>
              <w:t>Unrealized gains (losses) on investments, net (B)</w:t>
            </w:r>
          </w:p>
        </w:tc>
        <w:tc>
          <w:tcPr>
            <w:tcW w:w="180" w:type="dxa"/>
            <w:vAlign w:val="bottom"/>
          </w:tcPr>
          <w:p>
            <w:pPr>
              <w:spacing w:after="0"/>
              <w:rPr>
                <w:sz w:val="20"/>
                <w:szCs w:val="20"/>
                <w:color w:val="auto"/>
              </w:rPr>
            </w:pPr>
          </w:p>
        </w:tc>
        <w:tc>
          <w:tcPr>
            <w:tcW w:w="700" w:type="dxa"/>
            <w:vAlign w:val="bottom"/>
          </w:tcPr>
          <w:p>
            <w:pPr>
              <w:jc w:val="right"/>
              <w:ind w:right="13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34</w:t>
            </w:r>
          </w:p>
        </w:tc>
        <w:tc>
          <w:tcPr>
            <w:tcW w:w="1620" w:type="dxa"/>
            <w:vAlign w:val="bottom"/>
          </w:tcPr>
          <w:p>
            <w:pPr>
              <w:jc w:val="right"/>
              <w:ind w:right="559"/>
              <w:spacing w:after="0"/>
              <w:rPr>
                <w:sz w:val="20"/>
                <w:szCs w:val="20"/>
                <w:color w:val="auto"/>
              </w:rPr>
            </w:pPr>
            <w:r>
              <w:rPr>
                <w:rFonts w:ascii="Arial" w:cs="Arial" w:eastAsia="Arial" w:hAnsi="Arial"/>
                <w:sz w:val="16"/>
                <w:szCs w:val="16"/>
                <w:color w:val="auto"/>
              </w:rPr>
              <w:t>NM</w:t>
            </w:r>
          </w:p>
        </w:tc>
        <w:tc>
          <w:tcPr>
            <w:tcW w:w="220" w:type="dxa"/>
            <w:vAlign w:val="bottom"/>
          </w:tcPr>
          <w:p>
            <w:pPr>
              <w:spacing w:after="0"/>
              <w:rPr>
                <w:sz w:val="20"/>
                <w:szCs w:val="20"/>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51</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NM</w:t>
            </w:r>
          </w:p>
        </w:tc>
      </w:tr>
      <w:tr>
        <w:trPr>
          <w:trHeight w:val="33"/>
        </w:trPr>
        <w:tc>
          <w:tcPr>
            <w:tcW w:w="4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Miscellaneous, net (B)</w:t>
            </w: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62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color w:val="auto"/>
              </w:rPr>
              <w:t>NM</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(906)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5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NM</w:t>
            </w:r>
          </w:p>
        </w:tc>
      </w:tr>
      <w:tr>
        <w:trPr>
          <w:trHeight w:val="217"/>
        </w:trPr>
        <w:tc>
          <w:tcPr>
            <w:tcW w:w="4160" w:type="dxa"/>
            <w:vAlign w:val="bottom"/>
          </w:tcPr>
          <w:p>
            <w:pPr>
              <w:ind w:left="700"/>
              <w:spacing w:after="0"/>
              <w:rPr>
                <w:sz w:val="20"/>
                <w:szCs w:val="20"/>
                <w:color w:val="auto"/>
              </w:rPr>
            </w:pPr>
            <w:r>
              <w:rPr>
                <w:rFonts w:ascii="Arial" w:cs="Arial" w:eastAsia="Arial" w:hAnsi="Arial"/>
                <w:sz w:val="16"/>
                <w:szCs w:val="16"/>
                <w:color w:val="auto"/>
              </w:rPr>
              <w:t>Total nonoperating expense</w:t>
            </w: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(366)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(118)</w:t>
            </w:r>
          </w:p>
        </w:tc>
        <w:tc>
          <w:tcPr>
            <w:tcW w:w="1620" w:type="dxa"/>
            <w:vAlign w:val="bottom"/>
          </w:tcPr>
          <w:p>
            <w:pPr>
              <w:jc w:val="right"/>
              <w:ind w:right="559"/>
              <w:spacing w:after="0"/>
              <w:rPr>
                <w:sz w:val="20"/>
                <w:szCs w:val="20"/>
                <w:color w:val="auto"/>
              </w:rPr>
            </w:pPr>
            <w:r>
              <w:rPr>
                <w:rFonts w:ascii="Arial" w:cs="Arial" w:eastAsia="Arial" w:hAnsi="Arial"/>
                <w:sz w:val="16"/>
                <w:szCs w:val="16"/>
                <w:color w:val="auto"/>
              </w:rPr>
              <w:t>210.2</w:t>
            </w: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(1,508)</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(246)</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NM</w:t>
            </w:r>
          </w:p>
        </w:tc>
      </w:tr>
      <w:tr>
        <w:trPr>
          <w:trHeight w:val="33"/>
        </w:trPr>
        <w:tc>
          <w:tcPr>
            <w:tcW w:w="4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r>
      <w:tr>
        <w:trPr>
          <w:trHeight w:val="169"/>
        </w:trPr>
        <w:tc>
          <w:tcPr>
            <w:tcW w:w="4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r>
      <w:tr>
        <w:trPr>
          <w:trHeight w:val="237"/>
        </w:trPr>
        <w:tc>
          <w:tcPr>
            <w:tcW w:w="416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Pr>
          <w:p>
            <w:pPr>
              <w:spacing w:after="0"/>
              <w:rPr>
                <w:sz w:val="20"/>
                <w:szCs w:val="20"/>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(2,003)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1,354</w:t>
            </w:r>
          </w:p>
        </w:tc>
        <w:tc>
          <w:tcPr>
            <w:tcW w:w="1620" w:type="dxa"/>
            <w:vAlign w:val="bottom"/>
          </w:tcPr>
          <w:p>
            <w:pPr>
              <w:jc w:val="right"/>
              <w:ind w:right="559"/>
              <w:spacing w:after="0"/>
              <w:rPr>
                <w:sz w:val="20"/>
                <w:szCs w:val="20"/>
                <w:color w:val="auto"/>
              </w:rPr>
            </w:pPr>
            <w:r>
              <w:rPr>
                <w:rFonts w:ascii="Arial" w:cs="Arial" w:eastAsia="Arial" w:hAnsi="Arial"/>
                <w:sz w:val="16"/>
                <w:szCs w:val="16"/>
                <w:color w:val="auto"/>
              </w:rPr>
              <w:t>NM</w:t>
            </w:r>
          </w:p>
        </w:tc>
        <w:tc>
          <w:tcPr>
            <w:tcW w:w="220" w:type="dxa"/>
            <w:vAlign w:val="bottom"/>
          </w:tcPr>
          <w:p>
            <w:pPr>
              <w:spacing w:after="0"/>
              <w:rPr>
                <w:sz w:val="20"/>
                <w:szCs w:val="20"/>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(4,117)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1,721</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NM</w:t>
            </w:r>
          </w:p>
        </w:tc>
      </w:tr>
      <w:tr>
        <w:trPr>
          <w:trHeight w:val="33"/>
        </w:trPr>
        <w:tc>
          <w:tcPr>
            <w:tcW w:w="4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75"/>
        </w:trPr>
        <w:tc>
          <w:tcPr>
            <w:tcW w:w="4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37"/>
        </w:trPr>
        <w:tc>
          <w:tcPr>
            <w:tcW w:w="4160" w:type="dxa"/>
            <w:vAlign w:val="bottom"/>
          </w:tcPr>
          <w:p>
            <w:pPr>
              <w:ind w:left="20"/>
              <w:spacing w:after="0"/>
              <w:rPr>
                <w:sz w:val="20"/>
                <w:szCs w:val="20"/>
                <w:color w:val="auto"/>
              </w:rPr>
            </w:pPr>
            <w:r>
              <w:rPr>
                <w:rFonts w:ascii="Arial" w:cs="Arial" w:eastAsia="Arial" w:hAnsi="Arial"/>
                <w:sz w:val="16"/>
                <w:szCs w:val="16"/>
                <w:i w:val="1"/>
                <w:iCs w:val="1"/>
                <w:color w:val="auto"/>
              </w:rPr>
              <w:t>Pre-tax margin</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i w:val="1"/>
                <w:iCs w:val="1"/>
                <w:color w:val="auto"/>
              </w:rPr>
              <w:t>(135.8)%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i w:val="1"/>
                <w:iCs w:val="1"/>
                <w:color w:val="auto"/>
              </w:rPr>
              <w:t>11.9%</w:t>
            </w:r>
          </w:p>
        </w:tc>
        <w:tc>
          <w:tcPr>
            <w:tcW w:w="1620" w:type="dxa"/>
            <w:vAlign w:val="bottom"/>
          </w:tcPr>
          <w:p>
            <w:pPr>
              <w:jc w:val="right"/>
              <w:ind w:right="559"/>
              <w:spacing w:after="0"/>
              <w:rPr>
                <w:sz w:val="20"/>
                <w:szCs w:val="20"/>
                <w:color w:val="auto"/>
              </w:rPr>
            </w:pPr>
            <w:r>
              <w:rPr>
                <w:rFonts w:ascii="Arial" w:cs="Arial" w:eastAsia="Arial" w:hAnsi="Arial"/>
                <w:sz w:val="16"/>
                <w:szCs w:val="16"/>
                <w:color w:val="auto"/>
              </w:rPr>
              <w:t>NM</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i w:val="1"/>
                <w:iCs w:val="1"/>
                <w:color w:val="auto"/>
              </w:rPr>
              <w:t>(43.5)%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i w:val="1"/>
                <w:iCs w:val="1"/>
                <w:color w:val="auto"/>
              </w:rPr>
              <w:t>8.2%</w:t>
            </w:r>
          </w:p>
        </w:tc>
        <w:tc>
          <w:tcPr>
            <w:tcW w:w="1540" w:type="dxa"/>
            <w:vAlign w:val="bottom"/>
          </w:tcPr>
          <w:p>
            <w:pPr>
              <w:jc w:val="right"/>
              <w:ind w:right="459"/>
              <w:spacing w:after="0"/>
              <w:rPr>
                <w:sz w:val="20"/>
                <w:szCs w:val="20"/>
                <w:color w:val="auto"/>
              </w:rPr>
            </w:pPr>
            <w:r>
              <w:rPr>
                <w:rFonts w:ascii="Arial" w:cs="Arial" w:eastAsia="Arial" w:hAnsi="Arial"/>
                <w:sz w:val="16"/>
                <w:szCs w:val="16"/>
                <w:i w:val="1"/>
                <w:iCs w:val="1"/>
                <w:color w:val="auto"/>
              </w:rPr>
              <w:t>NM</w:t>
            </w:r>
          </w:p>
        </w:tc>
      </w:tr>
      <w:tr>
        <w:trPr>
          <w:trHeight w:val="33"/>
        </w:trPr>
        <w:tc>
          <w:tcPr>
            <w:tcW w:w="4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75"/>
        </w:trPr>
        <w:tc>
          <w:tcPr>
            <w:tcW w:w="4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37"/>
        </w:trPr>
        <w:tc>
          <w:tcPr>
            <w:tcW w:w="4160" w:type="dxa"/>
            <w:vAlign w:val="bottom"/>
          </w:tcPr>
          <w:p>
            <w:pPr>
              <w:ind w:left="20"/>
              <w:spacing w:after="0"/>
              <w:rPr>
                <w:sz w:val="20"/>
                <w:szCs w:val="20"/>
                <w:color w:val="auto"/>
              </w:rPr>
            </w:pPr>
            <w:r>
              <w:rPr>
                <w:rFonts w:ascii="Arial" w:cs="Arial" w:eastAsia="Arial" w:hAnsi="Arial"/>
                <w:sz w:val="16"/>
                <w:szCs w:val="16"/>
                <w:color w:val="auto"/>
              </w:rPr>
              <w:t>Income tax expense (benefit) (D)</w:t>
            </w:r>
          </w:p>
        </w:tc>
        <w:tc>
          <w:tcPr>
            <w:tcW w:w="180" w:type="dxa"/>
            <w:vAlign w:val="bottom"/>
          </w:tcPr>
          <w:p>
            <w:pPr>
              <w:spacing w:after="0"/>
              <w:rPr>
                <w:sz w:val="20"/>
                <w:szCs w:val="20"/>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(376)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302</w:t>
            </w:r>
          </w:p>
        </w:tc>
        <w:tc>
          <w:tcPr>
            <w:tcW w:w="1620" w:type="dxa"/>
            <w:vAlign w:val="bottom"/>
          </w:tcPr>
          <w:p>
            <w:pPr>
              <w:jc w:val="right"/>
              <w:ind w:right="559"/>
              <w:spacing w:after="0"/>
              <w:rPr>
                <w:sz w:val="20"/>
                <w:szCs w:val="20"/>
                <w:color w:val="auto"/>
              </w:rPr>
            </w:pPr>
            <w:r>
              <w:rPr>
                <w:rFonts w:ascii="Arial" w:cs="Arial" w:eastAsia="Arial" w:hAnsi="Arial"/>
                <w:sz w:val="16"/>
                <w:szCs w:val="16"/>
                <w:color w:val="auto"/>
              </w:rPr>
              <w:t>NM</w:t>
            </w:r>
          </w:p>
        </w:tc>
        <w:tc>
          <w:tcPr>
            <w:tcW w:w="220" w:type="dxa"/>
            <w:vAlign w:val="bottom"/>
          </w:tcPr>
          <w:p>
            <w:pPr>
              <w:spacing w:after="0"/>
              <w:rPr>
                <w:sz w:val="20"/>
                <w:szCs w:val="20"/>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(786)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377</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NM</w:t>
            </w:r>
          </w:p>
        </w:tc>
      </w:tr>
      <w:tr>
        <w:trPr>
          <w:trHeight w:val="33"/>
        </w:trPr>
        <w:tc>
          <w:tcPr>
            <w:tcW w:w="4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r>
      <w:tr>
        <w:trPr>
          <w:trHeight w:val="243"/>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1,052</w:t>
            </w:r>
          </w:p>
        </w:tc>
        <w:tc>
          <w:tcPr>
            <w:tcW w:w="162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color w:val="auto"/>
              </w:rPr>
              <w:t>NM</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(3,331)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1,344</w:t>
            </w:r>
          </w:p>
        </w:tc>
        <w:tc>
          <w:tcPr>
            <w:tcW w:w="15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NM</w:t>
            </w:r>
          </w:p>
        </w:tc>
      </w:tr>
      <w:tr>
        <w:trPr>
          <w:trHeight w:val="20"/>
        </w:trPr>
        <w:tc>
          <w:tcPr>
            <w:tcW w:w="4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63"/>
        </w:trPr>
        <w:tc>
          <w:tcPr>
            <w:tcW w:w="4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earnings (loss)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4.02</w:t>
            </w:r>
          </w:p>
        </w:tc>
        <w:tc>
          <w:tcPr>
            <w:tcW w:w="162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color w:val="auto"/>
              </w:rPr>
              <w:t>NM</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5.07</w:t>
            </w:r>
          </w:p>
        </w:tc>
        <w:tc>
          <w:tcPr>
            <w:tcW w:w="15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NM</w:t>
            </w:r>
          </w:p>
        </w:tc>
      </w:tr>
      <w:tr>
        <w:trPr>
          <w:trHeight w:val="20"/>
        </w:trPr>
        <w:tc>
          <w:tcPr>
            <w:tcW w:w="4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10"/>
        </w:trPr>
        <w:tc>
          <w:tcPr>
            <w:tcW w:w="4160" w:type="dxa"/>
            <w:vAlign w:val="bottom"/>
          </w:tcPr>
          <w:p>
            <w:pPr>
              <w:ind w:left="20"/>
              <w:spacing w:after="0"/>
              <w:rPr>
                <w:sz w:val="20"/>
                <w:szCs w:val="20"/>
                <w:color w:val="auto"/>
              </w:rPr>
            </w:pPr>
            <w:r>
              <w:rPr>
                <w:rFonts w:ascii="Arial" w:cs="Arial" w:eastAsia="Arial" w:hAnsi="Arial"/>
                <w:sz w:val="16"/>
                <w:szCs w:val="16"/>
                <w:color w:val="auto"/>
              </w:rPr>
              <w:t>Diluted weighted average shares</w:t>
            </w:r>
          </w:p>
        </w:tc>
        <w:tc>
          <w:tcPr>
            <w:tcW w:w="180" w:type="dxa"/>
            <w:vAlign w:val="bottom"/>
          </w:tcPr>
          <w:p>
            <w:pPr>
              <w:spacing w:after="0"/>
              <w:rPr>
                <w:sz w:val="18"/>
                <w:szCs w:val="18"/>
                <w:color w:val="auto"/>
              </w:rPr>
            </w:pPr>
          </w:p>
        </w:tc>
        <w:tc>
          <w:tcPr>
            <w:tcW w:w="700" w:type="dxa"/>
            <w:vAlign w:val="bottom"/>
          </w:tcPr>
          <w:p>
            <w:pPr>
              <w:jc w:val="right"/>
              <w:ind w:right="139"/>
              <w:spacing w:after="0"/>
              <w:rPr>
                <w:sz w:val="20"/>
                <w:szCs w:val="20"/>
                <w:color w:val="auto"/>
              </w:rPr>
            </w:pPr>
            <w:r>
              <w:rPr>
                <w:rFonts w:ascii="Arial" w:cs="Arial" w:eastAsia="Arial" w:hAnsi="Arial"/>
                <w:sz w:val="16"/>
                <w:szCs w:val="16"/>
                <w:color w:val="auto"/>
              </w:rPr>
              <w:t>280.7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261.6</w:t>
            </w:r>
          </w:p>
        </w:tc>
        <w:tc>
          <w:tcPr>
            <w:tcW w:w="1620" w:type="dxa"/>
            <w:vAlign w:val="bottom"/>
          </w:tcPr>
          <w:p>
            <w:pPr>
              <w:jc w:val="right"/>
              <w:ind w:right="559"/>
              <w:spacing w:after="0"/>
              <w:rPr>
                <w:sz w:val="20"/>
                <w:szCs w:val="20"/>
                <w:color w:val="auto"/>
              </w:rPr>
            </w:pPr>
            <w:r>
              <w:rPr>
                <w:rFonts w:ascii="Arial" w:cs="Arial" w:eastAsia="Arial" w:hAnsi="Arial"/>
                <w:sz w:val="16"/>
                <w:szCs w:val="16"/>
                <w:color w:val="auto"/>
              </w:rPr>
              <w:t>7.3</w:t>
            </w:r>
          </w:p>
        </w:tc>
        <w:tc>
          <w:tcPr>
            <w:tcW w:w="220" w:type="dxa"/>
            <w:vAlign w:val="bottom"/>
          </w:tcPr>
          <w:p>
            <w:pPr>
              <w:spacing w:after="0"/>
              <w:rPr>
                <w:sz w:val="18"/>
                <w:szCs w:val="18"/>
                <w:color w:val="auto"/>
              </w:rPr>
            </w:pPr>
          </w:p>
        </w:tc>
        <w:tc>
          <w:tcPr>
            <w:tcW w:w="780" w:type="dxa"/>
            <w:vAlign w:val="bottom"/>
          </w:tcPr>
          <w:p>
            <w:pPr>
              <w:jc w:val="right"/>
              <w:ind w:right="139"/>
              <w:spacing w:after="0"/>
              <w:rPr>
                <w:sz w:val="20"/>
                <w:szCs w:val="20"/>
                <w:color w:val="auto"/>
              </w:rPr>
            </w:pPr>
            <w:r>
              <w:rPr>
                <w:rFonts w:ascii="Arial" w:cs="Arial" w:eastAsia="Arial" w:hAnsi="Arial"/>
                <w:sz w:val="16"/>
                <w:szCs w:val="16"/>
                <w:color w:val="auto"/>
              </w:rPr>
              <w:t>264.6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264.9</w:t>
            </w:r>
          </w:p>
        </w:tc>
        <w:tc>
          <w:tcPr>
            <w:tcW w:w="1540" w:type="dxa"/>
            <w:vAlign w:val="bottom"/>
          </w:tcPr>
          <w:p>
            <w:pPr>
              <w:jc w:val="right"/>
              <w:ind w:right="419"/>
              <w:spacing w:after="0"/>
              <w:rPr>
                <w:sz w:val="20"/>
                <w:szCs w:val="20"/>
                <w:color w:val="auto"/>
              </w:rPr>
            </w:pPr>
            <w:r>
              <w:rPr>
                <w:rFonts w:ascii="Arial" w:cs="Arial" w:eastAsia="Arial" w:hAnsi="Arial"/>
                <w:sz w:val="16"/>
                <w:szCs w:val="16"/>
                <w:color w:val="auto"/>
              </w:rPr>
              <w:t>(0.1)</w:t>
            </w:r>
          </w:p>
        </w:tc>
      </w:tr>
    </w:tbl>
    <w:p>
      <w:pPr>
        <w:spacing w:after="0" w:line="239" w:lineRule="exact"/>
        <w:rPr>
          <w:sz w:val="20"/>
          <w:szCs w:val="20"/>
          <w:color w:val="auto"/>
        </w:rPr>
      </w:pPr>
    </w:p>
    <w:p>
      <w:pPr>
        <w:ind w:left="60"/>
        <w:spacing w:after="0"/>
        <w:rPr>
          <w:sz w:val="20"/>
          <w:szCs w:val="20"/>
          <w:color w:val="auto"/>
        </w:rPr>
      </w:pPr>
      <w:r>
        <w:rPr>
          <w:rFonts w:ascii="Arial" w:cs="Arial" w:eastAsia="Arial" w:hAnsi="Arial"/>
          <w:sz w:val="16"/>
          <w:szCs w:val="16"/>
          <w:color w:val="auto"/>
        </w:rPr>
        <w:t>NM Not meaningful</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140" w:right="35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color w:val="auto"/>
        </w:rPr>
        <w:t>United Airlines Reports Second-Quarter 2020 Performance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UNITED AIRLINES HOLDINGS,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PASSENGER REVENUE INFORMATION AND STATISTICS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Passenger revenue information is as follows (in millions, except for percentage changes):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6"/>
                <w:szCs w:val="16"/>
                <w:color w:val="auto"/>
                <w:w w:val="86"/>
              </w:rPr>
              <w:t>Passenger</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Available</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1"/>
              </w:rPr>
              <w:t>2Q 2020</w:t>
            </w:r>
          </w:p>
        </w:tc>
      </w:tr>
      <w:tr>
        <w:trPr>
          <w:trHeight w:val="203"/>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2Q 2020</w:t>
            </w:r>
          </w:p>
        </w:tc>
        <w:tc>
          <w:tcPr>
            <w:tcW w:w="12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2Q 2019</w:t>
            </w:r>
          </w:p>
        </w:tc>
        <w:tc>
          <w:tcPr>
            <w:tcW w:w="12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color w:val="auto"/>
                <w:w w:val="92"/>
              </w:rPr>
              <w:t>Reporting</w:t>
            </w:r>
          </w:p>
        </w:tc>
        <w:tc>
          <w:tcPr>
            <w:tcW w:w="120" w:type="dxa"/>
            <w:vAlign w:val="bottom"/>
          </w:tcPr>
          <w:p>
            <w:pPr>
              <w:spacing w:after="0"/>
              <w:rPr>
                <w:sz w:val="17"/>
                <w:szCs w:val="17"/>
                <w:color w:val="auto"/>
              </w:rPr>
            </w:pPr>
          </w:p>
        </w:tc>
        <w:tc>
          <w:tcPr>
            <w:tcW w:w="840" w:type="dxa"/>
            <w:vAlign w:val="bottom"/>
          </w:tcPr>
          <w:p>
            <w:pPr>
              <w:jc w:val="center"/>
              <w:ind w:right="39"/>
              <w:spacing w:after="0"/>
              <w:rPr>
                <w:sz w:val="20"/>
                <w:szCs w:val="20"/>
                <w:color w:val="auto"/>
              </w:rPr>
            </w:pPr>
            <w:r>
              <w:rPr>
                <w:rFonts w:ascii="Arial" w:cs="Arial" w:eastAsia="Arial" w:hAnsi="Arial"/>
                <w:sz w:val="16"/>
                <w:szCs w:val="16"/>
                <w:color w:val="auto"/>
                <w:w w:val="91"/>
              </w:rPr>
              <w:t>2Q 2019</w:t>
            </w:r>
          </w:p>
        </w:tc>
        <w:tc>
          <w:tcPr>
            <w:tcW w:w="120" w:type="dxa"/>
            <w:vAlign w:val="bottom"/>
          </w:tcPr>
          <w:p>
            <w:pPr>
              <w:spacing w:after="0"/>
              <w:rPr>
                <w:sz w:val="17"/>
                <w:szCs w:val="17"/>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Revenue</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Seat Miles</w:t>
            </w:r>
          </w:p>
        </w:tc>
        <w:tc>
          <w:tcPr>
            <w:tcW w:w="98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2Q 2020</w:t>
            </w:r>
          </w:p>
        </w:tc>
        <w:tc>
          <w:tcPr>
            <w:tcW w:w="880" w:type="dxa"/>
            <w:vAlign w:val="bottom"/>
          </w:tcPr>
          <w:p>
            <w:pPr>
              <w:jc w:val="center"/>
              <w:spacing w:after="0"/>
              <w:rPr>
                <w:sz w:val="20"/>
                <w:szCs w:val="20"/>
                <w:color w:val="auto"/>
              </w:rPr>
            </w:pPr>
            <w:r>
              <w:rPr>
                <w:rFonts w:ascii="Arial" w:cs="Arial" w:eastAsia="Arial" w:hAnsi="Arial"/>
                <w:sz w:val="16"/>
                <w:szCs w:val="16"/>
                <w:color w:val="auto"/>
                <w:w w:val="87"/>
              </w:rPr>
              <w:t>Revenue</w:t>
            </w:r>
          </w:p>
        </w:tc>
      </w:tr>
      <w:tr>
        <w:trPr>
          <w:trHeight w:val="203"/>
        </w:trPr>
        <w:tc>
          <w:tcPr>
            <w:tcW w:w="920" w:type="dxa"/>
            <w:vAlign w:val="bottom"/>
          </w:tcPr>
          <w:p>
            <w:pPr>
              <w:spacing w:after="0"/>
              <w:rPr>
                <w:sz w:val="17"/>
                <w:szCs w:val="17"/>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6"/>
                <w:szCs w:val="16"/>
                <w:color w:val="auto"/>
                <w:w w:val="83"/>
              </w:rPr>
              <w:t>Passenger</w:t>
            </w:r>
          </w:p>
        </w:tc>
        <w:tc>
          <w:tcPr>
            <w:tcW w:w="12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color w:val="auto"/>
                <w:w w:val="83"/>
              </w:rPr>
              <w:t>Passenger</w:t>
            </w:r>
          </w:p>
        </w:tc>
        <w:tc>
          <w:tcPr>
            <w:tcW w:w="1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Adjustments</w:t>
            </w:r>
          </w:p>
        </w:tc>
        <w:tc>
          <w:tcPr>
            <w:tcW w:w="120" w:type="dxa"/>
            <w:vAlign w:val="bottom"/>
          </w:tcPr>
          <w:p>
            <w:pPr>
              <w:spacing w:after="0"/>
              <w:rPr>
                <w:sz w:val="17"/>
                <w:szCs w:val="17"/>
                <w:color w:val="auto"/>
              </w:rPr>
            </w:pPr>
          </w:p>
        </w:tc>
        <w:tc>
          <w:tcPr>
            <w:tcW w:w="840" w:type="dxa"/>
            <w:vAlign w:val="bottom"/>
          </w:tcPr>
          <w:p>
            <w:pPr>
              <w:jc w:val="center"/>
              <w:ind w:right="39"/>
              <w:spacing w:after="0"/>
              <w:rPr>
                <w:sz w:val="20"/>
                <w:szCs w:val="20"/>
                <w:color w:val="auto"/>
              </w:rPr>
            </w:pPr>
            <w:r>
              <w:rPr>
                <w:rFonts w:ascii="Arial" w:cs="Arial" w:eastAsia="Arial" w:hAnsi="Arial"/>
                <w:sz w:val="16"/>
                <w:szCs w:val="16"/>
                <w:color w:val="auto"/>
                <w:w w:val="83"/>
              </w:rPr>
              <w:t>Passenger</w:t>
            </w:r>
          </w:p>
        </w:tc>
        <w:tc>
          <w:tcPr>
            <w:tcW w:w="120" w:type="dxa"/>
            <w:vAlign w:val="bottom"/>
          </w:tcPr>
          <w:p>
            <w:pPr>
              <w:spacing w:after="0"/>
              <w:rPr>
                <w:sz w:val="17"/>
                <w:szCs w:val="17"/>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6"/>
                <w:szCs w:val="16"/>
                <w:color w:val="auto"/>
                <w:w w:val="87"/>
              </w:rPr>
              <w:t>vs.</w:t>
            </w:r>
          </w:p>
        </w:tc>
        <w:tc>
          <w:tcPr>
            <w:tcW w:w="106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PRASM vs.</w:t>
            </w:r>
          </w:p>
        </w:tc>
        <w:tc>
          <w:tcPr>
            <w:tcW w:w="108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Yield vs.</w:t>
            </w:r>
          </w:p>
        </w:tc>
        <w:tc>
          <w:tcPr>
            <w:tcW w:w="980" w:type="dxa"/>
            <w:vAlign w:val="bottom"/>
            <w:gridSpan w:val="2"/>
          </w:tcPr>
          <w:p>
            <w:pPr>
              <w:jc w:val="center"/>
              <w:ind w:right="120"/>
              <w:spacing w:after="0"/>
              <w:rPr>
                <w:sz w:val="20"/>
                <w:szCs w:val="20"/>
                <w:color w:val="auto"/>
              </w:rPr>
            </w:pPr>
            <w:r>
              <w:rPr>
                <w:rFonts w:ascii="Arial" w:cs="Arial" w:eastAsia="Arial" w:hAnsi="Arial"/>
                <w:sz w:val="16"/>
                <w:szCs w:val="16"/>
                <w:color w:val="auto"/>
                <w:w w:val="87"/>
              </w:rPr>
              <w:t>vs.</w:t>
            </w:r>
          </w:p>
        </w:tc>
        <w:tc>
          <w:tcPr>
            <w:tcW w:w="98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Available</w:t>
            </w:r>
          </w:p>
        </w:tc>
        <w:tc>
          <w:tcPr>
            <w:tcW w:w="880" w:type="dxa"/>
            <w:vAlign w:val="bottom"/>
          </w:tcPr>
          <w:p>
            <w:pPr>
              <w:jc w:val="center"/>
              <w:spacing w:after="0"/>
              <w:rPr>
                <w:sz w:val="20"/>
                <w:szCs w:val="20"/>
                <w:color w:val="auto"/>
              </w:rPr>
            </w:pPr>
            <w:r>
              <w:rPr>
                <w:rFonts w:ascii="Arial" w:cs="Arial" w:eastAsia="Arial" w:hAnsi="Arial"/>
                <w:sz w:val="16"/>
                <w:szCs w:val="16"/>
                <w:color w:val="auto"/>
                <w:w w:val="83"/>
              </w:rPr>
              <w:t>Passenger</w:t>
            </w:r>
          </w:p>
        </w:tc>
      </w:tr>
      <w:tr>
        <w:trPr>
          <w:trHeight w:val="20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6"/>
                <w:szCs w:val="16"/>
                <w:color w:val="auto"/>
                <w:w w:val="87"/>
              </w:rPr>
              <w:t>Revenue</w:t>
            </w:r>
          </w:p>
        </w:tc>
        <w:tc>
          <w:tcPr>
            <w:tcW w:w="1040" w:type="dxa"/>
            <w:vAlign w:val="bottom"/>
            <w:gridSpan w:val="3"/>
          </w:tcPr>
          <w:p>
            <w:pPr>
              <w:jc w:val="center"/>
              <w:ind w:right="120"/>
              <w:spacing w:after="0"/>
              <w:rPr>
                <w:sz w:val="20"/>
                <w:szCs w:val="20"/>
                <w:color w:val="auto"/>
              </w:rPr>
            </w:pPr>
            <w:r>
              <w:rPr>
                <w:rFonts w:ascii="Arial" w:cs="Arial" w:eastAsia="Arial" w:hAnsi="Arial"/>
                <w:sz w:val="16"/>
                <w:szCs w:val="16"/>
                <w:color w:val="auto"/>
                <w:w w:val="90"/>
              </w:rPr>
              <w:t>Revenue (a)</w:t>
            </w:r>
          </w:p>
        </w:tc>
        <w:tc>
          <w:tcPr>
            <w:tcW w:w="12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color w:val="auto"/>
              </w:rPr>
              <w:t>(b)</w:t>
            </w:r>
          </w:p>
        </w:tc>
        <w:tc>
          <w:tcPr>
            <w:tcW w:w="960" w:type="dxa"/>
            <w:vAlign w:val="bottom"/>
            <w:gridSpan w:val="2"/>
          </w:tcPr>
          <w:p>
            <w:pPr>
              <w:jc w:val="center"/>
              <w:spacing w:after="0"/>
              <w:rPr>
                <w:sz w:val="20"/>
                <w:szCs w:val="20"/>
                <w:color w:val="auto"/>
              </w:rPr>
            </w:pPr>
            <w:r>
              <w:rPr>
                <w:rFonts w:ascii="Arial" w:cs="Arial" w:eastAsia="Arial" w:hAnsi="Arial"/>
                <w:sz w:val="16"/>
                <w:szCs w:val="16"/>
                <w:color w:val="auto"/>
                <w:w w:val="90"/>
              </w:rPr>
              <w:t>Revenue (b)</w:t>
            </w:r>
          </w:p>
        </w:tc>
        <w:tc>
          <w:tcPr>
            <w:tcW w:w="120" w:type="dxa"/>
            <w:vAlign w:val="bottom"/>
          </w:tcPr>
          <w:p>
            <w:pPr>
              <w:spacing w:after="0"/>
              <w:rPr>
                <w:sz w:val="17"/>
                <w:szCs w:val="17"/>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2Q 2019 (b)</w:t>
            </w:r>
          </w:p>
        </w:tc>
        <w:tc>
          <w:tcPr>
            <w:tcW w:w="106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2Q 2019 (b)</w:t>
            </w: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2Q 2019 (b)</w:t>
            </w:r>
          </w:p>
        </w:tc>
        <w:tc>
          <w:tcPr>
            <w:tcW w:w="98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2Q 2019</w:t>
            </w:r>
          </w:p>
        </w:tc>
        <w:tc>
          <w:tcPr>
            <w:tcW w:w="98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Seat Miles</w:t>
            </w:r>
          </w:p>
        </w:tc>
        <w:tc>
          <w:tcPr>
            <w:tcW w:w="880" w:type="dxa"/>
            <w:vAlign w:val="bottom"/>
          </w:tcPr>
          <w:p>
            <w:pPr>
              <w:jc w:val="center"/>
              <w:spacing w:after="0"/>
              <w:rPr>
                <w:sz w:val="20"/>
                <w:szCs w:val="20"/>
                <w:color w:val="auto"/>
              </w:rPr>
            </w:pPr>
            <w:r>
              <w:rPr>
                <w:rFonts w:ascii="Arial" w:cs="Arial" w:eastAsia="Arial" w:hAnsi="Arial"/>
                <w:sz w:val="16"/>
                <w:szCs w:val="16"/>
                <w:color w:val="auto"/>
                <w:w w:val="96"/>
              </w:rPr>
              <w:t>Miles</w:t>
            </w:r>
          </w:p>
        </w:tc>
      </w:tr>
      <w:tr>
        <w:trPr>
          <w:trHeight w:val="33"/>
        </w:trPr>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Domestic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6,547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6,609</w:t>
            </w:r>
          </w:p>
        </w:tc>
        <w:tc>
          <w:tcPr>
            <w:tcW w:w="10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6"/>
              </w:rPr>
              <w:t>(91.8%)</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(46.8%)</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30.4%</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6"/>
              </w:rPr>
              <w:t>(84.6%)</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6,402</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2,283</w:t>
            </w:r>
          </w:p>
        </w:tc>
      </w:tr>
      <w:tr>
        <w:trPr>
          <w:trHeight w:val="297"/>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Atlantic</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1,886</w:t>
            </w:r>
          </w:p>
        </w:tc>
        <w:tc>
          <w:tcPr>
            <w:tcW w:w="10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6"/>
              </w:rPr>
              <w:t>(97.0%)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6"/>
              </w:rPr>
              <w:t>(91.3%)</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1,222</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323</w:t>
            </w:r>
          </w:p>
        </w:tc>
      </w:tr>
      <w:tr>
        <w:trPr>
          <w:trHeight w:val="237"/>
        </w:trPr>
        <w:tc>
          <w:tcPr>
            <w:tcW w:w="920" w:type="dxa"/>
            <w:vAlign w:val="bottom"/>
          </w:tcPr>
          <w:p>
            <w:pPr>
              <w:ind w:left="40"/>
              <w:spacing w:after="0"/>
              <w:rPr>
                <w:sz w:val="20"/>
                <w:szCs w:val="20"/>
                <w:color w:val="auto"/>
              </w:rPr>
            </w:pPr>
            <w:r>
              <w:rPr>
                <w:rFonts w:ascii="Arial" w:cs="Arial" w:eastAsia="Arial" w:hAnsi="Arial"/>
                <w:sz w:val="16"/>
                <w:szCs w:val="16"/>
                <w:color w:val="auto"/>
              </w:rPr>
              <w:t>Pacific</w:t>
            </w:r>
          </w:p>
        </w:tc>
        <w:tc>
          <w:tcPr>
            <w:tcW w:w="12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1,135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1,104</w:t>
            </w:r>
          </w:p>
        </w:tc>
        <w:tc>
          <w:tcPr>
            <w:tcW w:w="1080" w:type="dxa"/>
            <w:vAlign w:val="bottom"/>
            <w:gridSpan w:val="2"/>
          </w:tcPr>
          <w:p>
            <w:pPr>
              <w:jc w:val="center"/>
              <w:ind w:left="19"/>
              <w:spacing w:after="0"/>
              <w:rPr>
                <w:sz w:val="20"/>
                <w:szCs w:val="20"/>
                <w:color w:val="auto"/>
              </w:rPr>
            </w:pPr>
            <w:r>
              <w:rPr>
                <w:rFonts w:ascii="Arial" w:cs="Arial" w:eastAsia="Arial" w:hAnsi="Arial"/>
                <w:sz w:val="16"/>
                <w:szCs w:val="16"/>
                <w:color w:val="auto"/>
                <w:w w:val="96"/>
              </w:rPr>
              <w:t>(96.9%)</w:t>
            </w:r>
          </w:p>
        </w:tc>
        <w:tc>
          <w:tcPr>
            <w:tcW w:w="1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2"/>
              </w:rPr>
              <w:t>(63.1%)</w:t>
            </w:r>
          </w:p>
        </w:tc>
        <w:tc>
          <w:tcPr>
            <w:tcW w:w="1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2"/>
              </w:rPr>
              <w:t>59.1%</w:t>
            </w:r>
          </w:p>
        </w:tc>
        <w:tc>
          <w:tcPr>
            <w:tcW w:w="12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6"/>
              </w:rPr>
              <w:t>(91.7%)</w:t>
            </w:r>
          </w:p>
        </w:tc>
        <w:tc>
          <w:tcPr>
            <w:tcW w:w="1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896</w:t>
            </w:r>
          </w:p>
        </w:tc>
        <w:tc>
          <w:tcPr>
            <w:tcW w:w="10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172</w:t>
            </w:r>
          </w:p>
        </w:tc>
      </w:tr>
      <w:tr>
        <w:trPr>
          <w:trHeight w:val="33"/>
        </w:trPr>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0"/>
        </w:trPr>
        <w:tc>
          <w:tcPr>
            <w:tcW w:w="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Latin</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9"/>
        </w:trPr>
        <w:tc>
          <w:tcPr>
            <w:tcW w:w="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America</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887</w:t>
            </w:r>
          </w:p>
        </w:tc>
        <w:tc>
          <w:tcPr>
            <w:tcW w:w="10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6"/>
              </w:rPr>
              <w:t>(94.6%)</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(15.8%)</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66.4%</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6"/>
              </w:rPr>
              <w:t>(93.6%)</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443</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w:t>
            </w:r>
          </w:p>
        </w:tc>
      </w:tr>
      <w:tr>
        <w:trPr>
          <w:trHeight w:val="217"/>
        </w:trPr>
        <w:tc>
          <w:tcPr>
            <w:tcW w:w="920" w:type="dxa"/>
            <w:vAlign w:val="bottom"/>
          </w:tcPr>
          <w:p>
            <w:pPr>
              <w:ind w:left="40"/>
              <w:spacing w:after="0"/>
              <w:rPr>
                <w:sz w:val="20"/>
                <w:szCs w:val="20"/>
                <w:color w:val="auto"/>
              </w:rPr>
            </w:pPr>
            <w:r>
              <w:rPr>
                <w:rFonts w:ascii="Arial" w:cs="Arial" w:eastAsia="Arial" w:hAnsi="Arial"/>
                <w:sz w:val="16"/>
                <w:szCs w:val="16"/>
                <w:color w:val="auto"/>
                <w:w w:val="97"/>
              </w:rPr>
              <w:t>International</w:t>
            </w: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3,939</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3,877</w:t>
            </w:r>
          </w:p>
        </w:tc>
        <w:tc>
          <w:tcPr>
            <w:tcW w:w="1080" w:type="dxa"/>
            <w:vAlign w:val="bottom"/>
            <w:gridSpan w:val="2"/>
          </w:tcPr>
          <w:p>
            <w:pPr>
              <w:jc w:val="center"/>
              <w:ind w:left="19"/>
              <w:spacing w:after="0"/>
              <w:rPr>
                <w:sz w:val="20"/>
                <w:szCs w:val="20"/>
                <w:color w:val="auto"/>
              </w:rPr>
            </w:pPr>
            <w:r>
              <w:rPr>
                <w:rFonts w:ascii="Arial" w:cs="Arial" w:eastAsia="Arial" w:hAnsi="Arial"/>
                <w:sz w:val="16"/>
                <w:szCs w:val="16"/>
                <w:color w:val="auto"/>
                <w:w w:val="96"/>
              </w:rPr>
              <w:t>(96.4%)</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2"/>
              </w:rPr>
              <w:t>(55.5%)</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2"/>
              </w:rPr>
              <w:t>39.2%</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6"/>
              </w:rPr>
              <w:t>(91.9%)</w:t>
            </w:r>
          </w:p>
        </w:tc>
        <w:tc>
          <w:tcPr>
            <w:tcW w:w="120" w:type="dxa"/>
            <w:vAlign w:val="bottom"/>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2,561</w:t>
            </w:r>
          </w:p>
        </w:tc>
        <w:tc>
          <w:tcPr>
            <w:tcW w:w="100" w:type="dxa"/>
            <w:vAlign w:val="bottom"/>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687</w:t>
            </w:r>
          </w:p>
        </w:tc>
      </w:tr>
      <w:tr>
        <w:trPr>
          <w:trHeight w:val="33"/>
        </w:trPr>
        <w:tc>
          <w:tcPr>
            <w:tcW w:w="104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97"/>
        </w:trPr>
        <w:tc>
          <w:tcPr>
            <w:tcW w:w="9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r>
      <w:tr>
        <w:trPr>
          <w:trHeight w:val="243"/>
        </w:trPr>
        <w:tc>
          <w:tcPr>
            <w:tcW w:w="1040" w:type="dxa"/>
            <w:vAlign w:val="bottom"/>
            <w:gridSpan w:val="2"/>
          </w:tcPr>
          <w:p>
            <w:pPr>
              <w:ind w:left="40"/>
              <w:spacing w:after="0"/>
              <w:rPr>
                <w:sz w:val="20"/>
                <w:szCs w:val="20"/>
                <w:color w:val="auto"/>
              </w:rPr>
            </w:pPr>
            <w:r>
              <w:rPr>
                <w:rFonts w:ascii="Arial" w:cs="Arial" w:eastAsia="Arial" w:hAnsi="Arial"/>
                <w:sz w:val="16"/>
                <w:szCs w:val="16"/>
                <w:color w:val="auto"/>
                <w:w w:val="91"/>
              </w:rPr>
              <w:t>Consolidated $</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681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10,486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10,486</w:t>
            </w:r>
          </w:p>
        </w:tc>
        <w:tc>
          <w:tcPr>
            <w:tcW w:w="1080" w:type="dxa"/>
            <w:vAlign w:val="bottom"/>
            <w:gridSpan w:val="2"/>
          </w:tcPr>
          <w:p>
            <w:pPr>
              <w:jc w:val="center"/>
              <w:ind w:left="19"/>
              <w:spacing w:after="0"/>
              <w:rPr>
                <w:sz w:val="20"/>
                <w:szCs w:val="20"/>
                <w:color w:val="auto"/>
              </w:rPr>
            </w:pPr>
            <w:r>
              <w:rPr>
                <w:rFonts w:ascii="Arial" w:cs="Arial" w:eastAsia="Arial" w:hAnsi="Arial"/>
                <w:sz w:val="16"/>
                <w:szCs w:val="16"/>
                <w:color w:val="auto"/>
                <w:w w:val="96"/>
              </w:rPr>
              <w:t>(93.5%)</w:t>
            </w:r>
          </w:p>
        </w:tc>
        <w:tc>
          <w:tcPr>
            <w:tcW w:w="10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2"/>
              </w:rPr>
              <w:t>(46.9%)</w:t>
            </w:r>
          </w:p>
        </w:tc>
        <w:tc>
          <w:tcPr>
            <w:tcW w:w="10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2"/>
              </w:rPr>
              <w:t>37.8%</w:t>
            </w:r>
          </w:p>
        </w:tc>
        <w:tc>
          <w:tcPr>
            <w:tcW w:w="12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6"/>
              </w:rPr>
              <w:t>(87.8%)</w:t>
            </w:r>
          </w:p>
        </w:tc>
        <w:tc>
          <w:tcPr>
            <w:tcW w:w="12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8,963</w:t>
            </w:r>
          </w:p>
        </w:tc>
        <w:tc>
          <w:tcPr>
            <w:tcW w:w="10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2,970</w:t>
            </w:r>
          </w:p>
        </w:tc>
      </w:tr>
      <w:tr>
        <w:trPr>
          <w:trHeight w:val="20"/>
        </w:trPr>
        <w:tc>
          <w:tcPr>
            <w:tcW w:w="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left="220" w:hanging="212"/>
        <w:spacing w:after="0"/>
        <w:tabs>
          <w:tab w:leader="none" w:pos="2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 previously reported.</w:t>
      </w:r>
    </w:p>
    <w:p>
      <w:pPr>
        <w:spacing w:after="0" w:line="19" w:lineRule="exact"/>
        <w:rPr>
          <w:rFonts w:ascii="Arial" w:cs="Arial" w:eastAsia="Arial" w:hAnsi="Arial"/>
          <w:sz w:val="16"/>
          <w:szCs w:val="16"/>
          <w:color w:val="auto"/>
        </w:rPr>
      </w:pPr>
    </w:p>
    <w:p>
      <w:pPr>
        <w:jc w:val="both"/>
        <w:ind w:right="20" w:firstLine="8"/>
        <w:spacing w:after="0" w:line="272" w:lineRule="auto"/>
        <w:tabs>
          <w:tab w:leader="none" w:pos="229" w:val="left"/>
        </w:tabs>
        <w:numPr>
          <w:ilvl w:val="0"/>
          <w:numId w:val="14"/>
        </w:numPr>
        <w:rPr>
          <w:rFonts w:ascii="Arial" w:cs="Arial" w:eastAsia="Arial" w:hAnsi="Arial"/>
          <w:sz w:val="15"/>
          <w:szCs w:val="15"/>
          <w:color w:val="auto"/>
        </w:rPr>
      </w:pPr>
      <w:r>
        <w:rPr>
          <w:rFonts w:ascii="Arial" w:cs="Arial" w:eastAsia="Arial" w:hAnsi="Arial"/>
          <w:sz w:val="15"/>
          <w:szCs w:val="15"/>
          <w:color w:val="auto"/>
        </w:rPr>
        <w:t>During the third quarter of 2019, United implemented a new revenue accounting software system which allowed it to more precisely determine the geographic regions associated with certain ancillary passenger revenue items. Prior to July 2019, those ancillary revenue items were determined using an allocation method that was based on revenue from passenger travel. While the total passenger revenue is not impacted, the geographic totals for each period are not comparable year-over-year due to the change. The second quarter 2019 passenger revenue presented in the table above reallocates these ancillary items using the revised allocation.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20" w:type="dxa"/>
            <w:vAlign w:val="bottom"/>
            <w:gridSpan w:val="2"/>
          </w:tcPr>
          <w:p>
            <w:pPr>
              <w:spacing w:after="0"/>
              <w:rPr>
                <w:sz w:val="20"/>
                <w:szCs w:val="20"/>
                <w:color w:val="auto"/>
              </w:rPr>
            </w:pPr>
            <w:r>
              <w:rPr>
                <w:rFonts w:ascii="Arial" w:cs="Arial" w:eastAsia="Arial" w:hAnsi="Arial"/>
                <w:sz w:val="16"/>
                <w:szCs w:val="16"/>
                <w:b w:val="1"/>
                <w:bCs w:val="1"/>
                <w:color w:val="auto"/>
              </w:rPr>
              <w:t>Select operating statistics are as follows: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gridSpan w:val="4"/>
          </w:tcPr>
          <w:p>
            <w:pPr>
              <w:jc w:val="center"/>
              <w:ind w:right="99"/>
              <w:spacing w:after="0"/>
              <w:rPr>
                <w:sz w:val="20"/>
                <w:szCs w:val="20"/>
                <w:color w:val="auto"/>
              </w:rPr>
            </w:pPr>
            <w:r>
              <w:rPr>
                <w:rFonts w:ascii="Arial" w:cs="Arial" w:eastAsia="Arial" w:hAnsi="Arial"/>
                <w:sz w:val="16"/>
                <w:szCs w:val="16"/>
                <w:color w:val="auto"/>
                <w:w w:val="90"/>
              </w:rPr>
              <w:t>Three Months Ended</w:t>
            </w:r>
          </w:p>
        </w:tc>
        <w:tc>
          <w:tcPr>
            <w:tcW w:w="1000" w:type="dxa"/>
            <w:vAlign w:val="bottom"/>
            <w:gridSpan w:val="2"/>
            <w:vMerge w:val="restart"/>
          </w:tcPr>
          <w:p>
            <w:pPr>
              <w:jc w:val="center"/>
              <w:spacing w:after="0"/>
              <w:rPr>
                <w:sz w:val="20"/>
                <w:szCs w:val="20"/>
                <w:color w:val="auto"/>
              </w:rPr>
            </w:pPr>
            <w:r>
              <w:rPr>
                <w:rFonts w:ascii="Arial" w:cs="Arial" w:eastAsia="Arial" w:hAnsi="Arial"/>
                <w:sz w:val="16"/>
                <w:szCs w:val="16"/>
                <w:color w:val="auto"/>
                <w:w w:val="84"/>
              </w:rPr>
              <w:t>%</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gridSpan w:val="4"/>
          </w:tcPr>
          <w:p>
            <w:pPr>
              <w:jc w:val="center"/>
              <w:ind w:right="139"/>
              <w:spacing w:after="0"/>
              <w:rPr>
                <w:sz w:val="20"/>
                <w:szCs w:val="20"/>
                <w:color w:val="auto"/>
              </w:rPr>
            </w:pPr>
            <w:r>
              <w:rPr>
                <w:rFonts w:ascii="Arial" w:cs="Arial" w:eastAsia="Arial" w:hAnsi="Arial"/>
                <w:sz w:val="16"/>
                <w:szCs w:val="16"/>
                <w:color w:val="auto"/>
                <w:w w:val="92"/>
              </w:rPr>
              <w:t>Six Months Ended</w:t>
            </w:r>
          </w:p>
        </w:tc>
        <w:tc>
          <w:tcPr>
            <w:tcW w:w="1000" w:type="dxa"/>
            <w:vAlign w:val="bottom"/>
            <w:gridSpan w:val="2"/>
            <w:vMerge w:val="restart"/>
          </w:tcPr>
          <w:p>
            <w:pPr>
              <w:jc w:val="center"/>
              <w:spacing w:after="0"/>
              <w:rPr>
                <w:sz w:val="20"/>
                <w:szCs w:val="20"/>
                <w:color w:val="auto"/>
              </w:rPr>
            </w:pPr>
            <w:r>
              <w:rPr>
                <w:rFonts w:ascii="Arial" w:cs="Arial" w:eastAsia="Arial" w:hAnsi="Arial"/>
                <w:sz w:val="16"/>
                <w:szCs w:val="16"/>
                <w:color w:val="auto"/>
                <w:w w:val="84"/>
              </w:rPr>
              <w:t>%</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00" w:type="dxa"/>
            <w:vAlign w:val="bottom"/>
            <w:gridSpan w:val="3"/>
            <w:vMerge w:val="restart"/>
          </w:tcPr>
          <w:p>
            <w:pPr>
              <w:jc w:val="center"/>
              <w:ind w:left="399"/>
              <w:spacing w:after="0"/>
              <w:rPr>
                <w:sz w:val="20"/>
                <w:szCs w:val="20"/>
                <w:color w:val="auto"/>
              </w:rPr>
            </w:pPr>
            <w:r>
              <w:rPr>
                <w:rFonts w:ascii="Arial" w:cs="Arial" w:eastAsia="Arial" w:hAnsi="Arial"/>
                <w:sz w:val="16"/>
                <w:szCs w:val="16"/>
                <w:color w:val="auto"/>
                <w:w w:val="87"/>
              </w:rPr>
              <w:t>June 30,</w:t>
            </w:r>
          </w:p>
        </w:tc>
        <w:tc>
          <w:tcPr>
            <w:tcW w:w="68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gridSpan w:val="3"/>
            <w:vMerge w:val="restart"/>
          </w:tcPr>
          <w:p>
            <w:pPr>
              <w:jc w:val="center"/>
              <w:ind w:left="419"/>
              <w:spacing w:after="0"/>
              <w:rPr>
                <w:sz w:val="20"/>
                <w:szCs w:val="20"/>
                <w:color w:val="auto"/>
              </w:rPr>
            </w:pPr>
            <w:r>
              <w:rPr>
                <w:rFonts w:ascii="Arial" w:cs="Arial" w:eastAsia="Arial" w:hAnsi="Arial"/>
                <w:sz w:val="16"/>
                <w:szCs w:val="16"/>
                <w:color w:val="auto"/>
                <w:w w:val="87"/>
              </w:rPr>
              <w:t>June 30,</w:t>
            </w:r>
          </w:p>
        </w:tc>
        <w:tc>
          <w:tcPr>
            <w:tcW w:w="70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restart"/>
          </w:tcPr>
          <w:p>
            <w:pPr>
              <w:jc w:val="center"/>
              <w:spacing w:after="0" w:line="138" w:lineRule="exact"/>
              <w:rPr>
                <w:sz w:val="20"/>
                <w:szCs w:val="20"/>
                <w:color w:val="auto"/>
              </w:rPr>
            </w:pPr>
            <w:r>
              <w:rPr>
                <w:rFonts w:ascii="Arial" w:cs="Arial" w:eastAsia="Arial" w:hAnsi="Arial"/>
                <w:sz w:val="16"/>
                <w:szCs w:val="16"/>
                <w:color w:val="auto"/>
                <w:w w:val="91"/>
              </w:rPr>
              <w:t>Increase/</w:t>
            </w: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restart"/>
          </w:tcPr>
          <w:p>
            <w:pPr>
              <w:jc w:val="center"/>
              <w:spacing w:after="0" w:line="138" w:lineRule="exact"/>
              <w:rPr>
                <w:sz w:val="20"/>
                <w:szCs w:val="20"/>
                <w:color w:val="auto"/>
              </w:rPr>
            </w:pPr>
            <w:r>
              <w:rPr>
                <w:rFonts w:ascii="Arial" w:cs="Arial" w:eastAsia="Arial" w:hAnsi="Arial"/>
                <w:sz w:val="16"/>
                <w:szCs w:val="16"/>
                <w:color w:val="auto"/>
                <w:w w:val="91"/>
              </w:rPr>
              <w:t>Increase/</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ind w:right="239"/>
              <w:spacing w:after="0"/>
              <w:rPr>
                <w:sz w:val="20"/>
                <w:szCs w:val="20"/>
                <w:color w:val="auto"/>
              </w:rPr>
            </w:pPr>
            <w:r>
              <w:rPr>
                <w:rFonts w:ascii="Arial" w:cs="Arial" w:eastAsia="Arial" w:hAnsi="Arial"/>
                <w:sz w:val="16"/>
                <w:szCs w:val="16"/>
                <w:color w:val="auto"/>
                <w:w w:val="95"/>
              </w:rPr>
              <w:t>2019</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0"/>
              </w:rPr>
              <w:t>(Decrease)</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239"/>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8"/>
              </w:rPr>
              <w:t>(Decrease)</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0" w:type="dxa"/>
            <w:vAlign w:val="bottom"/>
          </w:tcPr>
          <w:p>
            <w:pPr>
              <w:ind w:left="380"/>
              <w:spacing w:after="0"/>
              <w:rPr>
                <w:sz w:val="20"/>
                <w:szCs w:val="20"/>
                <w:color w:val="auto"/>
              </w:rPr>
            </w:pPr>
            <w:r>
              <w:rPr>
                <w:rFonts w:ascii="Arial" w:cs="Arial" w:eastAsia="Arial" w:hAnsi="Arial"/>
                <w:sz w:val="16"/>
                <w:szCs w:val="16"/>
                <w:color w:val="auto"/>
              </w:rPr>
              <w:t>Passengers (thousands)</w:t>
            </w:r>
          </w:p>
        </w:tc>
        <w:tc>
          <w:tcPr>
            <w:tcW w:w="200" w:type="dxa"/>
            <w:vAlign w:val="bottom"/>
          </w:tcPr>
          <w:p>
            <w:pPr>
              <w:spacing w:after="0"/>
              <w:rPr>
                <w:sz w:val="18"/>
                <w:szCs w:val="18"/>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2,813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ind w:right="99"/>
              <w:spacing w:after="0"/>
              <w:rPr>
                <w:sz w:val="20"/>
                <w:szCs w:val="20"/>
                <w:color w:val="auto"/>
              </w:rPr>
            </w:pPr>
            <w:r>
              <w:rPr>
                <w:rFonts w:ascii="Arial" w:cs="Arial" w:eastAsia="Arial" w:hAnsi="Arial"/>
                <w:sz w:val="16"/>
                <w:szCs w:val="16"/>
                <w:color w:val="auto"/>
                <w:w w:val="98"/>
              </w:rPr>
              <w:t>42,592</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(93.4)</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33,172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79,046</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(58.0)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Revenue passenger miles (millions)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2,970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98"/>
              </w:rPr>
              <w:t>63,001</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(95.3)</w:t>
            </w: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46,199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6"/>
              </w:rPr>
              <w:t>116,098</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(60.2)</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tcPr>
          <w:p>
            <w:pPr>
              <w:ind w:left="380"/>
              <w:spacing w:after="0"/>
              <w:rPr>
                <w:sz w:val="20"/>
                <w:szCs w:val="20"/>
                <w:color w:val="auto"/>
              </w:rPr>
            </w:pPr>
            <w:r>
              <w:rPr>
                <w:rFonts w:ascii="Arial" w:cs="Arial" w:eastAsia="Arial" w:hAnsi="Arial"/>
                <w:sz w:val="16"/>
                <w:szCs w:val="16"/>
                <w:color w:val="auto"/>
              </w:rPr>
              <w:t>Available seat miles (millions)</w:t>
            </w:r>
          </w:p>
        </w:tc>
        <w:tc>
          <w:tcPr>
            <w:tcW w:w="200" w:type="dxa"/>
            <w:vAlign w:val="bottom"/>
          </w:tcPr>
          <w:p>
            <w:pPr>
              <w:spacing w:after="0"/>
              <w:rPr>
                <w:sz w:val="20"/>
                <w:szCs w:val="20"/>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8,963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ind w:right="99"/>
              <w:spacing w:after="0"/>
              <w:rPr>
                <w:sz w:val="20"/>
                <w:szCs w:val="20"/>
                <w:color w:val="auto"/>
              </w:rPr>
            </w:pPr>
            <w:r>
              <w:rPr>
                <w:rFonts w:ascii="Arial" w:cs="Arial" w:eastAsia="Arial" w:hAnsi="Arial"/>
                <w:sz w:val="16"/>
                <w:szCs w:val="16"/>
                <w:color w:val="auto"/>
                <w:w w:val="98"/>
              </w:rPr>
              <w:t>73,240</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(87.8)</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69,901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99"/>
              <w:spacing w:after="0"/>
              <w:rPr>
                <w:sz w:val="20"/>
                <w:szCs w:val="20"/>
                <w:color w:val="auto"/>
              </w:rPr>
            </w:pPr>
            <w:r>
              <w:rPr>
                <w:rFonts w:ascii="Arial" w:cs="Arial" w:eastAsia="Arial" w:hAnsi="Arial"/>
                <w:sz w:val="16"/>
                <w:szCs w:val="16"/>
                <w:color w:val="auto"/>
                <w:w w:val="86"/>
              </w:rPr>
              <w:t>138,885</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(49.7)</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Passenger load factor:</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tcPr>
          <w:p>
            <w:pPr>
              <w:ind w:left="540"/>
              <w:spacing w:after="0"/>
              <w:rPr>
                <w:sz w:val="20"/>
                <w:szCs w:val="20"/>
                <w:color w:val="auto"/>
              </w:rPr>
            </w:pPr>
            <w:r>
              <w:rPr>
                <w:rFonts w:ascii="Arial" w:cs="Arial" w:eastAsia="Arial" w:hAnsi="Arial"/>
                <w:sz w:val="16"/>
                <w:szCs w:val="16"/>
                <w:color w:val="auto"/>
              </w:rPr>
              <w:t>Consolidated</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86.0%</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(52.9)</w:t>
            </w:r>
          </w:p>
        </w:tc>
        <w:tc>
          <w:tcPr>
            <w:tcW w:w="420" w:type="dxa"/>
            <w:vAlign w:val="bottom"/>
          </w:tcPr>
          <w:p>
            <w:pPr>
              <w:ind w:left="20"/>
              <w:spacing w:after="0"/>
              <w:rPr>
                <w:sz w:val="20"/>
                <w:szCs w:val="20"/>
                <w:color w:val="auto"/>
              </w:rPr>
            </w:pPr>
            <w:r>
              <w:rPr>
                <w:rFonts w:ascii="Arial" w:cs="Arial" w:eastAsia="Arial" w:hAnsi="Arial"/>
                <w:sz w:val="16"/>
                <w:szCs w:val="16"/>
                <w:color w:val="auto"/>
              </w:rPr>
              <w:t>pts.</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66.1%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83.6%</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(17.5)</w:t>
            </w:r>
          </w:p>
        </w:tc>
        <w:tc>
          <w:tcPr>
            <w:tcW w:w="440" w:type="dxa"/>
            <w:vAlign w:val="bottom"/>
          </w:tcPr>
          <w:p>
            <w:pPr>
              <w:ind w:left="20"/>
              <w:spacing w:after="0"/>
              <w:rPr>
                <w:sz w:val="20"/>
                <w:szCs w:val="20"/>
                <w:color w:val="auto"/>
              </w:rPr>
            </w:pPr>
            <w:r>
              <w:rPr>
                <w:rFonts w:ascii="Arial" w:cs="Arial" w:eastAsia="Arial" w:hAnsi="Arial"/>
                <w:sz w:val="16"/>
                <w:szCs w:val="16"/>
                <w:color w:val="auto"/>
              </w:rPr>
              <w:t>pts.</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4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Domestic</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87.5%</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pts.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85.2%</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pts.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tcPr>
          <w:p>
            <w:pPr>
              <w:ind w:left="540"/>
              <w:spacing w:after="0"/>
              <w:rPr>
                <w:sz w:val="20"/>
                <w:szCs w:val="20"/>
                <w:color w:val="auto"/>
              </w:rPr>
            </w:pPr>
            <w:r>
              <w:rPr>
                <w:rFonts w:ascii="Arial" w:cs="Arial" w:eastAsia="Arial" w:hAnsi="Arial"/>
                <w:sz w:val="16"/>
                <w:szCs w:val="16"/>
                <w:color w:val="auto"/>
              </w:rPr>
              <w:t>International</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84.0%</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(57.2)</w:t>
            </w:r>
          </w:p>
        </w:tc>
        <w:tc>
          <w:tcPr>
            <w:tcW w:w="420" w:type="dxa"/>
            <w:vAlign w:val="bottom"/>
          </w:tcPr>
          <w:p>
            <w:pPr>
              <w:ind w:left="20"/>
              <w:spacing w:after="0"/>
              <w:rPr>
                <w:sz w:val="20"/>
                <w:szCs w:val="20"/>
                <w:color w:val="auto"/>
              </w:rPr>
            </w:pPr>
            <w:r>
              <w:rPr>
                <w:rFonts w:ascii="Arial" w:cs="Arial" w:eastAsia="Arial" w:hAnsi="Arial"/>
                <w:sz w:val="16"/>
                <w:szCs w:val="16"/>
                <w:color w:val="auto"/>
              </w:rPr>
              <w:t>pts.</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66.8%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81.5%</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(14.7)</w:t>
            </w:r>
          </w:p>
        </w:tc>
        <w:tc>
          <w:tcPr>
            <w:tcW w:w="440" w:type="dxa"/>
            <w:vAlign w:val="bottom"/>
          </w:tcPr>
          <w:p>
            <w:pPr>
              <w:ind w:left="20"/>
              <w:spacing w:after="0"/>
              <w:rPr>
                <w:sz w:val="20"/>
                <w:szCs w:val="20"/>
                <w:color w:val="auto"/>
              </w:rPr>
            </w:pPr>
            <w:r>
              <w:rPr>
                <w:rFonts w:ascii="Arial" w:cs="Arial" w:eastAsia="Arial" w:hAnsi="Arial"/>
                <w:sz w:val="16"/>
                <w:szCs w:val="16"/>
                <w:color w:val="auto"/>
              </w:rPr>
              <w:t>pts.</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Passenger revenue per available seat mile (cents)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14.32</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13.83</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tcPr>
          <w:p>
            <w:pPr>
              <w:ind w:left="380"/>
              <w:spacing w:after="0"/>
              <w:rPr>
                <w:sz w:val="20"/>
                <w:szCs w:val="20"/>
                <w:color w:val="auto"/>
              </w:rPr>
            </w:pPr>
            <w:r>
              <w:rPr>
                <w:rFonts w:ascii="Arial" w:cs="Arial" w:eastAsia="Arial" w:hAnsi="Arial"/>
                <w:sz w:val="16"/>
                <w:szCs w:val="16"/>
                <w:color w:val="auto"/>
              </w:rPr>
              <w:t>Total revenue per available seat mile (cents)</w:t>
            </w:r>
          </w:p>
        </w:tc>
        <w:tc>
          <w:tcPr>
            <w:tcW w:w="200" w:type="dxa"/>
            <w:vAlign w:val="bottom"/>
          </w:tcPr>
          <w:p>
            <w:pPr>
              <w:spacing w:after="0"/>
              <w:rPr>
                <w:sz w:val="20"/>
                <w:szCs w:val="20"/>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16.46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ind w:right="99"/>
              <w:spacing w:after="0"/>
              <w:rPr>
                <w:sz w:val="20"/>
                <w:szCs w:val="20"/>
                <w:color w:val="auto"/>
              </w:rPr>
            </w:pPr>
            <w:r>
              <w:rPr>
                <w:rFonts w:ascii="Arial" w:cs="Arial" w:eastAsia="Arial" w:hAnsi="Arial"/>
                <w:sz w:val="16"/>
                <w:szCs w:val="16"/>
                <w:color w:val="auto"/>
              </w:rPr>
              <w:t>15.57</w:t>
            </w:r>
          </w:p>
        </w:tc>
        <w:tc>
          <w:tcPr>
            <w:tcW w:w="1000" w:type="dxa"/>
            <w:vAlign w:val="bottom"/>
            <w:gridSpan w:val="2"/>
          </w:tcPr>
          <w:p>
            <w:pPr>
              <w:jc w:val="right"/>
              <w:ind w:right="39"/>
              <w:spacing w:after="0"/>
              <w:rPr>
                <w:sz w:val="20"/>
                <w:szCs w:val="20"/>
                <w:color w:val="auto"/>
              </w:rPr>
            </w:pPr>
            <w:r>
              <w:rPr>
                <w:rFonts w:ascii="Arial" w:cs="Arial" w:eastAsia="Arial" w:hAnsi="Arial"/>
                <w:sz w:val="16"/>
                <w:szCs w:val="16"/>
                <w:color w:val="auto"/>
              </w:rPr>
              <w:t>5.7</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13.52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15.11</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(10.5)</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Average yield per revenue passenger mile (cents)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22.93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16.64</w:t>
            </w:r>
          </w:p>
        </w:tc>
        <w:tc>
          <w:tcPr>
            <w:tcW w:w="100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37.8</w:t>
            </w: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16.55</w:t>
            </w:r>
          </w:p>
        </w:tc>
        <w:tc>
          <w:tcPr>
            <w:tcW w:w="100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tcPr>
          <w:p>
            <w:pPr>
              <w:ind w:left="380"/>
              <w:spacing w:after="0"/>
              <w:rPr>
                <w:sz w:val="20"/>
                <w:szCs w:val="20"/>
                <w:color w:val="auto"/>
              </w:rPr>
            </w:pPr>
            <w:r>
              <w:rPr>
                <w:rFonts w:ascii="Arial" w:cs="Arial" w:eastAsia="Arial" w:hAnsi="Arial"/>
                <w:sz w:val="16"/>
                <w:szCs w:val="16"/>
                <w:color w:val="auto"/>
              </w:rPr>
              <w:t>Cargo ton miles</w:t>
            </w:r>
          </w:p>
        </w:tc>
        <w:tc>
          <w:tcPr>
            <w:tcW w:w="200" w:type="dxa"/>
            <w:vAlign w:val="bottom"/>
          </w:tcPr>
          <w:p>
            <w:pPr>
              <w:spacing w:after="0"/>
              <w:rPr>
                <w:sz w:val="20"/>
                <w:szCs w:val="20"/>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496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ind w:right="99"/>
              <w:spacing w:after="0"/>
              <w:rPr>
                <w:sz w:val="20"/>
                <w:szCs w:val="20"/>
                <w:color w:val="auto"/>
              </w:rPr>
            </w:pPr>
            <w:r>
              <w:rPr>
                <w:rFonts w:ascii="Arial" w:cs="Arial" w:eastAsia="Arial" w:hAnsi="Arial"/>
                <w:sz w:val="16"/>
                <w:szCs w:val="16"/>
                <w:color w:val="auto"/>
              </w:rPr>
              <w:t>831</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(40.3)</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1,191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1,636</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(27.2)</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Aircraft in fleet at end of period</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1,344</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1,344</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tcPr>
          <w:p>
            <w:pPr>
              <w:ind w:left="380"/>
              <w:spacing w:after="0"/>
              <w:rPr>
                <w:sz w:val="20"/>
                <w:szCs w:val="20"/>
                <w:color w:val="auto"/>
              </w:rPr>
            </w:pPr>
            <w:r>
              <w:rPr>
                <w:rFonts w:ascii="Arial" w:cs="Arial" w:eastAsia="Arial" w:hAnsi="Arial"/>
                <w:sz w:val="16"/>
                <w:szCs w:val="16"/>
                <w:color w:val="auto"/>
              </w:rPr>
              <w:t>Average stage length (miles)</w:t>
            </w:r>
          </w:p>
        </w:tc>
        <w:tc>
          <w:tcPr>
            <w:tcW w:w="200" w:type="dxa"/>
            <w:vAlign w:val="bottom"/>
          </w:tcPr>
          <w:p>
            <w:pPr>
              <w:spacing w:after="0"/>
              <w:rPr>
                <w:sz w:val="20"/>
                <w:szCs w:val="20"/>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1,075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ind w:right="99"/>
              <w:spacing w:after="0"/>
              <w:rPr>
                <w:sz w:val="20"/>
                <w:szCs w:val="20"/>
                <w:color w:val="auto"/>
              </w:rPr>
            </w:pPr>
            <w:r>
              <w:rPr>
                <w:rFonts w:ascii="Arial" w:cs="Arial" w:eastAsia="Arial" w:hAnsi="Arial"/>
                <w:sz w:val="16"/>
                <w:szCs w:val="16"/>
                <w:color w:val="auto"/>
              </w:rPr>
              <w:t>1,469</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(26.8)</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1,347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1,459</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(7.7)</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Employee headcount (in thousands)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94.6</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94.6</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tcPr>
          <w:p>
            <w:pPr>
              <w:ind w:left="380"/>
              <w:spacing w:after="0"/>
              <w:rPr>
                <w:sz w:val="20"/>
                <w:szCs w:val="20"/>
                <w:color w:val="auto"/>
              </w:rPr>
            </w:pPr>
            <w:r>
              <w:rPr>
                <w:rFonts w:ascii="Arial" w:cs="Arial" w:eastAsia="Arial" w:hAnsi="Arial"/>
                <w:sz w:val="16"/>
                <w:szCs w:val="16"/>
                <w:color w:val="auto"/>
              </w:rPr>
              <w:t>Average aircraft fuel price per gallon</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99"/>
              <w:spacing w:after="0"/>
              <w:rPr>
                <w:sz w:val="20"/>
                <w:szCs w:val="20"/>
                <w:color w:val="auto"/>
              </w:rPr>
            </w:pPr>
            <w:r>
              <w:rPr>
                <w:rFonts w:ascii="Arial" w:cs="Arial" w:eastAsia="Arial" w:hAnsi="Arial"/>
                <w:sz w:val="16"/>
                <w:szCs w:val="16"/>
                <w:color w:val="auto"/>
              </w:rPr>
              <w:t>2.16</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(45.4)</w:t>
            </w:r>
          </w:p>
        </w:tc>
        <w:tc>
          <w:tcPr>
            <w:tcW w:w="4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2.11</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(16.6)</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Fuel gallons consumed (millions)</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1,102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(81.5)</w:t>
            </w: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1,114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2,087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4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 xml:space="preserve">Note: </w:t>
      </w:r>
      <w:r>
        <w:rPr>
          <w:rFonts w:ascii="Arial" w:cs="Arial" w:eastAsia="Arial" w:hAnsi="Arial"/>
          <w:sz w:val="15"/>
          <w:szCs w:val="15"/>
          <w:color w:val="auto"/>
        </w:rPr>
        <w:t>See Part II, Item 6, Selected Financial Data, of UAL's Annual Report on Form 10-K for the fiscal year ended December 31, 2019, for definitions of these statistics.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United Airlines Reports Second-Quarter 2020 Performance</w:t>
      </w:r>
    </w:p>
    <w:p>
      <w:pPr>
        <w:spacing w:after="0" w:line="265" w:lineRule="exact"/>
        <w:rPr>
          <w:sz w:val="20"/>
          <w:szCs w:val="20"/>
          <w:color w:val="auto"/>
        </w:rPr>
      </w:pPr>
    </w:p>
    <w:p>
      <w:pPr>
        <w:ind w:right="160"/>
        <w:spacing w:after="0" w:line="355" w:lineRule="auto"/>
        <w:rPr>
          <w:sz w:val="20"/>
          <w:szCs w:val="20"/>
          <w:color w:val="auto"/>
        </w:rPr>
      </w:pPr>
      <w:r>
        <w:rPr>
          <w:rFonts w:ascii="Arial" w:cs="Arial" w:eastAsia="Arial" w:hAnsi="Arial"/>
          <w:sz w:val="14"/>
          <w:szCs w:val="14"/>
          <w:b w:val="1"/>
          <w:bCs w:val="1"/>
          <w:color w:val="auto"/>
        </w:rPr>
        <w:t xml:space="preserve">Cash burn: </w:t>
      </w:r>
      <w:r>
        <w:rPr>
          <w:rFonts w:ascii="Arial" w:cs="Arial" w:eastAsia="Arial" w:hAnsi="Arial"/>
          <w:sz w:val="14"/>
          <w:szCs w:val="14"/>
          <w:color w:val="auto"/>
        </w:rPr>
        <w:t>The company's management views daily "cash burn" as an important measure in monitoring liquidity in order to assess the company's cash needs without the</w:t>
      </w:r>
      <w:r>
        <w:rPr>
          <w:rFonts w:ascii="Arial" w:cs="Arial" w:eastAsia="Arial" w:hAnsi="Arial"/>
          <w:sz w:val="14"/>
          <w:szCs w:val="14"/>
          <w:b w:val="1"/>
          <w:bCs w:val="1"/>
          <w:color w:val="auto"/>
        </w:rPr>
        <w:t xml:space="preserve"> </w:t>
      </w:r>
      <w:r>
        <w:rPr>
          <w:rFonts w:ascii="Arial" w:cs="Arial" w:eastAsia="Arial" w:hAnsi="Arial"/>
          <w:sz w:val="14"/>
          <w:szCs w:val="14"/>
          <w:color w:val="auto"/>
        </w:rPr>
        <w:t>impact of certain extraordinary actions or events, and the Company believes this provides useful information to investors about the company's liquidity position.</w:t>
      </w:r>
    </w:p>
    <w:p>
      <w:pPr>
        <w:spacing w:after="0" w:line="68"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8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Pr>
          <w:p>
            <w:pPr>
              <w:jc w:val="right"/>
              <w:ind w:right="59"/>
              <w:spacing w:after="0"/>
              <w:rPr>
                <w:sz w:val="20"/>
                <w:szCs w:val="20"/>
                <w:color w:val="auto"/>
              </w:rPr>
            </w:pPr>
            <w:r>
              <w:rPr>
                <w:rFonts w:ascii="Arial" w:cs="Arial" w:eastAsia="Arial" w:hAnsi="Arial"/>
                <w:sz w:val="16"/>
                <w:szCs w:val="16"/>
                <w:color w:val="auto"/>
                <w:w w:val="90"/>
              </w:rPr>
              <w:t>Three Months Ended June, 30</w:t>
            </w:r>
          </w:p>
        </w:tc>
      </w:tr>
      <w:tr>
        <w:trPr>
          <w:trHeight w:val="206"/>
        </w:trPr>
        <w:tc>
          <w:tcPr>
            <w:tcW w:w="8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Pr>
          <w:p>
            <w:pPr>
              <w:jc w:val="right"/>
              <w:ind w:right="859"/>
              <w:spacing w:after="0"/>
              <w:rPr>
                <w:sz w:val="20"/>
                <w:szCs w:val="20"/>
                <w:color w:val="auto"/>
              </w:rPr>
            </w:pPr>
            <w:r>
              <w:rPr>
                <w:rFonts w:ascii="Arial" w:cs="Arial" w:eastAsia="Arial" w:hAnsi="Arial"/>
                <w:sz w:val="16"/>
                <w:szCs w:val="16"/>
                <w:color w:val="auto"/>
              </w:rPr>
              <w:t>2020</w:t>
            </w:r>
          </w:p>
        </w:tc>
      </w:tr>
      <w:tr>
        <w:trPr>
          <w:trHeight w:val="33"/>
        </w:trPr>
        <w:tc>
          <w:tcPr>
            <w:tcW w:w="89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30"/>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by operating activities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223"/>
        </w:trPr>
        <w:tc>
          <w:tcPr>
            <w:tcW w:w="8900" w:type="dxa"/>
            <w:vAlign w:val="bottom"/>
          </w:tcPr>
          <w:p>
            <w:pPr>
              <w:ind w:left="20"/>
              <w:spacing w:after="0"/>
              <w:rPr>
                <w:sz w:val="20"/>
                <w:szCs w:val="20"/>
                <w:color w:val="auto"/>
              </w:rPr>
            </w:pPr>
            <w:r>
              <w:rPr>
                <w:rFonts w:ascii="Arial" w:cs="Arial" w:eastAsia="Arial" w:hAnsi="Arial"/>
                <w:sz w:val="16"/>
                <w:szCs w:val="16"/>
                <w:color w:val="auto"/>
              </w:rPr>
              <w:t>Cash flows provided by investing activities</w:t>
            </w:r>
          </w:p>
        </w:tc>
        <w:tc>
          <w:tcPr>
            <w:tcW w:w="100" w:type="dxa"/>
            <w:vAlign w:val="bottom"/>
          </w:tcPr>
          <w:p>
            <w:pPr>
              <w:spacing w:after="0"/>
              <w:rPr>
                <w:sz w:val="19"/>
                <w:szCs w:val="19"/>
                <w:color w:val="auto"/>
              </w:rPr>
            </w:pPr>
          </w:p>
        </w:tc>
        <w:tc>
          <w:tcPr>
            <w:tcW w:w="2100" w:type="dxa"/>
            <w:vAlign w:val="bottom"/>
          </w:tcPr>
          <w:p>
            <w:pPr>
              <w:jc w:val="right"/>
              <w:ind w:right="19"/>
              <w:spacing w:after="0"/>
              <w:rPr>
                <w:sz w:val="20"/>
                <w:szCs w:val="20"/>
                <w:color w:val="auto"/>
              </w:rPr>
            </w:pPr>
            <w:r>
              <w:rPr>
                <w:rFonts w:ascii="Arial" w:cs="Arial" w:eastAsia="Arial" w:hAnsi="Arial"/>
                <w:sz w:val="16"/>
                <w:szCs w:val="16"/>
                <w:color w:val="auto"/>
              </w:rPr>
              <w:t>812</w:t>
            </w:r>
          </w:p>
        </w:tc>
      </w:tr>
      <w:tr>
        <w:trPr>
          <w:trHeight w:val="33"/>
        </w:trPr>
        <w:tc>
          <w:tcPr>
            <w:tcW w:w="8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6"/>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provided by financing activities</w:t>
            </w:r>
          </w:p>
        </w:tc>
        <w:tc>
          <w:tcPr>
            <w:tcW w:w="10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2,382</w:t>
            </w:r>
          </w:p>
        </w:tc>
      </w:tr>
      <w:tr>
        <w:trPr>
          <w:trHeight w:val="217"/>
        </w:trPr>
        <w:tc>
          <w:tcPr>
            <w:tcW w:w="89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3,064</w:t>
            </w:r>
          </w:p>
        </w:tc>
      </w:tr>
      <w:tr>
        <w:trPr>
          <w:trHeight w:val="33"/>
        </w:trPr>
        <w:tc>
          <w:tcPr>
            <w:tcW w:w="8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324"/>
        </w:trPr>
        <w:tc>
          <w:tcPr>
            <w:tcW w:w="8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r>
      <w:tr>
        <w:trPr>
          <w:trHeight w:val="237"/>
        </w:trPr>
        <w:tc>
          <w:tcPr>
            <w:tcW w:w="8900" w:type="dxa"/>
            <w:vAlign w:val="bottom"/>
          </w:tcPr>
          <w:p>
            <w:pPr>
              <w:ind w:left="20"/>
              <w:spacing w:after="0"/>
              <w:rPr>
                <w:sz w:val="20"/>
                <w:szCs w:val="20"/>
                <w:color w:val="auto"/>
              </w:rPr>
            </w:pPr>
            <w:r>
              <w:rPr>
                <w:rFonts w:ascii="Arial" w:cs="Arial" w:eastAsia="Arial" w:hAnsi="Arial"/>
                <w:sz w:val="16"/>
                <w:szCs w:val="16"/>
                <w:color w:val="auto"/>
              </w:rPr>
              <w:t>Adjusted to remove:</w:t>
            </w: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33"/>
        </w:trPr>
        <w:tc>
          <w:tcPr>
            <w:tcW w:w="8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37"/>
        </w:trPr>
        <w:tc>
          <w:tcPr>
            <w:tcW w:w="89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Net proceeds from sale of short-term and other investments</w:t>
            </w:r>
          </w:p>
        </w:tc>
        <w:tc>
          <w:tcPr>
            <w:tcW w:w="10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838</w:t>
            </w:r>
          </w:p>
        </w:tc>
      </w:tr>
      <w:tr>
        <w:trPr>
          <w:trHeight w:val="223"/>
        </w:trPr>
        <w:tc>
          <w:tcPr>
            <w:tcW w:w="8900" w:type="dxa"/>
            <w:vAlign w:val="bottom"/>
          </w:tcPr>
          <w:p>
            <w:pPr>
              <w:ind w:left="100"/>
              <w:spacing w:after="0"/>
              <w:rPr>
                <w:sz w:val="20"/>
                <w:szCs w:val="20"/>
                <w:color w:val="auto"/>
              </w:rPr>
            </w:pPr>
            <w:r>
              <w:rPr>
                <w:rFonts w:ascii="Arial" w:cs="Arial" w:eastAsia="Arial" w:hAnsi="Arial"/>
                <w:sz w:val="16"/>
                <w:szCs w:val="16"/>
                <w:color w:val="auto"/>
              </w:rPr>
              <w:t>CARES Act Payroll Support Program ("PSP") grant</w:t>
            </w:r>
          </w:p>
        </w:tc>
        <w:tc>
          <w:tcPr>
            <w:tcW w:w="100" w:type="dxa"/>
            <w:vAlign w:val="bottom"/>
          </w:tcPr>
          <w:p>
            <w:pPr>
              <w:spacing w:after="0"/>
              <w:rPr>
                <w:sz w:val="19"/>
                <w:szCs w:val="19"/>
                <w:color w:val="auto"/>
              </w:rPr>
            </w:pPr>
          </w:p>
        </w:tc>
        <w:tc>
          <w:tcPr>
            <w:tcW w:w="2100" w:type="dxa"/>
            <w:vAlign w:val="bottom"/>
          </w:tcPr>
          <w:p>
            <w:pPr>
              <w:jc w:val="right"/>
              <w:ind w:right="19"/>
              <w:spacing w:after="0"/>
              <w:rPr>
                <w:sz w:val="20"/>
                <w:szCs w:val="20"/>
                <w:color w:val="auto"/>
              </w:rPr>
            </w:pPr>
            <w:r>
              <w:rPr>
                <w:rFonts w:ascii="Arial" w:cs="Arial" w:eastAsia="Arial" w:hAnsi="Arial"/>
                <w:sz w:val="16"/>
                <w:szCs w:val="16"/>
                <w:color w:val="auto"/>
              </w:rPr>
              <w:t>3,154</w:t>
            </w:r>
          </w:p>
        </w:tc>
      </w:tr>
      <w:tr>
        <w:trPr>
          <w:trHeight w:val="33"/>
        </w:trPr>
        <w:tc>
          <w:tcPr>
            <w:tcW w:w="8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36"/>
        </w:trPr>
        <w:tc>
          <w:tcPr>
            <w:tcW w:w="89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PSP Note</w:t>
            </w:r>
          </w:p>
        </w:tc>
        <w:tc>
          <w:tcPr>
            <w:tcW w:w="10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1,309</w:t>
            </w:r>
          </w:p>
        </w:tc>
      </w:tr>
      <w:tr>
        <w:trPr>
          <w:trHeight w:val="224"/>
        </w:trPr>
        <w:tc>
          <w:tcPr>
            <w:tcW w:w="8900" w:type="dxa"/>
            <w:vAlign w:val="bottom"/>
          </w:tcPr>
          <w:p>
            <w:pPr>
              <w:ind w:left="100"/>
              <w:spacing w:after="0"/>
              <w:rPr>
                <w:sz w:val="20"/>
                <w:szCs w:val="20"/>
                <w:color w:val="auto"/>
              </w:rPr>
            </w:pPr>
            <w:r>
              <w:rPr>
                <w:rFonts w:ascii="Arial" w:cs="Arial" w:eastAsia="Arial" w:hAnsi="Arial"/>
                <w:sz w:val="16"/>
                <w:szCs w:val="16"/>
                <w:color w:val="auto"/>
              </w:rPr>
              <w:t>Secured debt</w:t>
            </w:r>
          </w:p>
        </w:tc>
        <w:tc>
          <w:tcPr>
            <w:tcW w:w="100" w:type="dxa"/>
            <w:vAlign w:val="bottom"/>
          </w:tcPr>
          <w:p>
            <w:pPr>
              <w:spacing w:after="0"/>
              <w:rPr>
                <w:sz w:val="19"/>
                <w:szCs w:val="19"/>
                <w:color w:val="auto"/>
              </w:rPr>
            </w:pPr>
          </w:p>
        </w:tc>
        <w:tc>
          <w:tcPr>
            <w:tcW w:w="2100" w:type="dxa"/>
            <w:vAlign w:val="bottom"/>
          </w:tcPr>
          <w:p>
            <w:pPr>
              <w:jc w:val="right"/>
              <w:ind w:right="19"/>
              <w:spacing w:after="0"/>
              <w:rPr>
                <w:sz w:val="20"/>
                <w:szCs w:val="20"/>
                <w:color w:val="auto"/>
              </w:rPr>
            </w:pPr>
            <w:r>
              <w:rPr>
                <w:rFonts w:ascii="Arial" w:cs="Arial" w:eastAsia="Arial" w:hAnsi="Arial"/>
                <w:sz w:val="16"/>
                <w:szCs w:val="16"/>
                <w:color w:val="auto"/>
              </w:rPr>
              <w:t>250</w:t>
            </w:r>
          </w:p>
        </w:tc>
      </w:tr>
      <w:tr>
        <w:trPr>
          <w:trHeight w:val="33"/>
        </w:trPr>
        <w:tc>
          <w:tcPr>
            <w:tcW w:w="8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37"/>
        </w:trPr>
        <w:tc>
          <w:tcPr>
            <w:tcW w:w="89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Equity issuances</w:t>
            </w:r>
          </w:p>
        </w:tc>
        <w:tc>
          <w:tcPr>
            <w:tcW w:w="10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1,135</w:t>
            </w:r>
          </w:p>
        </w:tc>
      </w:tr>
      <w:tr>
        <w:trPr>
          <w:trHeight w:val="224"/>
        </w:trPr>
        <w:tc>
          <w:tcPr>
            <w:tcW w:w="8900" w:type="dxa"/>
            <w:vAlign w:val="bottom"/>
          </w:tcPr>
          <w:p>
            <w:pPr>
              <w:ind w:left="140"/>
              <w:spacing w:after="0"/>
              <w:rPr>
                <w:sz w:val="20"/>
                <w:szCs w:val="20"/>
                <w:color w:val="auto"/>
              </w:rPr>
            </w:pPr>
            <w:r>
              <w:rPr>
                <w:rFonts w:ascii="Arial" w:cs="Arial" w:eastAsia="Arial" w:hAnsi="Arial"/>
                <w:sz w:val="16"/>
                <w:szCs w:val="16"/>
                <w:color w:val="auto"/>
              </w:rPr>
              <w:t>Increase in restricted cash balance</w:t>
            </w:r>
          </w:p>
        </w:tc>
        <w:tc>
          <w:tcPr>
            <w:tcW w:w="100" w:type="dxa"/>
            <w:vAlign w:val="bottom"/>
          </w:tcPr>
          <w:p>
            <w:pPr>
              <w:spacing w:after="0"/>
              <w:rPr>
                <w:sz w:val="19"/>
                <w:szCs w:val="19"/>
                <w:color w:val="auto"/>
              </w:rPr>
            </w:pPr>
          </w:p>
        </w:tc>
        <w:tc>
          <w:tcPr>
            <w:tcW w:w="210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89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30"/>
        </w:trPr>
        <w:tc>
          <w:tcPr>
            <w:tcW w:w="8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Adjustments</w:t>
            </w:r>
          </w:p>
        </w:tc>
        <w:tc>
          <w:tcPr>
            <w:tcW w:w="10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6,687</w:t>
            </w:r>
          </w:p>
        </w:tc>
      </w:tr>
      <w:tr>
        <w:trPr>
          <w:trHeight w:val="324"/>
        </w:trPr>
        <w:tc>
          <w:tcPr>
            <w:tcW w:w="89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r>
      <w:tr>
        <w:trPr>
          <w:trHeight w:val="244"/>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cash burn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(3,623)</w:t>
            </w:r>
          </w:p>
        </w:tc>
      </w:tr>
      <w:tr>
        <w:trPr>
          <w:trHeight w:val="20"/>
        </w:trPr>
        <w:tc>
          <w:tcPr>
            <w:tcW w:w="8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211"/>
        </w:trPr>
        <w:tc>
          <w:tcPr>
            <w:tcW w:w="8900" w:type="dxa"/>
            <w:vAlign w:val="bottom"/>
          </w:tcPr>
          <w:p>
            <w:pPr>
              <w:ind w:left="20"/>
              <w:spacing w:after="0"/>
              <w:rPr>
                <w:sz w:val="20"/>
                <w:szCs w:val="20"/>
                <w:color w:val="auto"/>
              </w:rPr>
            </w:pPr>
            <w:r>
              <w:rPr>
                <w:rFonts w:ascii="Arial" w:cs="Arial" w:eastAsia="Arial" w:hAnsi="Arial"/>
                <w:sz w:val="16"/>
                <w:szCs w:val="16"/>
                <w:color w:val="auto"/>
              </w:rPr>
              <w:t>Days in the period</w:t>
            </w:r>
          </w:p>
        </w:tc>
        <w:tc>
          <w:tcPr>
            <w:tcW w:w="100" w:type="dxa"/>
            <w:vAlign w:val="bottom"/>
          </w:tcPr>
          <w:p>
            <w:pPr>
              <w:spacing w:after="0"/>
              <w:rPr>
                <w:sz w:val="18"/>
                <w:szCs w:val="18"/>
                <w:color w:val="auto"/>
              </w:rPr>
            </w:pPr>
          </w:p>
        </w:tc>
        <w:tc>
          <w:tcPr>
            <w:tcW w:w="2100" w:type="dxa"/>
            <w:vAlign w:val="bottom"/>
          </w:tcPr>
          <w:p>
            <w:pPr>
              <w:jc w:val="right"/>
              <w:ind w:right="19"/>
              <w:spacing w:after="0"/>
              <w:rPr>
                <w:sz w:val="20"/>
                <w:szCs w:val="20"/>
                <w:color w:val="auto"/>
              </w:rPr>
            </w:pPr>
            <w:r>
              <w:rPr>
                <w:rFonts w:ascii="Arial" w:cs="Arial" w:eastAsia="Arial" w:hAnsi="Arial"/>
                <w:sz w:val="16"/>
                <w:szCs w:val="16"/>
                <w:color w:val="auto"/>
              </w:rPr>
              <w:t>91</w:t>
            </w:r>
          </w:p>
        </w:tc>
      </w:tr>
      <w:tr>
        <w:trPr>
          <w:trHeight w:val="33"/>
        </w:trPr>
        <w:tc>
          <w:tcPr>
            <w:tcW w:w="89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43"/>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Average daily cash burn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0"/>
        </w:trPr>
        <w:tc>
          <w:tcPr>
            <w:tcW w:w="8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320" w:top="140" w:right="39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United Airlines Reports Second-Quarter 2020 Performance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UNITED AIRLINES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CONDENSED CONSOLIDATED BALANCE SHEETS (UNAUDITED)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440" w:type="dxa"/>
            <w:vAlign w:val="bottom"/>
          </w:tcPr>
          <w:p>
            <w:pPr>
              <w:ind w:left="80"/>
              <w:spacing w:after="0"/>
              <w:rPr>
                <w:sz w:val="20"/>
                <w:szCs w:val="20"/>
                <w:color w:val="auto"/>
              </w:rPr>
            </w:pPr>
            <w:r>
              <w:rPr>
                <w:rFonts w:ascii="Arial" w:cs="Arial" w:eastAsia="Arial" w:hAnsi="Arial"/>
                <w:sz w:val="16"/>
                <w:szCs w:val="16"/>
                <w:color w:val="auto"/>
              </w:rPr>
              <w:t>(In millions)</w:t>
            </w:r>
          </w:p>
        </w:tc>
        <w:tc>
          <w:tcPr>
            <w:tcW w:w="280" w:type="dxa"/>
            <w:vAlign w:val="bottom"/>
          </w:tcPr>
          <w:p>
            <w:pPr>
              <w:spacing w:after="0"/>
              <w:rPr>
                <w:sz w:val="17"/>
                <w:szCs w:val="17"/>
                <w:color w:val="auto"/>
              </w:rPr>
            </w:pPr>
          </w:p>
        </w:tc>
        <w:tc>
          <w:tcPr>
            <w:tcW w:w="1740" w:type="dxa"/>
            <w:vAlign w:val="bottom"/>
            <w:gridSpan w:val="2"/>
          </w:tcPr>
          <w:p>
            <w:pPr>
              <w:ind w:left="160"/>
              <w:spacing w:after="0"/>
              <w:rPr>
                <w:sz w:val="20"/>
                <w:szCs w:val="20"/>
                <w:color w:val="auto"/>
              </w:rPr>
            </w:pPr>
            <w:r>
              <w:rPr>
                <w:rFonts w:ascii="Arial" w:cs="Arial" w:eastAsia="Arial" w:hAnsi="Arial"/>
                <w:sz w:val="16"/>
                <w:szCs w:val="16"/>
                <w:color w:val="auto"/>
              </w:rPr>
              <w:t>June 30, 2020</w:t>
            </w:r>
          </w:p>
        </w:tc>
        <w:tc>
          <w:tcPr>
            <w:tcW w:w="180" w:type="dxa"/>
            <w:vAlign w:val="bottom"/>
          </w:tcPr>
          <w:p>
            <w:pPr>
              <w:spacing w:after="0"/>
              <w:rPr>
                <w:sz w:val="17"/>
                <w:szCs w:val="17"/>
                <w:color w:val="auto"/>
              </w:rPr>
            </w:pPr>
          </w:p>
        </w:tc>
        <w:tc>
          <w:tcPr>
            <w:tcW w:w="1600" w:type="dxa"/>
            <w:vAlign w:val="bottom"/>
          </w:tcPr>
          <w:p>
            <w:pPr>
              <w:jc w:val="right"/>
              <w:ind w:right="179"/>
              <w:spacing w:after="0"/>
              <w:rPr>
                <w:sz w:val="20"/>
                <w:szCs w:val="20"/>
                <w:color w:val="auto"/>
              </w:rPr>
            </w:pPr>
            <w:r>
              <w:rPr>
                <w:rFonts w:ascii="Arial" w:cs="Arial" w:eastAsia="Arial" w:hAnsi="Arial"/>
                <w:sz w:val="16"/>
                <w:szCs w:val="16"/>
                <w:color w:val="auto"/>
                <w:w w:val="93"/>
              </w:rPr>
              <w:t>December 31, 2019</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6,505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2,762</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Short-term investments</w:t>
            </w:r>
          </w:p>
        </w:tc>
        <w:tc>
          <w:tcPr>
            <w:tcW w:w="2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958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2,182</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Receivables, less allowance for credit losses (2020 — $11; 2019 — $9)</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1,364</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Aircraft fuel, spare parts and supplies, less obsolescence allowance (2020 — $464; 2019 — $425)</w:t>
            </w:r>
          </w:p>
        </w:tc>
        <w:tc>
          <w:tcPr>
            <w:tcW w:w="2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955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1,072</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Prepaid expenses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766</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814</w:t>
            </w:r>
          </w:p>
        </w:tc>
        <w:tc>
          <w:tcPr>
            <w:tcW w:w="0" w:type="dxa"/>
            <w:vAlign w:val="bottom"/>
          </w:tcPr>
          <w:p>
            <w:pPr>
              <w:spacing w:after="0"/>
              <w:rPr>
                <w:sz w:val="1"/>
                <w:szCs w:val="1"/>
                <w:color w:val="auto"/>
              </w:rPr>
            </w:pPr>
          </w:p>
        </w:tc>
      </w:tr>
      <w:tr>
        <w:trPr>
          <w:trHeight w:val="217"/>
        </w:trPr>
        <w:tc>
          <w:tcPr>
            <w:tcW w:w="744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2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10,041</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8,194</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7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Total operating property and equipment, net</w:t>
            </w:r>
          </w:p>
        </w:tc>
        <w:tc>
          <w:tcPr>
            <w:tcW w:w="2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31,735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30,170</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right-of-use assets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4,738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4,758</w:t>
            </w:r>
          </w:p>
        </w:tc>
        <w:tc>
          <w:tcPr>
            <w:tcW w:w="0" w:type="dxa"/>
            <w:vAlign w:val="bottom"/>
          </w:tcPr>
          <w:p>
            <w:pPr>
              <w:spacing w:after="0"/>
              <w:rPr>
                <w:sz w:val="1"/>
                <w:szCs w:val="1"/>
                <w:color w:val="auto"/>
              </w:rPr>
            </w:pPr>
          </w:p>
        </w:tc>
      </w:tr>
      <w:tr>
        <w:trPr>
          <w:trHeight w:val="297"/>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4,523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4,523</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Intangibles, less accumulated amortization (2020 — $1,467; 2019 — $1,440)</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3,009</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Restricted cash</w:t>
            </w:r>
          </w:p>
        </w:tc>
        <w:tc>
          <w:tcPr>
            <w:tcW w:w="2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73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Notes receivable, less allowance for credit losses (2020 — $553)</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671</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Investments in affiliates and other, net</w:t>
            </w:r>
          </w:p>
        </w:tc>
        <w:tc>
          <w:tcPr>
            <w:tcW w:w="2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798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1,180</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8,387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9,489</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54,901</w:t>
            </w:r>
          </w:p>
        </w:tc>
        <w:tc>
          <w:tcPr>
            <w:tcW w:w="2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52,611</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4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Advance ticket sales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4,950</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4,819</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2,703</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Frequent flyer deferred revenue</w:t>
            </w:r>
          </w:p>
        </w:tc>
        <w:tc>
          <w:tcPr>
            <w:tcW w:w="2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840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2,440</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salaries and benefits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2,271</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Current maturities of long-term debt</w:t>
            </w:r>
          </w:p>
        </w:tc>
        <w:tc>
          <w:tcPr>
            <w:tcW w:w="2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4,454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1,407</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Current maturities of finance leases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Current maturities of operating leases</w:t>
            </w:r>
          </w:p>
        </w:tc>
        <w:tc>
          <w:tcPr>
            <w:tcW w:w="2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598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686</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Payroll Support Program deferred credit</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558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566</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16,395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14,938</w:t>
            </w:r>
          </w:p>
        </w:tc>
        <w:tc>
          <w:tcPr>
            <w:tcW w:w="0" w:type="dxa"/>
            <w:vAlign w:val="bottom"/>
          </w:tcPr>
          <w:p>
            <w:pPr>
              <w:spacing w:after="0"/>
              <w:rPr>
                <w:sz w:val="1"/>
                <w:szCs w:val="1"/>
                <w:color w:val="auto"/>
              </w:rPr>
            </w:pPr>
          </w:p>
        </w:tc>
      </w:tr>
      <w:tr>
        <w:trPr>
          <w:trHeight w:val="290"/>
        </w:trPr>
        <w:tc>
          <w:tcPr>
            <w:tcW w:w="74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liabilities and deferred credits: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Long-term debt</w:t>
            </w:r>
          </w:p>
        </w:tc>
        <w:tc>
          <w:tcPr>
            <w:tcW w:w="2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14,318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13,145</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Long-term obligations under finance leases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Long-term obligations under operating leases</w:t>
            </w:r>
          </w:p>
        </w:tc>
        <w:tc>
          <w:tcPr>
            <w:tcW w:w="2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5,113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4,946</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Frequent flyer deferred revenue</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4,830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2,836</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Postretirement benefit liability</w:t>
            </w:r>
          </w:p>
        </w:tc>
        <w:tc>
          <w:tcPr>
            <w:tcW w:w="2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957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789</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Pension liability</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1,446</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804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1,736</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1,430</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1,024</w:t>
            </w:r>
          </w:p>
        </w:tc>
        <w:tc>
          <w:tcPr>
            <w:tcW w:w="0" w:type="dxa"/>
            <w:vAlign w:val="bottom"/>
          </w:tcPr>
          <w:p>
            <w:pPr>
              <w:spacing w:after="0"/>
              <w:rPr>
                <w:sz w:val="1"/>
                <w:szCs w:val="1"/>
                <w:color w:val="auto"/>
              </w:rPr>
            </w:pPr>
          </w:p>
        </w:tc>
      </w:tr>
      <w:tr>
        <w:trPr>
          <w:trHeight w:val="217"/>
        </w:trPr>
        <w:tc>
          <w:tcPr>
            <w:tcW w:w="7440" w:type="dxa"/>
            <w:vAlign w:val="bottom"/>
          </w:tcPr>
          <w:p>
            <w:pPr>
              <w:ind w:left="500"/>
              <w:spacing w:after="0"/>
              <w:rPr>
                <w:sz w:val="20"/>
                <w:szCs w:val="20"/>
                <w:color w:val="auto"/>
              </w:rPr>
            </w:pPr>
            <w:r>
              <w:rPr>
                <w:rFonts w:ascii="Arial" w:cs="Arial" w:eastAsia="Arial" w:hAnsi="Arial"/>
                <w:sz w:val="16"/>
                <w:szCs w:val="16"/>
                <w:color w:val="auto"/>
              </w:rPr>
              <w:t>Total long-term liabilities and deferred credits</w:t>
            </w:r>
          </w:p>
        </w:tc>
        <w:tc>
          <w:tcPr>
            <w:tcW w:w="2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29,989</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26,142</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8,517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11,531</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54,901</w:t>
            </w:r>
          </w:p>
        </w:tc>
        <w:tc>
          <w:tcPr>
            <w:tcW w:w="2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52,611</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40"/>
          </w:cols>
          <w:pgMar w:left="320" w:top="140"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color w:val="auto"/>
        </w:rPr>
        <w:t>United Airlines Reports Second-Quarter 2020 Performance</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UNITED AIRLINES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CONDENSED STATEMENTS OF CONSOLIDATED CASH FLOWS (UNAUDITED)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color w:val="auto"/>
              </w:rPr>
              <w:t>Six Months Ended</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320" w:type="dxa"/>
            <w:vAlign w:val="bottom"/>
          </w:tcPr>
          <w:p>
            <w:pPr>
              <w:ind w:left="80"/>
              <w:spacing w:after="0"/>
              <w:rPr>
                <w:sz w:val="20"/>
                <w:szCs w:val="20"/>
                <w:color w:val="auto"/>
              </w:rPr>
            </w:pPr>
            <w:r>
              <w:rPr>
                <w:rFonts w:ascii="Arial" w:cs="Arial" w:eastAsia="Arial" w:hAnsi="Arial"/>
                <w:sz w:val="16"/>
                <w:szCs w:val="16"/>
                <w:color w:val="auto"/>
              </w:rPr>
              <w:t>(In millions)</w:t>
            </w:r>
          </w:p>
        </w:tc>
        <w:tc>
          <w:tcPr>
            <w:tcW w:w="320" w:type="dxa"/>
            <w:vAlign w:val="bottom"/>
          </w:tcPr>
          <w:p>
            <w:pPr>
              <w:spacing w:after="0"/>
              <w:rPr>
                <w:sz w:val="17"/>
                <w:szCs w:val="17"/>
                <w:color w:val="auto"/>
              </w:rPr>
            </w:pPr>
          </w:p>
        </w:tc>
        <w:tc>
          <w:tcPr>
            <w:tcW w:w="1760" w:type="dxa"/>
            <w:vAlign w:val="bottom"/>
            <w:gridSpan w:val="3"/>
          </w:tcPr>
          <w:p>
            <w:pPr>
              <w:jc w:val="right"/>
              <w:ind w:right="259"/>
              <w:spacing w:after="0"/>
              <w:rPr>
                <w:sz w:val="20"/>
                <w:szCs w:val="20"/>
                <w:color w:val="auto"/>
              </w:rPr>
            </w:pPr>
            <w:r>
              <w:rPr>
                <w:rFonts w:ascii="Arial" w:cs="Arial" w:eastAsia="Arial" w:hAnsi="Arial"/>
                <w:sz w:val="16"/>
                <w:szCs w:val="16"/>
                <w:color w:val="auto"/>
              </w:rPr>
              <w:t>June 30,</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color w:val="auto"/>
              </w:rPr>
              <w:t>2020</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jc w:val="right"/>
              <w:ind w:right="419"/>
              <w:spacing w:after="0"/>
              <w:rPr>
                <w:sz w:val="20"/>
                <w:szCs w:val="20"/>
                <w:color w:val="auto"/>
              </w:rPr>
            </w:pPr>
            <w:r>
              <w:rPr>
                <w:rFonts w:ascii="Arial" w:cs="Arial" w:eastAsia="Arial" w:hAnsi="Arial"/>
                <w:sz w:val="16"/>
                <w:szCs w:val="16"/>
                <w:color w:val="auto"/>
                <w:w w:val="89"/>
              </w:rPr>
              <w:t>2019</w:t>
            </w:r>
          </w:p>
        </w:tc>
        <w:tc>
          <w:tcPr>
            <w:tcW w:w="0" w:type="dxa"/>
            <w:vAlign w:val="bottom"/>
          </w:tcPr>
          <w:p>
            <w:pPr>
              <w:spacing w:after="0"/>
              <w:rPr>
                <w:sz w:val="1"/>
                <w:szCs w:val="1"/>
                <w:color w:val="auto"/>
              </w:rPr>
            </w:pPr>
          </w:p>
        </w:tc>
      </w:tr>
      <w:tr>
        <w:trPr>
          <w:trHeight w:val="33"/>
        </w:trPr>
        <w:tc>
          <w:tcPr>
            <w:tcW w:w="8320" w:type="dxa"/>
            <w:vAlign w:val="bottom"/>
            <w:vMerge w:val="restart"/>
          </w:tcPr>
          <w:p>
            <w:pPr>
              <w:ind w:left="40"/>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3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 operating activities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4,625</w:t>
            </w:r>
          </w:p>
        </w:tc>
        <w:tc>
          <w:tcPr>
            <w:tcW w:w="0" w:type="dxa"/>
            <w:vAlign w:val="bottom"/>
          </w:tcPr>
          <w:p>
            <w:pPr>
              <w:spacing w:after="0"/>
              <w:rPr>
                <w:sz w:val="1"/>
                <w:szCs w:val="1"/>
                <w:color w:val="auto"/>
              </w:rPr>
            </w:pPr>
          </w:p>
        </w:tc>
      </w:tr>
      <w:tr>
        <w:trPr>
          <w:trHeight w:val="270"/>
        </w:trPr>
        <w:tc>
          <w:tcPr>
            <w:tcW w:w="8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Capital expenditures, net of returns of purchase deposits on flight equipment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(1,998)</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(2,467)</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Purchases of short-term and other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(1,443)</w:t>
            </w:r>
          </w:p>
        </w:tc>
        <w:tc>
          <w:tcPr>
            <w:tcW w:w="0" w:type="dxa"/>
            <w:vAlign w:val="bottom"/>
          </w:tcPr>
          <w:p>
            <w:pPr>
              <w:spacing w:after="0"/>
              <w:rPr>
                <w:sz w:val="1"/>
                <w:szCs w:val="1"/>
                <w:color w:val="auto"/>
              </w:rPr>
            </w:pP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Proceeds from sale of short-term and other investments</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1,774</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1,484</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net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7"/>
        </w:trPr>
        <w:tc>
          <w:tcPr>
            <w:tcW w:w="832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(760)</w:t>
            </w:r>
          </w:p>
        </w:tc>
        <w:tc>
          <w:tcPr>
            <w:tcW w:w="2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(2,436)</w:t>
            </w:r>
          </w:p>
        </w:tc>
        <w:tc>
          <w:tcPr>
            <w:tcW w:w="0" w:type="dxa"/>
            <w:vAlign w:val="bottom"/>
          </w:tcPr>
          <w:p>
            <w:pPr>
              <w:spacing w:after="0"/>
              <w:rPr>
                <w:sz w:val="1"/>
                <w:szCs w:val="1"/>
                <w:color w:val="auto"/>
              </w:rPr>
            </w:pPr>
          </w:p>
        </w:tc>
      </w:tr>
      <w:tr>
        <w:trPr>
          <w:trHeight w:val="33"/>
        </w:trPr>
        <w:tc>
          <w:tcPr>
            <w:tcW w:w="8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83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issuance of short-term debt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2,750</w:t>
            </w: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Proceeds from issuance of long-term debt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1,669</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996</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equity issuance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1,135</w:t>
            </w: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Payments of long-term debt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(523)</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Repurchases of common stock</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(1,062)</w:t>
            </w:r>
          </w:p>
        </w:tc>
        <w:tc>
          <w:tcPr>
            <w:tcW w:w="0" w:type="dxa"/>
            <w:vAlign w:val="bottom"/>
          </w:tcPr>
          <w:p>
            <w:pPr>
              <w:spacing w:after="0"/>
              <w:rPr>
                <w:sz w:val="1"/>
                <w:szCs w:val="1"/>
                <w:color w:val="auto"/>
              </w:rPr>
            </w:pP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Principal payments under finance leases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Capitalized financing costs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Other, net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33"/>
        </w:trPr>
        <w:tc>
          <w:tcPr>
            <w:tcW w:w="8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(used) in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4,571</w:t>
            </w: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(662)</w:t>
            </w:r>
          </w:p>
        </w:tc>
        <w:tc>
          <w:tcPr>
            <w:tcW w:w="0" w:type="dxa"/>
            <w:vAlign w:val="bottom"/>
          </w:tcPr>
          <w:p>
            <w:pPr>
              <w:spacing w:after="0"/>
              <w:rPr>
                <w:sz w:val="1"/>
                <w:szCs w:val="1"/>
                <w:color w:val="auto"/>
              </w:rPr>
            </w:pPr>
          </w:p>
        </w:tc>
      </w:tr>
      <w:tr>
        <w:trPr>
          <w:trHeight w:val="217"/>
        </w:trPr>
        <w:tc>
          <w:tcPr>
            <w:tcW w:w="8320" w:type="dxa"/>
            <w:vAlign w:val="bottom"/>
          </w:tcPr>
          <w:p>
            <w:pPr>
              <w:ind w:left="40"/>
              <w:spacing w:after="0"/>
              <w:rPr>
                <w:sz w:val="20"/>
                <w:szCs w:val="20"/>
                <w:color w:val="auto"/>
              </w:rPr>
            </w:pPr>
            <w:r>
              <w:rPr>
                <w:rFonts w:ascii="Arial" w:cs="Arial" w:eastAsia="Arial" w:hAnsi="Arial"/>
                <w:sz w:val="16"/>
                <w:szCs w:val="16"/>
                <w:color w:val="auto"/>
              </w:rPr>
              <w:t>Net increase in cash, cash equivalents and restricted cash</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3,744</w:t>
            </w:r>
          </w:p>
        </w:tc>
        <w:tc>
          <w:tcPr>
            <w:tcW w:w="2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1,527</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at beginning of the period</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2,868</w:t>
            </w:r>
          </w:p>
        </w:tc>
        <w:tc>
          <w:tcPr>
            <w:tcW w:w="2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1,799</w:t>
            </w:r>
          </w:p>
        </w:tc>
        <w:tc>
          <w:tcPr>
            <w:tcW w:w="0" w:type="dxa"/>
            <w:vAlign w:val="bottom"/>
          </w:tcPr>
          <w:p>
            <w:pPr>
              <w:spacing w:after="0"/>
              <w:rPr>
                <w:sz w:val="1"/>
                <w:szCs w:val="1"/>
                <w:color w:val="auto"/>
              </w:rPr>
            </w:pPr>
          </w:p>
        </w:tc>
      </w:tr>
      <w:tr>
        <w:trPr>
          <w:trHeight w:val="283"/>
        </w:trPr>
        <w:tc>
          <w:tcPr>
            <w:tcW w:w="83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cash equivalents and restricted cash at end of the period</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6,612</w:t>
            </w:r>
          </w:p>
        </w:tc>
        <w:tc>
          <w:tcPr>
            <w:tcW w:w="22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3,326</w:t>
            </w:r>
          </w:p>
        </w:tc>
        <w:tc>
          <w:tcPr>
            <w:tcW w:w="0" w:type="dxa"/>
            <w:vAlign w:val="bottom"/>
          </w:tcPr>
          <w:p>
            <w:pPr>
              <w:spacing w:after="0"/>
              <w:rPr>
                <w:sz w:val="1"/>
                <w:szCs w:val="1"/>
                <w:color w:val="auto"/>
              </w:rPr>
            </w:pPr>
          </w:p>
        </w:tc>
      </w:tr>
      <w:tr>
        <w:trPr>
          <w:trHeight w:val="284"/>
        </w:trPr>
        <w:tc>
          <w:tcPr>
            <w:tcW w:w="83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Investing and Financing Activities Not Affecting Cash:</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Property and equipment acquired through the issuance of debt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327</w:t>
            </w: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Property and equipment acquired through other financial liabilities</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280</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Lease modifications and lease conversions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470</w:t>
            </w: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Right-of-use assets acquired through operating leases</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48</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3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Property and equipment acquired through finance leases</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83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United Airlines Reports Second-Quarter 2020 Performance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UNITED AIRLINES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NON-GAAP FINANCIAL RECONCILIATION</w:t>
      </w:r>
    </w:p>
    <w:p>
      <w:pPr>
        <w:spacing w:after="0" w:line="180" w:lineRule="exact"/>
        <w:rPr>
          <w:sz w:val="20"/>
          <w:szCs w:val="20"/>
          <w:color w:val="auto"/>
        </w:rPr>
      </w:pPr>
    </w:p>
    <w:p>
      <w:pPr>
        <w:ind w:right="40" w:firstLine="8"/>
        <w:spacing w:after="0" w:line="270" w:lineRule="auto"/>
        <w:tabs>
          <w:tab w:leader="none" w:pos="265" w:val="left"/>
        </w:tabs>
        <w:numPr>
          <w:ilvl w:val="0"/>
          <w:numId w:val="15"/>
        </w:numPr>
        <w:rPr>
          <w:rFonts w:ascii="Arial" w:cs="Arial" w:eastAsia="Arial" w:hAnsi="Arial"/>
          <w:sz w:val="15"/>
          <w:szCs w:val="15"/>
          <w:color w:val="auto"/>
        </w:rPr>
      </w:pPr>
      <w:r>
        <w:rPr>
          <w:rFonts w:ascii="Arial" w:cs="Arial" w:eastAsia="Arial" w:hAnsi="Arial"/>
          <w:sz w:val="15"/>
          <w:szCs w:val="15"/>
          <w:color w:val="auto"/>
        </w:rPr>
        <w:t>UAL evaluates its financial performance utilizing various accounting principles generally accepted in the United States of America (GAAP) and Non-GAAP financial measures, including adjusted operating income (loss), adjusted operating margin, adjusted pre-tax income (loss), adjusted pre-tax margin, adjusted net income (loss), adjusted diluted earnings (loss) per share and CASM, excluding special charges, third-party business expenses, fuel, and profit sharing, among others. UAL believes that adjusting for special charges and for nonoperating credit losses and nonoperating special termination benefits and settlement losses is useful to investors because these items are not indicative of UAL's ongoing performance. UAL believes that adjusting for unrealized (gains) losses on investments, net is useful to investors because those unrealized gains or losses may not ultimately be realized on a cash basis. UAL believes that adjusting for interest expense related to finance leases of Embraer ERJ 145 aircraft is useful to investors because of the accelerated recognition of interest expense.</w:t>
      </w:r>
    </w:p>
    <w:p>
      <w:pPr>
        <w:spacing w:after="0" w:line="154"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CASM is a common metric used in the airline industry to measure an airline's cost structure and efficiency. UAL reports CASM excluding special charges, third-party business expenses, fuel and profit sharing. UAL believes that adjusting for special charges is useful to investors because special charges are not indicative of UAL's ongoing performance. UAL also believes that excluding third-party business expenses, such as maintenance, ground handling and catering services for third parties and fuel sales, provides more meaningful disclosure because these expenses are not directly related to UAL's core business. UAL also believes that excluding fuel costs from certain measures is useful to investors because it provides an additional measure of management's performance excluding the effects of a significant cost item over which management has limited influence. UAL excludes profit sharing because this exclusion allows investors to better understand and analyze our operating cost performance and provides a more meaningful comparison of our core operating costs to the airline industry.</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Reconciliations of reported non-GAAP financial measures to the most directly comparable GAAP financial measures are included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00" w:type="dxa"/>
            <w:vAlign w:val="bottom"/>
          </w:tcPr>
          <w:p>
            <w:pPr>
              <w:spacing w:after="0"/>
              <w:rPr>
                <w:sz w:val="17"/>
                <w:szCs w:val="17"/>
                <w:color w:val="auto"/>
              </w:rPr>
            </w:pPr>
          </w:p>
        </w:tc>
        <w:tc>
          <w:tcPr>
            <w:tcW w:w="2160" w:type="dxa"/>
            <w:vAlign w:val="bottom"/>
            <w:gridSpan w:val="4"/>
          </w:tcPr>
          <w:p>
            <w:pPr>
              <w:jc w:val="center"/>
              <w:spacing w:after="0"/>
              <w:rPr>
                <w:sz w:val="20"/>
                <w:szCs w:val="20"/>
                <w:color w:val="auto"/>
              </w:rPr>
            </w:pPr>
            <w:r>
              <w:rPr>
                <w:rFonts w:ascii="Arial" w:cs="Arial" w:eastAsia="Arial" w:hAnsi="Arial"/>
                <w:sz w:val="16"/>
                <w:szCs w:val="16"/>
                <w:color w:val="auto"/>
                <w:w w:val="92"/>
              </w:rPr>
              <w:t>Three Months Ended</w:t>
            </w:r>
          </w:p>
        </w:tc>
        <w:tc>
          <w:tcPr>
            <w:tcW w:w="100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w w:val="84"/>
              </w:rPr>
              <w:t>%</w:t>
            </w:r>
          </w:p>
        </w:tc>
        <w:tc>
          <w:tcPr>
            <w:tcW w:w="120" w:type="dxa"/>
            <w:vAlign w:val="bottom"/>
          </w:tcPr>
          <w:p>
            <w:pPr>
              <w:spacing w:after="0"/>
              <w:rPr>
                <w:sz w:val="17"/>
                <w:szCs w:val="17"/>
                <w:color w:val="auto"/>
              </w:rPr>
            </w:pPr>
          </w:p>
        </w:tc>
        <w:tc>
          <w:tcPr>
            <w:tcW w:w="1760" w:type="dxa"/>
            <w:vAlign w:val="bottom"/>
            <w:gridSpan w:val="3"/>
          </w:tcPr>
          <w:p>
            <w:pPr>
              <w:jc w:val="right"/>
              <w:ind w:right="199"/>
              <w:spacing w:after="0"/>
              <w:rPr>
                <w:sz w:val="20"/>
                <w:szCs w:val="20"/>
                <w:color w:val="auto"/>
              </w:rPr>
            </w:pPr>
            <w:r>
              <w:rPr>
                <w:rFonts w:ascii="Arial" w:cs="Arial" w:eastAsia="Arial" w:hAnsi="Arial"/>
                <w:sz w:val="16"/>
                <w:szCs w:val="16"/>
                <w:color w:val="auto"/>
              </w:rPr>
              <w:t>Six Months Ended</w:t>
            </w:r>
          </w:p>
        </w:tc>
        <w:tc>
          <w:tcPr>
            <w:tcW w:w="100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81"/>
        </w:trPr>
        <w:tc>
          <w:tcPr>
            <w:tcW w:w="5200" w:type="dxa"/>
            <w:vAlign w:val="bottom"/>
          </w:tcPr>
          <w:p>
            <w:pPr>
              <w:spacing w:after="0"/>
              <w:rPr>
                <w:sz w:val="7"/>
                <w:szCs w:val="7"/>
                <w:color w:val="auto"/>
              </w:rPr>
            </w:pPr>
          </w:p>
        </w:tc>
        <w:tc>
          <w:tcPr>
            <w:tcW w:w="1420" w:type="dxa"/>
            <w:vAlign w:val="bottom"/>
            <w:gridSpan w:val="3"/>
            <w:vMerge w:val="restart"/>
          </w:tcPr>
          <w:p>
            <w:pPr>
              <w:jc w:val="center"/>
              <w:ind w:left="679"/>
              <w:spacing w:after="0"/>
              <w:rPr>
                <w:sz w:val="20"/>
                <w:szCs w:val="20"/>
                <w:color w:val="auto"/>
              </w:rPr>
            </w:pPr>
            <w:r>
              <w:rPr>
                <w:rFonts w:ascii="Arial" w:cs="Arial" w:eastAsia="Arial" w:hAnsi="Arial"/>
                <w:sz w:val="16"/>
                <w:szCs w:val="16"/>
                <w:color w:val="auto"/>
                <w:w w:val="87"/>
              </w:rPr>
              <w:t>June 30,</w:t>
            </w:r>
          </w:p>
        </w:tc>
        <w:tc>
          <w:tcPr>
            <w:tcW w:w="74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760" w:type="dxa"/>
            <w:vAlign w:val="bottom"/>
            <w:gridSpan w:val="3"/>
            <w:vMerge w:val="restart"/>
          </w:tcPr>
          <w:p>
            <w:pPr>
              <w:jc w:val="right"/>
              <w:ind w:right="519"/>
              <w:spacing w:after="0"/>
              <w:rPr>
                <w:sz w:val="20"/>
                <w:szCs w:val="20"/>
                <w:color w:val="auto"/>
              </w:rPr>
            </w:pPr>
            <w:r>
              <w:rPr>
                <w:rFonts w:ascii="Arial" w:cs="Arial" w:eastAsia="Arial" w:hAnsi="Arial"/>
                <w:sz w:val="16"/>
                <w:szCs w:val="16"/>
                <w:color w:val="auto"/>
              </w:rPr>
              <w:t>June 30,</w:t>
            </w:r>
          </w:p>
        </w:tc>
        <w:tc>
          <w:tcPr>
            <w:tcW w:w="10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5200" w:type="dxa"/>
            <w:vAlign w:val="bottom"/>
          </w:tcPr>
          <w:p>
            <w:pPr>
              <w:spacing w:after="0"/>
              <w:rPr>
                <w:sz w:val="10"/>
                <w:szCs w:val="10"/>
                <w:color w:val="auto"/>
              </w:rPr>
            </w:pPr>
          </w:p>
        </w:tc>
        <w:tc>
          <w:tcPr>
            <w:tcW w:w="1420" w:type="dxa"/>
            <w:vAlign w:val="bottom"/>
            <w:gridSpan w:val="3"/>
            <w:vMerge w:val="continue"/>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center"/>
              <w:ind w:right="120"/>
              <w:spacing w:after="0" w:line="138" w:lineRule="exact"/>
              <w:rPr>
                <w:sz w:val="20"/>
                <w:szCs w:val="20"/>
                <w:color w:val="auto"/>
              </w:rPr>
            </w:pPr>
            <w:r>
              <w:rPr>
                <w:rFonts w:ascii="Arial" w:cs="Arial" w:eastAsia="Arial" w:hAnsi="Arial"/>
                <w:sz w:val="16"/>
                <w:szCs w:val="16"/>
                <w:color w:val="auto"/>
                <w:w w:val="91"/>
              </w:rPr>
              <w:t>Increase/</w:t>
            </w:r>
          </w:p>
        </w:tc>
        <w:tc>
          <w:tcPr>
            <w:tcW w:w="176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restart"/>
          </w:tcPr>
          <w:p>
            <w:pPr>
              <w:jc w:val="center"/>
              <w:spacing w:after="0" w:line="138" w:lineRule="exact"/>
              <w:rPr>
                <w:sz w:val="20"/>
                <w:szCs w:val="20"/>
                <w:color w:val="auto"/>
              </w:rPr>
            </w:pPr>
            <w:r>
              <w:rPr>
                <w:rFonts w:ascii="Arial" w:cs="Arial" w:eastAsia="Arial" w:hAnsi="Arial"/>
                <w:sz w:val="16"/>
                <w:szCs w:val="16"/>
                <w:color w:val="auto"/>
                <w:w w:val="88"/>
              </w:rPr>
              <w:t>Increase/</w:t>
            </w:r>
          </w:p>
        </w:tc>
        <w:tc>
          <w:tcPr>
            <w:tcW w:w="0" w:type="dxa"/>
            <w:vAlign w:val="bottom"/>
          </w:tcPr>
          <w:p>
            <w:pPr>
              <w:spacing w:after="0"/>
              <w:rPr>
                <w:sz w:val="1"/>
                <w:szCs w:val="1"/>
                <w:color w:val="auto"/>
              </w:rPr>
            </w:pPr>
          </w:p>
        </w:tc>
      </w:tr>
      <w:tr>
        <w:trPr>
          <w:trHeight w:val="33"/>
        </w:trPr>
        <w:tc>
          <w:tcPr>
            <w:tcW w:w="52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200" w:type="dxa"/>
            <w:vAlign w:val="bottom"/>
          </w:tcPr>
          <w:p>
            <w:pPr>
              <w:spacing w:after="0"/>
              <w:rPr>
                <w:sz w:val="20"/>
                <w:szCs w:val="20"/>
                <w:color w:val="auto"/>
              </w:rPr>
            </w:pPr>
          </w:p>
        </w:tc>
        <w:tc>
          <w:tcPr>
            <w:tcW w:w="1020" w:type="dxa"/>
            <w:vAlign w:val="bottom"/>
          </w:tcPr>
          <w:p>
            <w:pPr>
              <w:jc w:val="right"/>
              <w:ind w:right="279"/>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259"/>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20"/>
                <w:szCs w:val="20"/>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6"/>
                <w:szCs w:val="16"/>
                <w:color w:val="auto"/>
                <w:w w:val="88"/>
              </w:rPr>
              <w:t>(Decrease)</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20"/>
                <w:szCs w:val="20"/>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8"/>
              </w:rPr>
              <w:t>(Decrease)</w:t>
            </w:r>
          </w:p>
        </w:tc>
        <w:tc>
          <w:tcPr>
            <w:tcW w:w="0" w:type="dxa"/>
            <w:vAlign w:val="bottom"/>
          </w:tcPr>
          <w:p>
            <w:pPr>
              <w:spacing w:after="0"/>
              <w:rPr>
                <w:sz w:val="1"/>
                <w:szCs w:val="1"/>
                <w:color w:val="auto"/>
              </w:rPr>
            </w:pPr>
          </w:p>
        </w:tc>
      </w:tr>
      <w:tr>
        <w:trPr>
          <w:trHeight w:val="33"/>
        </w:trPr>
        <w:tc>
          <w:tcPr>
            <w:tcW w:w="52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CASM (cents)</w:t>
            </w: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00" w:type="dxa"/>
            <w:vAlign w:val="bottom"/>
          </w:tcPr>
          <w:p>
            <w:pPr>
              <w:ind w:left="40"/>
              <w:spacing w:after="0"/>
              <w:rPr>
                <w:sz w:val="20"/>
                <w:szCs w:val="20"/>
                <w:color w:val="auto"/>
              </w:rPr>
            </w:pPr>
            <w:r>
              <w:rPr>
                <w:rFonts w:ascii="Arial" w:cs="Arial" w:eastAsia="Arial" w:hAnsi="Arial"/>
                <w:sz w:val="16"/>
                <w:szCs w:val="16"/>
                <w:color w:val="auto"/>
              </w:rPr>
              <w:t>Cost per available seat mile (CASM) (GAAP)</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34.72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13.56</w:t>
            </w:r>
          </w:p>
        </w:tc>
        <w:tc>
          <w:tcPr>
            <w:tcW w:w="1000" w:type="dxa"/>
            <w:vAlign w:val="bottom"/>
            <w:gridSpan w:val="2"/>
          </w:tcPr>
          <w:p>
            <w:pPr>
              <w:jc w:val="right"/>
              <w:ind w:right="19"/>
              <w:spacing w:after="0"/>
              <w:rPr>
                <w:sz w:val="20"/>
                <w:szCs w:val="20"/>
                <w:color w:val="auto"/>
              </w:rPr>
            </w:pPr>
            <w:r>
              <w:rPr>
                <w:rFonts w:ascii="Arial" w:cs="Arial" w:eastAsia="Arial" w:hAnsi="Arial"/>
                <w:sz w:val="16"/>
                <w:szCs w:val="16"/>
                <w:color w:val="auto"/>
              </w:rPr>
              <w:t>156.0</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17.26</w:t>
            </w:r>
          </w:p>
        </w:tc>
        <w:tc>
          <w:tcPr>
            <w:tcW w:w="10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13.70</w:t>
            </w:r>
          </w:p>
        </w:tc>
        <w:tc>
          <w:tcPr>
            <w:tcW w:w="1000" w:type="dxa"/>
            <w:vAlign w:val="bottom"/>
            <w:gridSpan w:val="2"/>
          </w:tcPr>
          <w:p>
            <w:pPr>
              <w:jc w:val="right"/>
              <w:ind w:right="19"/>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33"/>
        </w:trPr>
        <w:tc>
          <w:tcPr>
            <w:tcW w:w="5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Special charges (B)</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NM</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37"/>
        </w:trPr>
        <w:tc>
          <w:tcPr>
            <w:tcW w:w="5200" w:type="dxa"/>
            <w:vAlign w:val="bottom"/>
          </w:tcPr>
          <w:p>
            <w:pPr>
              <w:ind w:left="280"/>
              <w:spacing w:after="0"/>
              <w:rPr>
                <w:sz w:val="20"/>
                <w:szCs w:val="20"/>
                <w:color w:val="auto"/>
              </w:rPr>
            </w:pPr>
            <w:r>
              <w:rPr>
                <w:rFonts w:ascii="Arial" w:cs="Arial" w:eastAsia="Arial" w:hAnsi="Arial"/>
                <w:sz w:val="16"/>
                <w:szCs w:val="16"/>
                <w:color w:val="auto"/>
              </w:rPr>
              <w:t>Third-party business expenses</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0.65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0.05</w:t>
            </w:r>
          </w:p>
        </w:tc>
        <w:tc>
          <w:tcPr>
            <w:tcW w:w="120" w:type="dxa"/>
            <w:vAlign w:val="bottom"/>
          </w:tcPr>
          <w:p>
            <w:pPr>
              <w:spacing w:after="0"/>
              <w:rPr>
                <w:sz w:val="20"/>
                <w:szCs w:val="20"/>
                <w:color w:val="auto"/>
              </w:rPr>
            </w:pPr>
          </w:p>
        </w:tc>
        <w:tc>
          <w:tcPr>
            <w:tcW w:w="1000" w:type="dxa"/>
            <w:vAlign w:val="bottom"/>
            <w:gridSpan w:val="2"/>
          </w:tcPr>
          <w:p>
            <w:pPr>
              <w:ind w:left="520"/>
              <w:spacing w:after="0"/>
              <w:rPr>
                <w:sz w:val="20"/>
                <w:szCs w:val="20"/>
                <w:color w:val="auto"/>
              </w:rPr>
            </w:pPr>
            <w:r>
              <w:rPr>
                <w:rFonts w:ascii="Arial" w:cs="Arial" w:eastAsia="Arial" w:hAnsi="Arial"/>
                <w:sz w:val="16"/>
                <w:szCs w:val="16"/>
                <w:color w:val="auto"/>
              </w:rPr>
              <w:t>NM</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0.15</w:t>
            </w:r>
          </w:p>
        </w:tc>
        <w:tc>
          <w:tcPr>
            <w:tcW w:w="10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0.05</w:t>
            </w:r>
          </w:p>
        </w:tc>
        <w:tc>
          <w:tcPr>
            <w:tcW w:w="1000" w:type="dxa"/>
            <w:vAlign w:val="bottom"/>
            <w:gridSpan w:val="2"/>
          </w:tcPr>
          <w:p>
            <w:pPr>
              <w:jc w:val="right"/>
              <w:ind w:right="19"/>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33"/>
        </w:trPr>
        <w:tc>
          <w:tcPr>
            <w:tcW w:w="5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Fuel expense</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3.26</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3.17</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37"/>
        </w:trPr>
        <w:tc>
          <w:tcPr>
            <w:tcW w:w="5200" w:type="dxa"/>
            <w:vAlign w:val="bottom"/>
          </w:tcPr>
          <w:p>
            <w:pPr>
              <w:ind w:left="280"/>
              <w:spacing w:after="0"/>
              <w:rPr>
                <w:sz w:val="20"/>
                <w:szCs w:val="20"/>
                <w:color w:val="auto"/>
              </w:rPr>
            </w:pPr>
            <w:r>
              <w:rPr>
                <w:rFonts w:ascii="Arial" w:cs="Arial" w:eastAsia="Arial" w:hAnsi="Arial"/>
                <w:sz w:val="16"/>
                <w:szCs w:val="16"/>
                <w:color w:val="auto"/>
              </w:rPr>
              <w:t>Profit sharing, including taxes</w:t>
            </w:r>
          </w:p>
        </w:tc>
        <w:tc>
          <w:tcPr>
            <w:tcW w:w="1420" w:type="dxa"/>
            <w:vAlign w:val="bottom"/>
            <w:gridSpan w:val="3"/>
          </w:tcPr>
          <w:p>
            <w:pPr>
              <w:jc w:val="right"/>
              <w:ind w:right="5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0.22</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0.14</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33"/>
        </w:trPr>
        <w:tc>
          <w:tcPr>
            <w:tcW w:w="52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2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CASM, excluding special charges, third-party business expenses, fuel, and</w:t>
            </w:r>
          </w:p>
        </w:tc>
        <w:tc>
          <w:tcPr>
            <w:tcW w:w="10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47.56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9.93</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16.28</w:t>
            </w:r>
          </w:p>
        </w:tc>
        <w:tc>
          <w:tcPr>
            <w:tcW w:w="1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10.27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profit sharing (Non-GAAP)</w:t>
            </w: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379.0</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58.5</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NM Not Meaningful</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0"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United Airlines Reports Second-Quarter 2020 Performance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UNITED AIRLINES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NON-GAAP FINANCIAL RECONCILIATION (Continued)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gridSpan w:val="5"/>
          </w:tcPr>
          <w:p>
            <w:pPr>
              <w:ind w:left="100"/>
              <w:spacing w:after="0"/>
              <w:rPr>
                <w:sz w:val="20"/>
                <w:szCs w:val="20"/>
                <w:color w:val="auto"/>
              </w:rPr>
            </w:pPr>
            <w:r>
              <w:rPr>
                <w:rFonts w:ascii="Arial" w:cs="Arial" w:eastAsia="Arial" w:hAnsi="Arial"/>
                <w:sz w:val="16"/>
                <w:szCs w:val="16"/>
                <w:color w:val="auto"/>
              </w:rPr>
              <w:t>Three Months Ended</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w w:val="84"/>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5"/>
          </w:tcPr>
          <w:p>
            <w:pPr>
              <w:ind w:left="120"/>
              <w:spacing w:after="0"/>
              <w:rPr>
                <w:sz w:val="20"/>
                <w:szCs w:val="20"/>
                <w:color w:val="auto"/>
              </w:rPr>
            </w:pPr>
            <w:r>
              <w:rPr>
                <w:rFonts w:ascii="Arial" w:cs="Arial" w:eastAsia="Arial" w:hAnsi="Arial"/>
                <w:sz w:val="16"/>
                <w:szCs w:val="16"/>
                <w:color w:val="auto"/>
              </w:rPr>
              <w:t>Six Months Ended</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81"/>
        </w:trPr>
        <w:tc>
          <w:tcPr>
            <w:tcW w:w="3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gridSpan w:val="3"/>
            <w:vMerge w:val="restart"/>
          </w:tcPr>
          <w:p>
            <w:pPr>
              <w:jc w:val="right"/>
              <w:spacing w:after="0"/>
              <w:rPr>
                <w:sz w:val="20"/>
                <w:szCs w:val="20"/>
                <w:color w:val="auto"/>
              </w:rPr>
            </w:pPr>
            <w:r>
              <w:rPr>
                <w:rFonts w:ascii="Arial" w:cs="Arial" w:eastAsia="Arial" w:hAnsi="Arial"/>
                <w:sz w:val="16"/>
                <w:szCs w:val="16"/>
                <w:color w:val="auto"/>
              </w:rPr>
              <w:t>June 30,</w:t>
            </w: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gridSpan w:val="3"/>
            <w:vMerge w:val="restart"/>
          </w:tcPr>
          <w:p>
            <w:pPr>
              <w:jc w:val="right"/>
              <w:spacing w:after="0"/>
              <w:rPr>
                <w:sz w:val="20"/>
                <w:szCs w:val="20"/>
                <w:color w:val="auto"/>
              </w:rPr>
            </w:pPr>
            <w:r>
              <w:rPr>
                <w:rFonts w:ascii="Arial" w:cs="Arial" w:eastAsia="Arial" w:hAnsi="Arial"/>
                <w:sz w:val="16"/>
                <w:szCs w:val="16"/>
                <w:color w:val="auto"/>
              </w:rPr>
              <w:t>June 30,</w:t>
            </w: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3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ind w:right="60"/>
              <w:spacing w:after="0" w:line="138" w:lineRule="exact"/>
              <w:rPr>
                <w:sz w:val="20"/>
                <w:szCs w:val="20"/>
                <w:color w:val="auto"/>
              </w:rPr>
            </w:pPr>
            <w:r>
              <w:rPr>
                <w:rFonts w:ascii="Arial" w:cs="Arial" w:eastAsia="Arial" w:hAnsi="Arial"/>
                <w:sz w:val="16"/>
                <w:szCs w:val="16"/>
                <w:color w:val="auto"/>
                <w:w w:val="88"/>
              </w:rPr>
              <w:t>Increase/</w:t>
            </w:r>
          </w:p>
        </w:tc>
        <w:tc>
          <w:tcPr>
            <w:tcW w:w="120" w:type="dxa"/>
            <w:vAlign w:val="bottom"/>
          </w:tcPr>
          <w:p>
            <w:pPr>
              <w:spacing w:after="0"/>
              <w:rPr>
                <w:sz w:val="10"/>
                <w:szCs w:val="10"/>
                <w:color w:val="auto"/>
              </w:rPr>
            </w:pPr>
          </w:p>
        </w:tc>
        <w:tc>
          <w:tcPr>
            <w:tcW w:w="1000" w:type="dxa"/>
            <w:vAlign w:val="bottom"/>
            <w:gridSpan w:val="2"/>
            <w:vMerge w:val="restart"/>
          </w:tcPr>
          <w:p>
            <w:pPr>
              <w:jc w:val="center"/>
              <w:ind w:right="120"/>
              <w:spacing w:after="0" w:line="138" w:lineRule="exact"/>
              <w:rPr>
                <w:sz w:val="20"/>
                <w:szCs w:val="20"/>
                <w:color w:val="auto"/>
              </w:rPr>
            </w:pPr>
            <w:r>
              <w:rPr>
                <w:rFonts w:ascii="Arial" w:cs="Arial" w:eastAsia="Arial" w:hAnsi="Arial"/>
                <w:sz w:val="16"/>
                <w:szCs w:val="16"/>
                <w:color w:val="auto"/>
                <w:w w:val="91"/>
              </w:rPr>
              <w:t>Increase/</w:t>
            </w:r>
          </w:p>
        </w:tc>
        <w:tc>
          <w:tcPr>
            <w:tcW w:w="16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ind w:right="60"/>
              <w:spacing w:after="0" w:line="138" w:lineRule="exact"/>
              <w:rPr>
                <w:sz w:val="20"/>
                <w:szCs w:val="20"/>
                <w:color w:val="auto"/>
              </w:rPr>
            </w:pPr>
            <w:r>
              <w:rPr>
                <w:rFonts w:ascii="Arial" w:cs="Arial" w:eastAsia="Arial" w:hAnsi="Arial"/>
                <w:sz w:val="16"/>
                <w:szCs w:val="16"/>
                <w:color w:val="auto"/>
                <w:w w:val="88"/>
              </w:rPr>
              <w:t>Increase/</w:t>
            </w:r>
          </w:p>
        </w:tc>
        <w:tc>
          <w:tcPr>
            <w:tcW w:w="100" w:type="dxa"/>
            <w:vAlign w:val="bottom"/>
          </w:tcPr>
          <w:p>
            <w:pPr>
              <w:spacing w:after="0"/>
              <w:rPr>
                <w:sz w:val="10"/>
                <w:szCs w:val="10"/>
                <w:color w:val="auto"/>
              </w:rPr>
            </w:pPr>
          </w:p>
        </w:tc>
        <w:tc>
          <w:tcPr>
            <w:tcW w:w="900" w:type="dxa"/>
            <w:vAlign w:val="bottom"/>
            <w:vMerge w:val="restart"/>
          </w:tcPr>
          <w:p>
            <w:pPr>
              <w:jc w:val="center"/>
              <w:spacing w:after="0" w:line="138" w:lineRule="exact"/>
              <w:rPr>
                <w:sz w:val="20"/>
                <w:szCs w:val="20"/>
                <w:color w:val="auto"/>
              </w:rPr>
            </w:pPr>
            <w:r>
              <w:rPr>
                <w:rFonts w:ascii="Arial" w:cs="Arial" w:eastAsia="Arial" w:hAnsi="Arial"/>
                <w:sz w:val="16"/>
                <w:szCs w:val="16"/>
                <w:color w:val="auto"/>
                <w:w w:val="88"/>
              </w:rPr>
              <w:t>Increase/</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00" w:type="dxa"/>
            <w:vAlign w:val="bottom"/>
          </w:tcPr>
          <w:p>
            <w:pPr>
              <w:ind w:left="40"/>
              <w:spacing w:after="0"/>
              <w:rPr>
                <w:sz w:val="20"/>
                <w:szCs w:val="20"/>
                <w:color w:val="auto"/>
              </w:rPr>
            </w:pPr>
            <w:r>
              <w:rPr>
                <w:rFonts w:ascii="Arial" w:cs="Arial" w:eastAsia="Arial" w:hAnsi="Arial"/>
                <w:sz w:val="16"/>
                <w:szCs w:val="16"/>
                <w:color w:val="auto"/>
              </w:rPr>
              <w:t>(in millions)</w:t>
            </w:r>
          </w:p>
        </w:tc>
        <w:tc>
          <w:tcPr>
            <w:tcW w:w="160" w:type="dxa"/>
            <w:vAlign w:val="bottom"/>
          </w:tcPr>
          <w:p>
            <w:pPr>
              <w:spacing w:after="0"/>
              <w:rPr>
                <w:sz w:val="20"/>
                <w:szCs w:val="20"/>
                <w:color w:val="auto"/>
              </w:rPr>
            </w:pPr>
          </w:p>
        </w:tc>
        <w:tc>
          <w:tcPr>
            <w:tcW w:w="700" w:type="dxa"/>
            <w:vAlign w:val="bottom"/>
          </w:tcPr>
          <w:p>
            <w:pPr>
              <w:ind w:left="100"/>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ind w:right="220"/>
              <w:spacing w:after="0"/>
              <w:rPr>
                <w:sz w:val="20"/>
                <w:szCs w:val="20"/>
                <w:color w:val="auto"/>
              </w:rPr>
            </w:pPr>
            <w:r>
              <w:rPr>
                <w:rFonts w:ascii="Arial" w:cs="Arial" w:eastAsia="Arial" w:hAnsi="Arial"/>
                <w:sz w:val="16"/>
                <w:szCs w:val="16"/>
                <w:color w:val="auto"/>
                <w:w w:val="89"/>
              </w:rPr>
              <w:t>2019</w:t>
            </w:r>
          </w:p>
        </w:tc>
        <w:tc>
          <w:tcPr>
            <w:tcW w:w="1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w w:val="98"/>
              </w:rPr>
              <w:t>(Decrease)</w:t>
            </w:r>
          </w:p>
        </w:tc>
        <w:tc>
          <w:tcPr>
            <w:tcW w:w="120" w:type="dxa"/>
            <w:vAlign w:val="bottom"/>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(Decrease)</w:t>
            </w:r>
          </w:p>
        </w:tc>
        <w:tc>
          <w:tcPr>
            <w:tcW w:w="160" w:type="dxa"/>
            <w:vAlign w:val="bottom"/>
          </w:tcPr>
          <w:p>
            <w:pPr>
              <w:spacing w:after="0"/>
              <w:rPr>
                <w:sz w:val="20"/>
                <w:szCs w:val="20"/>
                <w:color w:val="auto"/>
              </w:rPr>
            </w:pPr>
          </w:p>
        </w:tc>
        <w:tc>
          <w:tcPr>
            <w:tcW w:w="700" w:type="dxa"/>
            <w:vAlign w:val="bottom"/>
          </w:tcPr>
          <w:p>
            <w:pPr>
              <w:jc w:val="right"/>
              <w:ind w:right="200"/>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ind w:right="160"/>
              <w:spacing w:after="0"/>
              <w:rPr>
                <w:sz w:val="20"/>
                <w:szCs w:val="20"/>
                <w:color w:val="auto"/>
              </w:rPr>
            </w:pPr>
            <w:r>
              <w:rPr>
                <w:rFonts w:ascii="Arial" w:cs="Arial" w:eastAsia="Arial" w:hAnsi="Arial"/>
                <w:sz w:val="16"/>
                <w:szCs w:val="16"/>
                <w:color w:val="auto"/>
                <w:w w:val="95"/>
              </w:rPr>
              <w:t>2019</w:t>
            </w:r>
          </w:p>
        </w:tc>
        <w:tc>
          <w:tcPr>
            <w:tcW w:w="1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w w:val="98"/>
              </w:rPr>
              <w:t>(Decrease)</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8"/>
              </w:rPr>
              <w:t>(Decrease)</w:t>
            </w:r>
          </w:p>
        </w:tc>
        <w:tc>
          <w:tcPr>
            <w:tcW w:w="0" w:type="dxa"/>
            <w:vAlign w:val="bottom"/>
          </w:tcPr>
          <w:p>
            <w:pPr>
              <w:spacing w:after="0"/>
              <w:rPr>
                <w:sz w:val="1"/>
                <w:szCs w:val="1"/>
                <w:color w:val="auto"/>
              </w:rPr>
            </w:pPr>
          </w:p>
        </w:tc>
      </w:tr>
      <w:tr>
        <w:trPr>
          <w:trHeight w:val="33"/>
        </w:trPr>
        <w:tc>
          <w:tcPr>
            <w:tcW w:w="3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 (GAAP)</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3,112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9,930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(6,818)</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(68.7)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98"/>
              </w:rPr>
              <w:t>12,063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85"/>
              </w:rPr>
              <w:t>19,024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(6,961)</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37"/>
        </w:trPr>
        <w:tc>
          <w:tcPr>
            <w:tcW w:w="3500" w:type="dxa"/>
            <w:vAlign w:val="bottom"/>
          </w:tcPr>
          <w:p>
            <w:pPr>
              <w:ind w:left="180"/>
              <w:spacing w:after="0"/>
              <w:rPr>
                <w:sz w:val="20"/>
                <w:szCs w:val="20"/>
                <w:color w:val="auto"/>
              </w:rPr>
            </w:pPr>
            <w:r>
              <w:rPr>
                <w:rFonts w:ascii="Arial" w:cs="Arial" w:eastAsia="Arial" w:hAnsi="Arial"/>
                <w:sz w:val="16"/>
                <w:szCs w:val="16"/>
                <w:color w:val="auto"/>
              </w:rPr>
              <w:t>Special charges (credit) (B)</w:t>
            </w:r>
          </w:p>
        </w:tc>
        <w:tc>
          <w:tcPr>
            <w:tcW w:w="160" w:type="dxa"/>
            <w:vAlign w:val="bottom"/>
          </w:tcPr>
          <w:p>
            <w:pPr>
              <w:spacing w:after="0"/>
              <w:rPr>
                <w:sz w:val="20"/>
                <w:szCs w:val="20"/>
                <w:color w:val="auto"/>
              </w:rPr>
            </w:pPr>
          </w:p>
        </w:tc>
        <w:tc>
          <w:tcPr>
            <w:tcW w:w="700" w:type="dxa"/>
            <w:vAlign w:val="bottom"/>
          </w:tcPr>
          <w:p>
            <w:pPr>
              <w:jc w:val="right"/>
              <w:ind w:right="80"/>
              <w:spacing w:after="0"/>
              <w:rPr>
                <w:sz w:val="20"/>
                <w:szCs w:val="20"/>
                <w:color w:val="auto"/>
              </w:rPr>
            </w:pPr>
            <w:r>
              <w:rPr>
                <w:rFonts w:ascii="Arial" w:cs="Arial" w:eastAsia="Arial" w:hAnsi="Arial"/>
                <w:sz w:val="16"/>
                <w:szCs w:val="16"/>
                <w:color w:val="auto"/>
              </w:rPr>
              <w:t>(1,449)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(1,520)</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NM</w:t>
            </w:r>
          </w:p>
        </w:tc>
        <w:tc>
          <w:tcPr>
            <w:tcW w:w="160" w:type="dxa"/>
            <w:vAlign w:val="bottom"/>
          </w:tcPr>
          <w:p>
            <w:pPr>
              <w:spacing w:after="0"/>
              <w:rPr>
                <w:sz w:val="20"/>
                <w:szCs w:val="20"/>
                <w:color w:val="auto"/>
              </w:rPr>
            </w:pPr>
          </w:p>
        </w:tc>
        <w:tc>
          <w:tcPr>
            <w:tcW w:w="700" w:type="dxa"/>
            <w:vAlign w:val="bottom"/>
          </w:tcPr>
          <w:p>
            <w:pPr>
              <w:jc w:val="right"/>
              <w:ind w:right="80"/>
              <w:spacing w:after="0"/>
              <w:rPr>
                <w:sz w:val="20"/>
                <w:szCs w:val="20"/>
                <w:color w:val="auto"/>
              </w:rPr>
            </w:pPr>
            <w:r>
              <w:rPr>
                <w:rFonts w:ascii="Arial" w:cs="Arial" w:eastAsia="Arial" w:hAnsi="Arial"/>
                <w:sz w:val="16"/>
                <w:szCs w:val="16"/>
                <w:color w:val="auto"/>
              </w:rPr>
              <w:t>(1,386)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ind w:right="80"/>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(1,475)</w:t>
            </w:r>
          </w:p>
        </w:tc>
        <w:tc>
          <w:tcPr>
            <w:tcW w:w="10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3"/>
        </w:trPr>
        <w:tc>
          <w:tcPr>
            <w:tcW w:w="3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 excluding special charges</w:t>
            </w: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4,561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9,859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(5,298)</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98"/>
              </w:rPr>
              <w:t>13,449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85"/>
              </w:rPr>
              <w:t>18,935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(5,486)</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37"/>
        </w:trPr>
        <w:tc>
          <w:tcPr>
            <w:tcW w:w="3500" w:type="dxa"/>
            <w:vAlign w:val="bottom"/>
          </w:tcPr>
          <w:p>
            <w:pPr>
              <w:ind w:left="440"/>
              <w:spacing w:after="0"/>
              <w:rPr>
                <w:sz w:val="20"/>
                <w:szCs w:val="20"/>
                <w:color w:val="auto"/>
              </w:rPr>
            </w:pPr>
            <w:r>
              <w:rPr>
                <w:rFonts w:ascii="Arial" w:cs="Arial" w:eastAsia="Arial" w:hAnsi="Arial"/>
                <w:sz w:val="16"/>
                <w:szCs w:val="16"/>
                <w:color w:val="auto"/>
              </w:rPr>
              <w:t>Adjusted to exclude:</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Third-party business expenses</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w:t>
            </w: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43.7</w:t>
            </w:r>
          </w:p>
        </w:tc>
        <w:tc>
          <w:tcPr>
            <w:tcW w:w="0" w:type="dxa"/>
            <w:vAlign w:val="bottom"/>
          </w:tcPr>
          <w:p>
            <w:pPr>
              <w:spacing w:after="0"/>
              <w:rPr>
                <w:sz w:val="1"/>
                <w:szCs w:val="1"/>
                <w:color w:val="auto"/>
              </w:rPr>
            </w:pPr>
          </w:p>
        </w:tc>
      </w:tr>
      <w:tr>
        <w:trPr>
          <w:trHeight w:val="237"/>
        </w:trPr>
        <w:tc>
          <w:tcPr>
            <w:tcW w:w="3500" w:type="dxa"/>
            <w:vAlign w:val="bottom"/>
          </w:tcPr>
          <w:p>
            <w:pPr>
              <w:ind w:left="180"/>
              <w:spacing w:after="0"/>
              <w:rPr>
                <w:sz w:val="20"/>
                <w:szCs w:val="20"/>
                <w:color w:val="auto"/>
              </w:rPr>
            </w:pPr>
            <w:r>
              <w:rPr>
                <w:rFonts w:ascii="Arial" w:cs="Arial" w:eastAsia="Arial" w:hAnsi="Arial"/>
                <w:sz w:val="16"/>
                <w:szCs w:val="16"/>
                <w:color w:val="auto"/>
              </w:rPr>
              <w:t>Fuel expense</w:t>
            </w:r>
          </w:p>
        </w:tc>
        <w:tc>
          <w:tcPr>
            <w:tcW w:w="160" w:type="dxa"/>
            <w:vAlign w:val="bottom"/>
          </w:tcPr>
          <w:p>
            <w:pPr>
              <w:spacing w:after="0"/>
              <w:rPr>
                <w:sz w:val="20"/>
                <w:szCs w:val="20"/>
                <w:color w:val="auto"/>
              </w:rPr>
            </w:pPr>
          </w:p>
        </w:tc>
        <w:tc>
          <w:tcPr>
            <w:tcW w:w="700" w:type="dxa"/>
            <w:vAlign w:val="bottom"/>
          </w:tcPr>
          <w:p>
            <w:pPr>
              <w:jc w:val="right"/>
              <w:ind w:right="120"/>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2,385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(2,145)</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(89.9)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ind w:right="120"/>
              <w:spacing w:after="0"/>
              <w:rPr>
                <w:sz w:val="20"/>
                <w:szCs w:val="20"/>
                <w:color w:val="auto"/>
              </w:rPr>
            </w:pPr>
            <w:r>
              <w:rPr>
                <w:rFonts w:ascii="Arial" w:cs="Arial" w:eastAsia="Arial" w:hAnsi="Arial"/>
                <w:sz w:val="16"/>
                <w:szCs w:val="16"/>
                <w:color w:val="auto"/>
              </w:rPr>
              <w:t>1,966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ind w:right="80"/>
              <w:spacing w:after="0"/>
              <w:rPr>
                <w:sz w:val="20"/>
                <w:szCs w:val="20"/>
                <w:color w:val="auto"/>
              </w:rPr>
            </w:pPr>
            <w:r>
              <w:rPr>
                <w:rFonts w:ascii="Arial" w:cs="Arial" w:eastAsia="Arial" w:hAnsi="Arial"/>
                <w:sz w:val="16"/>
                <w:szCs w:val="16"/>
                <w:color w:val="auto"/>
              </w:rPr>
              <w:t>4,408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(2,442)</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(55.4)</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Profit sharing, including taxes</w:t>
            </w: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194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83"/>
        </w:trPr>
        <w:tc>
          <w:tcPr>
            <w:tcW w:w="35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operating expenses (Non-GAAP) (A)</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6"/>
                <w:szCs w:val="16"/>
                <w:color w:val="auto"/>
              </w:rPr>
              <w:t>4,263</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7,272</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(3,009)</w:t>
            </w:r>
          </w:p>
        </w:tc>
        <w:tc>
          <w:tcPr>
            <w:tcW w:w="10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(41.4)</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6"/>
                <w:szCs w:val="16"/>
                <w:color w:val="auto"/>
                <w:w w:val="98"/>
              </w:rPr>
              <w:t>11,381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w w:val="85"/>
              </w:rPr>
              <w:t>14,262</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(2,881)</w:t>
            </w:r>
          </w:p>
        </w:tc>
        <w:tc>
          <w:tcPr>
            <w:tcW w:w="10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163"/>
        </w:trPr>
        <w:tc>
          <w:tcPr>
            <w:tcW w:w="3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500" w:type="dxa"/>
            <w:vAlign w:val="bottom"/>
          </w:tcPr>
          <w:p>
            <w:pPr>
              <w:ind w:left="40"/>
              <w:spacing w:after="0"/>
              <w:rPr>
                <w:sz w:val="20"/>
                <w:szCs w:val="20"/>
                <w:color w:val="auto"/>
              </w:rPr>
            </w:pPr>
            <w:r>
              <w:rPr>
                <w:rFonts w:ascii="Arial" w:cs="Arial" w:eastAsia="Arial" w:hAnsi="Arial"/>
                <w:sz w:val="16"/>
                <w:szCs w:val="16"/>
                <w:color w:val="auto"/>
              </w:rPr>
              <w:t>Operating income (loss) (GAAP)</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80"/>
              <w:spacing w:after="0"/>
              <w:rPr>
                <w:sz w:val="20"/>
                <w:szCs w:val="20"/>
                <w:color w:val="auto"/>
              </w:rPr>
            </w:pPr>
            <w:r>
              <w:rPr>
                <w:rFonts w:ascii="Arial" w:cs="Arial" w:eastAsia="Arial" w:hAnsi="Arial"/>
                <w:sz w:val="16"/>
                <w:szCs w:val="16"/>
                <w:color w:val="auto"/>
              </w:rPr>
              <w:t>(1,637)</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1,472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(3,109)</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NM</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80"/>
              <w:spacing w:after="0"/>
              <w:rPr>
                <w:sz w:val="20"/>
                <w:szCs w:val="20"/>
                <w:color w:val="auto"/>
              </w:rPr>
            </w:pPr>
            <w:r>
              <w:rPr>
                <w:rFonts w:ascii="Arial" w:cs="Arial" w:eastAsia="Arial" w:hAnsi="Arial"/>
                <w:sz w:val="16"/>
                <w:szCs w:val="16"/>
                <w:color w:val="auto"/>
              </w:rPr>
              <w:t>(2,609)</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80"/>
              <w:spacing w:after="0"/>
              <w:rPr>
                <w:sz w:val="20"/>
                <w:szCs w:val="20"/>
                <w:color w:val="auto"/>
              </w:rPr>
            </w:pPr>
            <w:r>
              <w:rPr>
                <w:rFonts w:ascii="Arial" w:cs="Arial" w:eastAsia="Arial" w:hAnsi="Arial"/>
                <w:sz w:val="16"/>
                <w:szCs w:val="16"/>
                <w:color w:val="auto"/>
              </w:rPr>
              <w:t>1,967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(4,576)</w:t>
            </w:r>
          </w:p>
        </w:tc>
        <w:tc>
          <w:tcPr>
            <w:tcW w:w="10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Adjusted to exclude:</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00" w:type="dxa"/>
            <w:vAlign w:val="bottom"/>
          </w:tcPr>
          <w:p>
            <w:pPr>
              <w:ind w:left="180"/>
              <w:spacing w:after="0"/>
              <w:rPr>
                <w:sz w:val="20"/>
                <w:szCs w:val="20"/>
                <w:color w:val="auto"/>
              </w:rPr>
            </w:pPr>
            <w:r>
              <w:rPr>
                <w:rFonts w:ascii="Arial" w:cs="Arial" w:eastAsia="Arial" w:hAnsi="Arial"/>
                <w:sz w:val="16"/>
                <w:szCs w:val="16"/>
                <w:color w:val="auto"/>
              </w:rPr>
              <w:t>Special charges (credits) (B)</w:t>
            </w:r>
          </w:p>
        </w:tc>
        <w:tc>
          <w:tcPr>
            <w:tcW w:w="160" w:type="dxa"/>
            <w:vAlign w:val="bottom"/>
          </w:tcPr>
          <w:p>
            <w:pPr>
              <w:spacing w:after="0"/>
              <w:rPr>
                <w:sz w:val="20"/>
                <w:szCs w:val="20"/>
                <w:color w:val="auto"/>
              </w:rPr>
            </w:pPr>
          </w:p>
        </w:tc>
        <w:tc>
          <w:tcPr>
            <w:tcW w:w="700" w:type="dxa"/>
            <w:vAlign w:val="bottom"/>
          </w:tcPr>
          <w:p>
            <w:pPr>
              <w:jc w:val="right"/>
              <w:ind w:right="80"/>
              <w:spacing w:after="0"/>
              <w:rPr>
                <w:sz w:val="20"/>
                <w:szCs w:val="20"/>
                <w:color w:val="auto"/>
              </w:rPr>
            </w:pPr>
            <w:r>
              <w:rPr>
                <w:rFonts w:ascii="Arial" w:cs="Arial" w:eastAsia="Arial" w:hAnsi="Arial"/>
                <w:sz w:val="16"/>
                <w:szCs w:val="16"/>
                <w:color w:val="auto"/>
              </w:rPr>
              <w:t>(1,449)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(1,520)</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NM</w:t>
            </w:r>
          </w:p>
        </w:tc>
        <w:tc>
          <w:tcPr>
            <w:tcW w:w="160" w:type="dxa"/>
            <w:vAlign w:val="bottom"/>
          </w:tcPr>
          <w:p>
            <w:pPr>
              <w:spacing w:after="0"/>
              <w:rPr>
                <w:sz w:val="20"/>
                <w:szCs w:val="20"/>
                <w:color w:val="auto"/>
              </w:rPr>
            </w:pPr>
          </w:p>
        </w:tc>
        <w:tc>
          <w:tcPr>
            <w:tcW w:w="700" w:type="dxa"/>
            <w:vAlign w:val="bottom"/>
          </w:tcPr>
          <w:p>
            <w:pPr>
              <w:jc w:val="right"/>
              <w:ind w:right="80"/>
              <w:spacing w:after="0"/>
              <w:rPr>
                <w:sz w:val="20"/>
                <w:szCs w:val="20"/>
                <w:color w:val="auto"/>
              </w:rPr>
            </w:pPr>
            <w:r>
              <w:rPr>
                <w:rFonts w:ascii="Arial" w:cs="Arial" w:eastAsia="Arial" w:hAnsi="Arial"/>
                <w:sz w:val="16"/>
                <w:szCs w:val="16"/>
                <w:color w:val="auto"/>
              </w:rPr>
              <w:t>(1,386)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ind w:right="80"/>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(1,475)</w:t>
            </w:r>
          </w:p>
        </w:tc>
        <w:tc>
          <w:tcPr>
            <w:tcW w:w="10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3"/>
        </w:trPr>
        <w:tc>
          <w:tcPr>
            <w:tcW w:w="3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operating income (Non-GAAP) (A)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(3,086)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1,543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(4,629)</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NM</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(3,995)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2,056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(6,051)</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(294.3)</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350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Operating margin</w:t>
            </w: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(111.0)%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12.9%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(123.9)</w:t>
            </w: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i w:val="1"/>
                <w:iCs w:val="1"/>
                <w:color w:val="auto"/>
              </w:rPr>
              <w:t>pts.</w:t>
            </w: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(27.6)%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9.4%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(37.0)</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4"/>
                <w:szCs w:val="14"/>
                <w:i w:val="1"/>
                <w:iCs w:val="1"/>
                <w:color w:val="auto"/>
              </w:rPr>
              <w:t>pts.</w:t>
            </w:r>
          </w:p>
        </w:tc>
        <w:tc>
          <w:tcPr>
            <w:tcW w:w="0" w:type="dxa"/>
            <w:vAlign w:val="bottom"/>
          </w:tcPr>
          <w:p>
            <w:pPr>
              <w:spacing w:after="0"/>
              <w:rPr>
                <w:sz w:val="1"/>
                <w:szCs w:val="1"/>
                <w:color w:val="auto"/>
              </w:rPr>
            </w:pPr>
          </w:p>
        </w:tc>
      </w:tr>
      <w:tr>
        <w:trPr>
          <w:trHeight w:val="264"/>
        </w:trPr>
        <w:tc>
          <w:tcPr>
            <w:tcW w:w="3500" w:type="dxa"/>
            <w:vAlign w:val="bottom"/>
          </w:tcPr>
          <w:p>
            <w:pPr>
              <w:ind w:left="40"/>
              <w:spacing w:after="0"/>
              <w:rPr>
                <w:sz w:val="20"/>
                <w:szCs w:val="20"/>
                <w:color w:val="auto"/>
              </w:rPr>
            </w:pPr>
            <w:r>
              <w:rPr>
                <w:rFonts w:ascii="Arial" w:cs="Arial" w:eastAsia="Arial" w:hAnsi="Arial"/>
                <w:sz w:val="16"/>
                <w:szCs w:val="16"/>
                <w:i w:val="1"/>
                <w:iCs w:val="1"/>
                <w:color w:val="auto"/>
              </w:rPr>
              <w:t xml:space="preserve">Adjusted operating margin (Non-GAAP) </w:t>
            </w:r>
            <w:r>
              <w:rPr>
                <w:rFonts w:ascii="Arial" w:cs="Arial" w:eastAsia="Arial" w:hAnsi="Arial"/>
                <w:sz w:val="16"/>
                <w:szCs w:val="16"/>
                <w:color w:val="auto"/>
              </w:rPr>
              <w:t>(A)</w:t>
            </w: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i w:val="1"/>
                <w:iCs w:val="1"/>
                <w:color w:val="auto"/>
              </w:rPr>
              <w:t>(209.2)%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i w:val="1"/>
                <w:iCs w:val="1"/>
                <w:color w:val="auto"/>
              </w:rPr>
              <w:t>13.5%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i w:val="1"/>
                <w:iCs w:val="1"/>
                <w:color w:val="auto"/>
              </w:rPr>
              <w:t>(222.7)</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i w:val="1"/>
                <w:iCs w:val="1"/>
                <w:color w:val="auto"/>
              </w:rPr>
              <w:t>pts.</w:t>
            </w: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i w:val="1"/>
                <w:iCs w:val="1"/>
                <w:color w:val="auto"/>
              </w:rPr>
              <w:t>(42.3)%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i w:val="1"/>
                <w:iCs w:val="1"/>
                <w:color w:val="auto"/>
              </w:rPr>
              <w:t>9.8%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i w:val="1"/>
                <w:iCs w:val="1"/>
                <w:color w:val="auto"/>
              </w:rPr>
              <w:t>(52.1)</w:t>
            </w:r>
          </w:p>
        </w:tc>
        <w:tc>
          <w:tcPr>
            <w:tcW w:w="10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4"/>
                <w:szCs w:val="14"/>
                <w:i w:val="1"/>
                <w:iCs w:val="1"/>
                <w:color w:val="auto"/>
              </w:rPr>
              <w:t>pts.</w:t>
            </w:r>
          </w:p>
        </w:tc>
        <w:tc>
          <w:tcPr>
            <w:tcW w:w="0" w:type="dxa"/>
            <w:vAlign w:val="bottom"/>
          </w:tcPr>
          <w:p>
            <w:pPr>
              <w:spacing w:after="0"/>
              <w:rPr>
                <w:sz w:val="1"/>
                <w:szCs w:val="1"/>
                <w:color w:val="auto"/>
              </w:rPr>
            </w:pPr>
          </w:p>
        </w:tc>
      </w:tr>
      <w:tr>
        <w:trPr>
          <w:trHeight w:val="128"/>
        </w:trPr>
        <w:tc>
          <w:tcPr>
            <w:tcW w:w="3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3500" w:type="dxa"/>
            <w:vAlign w:val="bottom"/>
          </w:tcPr>
          <w:p>
            <w:pPr>
              <w:ind w:left="40"/>
              <w:spacing w:after="0"/>
              <w:rPr>
                <w:sz w:val="20"/>
                <w:szCs w:val="20"/>
                <w:color w:val="auto"/>
              </w:rPr>
            </w:pPr>
            <w:r>
              <w:rPr>
                <w:rFonts w:ascii="Arial" w:cs="Arial" w:eastAsia="Arial" w:hAnsi="Arial"/>
                <w:sz w:val="16"/>
                <w:szCs w:val="16"/>
                <w:color w:val="auto"/>
              </w:rPr>
              <w:t>Pre-tax income (loss) (GAAP)</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80"/>
              <w:spacing w:after="0"/>
              <w:rPr>
                <w:sz w:val="20"/>
                <w:szCs w:val="20"/>
                <w:color w:val="auto"/>
              </w:rPr>
            </w:pPr>
            <w:r>
              <w:rPr>
                <w:rFonts w:ascii="Arial" w:cs="Arial" w:eastAsia="Arial" w:hAnsi="Arial"/>
                <w:sz w:val="16"/>
                <w:szCs w:val="16"/>
                <w:color w:val="auto"/>
              </w:rPr>
              <w:t>(2,003)</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1,354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(3,357)</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NM</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80"/>
              <w:spacing w:after="0"/>
              <w:rPr>
                <w:sz w:val="20"/>
                <w:szCs w:val="20"/>
                <w:color w:val="auto"/>
              </w:rPr>
            </w:pPr>
            <w:r>
              <w:rPr>
                <w:rFonts w:ascii="Arial" w:cs="Arial" w:eastAsia="Arial" w:hAnsi="Arial"/>
                <w:sz w:val="16"/>
                <w:szCs w:val="16"/>
                <w:color w:val="auto"/>
              </w:rPr>
              <w:t>(4,117)</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80"/>
              <w:spacing w:after="0"/>
              <w:rPr>
                <w:sz w:val="20"/>
                <w:szCs w:val="20"/>
                <w:color w:val="auto"/>
              </w:rPr>
            </w:pPr>
            <w:r>
              <w:rPr>
                <w:rFonts w:ascii="Arial" w:cs="Arial" w:eastAsia="Arial" w:hAnsi="Arial"/>
                <w:sz w:val="16"/>
                <w:szCs w:val="16"/>
                <w:color w:val="auto"/>
              </w:rPr>
              <w:t>1,721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(5,838)</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(339.2)</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Adjusted to exclude:</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00" w:type="dxa"/>
            <w:vAlign w:val="bottom"/>
          </w:tcPr>
          <w:p>
            <w:pPr>
              <w:ind w:left="180"/>
              <w:spacing w:after="0"/>
              <w:rPr>
                <w:sz w:val="20"/>
                <w:szCs w:val="20"/>
                <w:color w:val="auto"/>
              </w:rPr>
            </w:pPr>
            <w:r>
              <w:rPr>
                <w:rFonts w:ascii="Arial" w:cs="Arial" w:eastAsia="Arial" w:hAnsi="Arial"/>
                <w:sz w:val="16"/>
                <w:szCs w:val="16"/>
                <w:color w:val="auto"/>
              </w:rPr>
              <w:t>Special charges (credit) (B)</w:t>
            </w:r>
          </w:p>
        </w:tc>
        <w:tc>
          <w:tcPr>
            <w:tcW w:w="160" w:type="dxa"/>
            <w:vAlign w:val="bottom"/>
          </w:tcPr>
          <w:p>
            <w:pPr>
              <w:spacing w:after="0"/>
              <w:rPr>
                <w:sz w:val="20"/>
                <w:szCs w:val="20"/>
                <w:color w:val="auto"/>
              </w:rPr>
            </w:pPr>
          </w:p>
        </w:tc>
        <w:tc>
          <w:tcPr>
            <w:tcW w:w="700" w:type="dxa"/>
            <w:vAlign w:val="bottom"/>
          </w:tcPr>
          <w:p>
            <w:pPr>
              <w:jc w:val="right"/>
              <w:ind w:right="80"/>
              <w:spacing w:after="0"/>
              <w:rPr>
                <w:sz w:val="20"/>
                <w:szCs w:val="20"/>
                <w:color w:val="auto"/>
              </w:rPr>
            </w:pPr>
            <w:r>
              <w:rPr>
                <w:rFonts w:ascii="Arial" w:cs="Arial" w:eastAsia="Arial" w:hAnsi="Arial"/>
                <w:sz w:val="16"/>
                <w:szCs w:val="16"/>
                <w:color w:val="auto"/>
              </w:rPr>
              <w:t>(1,449)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(1,520)</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NM</w:t>
            </w:r>
          </w:p>
        </w:tc>
        <w:tc>
          <w:tcPr>
            <w:tcW w:w="160" w:type="dxa"/>
            <w:vAlign w:val="bottom"/>
          </w:tcPr>
          <w:p>
            <w:pPr>
              <w:spacing w:after="0"/>
              <w:rPr>
                <w:sz w:val="20"/>
                <w:szCs w:val="20"/>
                <w:color w:val="auto"/>
              </w:rPr>
            </w:pPr>
          </w:p>
        </w:tc>
        <w:tc>
          <w:tcPr>
            <w:tcW w:w="700" w:type="dxa"/>
            <w:vAlign w:val="bottom"/>
          </w:tcPr>
          <w:p>
            <w:pPr>
              <w:jc w:val="right"/>
              <w:ind w:right="80"/>
              <w:spacing w:after="0"/>
              <w:rPr>
                <w:sz w:val="20"/>
                <w:szCs w:val="20"/>
                <w:color w:val="auto"/>
              </w:rPr>
            </w:pPr>
            <w:r>
              <w:rPr>
                <w:rFonts w:ascii="Arial" w:cs="Arial" w:eastAsia="Arial" w:hAnsi="Arial"/>
                <w:sz w:val="16"/>
                <w:szCs w:val="16"/>
                <w:color w:val="auto"/>
              </w:rPr>
              <w:t>(1,386)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ind w:right="80"/>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(1,475)</w:t>
            </w:r>
          </w:p>
        </w:tc>
        <w:tc>
          <w:tcPr>
            <w:tcW w:w="10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Termination benefits and settlement losses (B)</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NM</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37"/>
        </w:trPr>
        <w:tc>
          <w:tcPr>
            <w:tcW w:w="3500" w:type="dxa"/>
            <w:vAlign w:val="bottom"/>
          </w:tcPr>
          <w:p>
            <w:pPr>
              <w:ind w:left="180"/>
              <w:spacing w:after="0"/>
              <w:rPr>
                <w:sz w:val="20"/>
                <w:szCs w:val="20"/>
                <w:color w:val="auto"/>
              </w:rPr>
            </w:pPr>
            <w:r>
              <w:rPr>
                <w:rFonts w:ascii="Arial" w:cs="Arial" w:eastAsia="Arial" w:hAnsi="Arial"/>
                <w:sz w:val="16"/>
                <w:szCs w:val="16"/>
                <w:color w:val="auto"/>
                <w:w w:val="94"/>
              </w:rPr>
              <w:t>Unrealized (gains) losses on investments, net (B)</w:t>
            </w:r>
          </w:p>
        </w:tc>
        <w:tc>
          <w:tcPr>
            <w:tcW w:w="160" w:type="dxa"/>
            <w:vAlign w:val="bottom"/>
          </w:tcPr>
          <w:p>
            <w:pPr>
              <w:spacing w:after="0"/>
              <w:rPr>
                <w:sz w:val="20"/>
                <w:szCs w:val="20"/>
                <w:color w:val="auto"/>
              </w:rPr>
            </w:pPr>
          </w:p>
        </w:tc>
        <w:tc>
          <w:tcPr>
            <w:tcW w:w="700" w:type="dxa"/>
            <w:vAlign w:val="bottom"/>
          </w:tcPr>
          <w:p>
            <w:pPr>
              <w:jc w:val="right"/>
              <w:ind w:right="8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NM</w:t>
            </w:r>
          </w:p>
        </w:tc>
        <w:tc>
          <w:tcPr>
            <w:tcW w:w="160" w:type="dxa"/>
            <w:vAlign w:val="bottom"/>
          </w:tcPr>
          <w:p>
            <w:pPr>
              <w:spacing w:after="0"/>
              <w:rPr>
                <w:sz w:val="20"/>
                <w:szCs w:val="20"/>
                <w:color w:val="auto"/>
              </w:rPr>
            </w:pPr>
          </w:p>
        </w:tc>
        <w:tc>
          <w:tcPr>
            <w:tcW w:w="700" w:type="dxa"/>
            <w:vAlign w:val="bottom"/>
          </w:tcPr>
          <w:p>
            <w:pPr>
              <w:jc w:val="right"/>
              <w:ind w:right="120"/>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Loss on BRW term loan and guarantee (B)</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NM</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697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37"/>
        </w:trPr>
        <w:tc>
          <w:tcPr>
            <w:tcW w:w="3500" w:type="dxa"/>
            <w:vAlign w:val="bottom"/>
          </w:tcPr>
          <w:p>
            <w:pPr>
              <w:ind w:left="180"/>
              <w:spacing w:after="0"/>
              <w:rPr>
                <w:sz w:val="20"/>
                <w:szCs w:val="20"/>
                <w:color w:val="auto"/>
              </w:rPr>
            </w:pPr>
            <w:r>
              <w:rPr>
                <w:rFonts w:ascii="Arial" w:cs="Arial" w:eastAsia="Arial" w:hAnsi="Arial"/>
                <w:sz w:val="16"/>
                <w:szCs w:val="16"/>
                <w:color w:val="auto"/>
                <w:w w:val="97"/>
              </w:rPr>
              <w:t>Interest expense on ERJ 145 finance leases (C)</w:t>
            </w:r>
          </w:p>
        </w:tc>
        <w:tc>
          <w:tcPr>
            <w:tcW w:w="160" w:type="dxa"/>
            <w:vAlign w:val="bottom"/>
          </w:tcPr>
          <w:p>
            <w:pPr>
              <w:spacing w:after="0"/>
              <w:rPr>
                <w:sz w:val="20"/>
                <w:szCs w:val="20"/>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NM</w:t>
            </w:r>
          </w:p>
        </w:tc>
        <w:tc>
          <w:tcPr>
            <w:tcW w:w="160" w:type="dxa"/>
            <w:vAlign w:val="bottom"/>
          </w:tcPr>
          <w:p>
            <w:pPr>
              <w:spacing w:after="0"/>
              <w:rPr>
                <w:sz w:val="20"/>
                <w:szCs w:val="20"/>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600" w:type="dxa"/>
            <w:vAlign w:val="bottom"/>
          </w:tcPr>
          <w:p>
            <w:pPr>
              <w:jc w:val="right"/>
              <w:ind w:right="80"/>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3"/>
        </w:trPr>
        <w:tc>
          <w:tcPr>
            <w:tcW w:w="3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pre-tax income (loss) (Non-GAAP) (A)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(3,230)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1,416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NM</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(4,265)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1,805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(6,070)</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(336.3)</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350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Pre-tax margin</w:t>
            </w: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(147.7)</w:t>
            </w: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i w:val="1"/>
                <w:iCs w:val="1"/>
                <w:color w:val="auto"/>
              </w:rPr>
              <w:t>pts.</w:t>
            </w: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(51.7)</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4"/>
                <w:szCs w:val="14"/>
                <w:i w:val="1"/>
                <w:iCs w:val="1"/>
                <w:color w:val="auto"/>
              </w:rPr>
              <w:t>pts.</w:t>
            </w:r>
          </w:p>
        </w:tc>
        <w:tc>
          <w:tcPr>
            <w:tcW w:w="0" w:type="dxa"/>
            <w:vAlign w:val="bottom"/>
          </w:tcPr>
          <w:p>
            <w:pPr>
              <w:spacing w:after="0"/>
              <w:rPr>
                <w:sz w:val="1"/>
                <w:szCs w:val="1"/>
                <w:color w:val="auto"/>
              </w:rPr>
            </w:pPr>
          </w:p>
        </w:tc>
      </w:tr>
      <w:tr>
        <w:trPr>
          <w:trHeight w:val="264"/>
        </w:trPr>
        <w:tc>
          <w:tcPr>
            <w:tcW w:w="3500" w:type="dxa"/>
            <w:vAlign w:val="bottom"/>
          </w:tcPr>
          <w:p>
            <w:pPr>
              <w:ind w:left="40"/>
              <w:spacing w:after="0"/>
              <w:rPr>
                <w:sz w:val="20"/>
                <w:szCs w:val="20"/>
                <w:color w:val="auto"/>
              </w:rPr>
            </w:pPr>
            <w:r>
              <w:rPr>
                <w:rFonts w:ascii="Arial" w:cs="Arial" w:eastAsia="Arial" w:hAnsi="Arial"/>
                <w:sz w:val="16"/>
                <w:szCs w:val="16"/>
                <w:i w:val="1"/>
                <w:iCs w:val="1"/>
                <w:color w:val="auto"/>
              </w:rPr>
              <w:t xml:space="preserve">Adjusted pre-tax margin (Non-GAAP) </w:t>
            </w:r>
            <w:r>
              <w:rPr>
                <w:rFonts w:ascii="Arial" w:cs="Arial" w:eastAsia="Arial" w:hAnsi="Arial"/>
                <w:sz w:val="16"/>
                <w:szCs w:val="16"/>
                <w:color w:val="auto"/>
              </w:rPr>
              <w:t>(A)</w:t>
            </w: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(219.0)%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i w:val="1"/>
                <w:iCs w:val="1"/>
                <w:color w:val="auto"/>
              </w:rPr>
              <w:t>(231.4)</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i w:val="1"/>
                <w:iCs w:val="1"/>
                <w:color w:val="auto"/>
              </w:rPr>
              <w:t>pts.</w:t>
            </w: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(45.1)%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i w:val="1"/>
                <w:iCs w:val="1"/>
                <w:color w:val="auto"/>
              </w:rPr>
              <w:t>(53.7)</w:t>
            </w:r>
          </w:p>
        </w:tc>
        <w:tc>
          <w:tcPr>
            <w:tcW w:w="10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4"/>
                <w:szCs w:val="14"/>
                <w:i w:val="1"/>
                <w:iCs w:val="1"/>
                <w:color w:val="auto"/>
              </w:rPr>
              <w:t>pts.</w:t>
            </w:r>
          </w:p>
        </w:tc>
        <w:tc>
          <w:tcPr>
            <w:tcW w:w="0" w:type="dxa"/>
            <w:vAlign w:val="bottom"/>
          </w:tcPr>
          <w:p>
            <w:pPr>
              <w:spacing w:after="0"/>
              <w:rPr>
                <w:sz w:val="1"/>
                <w:szCs w:val="1"/>
                <w:color w:val="auto"/>
              </w:rPr>
            </w:pPr>
          </w:p>
        </w:tc>
      </w:tr>
      <w:tr>
        <w:trPr>
          <w:trHeight w:val="141"/>
        </w:trPr>
        <w:tc>
          <w:tcPr>
            <w:tcW w:w="3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3500" w:type="dxa"/>
            <w:vAlign w:val="bottom"/>
          </w:tcPr>
          <w:p>
            <w:pPr>
              <w:ind w:left="80"/>
              <w:spacing w:after="0"/>
              <w:rPr>
                <w:sz w:val="20"/>
                <w:szCs w:val="20"/>
                <w:color w:val="auto"/>
              </w:rPr>
            </w:pPr>
            <w:r>
              <w:rPr>
                <w:rFonts w:ascii="Arial" w:cs="Arial" w:eastAsia="Arial" w:hAnsi="Arial"/>
                <w:sz w:val="16"/>
                <w:szCs w:val="16"/>
                <w:color w:val="auto"/>
              </w:rPr>
              <w:t>Net income (loss) (GAAP)</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80"/>
              <w:spacing w:after="0"/>
              <w:rPr>
                <w:sz w:val="20"/>
                <w:szCs w:val="20"/>
                <w:color w:val="auto"/>
              </w:rPr>
            </w:pPr>
            <w:r>
              <w:rPr>
                <w:rFonts w:ascii="Arial" w:cs="Arial" w:eastAsia="Arial" w:hAnsi="Arial"/>
                <w:sz w:val="16"/>
                <w:szCs w:val="16"/>
                <w:color w:val="auto"/>
              </w:rPr>
              <w:t>(1,627)</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1,052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(2,679)</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NM</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80"/>
              <w:spacing w:after="0"/>
              <w:rPr>
                <w:sz w:val="20"/>
                <w:szCs w:val="20"/>
                <w:color w:val="auto"/>
              </w:rPr>
            </w:pPr>
            <w:r>
              <w:rPr>
                <w:rFonts w:ascii="Arial" w:cs="Arial" w:eastAsia="Arial" w:hAnsi="Arial"/>
                <w:sz w:val="16"/>
                <w:szCs w:val="16"/>
                <w:color w:val="auto"/>
              </w:rPr>
              <w:t>(3,331)</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80"/>
              <w:spacing w:after="0"/>
              <w:rPr>
                <w:sz w:val="20"/>
                <w:szCs w:val="20"/>
                <w:color w:val="auto"/>
              </w:rPr>
            </w:pPr>
            <w:r>
              <w:rPr>
                <w:rFonts w:ascii="Arial" w:cs="Arial" w:eastAsia="Arial" w:hAnsi="Arial"/>
                <w:sz w:val="16"/>
                <w:szCs w:val="16"/>
                <w:color w:val="auto"/>
              </w:rPr>
              <w:t>1,344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(4,675.0)</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(347.8)</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Adjusted to exclude:</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00" w:type="dxa"/>
            <w:vAlign w:val="bottom"/>
          </w:tcPr>
          <w:p>
            <w:pPr>
              <w:ind w:left="180"/>
              <w:spacing w:after="0"/>
              <w:rPr>
                <w:sz w:val="20"/>
                <w:szCs w:val="20"/>
                <w:color w:val="auto"/>
              </w:rPr>
            </w:pPr>
            <w:r>
              <w:rPr>
                <w:rFonts w:ascii="Arial" w:cs="Arial" w:eastAsia="Arial" w:hAnsi="Arial"/>
                <w:sz w:val="16"/>
                <w:szCs w:val="16"/>
                <w:color w:val="auto"/>
              </w:rPr>
              <w:t>Special charges (credit) (B)</w:t>
            </w:r>
          </w:p>
        </w:tc>
        <w:tc>
          <w:tcPr>
            <w:tcW w:w="160" w:type="dxa"/>
            <w:vAlign w:val="bottom"/>
          </w:tcPr>
          <w:p>
            <w:pPr>
              <w:spacing w:after="0"/>
              <w:rPr>
                <w:sz w:val="20"/>
                <w:szCs w:val="20"/>
                <w:color w:val="auto"/>
              </w:rPr>
            </w:pPr>
          </w:p>
        </w:tc>
        <w:tc>
          <w:tcPr>
            <w:tcW w:w="700" w:type="dxa"/>
            <w:vAlign w:val="bottom"/>
          </w:tcPr>
          <w:p>
            <w:pPr>
              <w:jc w:val="right"/>
              <w:ind w:right="80"/>
              <w:spacing w:after="0"/>
              <w:rPr>
                <w:sz w:val="20"/>
                <w:szCs w:val="20"/>
                <w:color w:val="auto"/>
              </w:rPr>
            </w:pPr>
            <w:r>
              <w:rPr>
                <w:rFonts w:ascii="Arial" w:cs="Arial" w:eastAsia="Arial" w:hAnsi="Arial"/>
                <w:sz w:val="16"/>
                <w:szCs w:val="16"/>
                <w:color w:val="auto"/>
              </w:rPr>
              <w:t>(1,449)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(1,520)</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NM</w:t>
            </w:r>
          </w:p>
        </w:tc>
        <w:tc>
          <w:tcPr>
            <w:tcW w:w="160" w:type="dxa"/>
            <w:vAlign w:val="bottom"/>
          </w:tcPr>
          <w:p>
            <w:pPr>
              <w:spacing w:after="0"/>
              <w:rPr>
                <w:sz w:val="20"/>
                <w:szCs w:val="20"/>
                <w:color w:val="auto"/>
              </w:rPr>
            </w:pPr>
          </w:p>
        </w:tc>
        <w:tc>
          <w:tcPr>
            <w:tcW w:w="700" w:type="dxa"/>
            <w:vAlign w:val="bottom"/>
          </w:tcPr>
          <w:p>
            <w:pPr>
              <w:jc w:val="right"/>
              <w:ind w:right="80"/>
              <w:spacing w:after="0"/>
              <w:rPr>
                <w:sz w:val="20"/>
                <w:szCs w:val="20"/>
                <w:color w:val="auto"/>
              </w:rPr>
            </w:pPr>
            <w:r>
              <w:rPr>
                <w:rFonts w:ascii="Arial" w:cs="Arial" w:eastAsia="Arial" w:hAnsi="Arial"/>
                <w:sz w:val="16"/>
                <w:szCs w:val="16"/>
                <w:color w:val="auto"/>
              </w:rPr>
              <w:t>(1,386)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ind w:right="80"/>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(1,475)</w:t>
            </w:r>
          </w:p>
        </w:tc>
        <w:tc>
          <w:tcPr>
            <w:tcW w:w="10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Termination benefits and settlement losses (B)</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NM</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37"/>
        </w:trPr>
        <w:tc>
          <w:tcPr>
            <w:tcW w:w="3500" w:type="dxa"/>
            <w:vAlign w:val="bottom"/>
          </w:tcPr>
          <w:p>
            <w:pPr>
              <w:ind w:left="180"/>
              <w:spacing w:after="0"/>
              <w:rPr>
                <w:sz w:val="20"/>
                <w:szCs w:val="20"/>
                <w:color w:val="auto"/>
              </w:rPr>
            </w:pPr>
            <w:r>
              <w:rPr>
                <w:rFonts w:ascii="Arial" w:cs="Arial" w:eastAsia="Arial" w:hAnsi="Arial"/>
                <w:sz w:val="16"/>
                <w:szCs w:val="16"/>
                <w:color w:val="auto"/>
                <w:w w:val="94"/>
              </w:rPr>
              <w:t>Unrealized (gains) losses on investments, net (B)</w:t>
            </w:r>
          </w:p>
        </w:tc>
        <w:tc>
          <w:tcPr>
            <w:tcW w:w="160" w:type="dxa"/>
            <w:vAlign w:val="bottom"/>
          </w:tcPr>
          <w:p>
            <w:pPr>
              <w:spacing w:after="0"/>
              <w:rPr>
                <w:sz w:val="20"/>
                <w:szCs w:val="20"/>
                <w:color w:val="auto"/>
              </w:rPr>
            </w:pPr>
          </w:p>
        </w:tc>
        <w:tc>
          <w:tcPr>
            <w:tcW w:w="700" w:type="dxa"/>
            <w:vAlign w:val="bottom"/>
          </w:tcPr>
          <w:p>
            <w:pPr>
              <w:jc w:val="right"/>
              <w:ind w:right="8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NM</w:t>
            </w:r>
          </w:p>
        </w:tc>
        <w:tc>
          <w:tcPr>
            <w:tcW w:w="160" w:type="dxa"/>
            <w:vAlign w:val="bottom"/>
          </w:tcPr>
          <w:p>
            <w:pPr>
              <w:spacing w:after="0"/>
              <w:rPr>
                <w:sz w:val="20"/>
                <w:szCs w:val="20"/>
                <w:color w:val="auto"/>
              </w:rPr>
            </w:pPr>
          </w:p>
        </w:tc>
        <w:tc>
          <w:tcPr>
            <w:tcW w:w="700" w:type="dxa"/>
            <w:vAlign w:val="bottom"/>
          </w:tcPr>
          <w:p>
            <w:pPr>
              <w:jc w:val="right"/>
              <w:ind w:right="120"/>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Loss on BRW term loan and guarantee (B)</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NM</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697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37"/>
        </w:trPr>
        <w:tc>
          <w:tcPr>
            <w:tcW w:w="3500" w:type="dxa"/>
            <w:vAlign w:val="bottom"/>
          </w:tcPr>
          <w:p>
            <w:pPr>
              <w:ind w:left="180"/>
              <w:spacing w:after="0"/>
              <w:rPr>
                <w:sz w:val="20"/>
                <w:szCs w:val="20"/>
                <w:color w:val="auto"/>
              </w:rPr>
            </w:pPr>
            <w:r>
              <w:rPr>
                <w:rFonts w:ascii="Arial" w:cs="Arial" w:eastAsia="Arial" w:hAnsi="Arial"/>
                <w:sz w:val="16"/>
                <w:szCs w:val="16"/>
                <w:color w:val="auto"/>
                <w:w w:val="97"/>
              </w:rPr>
              <w:t>Interest expense on ERJ 145 finance leases (C)</w:t>
            </w:r>
          </w:p>
        </w:tc>
        <w:tc>
          <w:tcPr>
            <w:tcW w:w="160" w:type="dxa"/>
            <w:vAlign w:val="bottom"/>
          </w:tcPr>
          <w:p>
            <w:pPr>
              <w:spacing w:after="0"/>
              <w:rPr>
                <w:sz w:val="20"/>
                <w:szCs w:val="20"/>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NM</w:t>
            </w:r>
          </w:p>
        </w:tc>
        <w:tc>
          <w:tcPr>
            <w:tcW w:w="160" w:type="dxa"/>
            <w:vAlign w:val="bottom"/>
          </w:tcPr>
          <w:p>
            <w:pPr>
              <w:spacing w:after="0"/>
              <w:rPr>
                <w:sz w:val="20"/>
                <w:szCs w:val="20"/>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600" w:type="dxa"/>
            <w:vAlign w:val="bottom"/>
          </w:tcPr>
          <w:p>
            <w:pPr>
              <w:jc w:val="right"/>
              <w:ind w:right="80"/>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 expense (benefit) related to</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adjustments above, net of valuation allowance</w:t>
            </w: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241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255</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NM</w:t>
            </w: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227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246</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84"/>
        </w:trPr>
        <w:tc>
          <w:tcPr>
            <w:tcW w:w="35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net income (loss) (Non-GAAP) (A)</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(2,613)</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1,100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(3,713)</w:t>
            </w:r>
          </w:p>
        </w:tc>
        <w:tc>
          <w:tcPr>
            <w:tcW w:w="12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6"/>
                <w:szCs w:val="16"/>
                <w:color w:val="auto"/>
              </w:rPr>
              <w:t>NM</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(3,252)</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1,409</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(4,661)</w:t>
            </w:r>
          </w:p>
        </w:tc>
        <w:tc>
          <w:tcPr>
            <w:tcW w:w="10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(330.8)</w:t>
            </w: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500" w:type="dxa"/>
            <w:vAlign w:val="bottom"/>
          </w:tcPr>
          <w:p>
            <w:pPr>
              <w:ind w:left="80"/>
              <w:spacing w:after="0"/>
              <w:rPr>
                <w:sz w:val="20"/>
                <w:szCs w:val="20"/>
                <w:color w:val="auto"/>
              </w:rPr>
            </w:pPr>
            <w:r>
              <w:rPr>
                <w:rFonts w:ascii="Arial" w:cs="Arial" w:eastAsia="Arial" w:hAnsi="Arial"/>
                <w:sz w:val="16"/>
                <w:szCs w:val="16"/>
                <w:color w:val="auto"/>
              </w:rPr>
              <w:t>Diluted earnings (loss) per share (GAAP)</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80"/>
              <w:spacing w:after="0"/>
              <w:rPr>
                <w:sz w:val="20"/>
                <w:szCs w:val="20"/>
                <w:color w:val="auto"/>
              </w:rPr>
            </w:pPr>
            <w:r>
              <w:rPr>
                <w:rFonts w:ascii="Arial" w:cs="Arial" w:eastAsia="Arial" w:hAnsi="Arial"/>
                <w:sz w:val="16"/>
                <w:szCs w:val="16"/>
                <w:color w:val="auto"/>
              </w:rPr>
              <w:t>(5.79)</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4.02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(9.81)</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NM</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80"/>
              <w:spacing w:after="0"/>
              <w:rPr>
                <w:sz w:val="20"/>
                <w:szCs w:val="20"/>
                <w:color w:val="auto"/>
              </w:rPr>
            </w:pPr>
            <w:r>
              <w:rPr>
                <w:rFonts w:ascii="Arial" w:cs="Arial" w:eastAsia="Arial" w:hAnsi="Arial"/>
                <w:sz w:val="16"/>
                <w:szCs w:val="16"/>
                <w:color w:val="auto"/>
              </w:rPr>
              <w:t>(12.59)</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80"/>
              <w:spacing w:after="0"/>
              <w:rPr>
                <w:sz w:val="20"/>
                <w:szCs w:val="20"/>
                <w:color w:val="auto"/>
              </w:rPr>
            </w:pPr>
            <w:r>
              <w:rPr>
                <w:rFonts w:ascii="Arial" w:cs="Arial" w:eastAsia="Arial" w:hAnsi="Arial"/>
                <w:sz w:val="16"/>
                <w:szCs w:val="16"/>
                <w:color w:val="auto"/>
              </w:rPr>
              <w:t>5.07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(17.66)</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(348.3)</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Adjusted to exclude:</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00" w:type="dxa"/>
            <w:vAlign w:val="bottom"/>
          </w:tcPr>
          <w:p>
            <w:pPr>
              <w:ind w:left="180"/>
              <w:spacing w:after="0"/>
              <w:rPr>
                <w:sz w:val="20"/>
                <w:szCs w:val="20"/>
                <w:color w:val="auto"/>
              </w:rPr>
            </w:pPr>
            <w:r>
              <w:rPr>
                <w:rFonts w:ascii="Arial" w:cs="Arial" w:eastAsia="Arial" w:hAnsi="Arial"/>
                <w:sz w:val="16"/>
                <w:szCs w:val="16"/>
                <w:color w:val="auto"/>
              </w:rPr>
              <w:t>Special charges (credit) (B)</w:t>
            </w:r>
          </w:p>
        </w:tc>
        <w:tc>
          <w:tcPr>
            <w:tcW w:w="160" w:type="dxa"/>
            <w:vAlign w:val="bottom"/>
          </w:tcPr>
          <w:p>
            <w:pPr>
              <w:spacing w:after="0"/>
              <w:rPr>
                <w:sz w:val="20"/>
                <w:szCs w:val="20"/>
                <w:color w:val="auto"/>
              </w:rPr>
            </w:pPr>
          </w:p>
        </w:tc>
        <w:tc>
          <w:tcPr>
            <w:tcW w:w="700" w:type="dxa"/>
            <w:vAlign w:val="bottom"/>
          </w:tcPr>
          <w:p>
            <w:pPr>
              <w:jc w:val="right"/>
              <w:ind w:right="80"/>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0.27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(5.44)</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NM</w:t>
            </w:r>
          </w:p>
        </w:tc>
        <w:tc>
          <w:tcPr>
            <w:tcW w:w="160" w:type="dxa"/>
            <w:vAlign w:val="bottom"/>
          </w:tcPr>
          <w:p>
            <w:pPr>
              <w:spacing w:after="0"/>
              <w:rPr>
                <w:sz w:val="20"/>
                <w:szCs w:val="20"/>
                <w:color w:val="auto"/>
              </w:rPr>
            </w:pPr>
          </w:p>
        </w:tc>
        <w:tc>
          <w:tcPr>
            <w:tcW w:w="700" w:type="dxa"/>
            <w:vAlign w:val="bottom"/>
          </w:tcPr>
          <w:p>
            <w:pPr>
              <w:jc w:val="right"/>
              <w:ind w:right="80"/>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ind w:right="80"/>
              <w:spacing w:after="0"/>
              <w:rPr>
                <w:sz w:val="20"/>
                <w:szCs w:val="20"/>
                <w:color w:val="auto"/>
              </w:rPr>
            </w:pPr>
            <w:r>
              <w:rPr>
                <w:rFonts w:ascii="Arial" w:cs="Arial" w:eastAsia="Arial" w:hAnsi="Arial"/>
                <w:sz w:val="16"/>
                <w:szCs w:val="16"/>
                <w:color w:val="auto"/>
              </w:rPr>
              <w:t>0.34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(5.58)</w:t>
            </w:r>
          </w:p>
        </w:tc>
        <w:tc>
          <w:tcPr>
            <w:tcW w:w="10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Termination benefits and settlement losses (B)</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0.82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0.82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NM</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0.87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0.87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37"/>
        </w:trPr>
        <w:tc>
          <w:tcPr>
            <w:tcW w:w="3500" w:type="dxa"/>
            <w:vAlign w:val="bottom"/>
          </w:tcPr>
          <w:p>
            <w:pPr>
              <w:ind w:left="180"/>
              <w:spacing w:after="0"/>
              <w:rPr>
                <w:sz w:val="20"/>
                <w:szCs w:val="20"/>
                <w:color w:val="auto"/>
              </w:rPr>
            </w:pPr>
            <w:r>
              <w:rPr>
                <w:rFonts w:ascii="Arial" w:cs="Arial" w:eastAsia="Arial" w:hAnsi="Arial"/>
                <w:sz w:val="16"/>
                <w:szCs w:val="16"/>
                <w:color w:val="auto"/>
                <w:w w:val="94"/>
              </w:rPr>
              <w:t>Unrealized (gains) losses on investments, net (B)</w:t>
            </w:r>
          </w:p>
        </w:tc>
        <w:tc>
          <w:tcPr>
            <w:tcW w:w="160" w:type="dxa"/>
            <w:vAlign w:val="bottom"/>
          </w:tcPr>
          <w:p>
            <w:pPr>
              <w:spacing w:after="0"/>
              <w:rPr>
                <w:sz w:val="20"/>
                <w:szCs w:val="20"/>
                <w:color w:val="auto"/>
              </w:rPr>
            </w:pPr>
          </w:p>
        </w:tc>
        <w:tc>
          <w:tcPr>
            <w:tcW w:w="700" w:type="dxa"/>
            <w:vAlign w:val="bottom"/>
          </w:tcPr>
          <w:p>
            <w:pPr>
              <w:jc w:val="right"/>
              <w:ind w:right="80"/>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0.10</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NM</w:t>
            </w:r>
          </w:p>
        </w:tc>
        <w:tc>
          <w:tcPr>
            <w:tcW w:w="160" w:type="dxa"/>
            <w:vAlign w:val="bottom"/>
          </w:tcPr>
          <w:p>
            <w:pPr>
              <w:spacing w:after="0"/>
              <w:rPr>
                <w:sz w:val="20"/>
                <w:szCs w:val="20"/>
                <w:color w:val="auto"/>
              </w:rPr>
            </w:pPr>
          </w:p>
        </w:tc>
        <w:tc>
          <w:tcPr>
            <w:tcW w:w="700" w:type="dxa"/>
            <w:vAlign w:val="bottom"/>
          </w:tcPr>
          <w:p>
            <w:pPr>
              <w:jc w:val="right"/>
              <w:ind w:right="120"/>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Loss on BRW term loan and guarantee (B)</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NM</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37"/>
        </w:trPr>
        <w:tc>
          <w:tcPr>
            <w:tcW w:w="3500" w:type="dxa"/>
            <w:vAlign w:val="bottom"/>
          </w:tcPr>
          <w:p>
            <w:pPr>
              <w:ind w:left="180"/>
              <w:spacing w:after="0"/>
              <w:rPr>
                <w:sz w:val="20"/>
                <w:szCs w:val="20"/>
                <w:color w:val="auto"/>
              </w:rPr>
            </w:pPr>
            <w:r>
              <w:rPr>
                <w:rFonts w:ascii="Arial" w:cs="Arial" w:eastAsia="Arial" w:hAnsi="Arial"/>
                <w:sz w:val="16"/>
                <w:szCs w:val="16"/>
                <w:color w:val="auto"/>
                <w:w w:val="97"/>
              </w:rPr>
              <w:t>Interest expense on ERJ 145 finance leases (C)</w:t>
            </w:r>
          </w:p>
        </w:tc>
        <w:tc>
          <w:tcPr>
            <w:tcW w:w="160" w:type="dxa"/>
            <w:vAlign w:val="bottom"/>
          </w:tcPr>
          <w:p>
            <w:pPr>
              <w:spacing w:after="0"/>
              <w:rPr>
                <w:sz w:val="20"/>
                <w:szCs w:val="20"/>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(0.10)</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NM</w:t>
            </w:r>
          </w:p>
        </w:tc>
        <w:tc>
          <w:tcPr>
            <w:tcW w:w="160" w:type="dxa"/>
            <w:vAlign w:val="bottom"/>
          </w:tcPr>
          <w:p>
            <w:pPr>
              <w:spacing w:after="0"/>
              <w:rPr>
                <w:sz w:val="20"/>
                <w:szCs w:val="20"/>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600" w:type="dxa"/>
            <w:vAlign w:val="bottom"/>
          </w:tcPr>
          <w:p>
            <w:pPr>
              <w:jc w:val="right"/>
              <w:ind w:right="80"/>
              <w:spacing w:after="0"/>
              <w:rPr>
                <w:sz w:val="20"/>
                <w:szCs w:val="20"/>
                <w:color w:val="auto"/>
              </w:rPr>
            </w:pPr>
            <w:r>
              <w:rPr>
                <w:rFonts w:ascii="Arial" w:cs="Arial" w:eastAsia="Arial" w:hAnsi="Arial"/>
                <w:sz w:val="16"/>
                <w:szCs w:val="16"/>
                <w:color w:val="auto"/>
              </w:rPr>
              <w:t>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(0.17)</w:t>
            </w:r>
          </w:p>
        </w:tc>
        <w:tc>
          <w:tcPr>
            <w:tcW w:w="10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 expense (benefit) related to</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adjustments, net of valuation allowance</w:t>
            </w: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0.86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0.91</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NM</w:t>
            </w: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0.86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0.93</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0"/>
        </w:trPr>
        <w:tc>
          <w:tcPr>
            <w:tcW w:w="3500" w:type="dxa"/>
            <w:vAlign w:val="bottom"/>
          </w:tcPr>
          <w:p>
            <w:pPr>
              <w:ind w:left="40"/>
              <w:spacing w:after="0"/>
              <w:rPr>
                <w:sz w:val="20"/>
                <w:szCs w:val="20"/>
                <w:color w:val="auto"/>
              </w:rPr>
            </w:pPr>
            <w:r>
              <w:rPr>
                <w:rFonts w:ascii="Arial" w:cs="Arial" w:eastAsia="Arial" w:hAnsi="Arial"/>
                <w:sz w:val="16"/>
                <w:szCs w:val="16"/>
                <w:color w:val="auto"/>
              </w:rPr>
              <w:t>Adjusted diluted earnings (loss) per share (Non-</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vMerge w:val="restart"/>
          </w:tcPr>
          <w:p>
            <w:pPr>
              <w:jc w:val="right"/>
              <w:ind w:right="80"/>
              <w:spacing w:after="0"/>
              <w:rPr>
                <w:sz w:val="20"/>
                <w:szCs w:val="20"/>
                <w:color w:val="auto"/>
              </w:rPr>
            </w:pPr>
            <w:r>
              <w:rPr>
                <w:rFonts w:ascii="Arial" w:cs="Arial" w:eastAsia="Arial" w:hAnsi="Arial"/>
                <w:sz w:val="16"/>
                <w:szCs w:val="16"/>
                <w:color w:val="auto"/>
              </w:rPr>
              <w:t>(9.31)</w:t>
            </w:r>
          </w:p>
        </w:tc>
        <w:tc>
          <w:tcPr>
            <w:tcW w:w="100" w:type="dxa"/>
            <w:vAlign w:val="bottom"/>
          </w:tcPr>
          <w:p>
            <w:pPr>
              <w:spacing w:after="0"/>
              <w:rPr>
                <w:sz w:val="17"/>
                <w:szCs w:val="17"/>
                <w:color w:val="auto"/>
              </w:rPr>
            </w:pPr>
          </w:p>
        </w:tc>
        <w:tc>
          <w:tcPr>
            <w:tcW w:w="28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vMerge w:val="restart"/>
          </w:tcPr>
          <w:p>
            <w:pPr>
              <w:jc w:val="right"/>
              <w:ind w:right="60"/>
              <w:spacing w:after="0"/>
              <w:rPr>
                <w:sz w:val="20"/>
                <w:szCs w:val="20"/>
                <w:color w:val="auto"/>
              </w:rPr>
            </w:pPr>
            <w:r>
              <w:rPr>
                <w:rFonts w:ascii="Arial" w:cs="Arial" w:eastAsia="Arial" w:hAnsi="Arial"/>
                <w:sz w:val="16"/>
                <w:szCs w:val="16"/>
                <w:color w:val="auto"/>
              </w:rPr>
              <w:t>4.21</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(13.52)</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vMerge w:val="restart"/>
          </w:tcPr>
          <w:p>
            <w:pPr>
              <w:jc w:val="right"/>
              <w:ind w:right="80"/>
              <w:spacing w:after="0"/>
              <w:rPr>
                <w:sz w:val="20"/>
                <w:szCs w:val="20"/>
                <w:color w:val="auto"/>
              </w:rPr>
            </w:pPr>
            <w:r>
              <w:rPr>
                <w:rFonts w:ascii="Arial" w:cs="Arial" w:eastAsia="Arial" w:hAnsi="Arial"/>
                <w:sz w:val="16"/>
                <w:szCs w:val="16"/>
                <w:color w:val="auto"/>
              </w:rPr>
              <w:t>(12.29)</w:t>
            </w:r>
          </w:p>
        </w:tc>
        <w:tc>
          <w:tcPr>
            <w:tcW w:w="100" w:type="dxa"/>
            <w:vAlign w:val="bottom"/>
          </w:tcPr>
          <w:p>
            <w:pPr>
              <w:spacing w:after="0"/>
              <w:rPr>
                <w:sz w:val="17"/>
                <w:szCs w:val="17"/>
                <w:color w:val="auto"/>
              </w:rPr>
            </w:pPr>
          </w:p>
        </w:tc>
        <w:tc>
          <w:tcPr>
            <w:tcW w:w="2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vMerge w:val="restart"/>
          </w:tcPr>
          <w:p>
            <w:pPr>
              <w:jc w:val="right"/>
              <w:ind w:right="80"/>
              <w:spacing w:after="0"/>
              <w:rPr>
                <w:sz w:val="20"/>
                <w:szCs w:val="20"/>
                <w:color w:val="auto"/>
              </w:rPr>
            </w:pPr>
            <w:r>
              <w:rPr>
                <w:rFonts w:ascii="Arial" w:cs="Arial" w:eastAsia="Arial" w:hAnsi="Arial"/>
                <w:sz w:val="16"/>
                <w:szCs w:val="16"/>
                <w:color w:val="auto"/>
              </w:rPr>
              <w:t>5.32</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(17.61)</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500" w:type="dxa"/>
            <w:vAlign w:val="bottom"/>
          </w:tcPr>
          <w:p>
            <w:pPr>
              <w:ind w:left="40"/>
              <w:spacing w:after="0"/>
              <w:rPr>
                <w:sz w:val="20"/>
                <w:szCs w:val="20"/>
                <w:color w:val="auto"/>
              </w:rPr>
            </w:pPr>
            <w:r>
              <w:rPr>
                <w:rFonts w:ascii="Arial" w:cs="Arial" w:eastAsia="Arial" w:hAnsi="Arial"/>
                <w:sz w:val="16"/>
                <w:szCs w:val="16"/>
                <w:color w:val="auto"/>
              </w:rPr>
              <w:t>GAAP) (A)</w:t>
            </w:r>
          </w:p>
        </w:tc>
        <w:tc>
          <w:tcPr>
            <w:tcW w:w="16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NM</w:t>
            </w:r>
          </w:p>
        </w:tc>
        <w:tc>
          <w:tcPr>
            <w:tcW w:w="16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(331.0)</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NM Not Meaningful</w:t>
      </w:r>
    </w:p>
    <w:p>
      <w:pPr>
        <w:sectPr>
          <w:pgSz w:w="11900" w:h="16838" w:orient="portrait"/>
          <w:cols w:equalWidth="0" w:num="1">
            <w:col w:w="11240"/>
          </w:cols>
          <w:pgMar w:left="320" w:top="140" w:right="339" w:bottom="374"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240"/>
          </w:cols>
          <w:pgMar w:left="320" w:top="140" w:right="339" w:bottom="374"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color w:val="auto"/>
        </w:rPr>
        <w:t>United Airlines Reports Second-Quarter 2020 Performance</w:t>
      </w:r>
    </w:p>
    <w:p>
      <w:pPr>
        <w:spacing w:after="0" w:line="200" w:lineRule="exact"/>
        <w:rPr>
          <w:sz w:val="20"/>
          <w:szCs w:val="20"/>
          <w:color w:val="auto"/>
        </w:rPr>
      </w:pPr>
    </w:p>
    <w:p>
      <w:pPr>
        <w:spacing w:after="0" w:line="281"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UNITED AIRLINES HOLDINGS, INC.</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NON-GAAP FINANCIAL RECONCILIATION (Continued)</w:t>
      </w:r>
    </w:p>
    <w:p>
      <w:pPr>
        <w:spacing w:after="0" w:line="180"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UAL believes that adjusting capital expenditures for assets acquired through the issuance of debt, finance leases and other financial liabilities is useful to investors in order to appropriately reflect the total amounts spent on capital expenditures. UAL also believes that adjusting net cash provided by operating activities for capital expenditures, adjusted capital expenditures, and aircraft operating lease additions is useful to allow investors to evaluate the company's ability to generate cash that is available for debt service or general corporate initiatives.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5"/>
          </w:tcPr>
          <w:p>
            <w:pPr>
              <w:ind w:left="160"/>
              <w:spacing w:after="0"/>
              <w:rPr>
                <w:sz w:val="20"/>
                <w:szCs w:val="20"/>
                <w:color w:val="auto"/>
              </w:rPr>
            </w:pPr>
            <w:r>
              <w:rPr>
                <w:rFonts w:ascii="Arial" w:cs="Arial" w:eastAsia="Arial" w:hAnsi="Arial"/>
                <w:sz w:val="16"/>
                <w:szCs w:val="16"/>
                <w:color w:val="auto"/>
              </w:rPr>
              <w:t>Three Months Ended</w:t>
            </w:r>
          </w:p>
        </w:tc>
        <w:tc>
          <w:tcPr>
            <w:tcW w:w="200" w:type="dxa"/>
            <w:vAlign w:val="bottom"/>
          </w:tcPr>
          <w:p>
            <w:pPr>
              <w:spacing w:after="0"/>
              <w:rPr>
                <w:sz w:val="17"/>
                <w:szCs w:val="17"/>
                <w:color w:val="auto"/>
              </w:rPr>
            </w:pPr>
          </w:p>
        </w:tc>
        <w:tc>
          <w:tcPr>
            <w:tcW w:w="1840" w:type="dxa"/>
            <w:vAlign w:val="bottom"/>
            <w:gridSpan w:val="4"/>
          </w:tcPr>
          <w:p>
            <w:pPr>
              <w:jc w:val="right"/>
              <w:ind w:right="339"/>
              <w:spacing w:after="0"/>
              <w:rPr>
                <w:sz w:val="20"/>
                <w:szCs w:val="20"/>
                <w:color w:val="auto"/>
              </w:rPr>
            </w:pPr>
            <w:r>
              <w:rPr>
                <w:rFonts w:ascii="Arial" w:cs="Arial" w:eastAsia="Arial" w:hAnsi="Arial"/>
                <w:sz w:val="16"/>
                <w:szCs w:val="16"/>
                <w:color w:val="auto"/>
              </w:rPr>
              <w:t>Six Months Ended</w:t>
            </w:r>
          </w:p>
        </w:tc>
        <w:tc>
          <w:tcPr>
            <w:tcW w:w="0" w:type="dxa"/>
            <w:vAlign w:val="bottom"/>
          </w:tcPr>
          <w:p>
            <w:pPr>
              <w:spacing w:after="0"/>
              <w:rPr>
                <w:sz w:val="1"/>
                <w:szCs w:val="1"/>
                <w:color w:val="auto"/>
              </w:rPr>
            </w:pPr>
          </w:p>
        </w:tc>
      </w:tr>
      <w:tr>
        <w:trPr>
          <w:trHeight w:val="206"/>
        </w:trPr>
        <w:tc>
          <w:tcPr>
            <w:tcW w:w="6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3"/>
          </w:tcPr>
          <w:p>
            <w:pPr>
              <w:jc w:val="right"/>
              <w:spacing w:after="0"/>
              <w:rPr>
                <w:sz w:val="20"/>
                <w:szCs w:val="20"/>
                <w:color w:val="auto"/>
              </w:rPr>
            </w:pPr>
            <w:r>
              <w:rPr>
                <w:rFonts w:ascii="Arial" w:cs="Arial" w:eastAsia="Arial" w:hAnsi="Arial"/>
                <w:sz w:val="16"/>
                <w:szCs w:val="16"/>
                <w:color w:val="auto"/>
              </w:rPr>
              <w:t>June 30,</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3"/>
          </w:tcPr>
          <w:p>
            <w:pPr>
              <w:jc w:val="right"/>
              <w:spacing w:after="0"/>
              <w:rPr>
                <w:sz w:val="20"/>
                <w:szCs w:val="20"/>
                <w:color w:val="auto"/>
              </w:rPr>
            </w:pPr>
            <w:r>
              <w:rPr>
                <w:rFonts w:ascii="Arial" w:cs="Arial" w:eastAsia="Arial" w:hAnsi="Arial"/>
                <w:sz w:val="16"/>
                <w:szCs w:val="16"/>
                <w:color w:val="auto"/>
              </w:rPr>
              <w:t>June 30,</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66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 xml:space="preserve">Capital Expenditures </w:t>
            </w:r>
            <w:r>
              <w:rPr>
                <w:rFonts w:ascii="Arial" w:cs="Arial" w:eastAsia="Arial" w:hAnsi="Arial"/>
                <w:sz w:val="16"/>
                <w:szCs w:val="16"/>
                <w:color w:val="auto"/>
              </w:rPr>
              <w:t>(in millions)</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6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259"/>
              <w:spacing w:after="0"/>
              <w:rPr>
                <w:sz w:val="20"/>
                <w:szCs w:val="20"/>
                <w:color w:val="auto"/>
              </w:rPr>
            </w:pPr>
            <w:r>
              <w:rPr>
                <w:rFonts w:ascii="Arial" w:cs="Arial" w:eastAsia="Arial" w:hAnsi="Arial"/>
                <w:sz w:val="16"/>
                <w:szCs w:val="16"/>
                <w:color w:val="auto"/>
              </w:rPr>
              <w:t>2019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ind w:right="239"/>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33"/>
        </w:trPr>
        <w:tc>
          <w:tcPr>
            <w:tcW w:w="6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expenditures (GAAP)</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858</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2,467</w:t>
            </w:r>
          </w:p>
        </w:tc>
        <w:tc>
          <w:tcPr>
            <w:tcW w:w="0" w:type="dxa"/>
            <w:vAlign w:val="bottom"/>
          </w:tcPr>
          <w:p>
            <w:pPr>
              <w:spacing w:after="0"/>
              <w:rPr>
                <w:sz w:val="1"/>
                <w:szCs w:val="1"/>
                <w:color w:val="auto"/>
              </w:rPr>
            </w:pPr>
          </w:p>
        </w:tc>
      </w:tr>
      <w:tr>
        <w:trPr>
          <w:trHeight w:val="237"/>
        </w:trPr>
        <w:tc>
          <w:tcPr>
            <w:tcW w:w="6600" w:type="dxa"/>
            <w:vAlign w:val="bottom"/>
          </w:tcPr>
          <w:p>
            <w:pPr>
              <w:ind w:left="380"/>
              <w:spacing w:after="0"/>
              <w:rPr>
                <w:sz w:val="20"/>
                <w:szCs w:val="20"/>
                <w:color w:val="auto"/>
              </w:rPr>
            </w:pPr>
            <w:r>
              <w:rPr>
                <w:rFonts w:ascii="Arial" w:cs="Arial" w:eastAsia="Arial" w:hAnsi="Arial"/>
                <w:sz w:val="16"/>
                <w:szCs w:val="16"/>
                <w:color w:val="auto"/>
              </w:rPr>
              <w:t>Property and equipment acquired through the issuance of debt</w:t>
            </w:r>
          </w:p>
        </w:tc>
        <w:tc>
          <w:tcPr>
            <w:tcW w:w="2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128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327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33"/>
        </w:trPr>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Property and equipment acquired through finance leases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7"/>
        </w:trPr>
        <w:tc>
          <w:tcPr>
            <w:tcW w:w="6600" w:type="dxa"/>
            <w:vAlign w:val="bottom"/>
          </w:tcPr>
          <w:p>
            <w:pPr>
              <w:ind w:left="380"/>
              <w:spacing w:after="0"/>
              <w:rPr>
                <w:sz w:val="20"/>
                <w:szCs w:val="20"/>
                <w:color w:val="auto"/>
              </w:rPr>
            </w:pPr>
            <w:r>
              <w:rPr>
                <w:rFonts w:ascii="Arial" w:cs="Arial" w:eastAsia="Arial" w:hAnsi="Arial"/>
                <w:sz w:val="16"/>
                <w:szCs w:val="16"/>
                <w:color w:val="auto"/>
              </w:rPr>
              <w:t>Property and equipment acquired through other financial liabilities</w:t>
            </w:r>
          </w:p>
        </w:tc>
        <w:tc>
          <w:tcPr>
            <w:tcW w:w="2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 to property and equipment acquired through other financial liabilities (a)</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66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capital expenditures (Non-GAAP)</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484</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986</w:t>
            </w:r>
          </w:p>
        </w:tc>
        <w:tc>
          <w:tcPr>
            <w:tcW w:w="2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2,571</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2,695</w:t>
            </w:r>
          </w:p>
        </w:tc>
        <w:tc>
          <w:tcPr>
            <w:tcW w:w="0" w:type="dxa"/>
            <w:vAlign w:val="bottom"/>
          </w:tcPr>
          <w:p>
            <w:pPr>
              <w:spacing w:after="0"/>
              <w:rPr>
                <w:sz w:val="1"/>
                <w:szCs w:val="1"/>
                <w:color w:val="auto"/>
              </w:rPr>
            </w:pPr>
          </w:p>
        </w:tc>
      </w:tr>
      <w:tr>
        <w:trPr>
          <w:trHeight w:val="176"/>
        </w:trPr>
        <w:tc>
          <w:tcPr>
            <w:tcW w:w="6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600" w:type="dxa"/>
            <w:vAlign w:val="bottom"/>
          </w:tcPr>
          <w:p>
            <w:pPr>
              <w:ind w:left="40"/>
              <w:spacing w:after="0"/>
              <w:rPr>
                <w:sz w:val="20"/>
                <w:szCs w:val="20"/>
                <w:color w:val="auto"/>
              </w:rPr>
            </w:pPr>
            <w:r>
              <w:rPr>
                <w:rFonts w:ascii="Arial" w:cs="Arial" w:eastAsia="Arial" w:hAnsi="Arial"/>
                <w:sz w:val="16"/>
                <w:szCs w:val="16"/>
                <w:b w:val="1"/>
                <w:bCs w:val="1"/>
                <w:color w:val="auto"/>
              </w:rPr>
              <w:t xml:space="preserve">Free Cash Flow </w:t>
            </w:r>
            <w:r>
              <w:rPr>
                <w:rFonts w:ascii="Arial" w:cs="Arial" w:eastAsia="Arial" w:hAnsi="Arial"/>
                <w:sz w:val="16"/>
                <w:szCs w:val="16"/>
                <w:color w:val="auto"/>
              </w:rPr>
              <w:t>(in millions)</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 (GAAP)</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2,710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4,625</w:t>
            </w:r>
          </w:p>
        </w:tc>
        <w:tc>
          <w:tcPr>
            <w:tcW w:w="0" w:type="dxa"/>
            <w:vAlign w:val="bottom"/>
          </w:tcPr>
          <w:p>
            <w:pPr>
              <w:spacing w:after="0"/>
              <w:rPr>
                <w:sz w:val="1"/>
                <w:szCs w:val="1"/>
                <w:color w:val="auto"/>
              </w:rPr>
            </w:pPr>
          </w:p>
        </w:tc>
      </w:tr>
      <w:tr>
        <w:trPr>
          <w:trHeight w:val="237"/>
        </w:trPr>
        <w:tc>
          <w:tcPr>
            <w:tcW w:w="6600" w:type="dxa"/>
            <w:vAlign w:val="bottom"/>
          </w:tcPr>
          <w:p>
            <w:pPr>
              <w:ind w:left="380"/>
              <w:spacing w:after="0"/>
              <w:rPr>
                <w:sz w:val="20"/>
                <w:szCs w:val="20"/>
                <w:color w:val="auto"/>
              </w:rPr>
            </w:pPr>
            <w:r>
              <w:rPr>
                <w:rFonts w:ascii="Arial" w:cs="Arial" w:eastAsia="Arial" w:hAnsi="Arial"/>
                <w:sz w:val="16"/>
                <w:szCs w:val="16"/>
                <w:color w:val="auto"/>
              </w:rPr>
              <w:t>Less capital expenditures</w:t>
            </w:r>
          </w:p>
        </w:tc>
        <w:tc>
          <w:tcPr>
            <w:tcW w:w="2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858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1,998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2,467</w:t>
            </w:r>
          </w:p>
        </w:tc>
        <w:tc>
          <w:tcPr>
            <w:tcW w:w="0" w:type="dxa"/>
            <w:vAlign w:val="bottom"/>
          </w:tcPr>
          <w:p>
            <w:pPr>
              <w:spacing w:after="0"/>
              <w:rPr>
                <w:sz w:val="1"/>
                <w:szCs w:val="1"/>
                <w:color w:val="auto"/>
              </w:rPr>
            </w:pPr>
          </w:p>
        </w:tc>
      </w:tr>
      <w:tr>
        <w:trPr>
          <w:trHeight w:val="33"/>
        </w:trPr>
        <w:tc>
          <w:tcPr>
            <w:tcW w:w="6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Free cash flow, net of financings (Non-GAAP)</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1,852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2,158</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 (GAAP)</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2,710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4,625</w:t>
            </w:r>
          </w:p>
        </w:tc>
        <w:tc>
          <w:tcPr>
            <w:tcW w:w="0" w:type="dxa"/>
            <w:vAlign w:val="bottom"/>
          </w:tcPr>
          <w:p>
            <w:pPr>
              <w:spacing w:after="0"/>
              <w:rPr>
                <w:sz w:val="1"/>
                <w:szCs w:val="1"/>
                <w:color w:val="auto"/>
              </w:rPr>
            </w:pPr>
          </w:p>
        </w:tc>
      </w:tr>
      <w:tr>
        <w:trPr>
          <w:trHeight w:val="237"/>
        </w:trPr>
        <w:tc>
          <w:tcPr>
            <w:tcW w:w="6600" w:type="dxa"/>
            <w:vAlign w:val="bottom"/>
          </w:tcPr>
          <w:p>
            <w:pPr>
              <w:ind w:left="380"/>
              <w:spacing w:after="0"/>
              <w:rPr>
                <w:sz w:val="20"/>
                <w:szCs w:val="20"/>
                <w:color w:val="auto"/>
              </w:rPr>
            </w:pPr>
            <w:r>
              <w:rPr>
                <w:rFonts w:ascii="Arial" w:cs="Arial" w:eastAsia="Arial" w:hAnsi="Arial"/>
                <w:sz w:val="16"/>
                <w:szCs w:val="16"/>
                <w:color w:val="auto"/>
              </w:rPr>
              <w:t>Less adjusted capital expenditures (Non-GAAP)</w:t>
            </w:r>
          </w:p>
        </w:tc>
        <w:tc>
          <w:tcPr>
            <w:tcW w:w="2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484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986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2,571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2,695</w:t>
            </w:r>
          </w:p>
        </w:tc>
        <w:tc>
          <w:tcPr>
            <w:tcW w:w="0" w:type="dxa"/>
            <w:vAlign w:val="bottom"/>
          </w:tcPr>
          <w:p>
            <w:pPr>
              <w:spacing w:after="0"/>
              <w:rPr>
                <w:sz w:val="1"/>
                <w:szCs w:val="1"/>
                <w:color w:val="auto"/>
              </w:rPr>
            </w:pPr>
          </w:p>
        </w:tc>
      </w:tr>
      <w:tr>
        <w:trPr>
          <w:trHeight w:val="33"/>
        </w:trPr>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Less aircraft operating lease additions</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44"/>
        </w:trPr>
        <w:tc>
          <w:tcPr>
            <w:tcW w:w="6600" w:type="dxa"/>
            <w:vAlign w:val="bottom"/>
          </w:tcPr>
          <w:p>
            <w:pPr>
              <w:ind w:left="40"/>
              <w:spacing w:after="0"/>
              <w:rPr>
                <w:sz w:val="20"/>
                <w:szCs w:val="20"/>
                <w:color w:val="auto"/>
              </w:rPr>
            </w:pPr>
            <w:r>
              <w:rPr>
                <w:rFonts w:ascii="Arial" w:cs="Arial" w:eastAsia="Arial" w:hAnsi="Arial"/>
                <w:sz w:val="16"/>
                <w:szCs w:val="16"/>
                <w:color w:val="auto"/>
              </w:rPr>
              <w:t>Free cash flow (Non-GAAP)</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(626)</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1,717</w:t>
            </w:r>
          </w:p>
        </w:tc>
        <w:tc>
          <w:tcPr>
            <w:tcW w:w="2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(2,671)</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1,923</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40" w:right="180" w:hanging="5"/>
        <w:spacing w:after="0" w:line="267" w:lineRule="auto"/>
        <w:tabs>
          <w:tab w:leader="none" w:pos="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United entered into an agreement with BOC Aviation (USA) Corporation ("BOCA"), </w:t>
      </w:r>
      <w:r>
        <w:rPr>
          <w:rFonts w:ascii="Arial" w:cs="Arial" w:eastAsia="Arial" w:hAnsi="Arial"/>
          <w:sz w:val="16"/>
          <w:szCs w:val="16"/>
          <w:color w:val="212529"/>
        </w:rPr>
        <w:t>a subsidiary of BOC Aviation Limited</w:t>
      </w:r>
      <w:r>
        <w:rPr>
          <w:rFonts w:ascii="Arial" w:cs="Arial" w:eastAsia="Arial" w:hAnsi="Arial"/>
          <w:sz w:val="16"/>
          <w:szCs w:val="16"/>
          <w:color w:val="auto"/>
        </w:rPr>
        <w:t>, to finance through a sale and leaseback transaction six new Boeing model 787-9 aircraft and 16 new Boeing model 737-9 MAX aircraft subject to purchase agreements between United and Boeing. In connection with delivery of each aircraft from Boeing, United will assign its right to purchase such aircraft to BOCA, and simultaneous with BOCA's purchase from Boeing, United will enter into a long-term lease for such aircraft with BOCA. Two Boeing model 787-9 aircraft were delivered in the second quarter of 2020 under this transaction (and each is presently subject to a long-term lease from BOCA to United), and the remaining 20 aircraft are scheduled to be delivered through the end of 2020. Upon delivery, the company will account for 14 aircraft which have a repurchase option at a price other than fair value as part of Flight equipment on the company's balance sheet and the related obligation as Other liabilities (current and noncurrent) since they do not qualify for sale recognition. If the repurchase option is not exercised, these aircraft will be accounted for as leased assets at the time of the option expiration and the related assets and liabilities will be adjusted to the present value of the remaining lease payments at that time. This adjustment reflects the difference between the recorded amounts and the present value of future lease payments at inception.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140" w:right="47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United Airlines Reports Second-Quarter 2020 Performance</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UNITED AIRLINES HOLDINGS,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NOTES (UNAUDITED)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120" w:type="dxa"/>
            <w:vAlign w:val="bottom"/>
            <w:gridSpan w:val="3"/>
          </w:tcPr>
          <w:p>
            <w:pPr>
              <w:spacing w:after="0"/>
              <w:rPr>
                <w:sz w:val="20"/>
                <w:szCs w:val="20"/>
                <w:color w:val="auto"/>
              </w:rPr>
            </w:pPr>
            <w:r>
              <w:rPr>
                <w:rFonts w:ascii="Arial" w:cs="Arial" w:eastAsia="Arial" w:hAnsi="Arial"/>
                <w:sz w:val="16"/>
                <w:szCs w:val="16"/>
                <w:color w:val="auto"/>
              </w:rPr>
              <w:t>(B) Special charges (credit) and unrealized (gains) losses on investments, net include the following:</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7"/>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gridSpan w:val="5"/>
          </w:tcPr>
          <w:p>
            <w:pPr>
              <w:ind w:left="80"/>
              <w:spacing w:after="0"/>
              <w:rPr>
                <w:sz w:val="20"/>
                <w:szCs w:val="20"/>
                <w:color w:val="auto"/>
              </w:rPr>
            </w:pPr>
            <w:r>
              <w:rPr>
                <w:rFonts w:ascii="Arial" w:cs="Arial" w:eastAsia="Arial" w:hAnsi="Arial"/>
                <w:sz w:val="16"/>
                <w:szCs w:val="16"/>
                <w:color w:val="auto"/>
              </w:rPr>
              <w:t>Three Months Ended</w:t>
            </w:r>
          </w:p>
        </w:tc>
        <w:tc>
          <w:tcPr>
            <w:tcW w:w="200" w:type="dxa"/>
            <w:vAlign w:val="bottom"/>
          </w:tcPr>
          <w:p>
            <w:pPr>
              <w:spacing w:after="0"/>
              <w:rPr>
                <w:sz w:val="24"/>
                <w:szCs w:val="24"/>
                <w:color w:val="auto"/>
              </w:rPr>
            </w:pPr>
          </w:p>
        </w:tc>
        <w:tc>
          <w:tcPr>
            <w:tcW w:w="1660" w:type="dxa"/>
            <w:vAlign w:val="bottom"/>
            <w:gridSpan w:val="4"/>
          </w:tcPr>
          <w:p>
            <w:pPr>
              <w:jc w:val="right"/>
              <w:ind w:right="259"/>
              <w:spacing w:after="0"/>
              <w:rPr>
                <w:sz w:val="20"/>
                <w:szCs w:val="20"/>
                <w:color w:val="auto"/>
              </w:rPr>
            </w:pPr>
            <w:r>
              <w:rPr>
                <w:rFonts w:ascii="Arial" w:cs="Arial" w:eastAsia="Arial" w:hAnsi="Arial"/>
                <w:sz w:val="16"/>
                <w:szCs w:val="16"/>
                <w:color w:val="auto"/>
              </w:rPr>
              <w:t>Six Months Ended</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June 30,</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June 30,</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708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200" w:type="dxa"/>
            <w:vAlign w:val="bottom"/>
          </w:tcPr>
          <w:p>
            <w:pPr>
              <w:spacing w:after="0"/>
              <w:rPr>
                <w:sz w:val="20"/>
                <w:szCs w:val="20"/>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199"/>
              <w:spacing w:after="0"/>
              <w:rPr>
                <w:sz w:val="20"/>
                <w:szCs w:val="20"/>
                <w:color w:val="auto"/>
              </w:rPr>
            </w:pPr>
            <w:r>
              <w:rPr>
                <w:rFonts w:ascii="Arial" w:cs="Arial" w:eastAsia="Arial" w:hAnsi="Arial"/>
                <w:sz w:val="16"/>
                <w:szCs w:val="16"/>
                <w:color w:val="auto"/>
                <w:w w:val="89"/>
              </w:rPr>
              <w:t>2019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99"/>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199"/>
              <w:spacing w:after="0"/>
              <w:rPr>
                <w:sz w:val="20"/>
                <w:szCs w:val="20"/>
                <w:color w:val="auto"/>
              </w:rPr>
            </w:pPr>
            <w:r>
              <w:rPr>
                <w:rFonts w:ascii="Arial" w:cs="Arial" w:eastAsia="Arial" w:hAnsi="Arial"/>
                <w:sz w:val="16"/>
                <w:szCs w:val="16"/>
                <w:color w:val="auto"/>
                <w:w w:val="89"/>
              </w:rPr>
              <w:t>2019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080" w:type="dxa"/>
            <w:vAlign w:val="bottom"/>
            <w:gridSpan w:val="2"/>
            <w:vMerge w:val="restart"/>
          </w:tcPr>
          <w:p>
            <w:pPr>
              <w:spacing w:after="0"/>
              <w:rPr>
                <w:sz w:val="20"/>
                <w:szCs w:val="20"/>
                <w:color w:val="auto"/>
              </w:rPr>
            </w:pPr>
            <w:r>
              <w:rPr>
                <w:rFonts w:ascii="Arial" w:cs="Arial" w:eastAsia="Arial" w:hAnsi="Arial"/>
                <w:sz w:val="16"/>
                <w:szCs w:val="16"/>
                <w:color w:val="auto"/>
              </w:rPr>
              <w:t>Operating:</w:t>
            </w: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0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6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CARES Act grant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080" w:type="dxa"/>
            <w:vAlign w:val="bottom"/>
            <w:gridSpan w:val="2"/>
          </w:tcPr>
          <w:p>
            <w:pPr>
              <w:spacing w:after="0"/>
              <w:rPr>
                <w:sz w:val="20"/>
                <w:szCs w:val="20"/>
                <w:color w:val="auto"/>
              </w:rPr>
            </w:pPr>
            <w:r>
              <w:rPr>
                <w:rFonts w:ascii="Arial" w:cs="Arial" w:eastAsia="Arial" w:hAnsi="Arial"/>
                <w:sz w:val="16"/>
                <w:szCs w:val="16"/>
                <w:color w:val="auto"/>
              </w:rPr>
              <w:t>Impairment of assets</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Severance and benefit costs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080" w:type="dxa"/>
            <w:vAlign w:val="bottom"/>
            <w:gridSpan w:val="2"/>
          </w:tcPr>
          <w:p>
            <w:pPr>
              <w:spacing w:after="0"/>
              <w:rPr>
                <w:sz w:val="20"/>
                <w:szCs w:val="20"/>
                <w:color w:val="auto"/>
              </w:rPr>
            </w:pPr>
            <w:r>
              <w:rPr>
                <w:rFonts w:ascii="Arial" w:cs="Arial" w:eastAsia="Arial" w:hAnsi="Arial"/>
                <w:sz w:val="16"/>
                <w:szCs w:val="16"/>
                <w:color w:val="auto"/>
              </w:rPr>
              <w:t>(Gains) losses on sale of assets and other special charges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6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7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operating special charges (credit)</w:t>
            </w: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Nonoperating special termination benefits and settlement losses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080" w:type="dxa"/>
            <w:vAlign w:val="bottom"/>
            <w:gridSpan w:val="2"/>
          </w:tcPr>
          <w:p>
            <w:pPr>
              <w:spacing w:after="0"/>
              <w:rPr>
                <w:sz w:val="20"/>
                <w:szCs w:val="20"/>
                <w:color w:val="auto"/>
              </w:rPr>
            </w:pPr>
            <w:r>
              <w:rPr>
                <w:rFonts w:ascii="Arial" w:cs="Arial" w:eastAsia="Arial" w:hAnsi="Arial"/>
                <w:sz w:val="16"/>
                <w:szCs w:val="16"/>
                <w:color w:val="auto"/>
              </w:rPr>
              <w:t>Nonoperating unrealized (gains) losses on investments, net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7"/>
              </w:rPr>
              <w:t>Nonoperating credit loss on BRW Aviation Holding LLC and BRW Aviation LLC ("BRW") term loan and</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tcBorders>
              <w:bottom w:val="single" w:sz="8" w:color="CCEEFF"/>
            </w:tcBorders>
            <w:shd w:val="clear" w:color="auto" w:fill="CCEEFF"/>
          </w:tcPr>
          <w:p>
            <w:pPr>
              <w:spacing w:after="0"/>
              <w:rPr>
                <w:sz w:val="20"/>
                <w:szCs w:val="20"/>
                <w:color w:val="auto"/>
              </w:rPr>
            </w:pPr>
          </w:p>
        </w:tc>
        <w:tc>
          <w:tcPr>
            <w:tcW w:w="7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related guarantee</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40" w:type="dxa"/>
            <w:vAlign w:val="bottom"/>
          </w:tcPr>
          <w:p>
            <w:pPr>
              <w:ind w:left="40"/>
              <w:spacing w:after="0"/>
              <w:rPr>
                <w:sz w:val="20"/>
                <w:szCs w:val="20"/>
                <w:color w:val="auto"/>
              </w:rPr>
            </w:pPr>
            <w:r>
              <w:rPr>
                <w:rFonts w:ascii="Arial" w:cs="Arial" w:eastAsia="Arial" w:hAnsi="Arial"/>
                <w:sz w:val="16"/>
                <w:szCs w:val="16"/>
                <w:color w:val="auto"/>
              </w:rPr>
              <w:t>Total nonoperating special charges and unrealized (gains) losses on investments</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1,238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6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Total operating and nonoperating special charges (credit) and unrealized (gains) losses on</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investments</w:t>
            </w: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40" w:type="dxa"/>
            <w:vAlign w:val="bottom"/>
          </w:tcPr>
          <w:p>
            <w:pPr>
              <w:ind w:left="40"/>
              <w:spacing w:after="0"/>
              <w:rPr>
                <w:sz w:val="20"/>
                <w:szCs w:val="20"/>
                <w:color w:val="auto"/>
              </w:rPr>
            </w:pPr>
            <w:r>
              <w:rPr>
                <w:rFonts w:ascii="Arial" w:cs="Arial" w:eastAsia="Arial" w:hAnsi="Arial"/>
                <w:sz w:val="16"/>
                <w:szCs w:val="16"/>
                <w:color w:val="auto"/>
              </w:rPr>
              <w:t>Income tax expense (benefit), net of valuation allowance</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6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Total operating and non-operating special charges (credit) and unrealized (gains) losses on</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(986)</w:t>
            </w:r>
          </w:p>
        </w:tc>
        <w:tc>
          <w:tcPr>
            <w:tcW w:w="10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2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investments, net of income taxes</w:t>
            </w: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ind w:right="40"/>
        <w:spacing w:after="0" w:line="298" w:lineRule="auto"/>
        <w:rPr>
          <w:sz w:val="20"/>
          <w:szCs w:val="20"/>
          <w:color w:val="auto"/>
        </w:rPr>
      </w:pPr>
      <w:r>
        <w:rPr>
          <w:rFonts w:ascii="Arial" w:cs="Arial" w:eastAsia="Arial" w:hAnsi="Arial"/>
          <w:sz w:val="14"/>
          <w:szCs w:val="14"/>
          <w:u w:val="single" w:color="auto"/>
          <w:color w:val="auto"/>
        </w:rPr>
        <w:t>CARES Act grant</w:t>
      </w:r>
      <w:r>
        <w:rPr>
          <w:rFonts w:ascii="Arial" w:cs="Arial" w:eastAsia="Arial" w:hAnsi="Arial"/>
          <w:sz w:val="14"/>
          <w:szCs w:val="14"/>
          <w:color w:val="auto"/>
        </w:rPr>
        <w:t>. During the three and six months ended June 30, 2020, the company received $4.5 billion in funding pursuant to the Payroll Support Program under the CARES Act, which consists of $3.2 billion in a grant and $1.3 billion in an unsecured loan. The company recorded $57 million in warrants issued to the U.S. Treasury Department, within stockholder's equity, as an offset to the grant proceeds. As of June 30, 2020, we recognized $1.6 billion of the grant as a credit to special charges (credit) with the remaining $1.5 billion recorded as a deferred credit on our balance sheet. We expect to recognize the remainder of the grant proceeds, including additional proceeds expected in July, from the Payroll Support Program as Special charge (credit) by the end of 2020 as the salaries and wages the grant is intended to offset are incurred.</w:t>
      </w:r>
    </w:p>
    <w:p>
      <w:pPr>
        <w:spacing w:after="0" w:line="107"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u w:val="single" w:color="auto"/>
          <w:color w:val="auto"/>
        </w:rPr>
        <w:t>Impairment of assets</w:t>
      </w:r>
      <w:r>
        <w:rPr>
          <w:rFonts w:ascii="Arial" w:cs="Arial" w:eastAsia="Arial" w:hAnsi="Arial"/>
          <w:sz w:val="16"/>
          <w:szCs w:val="16"/>
          <w:color w:val="auto"/>
        </w:rPr>
        <w:t>: During the three and six months ended June 30, 2020, the company recorded impairment charges of $80 million and $130 million, respectively, for its China routes. The company conducted impairment reviews of certain intangible assets in the first and second quarters of 2020, which consisted of a comparison of the book value of those assets to their fair value calculated using the discounted cash flow method. Due to the COVID-19 pandemic and the subsequent suspension of flights to China, the company determined that the value of its China routes had been impaired in the first quarter of 2020. The additional impairment in the second quarter of 2020 was the result of a further delay in the expected return of full capacity to the China markets.</w:t>
      </w:r>
    </w:p>
    <w:p>
      <w:pPr>
        <w:spacing w:after="0" w:line="137"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During the three months ended June 30, 2019, the company recorded a $47 million impairment for aircraft engines removed from operations, a $6 million charge for the early termination of several regional aircraft finance leases and $8 million in other miscellaneous impairments. During the six months ended June 30, 2019, in addition to the charges described above, the company recorded an $8 million fair value adjustment for aircraft purchased off lease.</w:t>
      </w:r>
    </w:p>
    <w:p>
      <w:pPr>
        <w:spacing w:after="0" w:line="129"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u w:val="single" w:color="auto"/>
          <w:color w:val="auto"/>
        </w:rPr>
        <w:t>Severance and benefit costs</w:t>
      </w:r>
      <w:r>
        <w:rPr>
          <w:rFonts w:ascii="Arial" w:cs="Arial" w:eastAsia="Arial" w:hAnsi="Arial"/>
          <w:sz w:val="16"/>
          <w:szCs w:val="16"/>
          <w:color w:val="auto"/>
        </w:rPr>
        <w:t>: During the three and six months ended June 30, 2020, the company recorded $63 million related to pay continuation and benefits provided to employees that chose to voluntarily separate from the company.</w:t>
      </w:r>
    </w:p>
    <w:p>
      <w:pPr>
        <w:spacing w:after="0" w:line="118" w:lineRule="exact"/>
        <w:rPr>
          <w:sz w:val="20"/>
          <w:szCs w:val="20"/>
          <w:color w:val="auto"/>
        </w:rPr>
      </w:pPr>
    </w:p>
    <w:p>
      <w:pPr>
        <w:ind w:right="300"/>
        <w:spacing w:after="0" w:line="253" w:lineRule="auto"/>
        <w:rPr>
          <w:sz w:val="20"/>
          <w:szCs w:val="20"/>
          <w:color w:val="auto"/>
        </w:rPr>
      </w:pPr>
      <w:r>
        <w:rPr>
          <w:rFonts w:ascii="Arial" w:cs="Arial" w:eastAsia="Arial" w:hAnsi="Arial"/>
          <w:sz w:val="16"/>
          <w:szCs w:val="16"/>
          <w:color w:val="auto"/>
        </w:rPr>
        <w:t>During the three and six months ended June 30, 2019, the company recorded $6 million and $10 million, respectively, of management severance. During the six months ended June 30, 2019, the company recorded $2 million of severance and benefit costs primarily related to a voluntary early-out program for its technicians and related employees represented by the International Brotherhood of Teamsters. In the first quarter of 2017, approximately 1,000 technicians and related employees elected to voluntarily separate from the company and received a severance payment, with a maximum value of $100,000 per participant, based on years of service, with retirement dates through early 2019.</w:t>
      </w:r>
    </w:p>
    <w:p>
      <w:pPr>
        <w:spacing w:after="0" w:line="56" w:lineRule="exact"/>
        <w:rPr>
          <w:sz w:val="20"/>
          <w:szCs w:val="20"/>
          <w:color w:val="auto"/>
        </w:rPr>
      </w:pPr>
    </w:p>
    <w:p>
      <w:pPr>
        <w:ind w:right="180"/>
        <w:spacing w:after="0" w:line="315" w:lineRule="auto"/>
        <w:rPr>
          <w:sz w:val="20"/>
          <w:szCs w:val="20"/>
          <w:color w:val="auto"/>
        </w:rPr>
      </w:pPr>
      <w:r>
        <w:rPr>
          <w:rFonts w:ascii="Arial" w:cs="Arial" w:eastAsia="Arial" w:hAnsi="Arial"/>
          <w:sz w:val="14"/>
          <w:szCs w:val="14"/>
          <w:u w:val="single" w:color="auto"/>
          <w:color w:val="auto"/>
        </w:rPr>
        <w:t>Nonoperating special termination benefits and settlement losses</w:t>
      </w:r>
      <w:r>
        <w:rPr>
          <w:rFonts w:ascii="Arial" w:cs="Arial" w:eastAsia="Arial" w:hAnsi="Arial"/>
          <w:sz w:val="14"/>
          <w:szCs w:val="14"/>
          <w:color w:val="auto"/>
        </w:rPr>
        <w:t>: During the three and six months ended June 30, 2020, the company recorded $231 million of settlement losses related to the company's primary defined benefit pension plans covering certain U.S. non-pilot employees, and special termination benefits offered, under voluntary separation programs, to certain front-line U.S. based employees participating in the non-pilot defined benefit pension plan and postretirement medical programs.</w:t>
      </w:r>
    </w:p>
    <w:p>
      <w:pPr>
        <w:spacing w:after="0" w:line="95"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u w:val="single" w:color="auto"/>
          <w:color w:val="auto"/>
        </w:rPr>
        <w:t>Nonoperating unrealized (gains) losses on investments, net</w:t>
      </w:r>
      <w:r>
        <w:rPr>
          <w:rFonts w:ascii="Arial" w:cs="Arial" w:eastAsia="Arial" w:hAnsi="Arial"/>
          <w:sz w:val="16"/>
          <w:szCs w:val="16"/>
          <w:color w:val="auto"/>
        </w:rPr>
        <w:t>: During the three and six months ended June 30, 2020, the company recorded gains of $9 million and losses of $286 million, respectively. primarily for changes in the market value of its investment in Azul Linhas Aéreas Brasileiras S.A. ("Azul"). During the six months ended June 30, 2020, the company recorded a loss of $24 million for the decrease in fair value of the AVH share call options, AVH share appreciation rights, and AVH share-based upside sharing agreement (collectively, the "AVH Derivative Assets") that United obtained as part of the BRW term loan agreement and related agreements with Kingsland Holdings Limited.</w:t>
      </w:r>
    </w:p>
    <w:p>
      <w:pPr>
        <w:sectPr>
          <w:pgSz w:w="11900" w:h="16838" w:orient="portrait"/>
          <w:cols w:equalWidth="0" w:num="1">
            <w:col w:w="11240"/>
          </w:cols>
          <w:pgMar w:left="320" w:top="140" w:right="339" w:bottom="1440" w:gutter="0" w:footer="0" w:header="0"/>
        </w:sect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240"/>
          </w:cols>
          <w:pgMar w:left="320" w:top="140"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color w:val="auto"/>
        </w:rPr>
        <w:t>United Airlines Reports Second-Quarter 2020 Performance</w:t>
      </w:r>
    </w:p>
    <w:p>
      <w:pPr>
        <w:spacing w:after="0" w:line="269" w:lineRule="exact"/>
        <w:rPr>
          <w:sz w:val="20"/>
          <w:szCs w:val="20"/>
          <w:color w:val="auto"/>
        </w:rPr>
      </w:pPr>
    </w:p>
    <w:p>
      <w:pPr>
        <w:ind w:right="320"/>
        <w:spacing w:after="0" w:line="261" w:lineRule="auto"/>
        <w:rPr>
          <w:sz w:val="20"/>
          <w:szCs w:val="20"/>
          <w:color w:val="auto"/>
        </w:rPr>
      </w:pPr>
      <w:r>
        <w:rPr>
          <w:rFonts w:ascii="Arial" w:cs="Arial" w:eastAsia="Arial" w:hAnsi="Arial"/>
          <w:sz w:val="16"/>
          <w:szCs w:val="16"/>
          <w:color w:val="auto"/>
        </w:rPr>
        <w:t>During the three and six months ended June 30, 2019, the company recorded gains of $38 million and $52 million, respectively, for the change in market value of its investment in Azul. During the three and six months ended June 30, 2019, the company recorded losses of $4 million and $1 million, respectively, for the change in fair value of the AVH Derivative Assets.</w:t>
      </w:r>
    </w:p>
    <w:p>
      <w:pPr>
        <w:spacing w:after="0" w:line="156"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u w:val="single" w:color="auto"/>
          <w:color w:val="auto"/>
        </w:rPr>
        <w:t>Nonoperating credit loss on BRW term loan and related guarantee</w:t>
      </w:r>
      <w:r>
        <w:rPr>
          <w:rFonts w:ascii="Arial" w:cs="Arial" w:eastAsia="Arial" w:hAnsi="Arial"/>
          <w:sz w:val="16"/>
          <w:szCs w:val="16"/>
          <w:color w:val="auto"/>
        </w:rPr>
        <w:t>: During the six months ended June 30, 2020, the company recorded a $697 million expected credit loss allowance for the BRW term loan and related guarantee. United recorded the allowance based on United's assessment of Avianca Holdings S.A.'s ("AVH") financial uncertainty due to its high level of leverage and the fact that the airline has currently ceased operations due to the COVID-19 pandemic. BRW's equity and BRW's holdings of AVH equity are secured as a pledge under the BRW term loan, which is currently in default.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(C) Interest expense related to finance leases of Embraer ERJ 145 aircraft</w:t>
      </w:r>
    </w:p>
    <w:p>
      <w:pPr>
        <w:spacing w:after="0" w:line="248" w:lineRule="exact"/>
        <w:rPr>
          <w:sz w:val="20"/>
          <w:szCs w:val="20"/>
          <w:color w:val="auto"/>
        </w:rPr>
      </w:pPr>
    </w:p>
    <w:p>
      <w:pPr>
        <w:jc w:val="both"/>
        <w:ind w:right="140"/>
        <w:spacing w:after="0" w:line="315" w:lineRule="auto"/>
        <w:rPr>
          <w:sz w:val="20"/>
          <w:szCs w:val="20"/>
          <w:color w:val="auto"/>
        </w:rPr>
      </w:pPr>
      <w:r>
        <w:rPr>
          <w:rFonts w:ascii="Arial" w:cs="Arial" w:eastAsia="Arial" w:hAnsi="Arial"/>
          <w:sz w:val="14"/>
          <w:szCs w:val="14"/>
          <w:color w:val="auto"/>
        </w:rPr>
        <w:t>During the third quarter of 2018, United entered into an agreement with the lessor of 54 Embraer ERJ 145 aircraft to purchase those aircraft in 2019. The provisions of the new lease agreement resulted in a change in accounting classification of these new leases from operating leases to finance leases up until the purchase date. The company recognized $25 million and $46 million of additional interest expense in the three and six months ended June 30, 2019, respectively, as a result of this change.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 Effective tax rate</w:t>
      </w:r>
    </w:p>
    <w:p>
      <w:pPr>
        <w:spacing w:after="0" w:line="24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company's effective tax rate for the three and six months ended June 30, 2020 was 18.8% and 19.1%, respectively. The effective tax rate for the three and six months ended June 30, 2019 and 22.3% and 21.9%, respectively. The provision for income taxes is based on the estimated annual effective tax rate which represents a blend of federal, state and foreign taxes and includes the impact of certain nondeductible items and the impact of a change in the company's mix of domestic and foreign earnings (losses). The three and six months ended June 30, 2020 rate was impacted by $64 million and $130 million, respectively, of valuation allowance related to unrealized capital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 # #</w:t>
      </w: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sectPr>
      <w:pgSz w:w="11900" w:h="16838" w:orient="portrait"/>
      <w:cols w:equalWidth="0" w:num="1">
        <w:col w:w="11200"/>
      </w:cols>
      <w:pgMar w:left="32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872"/>
    </w:lvl>
  </w:abstractNum>
  <w:abstractNum w:abstractNumId="1">
    <w:nsid w:val="5BD062C2"/>
    <w:multiLevelType w:val="hybridMultilevel"/>
    <w:lvl w:ilvl="0">
      <w:lvlJc w:val="left"/>
      <w:lvlText w:val="(%1)"/>
      <w:numFmt w:val="decimal"/>
      <w:start w:val="872"/>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bullet"/>
      <w:start w:val="1"/>
    </w:lvl>
  </w:abstractNum>
  <w:abstractNum w:abstractNumId="10">
    <w:nsid w:val="109CF92E"/>
    <w:multiLevelType w:val="hybridMultilevel"/>
    <w:lvl w:ilvl="0">
      <w:lvlJc w:val="left"/>
      <w:lvlText w:val="2"/>
      <w:numFmt w:val="bullet"/>
      <w:start w:val="1"/>
    </w:lvl>
  </w:abstractNum>
  <w:abstractNum w:abstractNumId="11">
    <w:nsid w:val="DED7263"/>
    <w:multiLevelType w:val="hybridMultilevel"/>
    <w:lvl w:ilvl="0">
      <w:lvlJc w:val="left"/>
      <w:lvlText w:val="3"/>
      <w:numFmt w:val="bullet"/>
      <w:start w:val="1"/>
    </w:lvl>
  </w:abstractNum>
  <w:abstractNum w:abstractNumId="12">
    <w:nsid w:val="7FDCC233"/>
    <w:multiLevelType w:val="hybridMultilevel"/>
    <w:lvl w:ilvl="0">
      <w:lvlJc w:val="left"/>
      <w:lvlText w:val="4"/>
      <w:numFmt w:val="bullet"/>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upperLetter"/>
      <w:start w:val="1"/>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2020-07-21T15:16:00Z</dcterms:created>
  <dcterms:modified xsi:type="dcterms:W3CDTF">2020-07-21T15:16:00Z</dcterms:modified>
</cp:coreProperties>
</file>