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1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19, 2020</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30" w:lineRule="exact"/>
        <w:rPr>
          <w:sz w:val="24"/>
          <w:szCs w:val="24"/>
          <w:color w:val="auto"/>
        </w:rPr>
      </w:pPr>
    </w:p>
    <w:tbl>
      <w:tblPr>
        <w:tblLayout w:type="fixed"/>
        <w:tblInd w:w="1480" w:type="dxa"/>
        <w:tblCellMar>
          <w:top w:w="0" w:type="dxa"/>
          <w:left w:w="0" w:type="dxa"/>
          <w:bottom w:w="0" w:type="dxa"/>
          <w:right w:w="0" w:type="dxa"/>
        </w:tblCellMar>
      </w:tblPr>
      <w:tr>
        <w:trPr>
          <w:trHeight w:val="230"/>
        </w:trPr>
        <w:tc>
          <w:tcPr>
            <w:tcW w:w="6140" w:type="dxa"/>
            <w:vAlign w:val="bottom"/>
            <w:gridSpan w:val="3"/>
          </w:tcPr>
          <w:p>
            <w:pPr>
              <w:ind w:left="2280"/>
              <w:spacing w:after="0"/>
              <w:rPr>
                <w:sz w:val="20"/>
                <w:szCs w:val="20"/>
                <w:color w:val="auto"/>
              </w:rPr>
            </w:pPr>
            <w:r>
              <w:rPr>
                <w:rFonts w:ascii="Arial" w:cs="Arial" w:eastAsia="Arial" w:hAnsi="Arial"/>
                <w:sz w:val="18"/>
                <w:szCs w:val="18"/>
                <w:color w:val="auto"/>
                <w:w w:val="93"/>
              </w:rPr>
              <w:t>(Exact name of registrant as specified in its charter)</w:t>
            </w:r>
          </w:p>
        </w:tc>
        <w:tc>
          <w:tcPr>
            <w:tcW w:w="2000" w:type="dxa"/>
            <w:vAlign w:val="bottom"/>
          </w:tcPr>
          <w:p>
            <w:pPr>
              <w:spacing w:after="0"/>
              <w:rPr>
                <w:sz w:val="20"/>
                <w:szCs w:val="20"/>
                <w:color w:val="auto"/>
              </w:rPr>
            </w:pPr>
          </w:p>
        </w:tc>
      </w:tr>
      <w:tr>
        <w:trPr>
          <w:trHeight w:val="346"/>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001-06033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36-2675207</w:t>
            </w:r>
          </w:p>
        </w:tc>
      </w:tr>
      <w:tr>
        <w:trPr>
          <w:trHeight w:val="234"/>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001-10323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74-2099724</w:t>
            </w:r>
          </w:p>
        </w:tc>
      </w:tr>
      <w:tr>
        <w:trPr>
          <w:trHeight w:val="229"/>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w:t>
            </w:r>
          </w:p>
        </w:tc>
        <w:tc>
          <w:tcPr>
            <w:tcW w:w="310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(Commission File Number)</w:t>
            </w: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3"/>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4"/>
              </w:rPr>
              <w:t>Identification Number)</w:t>
            </w:r>
          </w:p>
        </w:tc>
      </w:tr>
      <w:tr>
        <w:trPr>
          <w:trHeight w:val="346"/>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4"/>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60"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280" w:type="dxa"/>
            <w:vAlign w:val="bottom"/>
            <w:gridSpan w:val="2"/>
          </w:tcPr>
          <w:p>
            <w:pPr>
              <w:ind w:left="20"/>
              <w:spacing w:after="0"/>
              <w:rPr>
                <w:sz w:val="20"/>
                <w:szCs w:val="20"/>
                <w:color w:val="auto"/>
              </w:rPr>
            </w:pPr>
            <w:r>
              <w:rPr>
                <w:rFonts w:ascii="Arial" w:cs="Arial" w:eastAsia="Arial" w:hAnsi="Arial"/>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Title of Each Class</w:t>
            </w: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Trading Symbol</w:t>
            </w: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60"/>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United Airlines Holdings, Inc.</w:t>
            </w:r>
          </w:p>
        </w:tc>
        <w:tc>
          <w:tcPr>
            <w:tcW w:w="280" w:type="dxa"/>
            <w:vAlign w:val="bottom"/>
          </w:tcPr>
          <w:p>
            <w:pPr>
              <w:spacing w:after="0"/>
              <w:rPr>
                <w:sz w:val="13"/>
                <w:szCs w:val="13"/>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Common Stock, $0.01 par value</w:t>
            </w:r>
          </w:p>
        </w:tc>
        <w:tc>
          <w:tcPr>
            <w:tcW w:w="280" w:type="dxa"/>
            <w:vAlign w:val="bottom"/>
          </w:tcPr>
          <w:p>
            <w:pPr>
              <w:spacing w:after="0"/>
              <w:rPr>
                <w:sz w:val="13"/>
                <w:szCs w:val="13"/>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UAL</w:t>
            </w:r>
          </w:p>
        </w:tc>
        <w:tc>
          <w:tcPr>
            <w:tcW w:w="240" w:type="dxa"/>
            <w:vAlign w:val="bottom"/>
          </w:tcPr>
          <w:p>
            <w:pPr>
              <w:spacing w:after="0"/>
              <w:rPr>
                <w:sz w:val="13"/>
                <w:szCs w:val="13"/>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None</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None</w:t>
            </w:r>
          </w:p>
        </w:tc>
      </w:tr>
    </w:tbl>
    <w:p>
      <w:pPr>
        <w:spacing w:after="0" w:line="344"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right="9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721360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95885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ind w:right="460"/>
        <w:spacing w:after="0" w:line="257" w:lineRule="auto"/>
        <w:rPr>
          <w:sz w:val="20"/>
          <w:szCs w:val="20"/>
          <w:color w:val="auto"/>
        </w:rPr>
      </w:pPr>
      <w:r>
        <w:rPr>
          <w:rFonts w:ascii="Arial" w:cs="Arial" w:eastAsia="Arial" w:hAnsi="Arial"/>
          <w:sz w:val="17"/>
          <w:szCs w:val="17"/>
          <w:color w:val="auto"/>
        </w:rPr>
        <w:t>United Airlines, Inc. ("United"), a wholly-owned subsidiary of United Airlines Holdings, Inc. ("UAL" and, together with United, the "Company"), continues to see a significant impact in demand for air travel. In the last week, ending November 18, 2020, there has been a deceleration in system bookings and an uptick in cancellations as a result of the recent spike in COVID-19 cases. The Company does not currently expect the recovery from COVID-19 to follow a linear path and, as such, the Company's actual flown capacity may differ materially from its currently scheduled capacity. The Company's scheduled capacity for the fourth quarter of 2020 is now expected to decrease at least 55% year-over-year, as compared to the Company's previous guidance of a decrease of approximately 55% year-over-year.</w:t>
      </w:r>
    </w:p>
    <w:p>
      <w:pPr>
        <w:spacing w:after="0" w:line="20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At this time, the Company continues to expect total revenue to be down by approximately 67% in the fourth quarter of 2020 as compared to the fourth quarter of 2019.</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Company continues to expect average daily cash burn during the fourth quarter of 2020 to be approximately $15 million to $20 million, plus $10 million of average debt principal payments and severance payments per day. For this purpose, "cash burn" is defined as net cash from operations, less investing and financing activities. Proceeds from the issuance of new debt (excluding expected aircraft financing), government grants associated with the Payroll Support Program of the Coronavirus Aid, Relief and Economic Security Act (the "CARES Act"), issuance of new stock, net proceeds from the sale of short-term and other investments and changes in certain restricted cash balances are not included in this figure.</w:t>
      </w:r>
    </w:p>
    <w:p>
      <w:pPr>
        <w:spacing w:after="0" w:line="201"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 information in this Item 7.01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p>
    <w:p>
      <w:pPr>
        <w:spacing w:after="0" w:line="17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Certain statements in this Current Report on Form 8-K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 The Company's actual results could differ materially from these forward-looking statements due to numerous factors including, without limitation, the following: the duration and spread of the ongoing global COVID-19 pandemic and the outbreak of any other disease or similar public health threat and the impact on the business, results of operations and financial condition of the Company; the lenders' ability to accelerate the MileagePlus indebtedness, foreclose upon the collateral securing the MileagePlus indebtedness or exercise other remedies if the Company is not able to comply with the covenants in the MileagePlus financing agreements; the effects of borrowing pursuant to the Loan Program under the CARES Act, and the effects of the grant and promissory note through the Payroll Support Program under the CARES Act; the costs and availability of financing; the Company's significant amount of financial leverage from fixed obligations and ability to seek additional liquidity and maintain adequate liquidity; the Company's ability to comply with the terms of its various financing arrangements; the Company's ability to utilize its net operating losses to offset future taxable income; the material disruption of the Company's strategic operating plan as a result of the COVID-19 pandemic and the Company's ability to execute its strategic operating plans in the long term;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its operations in certain countries; demand for travel and the impact that global economic and political conditions have on customer travel patterns; the Company's capacity decisions and the capacity decisions of its competitors; competitive pressures on pricing and on demand; changes in aircraft fuel prices; disruptions in the Company's supply of aircraft fuel; the Company's ability to cost-effectively hedge against increases in the price of aircraft fuel, if it decides to do so; the effects of any technology failures, cybersecurity or significant data breaches; disruptions to services provided by third-party service providers; potential reputational or other impact from adverse events involving the Company's aircraft or operations, the aircraft or operations of its regional carriers or its code share partners or the aircraft or operations of another airline; the Company's ability to attract and retain customers; the effects of any terrorist attacks, international hostilities or other security events, or the fear of such events; the mandatory grounding of aircraft in the Company's fleet; disruptions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601345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 w:name="page3"/>
    <w:bookmarkEnd w:id="2"/>
    <w:p>
      <w:pPr>
        <w:spacing w:after="0" w:line="268" w:lineRule="auto"/>
        <w:rPr>
          <w:sz w:val="20"/>
          <w:szCs w:val="20"/>
          <w:color w:val="auto"/>
        </w:rPr>
      </w:pPr>
      <w:r>
        <w:rPr>
          <w:rFonts w:ascii="Arial" w:cs="Arial" w:eastAsia="Arial" w:hAnsi="Arial"/>
          <w:sz w:val="16"/>
          <w:szCs w:val="16"/>
          <w:color w:val="auto"/>
        </w:rPr>
        <w:t>the Company's regional network as a result of the COVID-19 pandemic or otherwise; the impact of regulatory, investigative and legal proceedings and legal compliance risks; the success of the Company's investments in other airlines, including in other parts of the world, which involve significant challenges and risks, particularly given the impact of the COVID-19 pandemic; industry consolidation or changes in airline alliances; the ability of other air carriers with whom the Company has alliances or partnerships to provide the services contemplated by the respective arrangements with such carriers; costs associated with any modification or termination of the Company's aircraft orders; disruptions in the availability of aircraft, parts or support from its suppliers; the Company's ability to maintain satisfactory labor relations and the results of any collective bargaining agreement process with its union groups; any disruptions to operations due to any potential actions by the Company's labor groups; labor costs; the impact of any management changes; extended interruptions or disruptions in service at major airports where the Company operates;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the Company's ability to realize the full value of its intangible assets and long-lived assets; any impact to the Company's reputation or brand image and other risks and uncertainties set forth under Part I, Item 1A., "Risk Factors," of the Company's Annual Report on Form 10-K for the fiscal year ended December 31, 2019, as updated by the Company's Quarterly Report on Form 10-Q for the fiscal quarter ended September 30, 2020, as well as other risks and uncertainties set forth from time to time in the reports the Company files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3994785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 w:name="page4"/>
    <w:bookmarkEnd w:id="3"/>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54"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Gerald Laderman</w:t>
            </w: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Gerald Laderman</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2020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872"/>
    </w:lvl>
  </w:abstractNum>
  <w:abstractNum w:abstractNumId="1">
    <w:nsid w:val="74B0DC51"/>
    <w:multiLevelType w:val="hybridMultilevel"/>
    <w:lvl w:ilvl="0">
      <w:lvlJc w:val="left"/>
      <w:lvlText w:val="(%1)"/>
      <w:numFmt w:val="decimal"/>
      <w:start w:val="87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2020-11-19T06:47:55Z</dcterms:created>
  <dcterms:modified xsi:type="dcterms:W3CDTF">2020-11-19T06:47:55Z</dcterms:modified>
</cp:coreProperties>
</file>