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5"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300" w:after="30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April 15, 2025</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AIRLINES HOLDINGS, INC.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AIRLINES,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207"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587"/>
        <w:gridCol w:w="587"/>
        <w:gridCol w:w="83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001-06033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36-2675207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001-10323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74-2099724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tbl>
      <w:tblPr>
        <w:tblW w:w="5842" w:type="dxa"/>
        <w:jc w:val="center"/>
        <w:tblInd w:w="0" w:type="dxa"/>
        <w:tblLayout w:type="fixed"/>
        <w:tblCellMar>
          <w:top w:w="28" w:type="dxa"/>
          <w:left w:w="28" w:type="dxa"/>
          <w:bottom w:w="28" w:type="dxa"/>
          <w:right w:w="28" w:type="dxa"/>
        </w:tblCellMar>
      </w:tblPr>
      <w:tblGrid>
        <w:gridCol w:w="1194"/>
        <w:gridCol w:w="1048"/>
        <w:gridCol w:w="1057"/>
        <w:gridCol w:w="284"/>
        <w:gridCol w:w="284"/>
        <w:gridCol w:w="286"/>
        <w:gridCol w:w="109"/>
        <w:gridCol w:w="109"/>
        <w:gridCol w:w="109"/>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(872) 825-4000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(872) 825-4000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 xml:space="preserve">Written communications pursuant to Rule 425 under the Securities Act (17 CFR 230.425)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 xml:space="preserve">Soliciting material pursuant to Rule 14a-12 under the Exchange Act (17 CFR 240.14a-12)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 xml:space="preserve">Pre-commencement communications pursuant to Rule 14d-2(b) under the Exchange Act (17 CFR 240.14d-2(b))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672"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643"/>
        <w:gridCol w:w="643"/>
        <w:gridCol w:w="648"/>
        <w:gridCol w:w="109"/>
        <w:gridCol w:w="109"/>
        <w:gridCol w:w="109"/>
        <w:gridCol w:w="359"/>
        <w:gridCol w:w="359"/>
        <w:gridCol w:w="361"/>
        <w:gridCol w:w="109"/>
        <w:gridCol w:w="109"/>
        <w:gridCol w:w="109"/>
        <w:gridCol w:w="827"/>
        <w:gridCol w:w="827"/>
        <w:gridCol w:w="118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April 15, 2025, United Airlines Holdings, Inc. ("UAL"), the holding company whose subsidiary is United Airlines, Inc. ("United," and together with UAL, the "Company"), issued a press release (the "Earnings Press Release") announcing the financial results of the Company for the first quarter of 2025. A copy of the Earnings Press Release is furnished pursuant to this Item 2.02 as Exhibit 99.1 to this Current Report on Form 8-K and incorporated by reference herein in its entirety.</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April 15, 2025,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pStyle w:val="TextBody"/>
        <w:bidi w:val="0"/>
        <w:spacing w:lineRule="auto" w:line="288" w:before="18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7408"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32"/>
        <w:gridCol w:w="1932"/>
        <w:gridCol w:w="273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03312025erex991.htm">
              <w:r>
                <w:rPr>
                  <w:rStyle w:val="InternetLink"/>
                  <w:rFonts w:ascii="Times New Roman;sans-serif" w:hAnsi="Times New Roman;sans-serif"/>
                  <w:b w:val="false"/>
                  <w:color w:val="0000FF"/>
                  <w:sz w:val="20"/>
                  <w:u w:val="single"/>
                </w:rPr>
                <w:t>Press Release issued by United Airlines Holdings, Inc. dated April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03312025erex992.htm">
              <w:r>
                <w:rPr>
                  <w:rStyle w:val="InternetLink"/>
                  <w:rFonts w:ascii="Times New Roman;sans-serif" w:hAnsi="Times New Roman;sans-serif"/>
                  <w:b w:val="false"/>
                  <w:color w:val="0000FF"/>
                  <w:sz w:val="20"/>
                  <w:u w:val="single"/>
                </w:rPr>
                <w:t>Investor Update issued by United Airlines Holdings, Inc. dated April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18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225" w:after="283"/>
        <w:jc w:val="center"/>
        <w:rPr/>
      </w:pPr>
      <w:r>
        <w:rPr/>
      </w:r>
    </w:p>
    <w:p>
      <w:pPr>
        <w:pStyle w:val="TextBody"/>
        <w:bidi w:val="0"/>
        <w:spacing w:before="225" w:after="283"/>
        <w:jc w:val="center"/>
        <w:rPr/>
      </w:pPr>
      <w:r>
        <w:rPr/>
      </w: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089" w:type="dxa"/>
        <w:jc w:val="right"/>
        <w:tblInd w:w="0" w:type="dxa"/>
        <w:tblLayout w:type="fixed"/>
        <w:tblCellMar>
          <w:top w:w="28" w:type="dxa"/>
          <w:left w:w="28" w:type="dxa"/>
          <w:bottom w:w="28" w:type="dxa"/>
          <w:right w:w="28" w:type="dxa"/>
        </w:tblCellMar>
      </w:tblPr>
      <w:tblGrid>
        <w:gridCol w:w="598"/>
        <w:gridCol w:w="526"/>
        <w:gridCol w:w="526"/>
        <w:gridCol w:w="1298"/>
        <w:gridCol w:w="1298"/>
        <w:gridCol w:w="1843"/>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AIRLINES HOLDINGS, INC.</w:t>
            </w:r>
          </w:p>
        </w:tc>
      </w:tr>
      <w:tr>
        <w:trPr/>
        <w:tc>
          <w:tcPr>
            <w:tcW w:w="60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AIRLINES, INC.</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Leskinen</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Leskinen</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6533" w:type="dxa"/>
        <w:jc w:val="center"/>
        <w:tblInd w:w="0" w:type="dxa"/>
        <w:tblLayout w:type="fixed"/>
        <w:tblCellMar>
          <w:top w:w="28" w:type="dxa"/>
          <w:left w:w="28" w:type="dxa"/>
          <w:bottom w:w="28" w:type="dxa"/>
          <w:right w:w="28" w:type="dxa"/>
        </w:tblCellMar>
      </w:tblPr>
      <w:tblGrid>
        <w:gridCol w:w="1038"/>
        <w:gridCol w:w="913"/>
        <w:gridCol w:w="914"/>
        <w:gridCol w:w="109"/>
        <w:gridCol w:w="109"/>
        <w:gridCol w:w="109"/>
        <w:gridCol w:w="978"/>
        <w:gridCol w:w="978"/>
        <w:gridCol w:w="1385"/>
      </w:tblGrid>
      <w:tr>
        <w:trPr/>
        <w:tc>
          <w:tcPr>
            <w:tcW w:w="10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News Release</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United Airlines</w:t>
            </w:r>
          </w:p>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Worldwide Media Relations</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872.825.8640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media.relations@united.com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383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38350" cy="838200"/>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Calibri;sans-serif" w:hAnsi="Calibri;sans-serif"/>
                <w:b/>
                <w:color w:val="000000"/>
                <w:sz w:val="36"/>
              </w:rPr>
            </w:pPr>
            <w:r>
              <w:rPr>
                <w:rFonts w:ascii="Calibri;sans-serif" w:hAnsi="Calibri;sans-serif"/>
                <w:b/>
                <w:color w:val="000000"/>
                <w:sz w:val="36"/>
              </w:rPr>
              <w:t>United Airlines Reports Best First-Quarter Financial Performance in Five Years Despite Challenging Macroeconomic Environment</w:t>
            </w:r>
          </w:p>
        </w:tc>
      </w:tr>
    </w:tbl>
    <w:p>
      <w:pPr>
        <w:pStyle w:val="TextBody"/>
        <w:bidi w:val="0"/>
        <w:spacing w:before="0" w:after="0"/>
        <w:jc w:val="center"/>
        <w:rPr/>
      </w:pPr>
      <w:r>
        <w:rPr/>
      </w:r>
    </w:p>
    <w:p>
      <w:pPr>
        <w:pStyle w:val="TextBody"/>
        <w:bidi w:val="0"/>
        <w:spacing w:lineRule="auto" w:line="268" w:before="0" w:after="0"/>
        <w:jc w:val="center"/>
        <w:rPr/>
      </w:pPr>
      <w:r>
        <w:rPr>
          <w:rFonts w:ascii="Calibri;sans-serif" w:hAnsi="Calibri;sans-serif"/>
          <w:b w:val="false"/>
          <w:i/>
          <w:color w:val="000000"/>
          <w:sz w:val="22"/>
        </w:rPr>
        <w:t>Q1 pre-tax margin up 4.9 points year-over-year, ahead of Wall Street consensus; up 3.6 points on an adjusted basis</w:t>
      </w:r>
      <w:r>
        <w:rPr>
          <w:rFonts w:ascii="Calibri;sans-serif" w:hAnsi="Calibri;sans-serif"/>
          <w:b w:val="false"/>
          <w:i/>
          <w:color w:val="000000"/>
          <w:sz w:val="14"/>
        </w:rPr>
        <w:t>1</w:t>
      </w:r>
    </w:p>
    <w:p>
      <w:pPr>
        <w:pStyle w:val="TextBody"/>
        <w:bidi w:val="0"/>
        <w:spacing w:before="0" w:after="0"/>
        <w:jc w:val="left"/>
        <w:rPr/>
      </w:pPr>
      <w:r>
        <w:rPr/>
      </w:r>
    </w:p>
    <w:p>
      <w:pPr>
        <w:pStyle w:val="TextBody"/>
        <w:bidi w:val="0"/>
        <w:spacing w:lineRule="auto" w:line="268" w:before="0" w:after="0"/>
        <w:jc w:val="center"/>
        <w:rPr>
          <w:rFonts w:ascii="Calibri;sans-serif" w:hAnsi="Calibri;sans-serif"/>
          <w:b w:val="false"/>
          <w:i/>
          <w:color w:val="000000"/>
          <w:sz w:val="22"/>
        </w:rPr>
      </w:pPr>
      <w:r>
        <w:rPr>
          <w:rFonts w:ascii="Calibri;sans-serif" w:hAnsi="Calibri;sans-serif"/>
          <w:b w:val="false"/>
          <w:i/>
          <w:color w:val="000000"/>
          <w:sz w:val="22"/>
        </w:rPr>
        <w:t>Q1 pre-tax margin expected to lead the industry as United continues to attract more brand-loyal customers, improve the customer experience and demonstrate the resiliency of the business</w:t>
      </w:r>
    </w:p>
    <w:p>
      <w:pPr>
        <w:pStyle w:val="TextBody"/>
        <w:bidi w:val="0"/>
        <w:spacing w:before="0" w:after="0"/>
        <w:jc w:val="center"/>
        <w:rPr/>
      </w:pPr>
      <w:r>
        <w:rPr/>
      </w:r>
    </w:p>
    <w:p>
      <w:pPr>
        <w:pStyle w:val="TextBody"/>
        <w:bidi w:val="0"/>
        <w:spacing w:lineRule="auto" w:line="268" w:before="0" w:after="0"/>
        <w:jc w:val="center"/>
        <w:rPr/>
      </w:pPr>
      <w:r>
        <w:rPr>
          <w:rFonts w:ascii="Calibri;sans-serif" w:hAnsi="Calibri;sans-serif"/>
          <w:b w:val="false"/>
          <w:i/>
          <w:color w:val="000000"/>
          <w:sz w:val="22"/>
        </w:rPr>
        <w:t>Year-to-date</w:t>
      </w:r>
      <w:r>
        <w:rPr>
          <w:rFonts w:ascii="Calibri;sans-serif" w:hAnsi="Calibri;sans-serif"/>
          <w:b w:val="false"/>
          <w:i/>
          <w:color w:val="000000"/>
          <w:sz w:val="14"/>
        </w:rPr>
        <w:t>2</w:t>
      </w:r>
      <w:r>
        <w:rPr>
          <w:color w:val="000000"/>
        </w:rPr>
        <w:t xml:space="preserve"> </w:t>
      </w:r>
      <w:r>
        <w:rPr>
          <w:rFonts w:ascii="Calibri;sans-serif" w:hAnsi="Calibri;sans-serif"/>
          <w:b w:val="false"/>
          <w:i/>
          <w:color w:val="000000"/>
          <w:sz w:val="22"/>
        </w:rPr>
        <w:t xml:space="preserve">repurchased $451 million of shares </w:t>
      </w:r>
    </w:p>
    <w:p>
      <w:pPr>
        <w:pStyle w:val="TextBody"/>
        <w:bidi w:val="0"/>
        <w:spacing w:before="0" w:after="0"/>
        <w:jc w:val="left"/>
        <w:rPr/>
      </w:pPr>
      <w:r>
        <w:rPr/>
      </w:r>
    </w:p>
    <w:p>
      <w:pPr>
        <w:pStyle w:val="TextBody"/>
        <w:bidi w:val="0"/>
        <w:spacing w:lineRule="auto" w:line="276" w:before="0" w:after="0"/>
        <w:jc w:val="center"/>
        <w:rPr/>
      </w:pPr>
      <w:r>
        <w:rPr>
          <w:rFonts w:ascii="Calibri;sans-serif" w:hAnsi="Calibri;sans-serif"/>
          <w:b w:val="false"/>
          <w:i/>
          <w:color w:val="000000"/>
          <w:sz w:val="22"/>
        </w:rPr>
        <w:t>United expects resilient earnings in Q2 and full-year 2025</w:t>
      </w:r>
      <w:r>
        <w:rPr>
          <w:rFonts w:ascii="Calibri;sans-serif" w:hAnsi="Calibri;sans-serif"/>
          <w:b w:val="false"/>
          <w:i/>
          <w:color w:val="000000"/>
          <w:sz w:val="14"/>
        </w:rPr>
        <w:t>3</w:t>
      </w:r>
      <w:r>
        <w:rPr>
          <w:color w:val="000000"/>
        </w:rPr>
        <w:t xml:space="preserve"> </w:t>
      </w:r>
      <w:r>
        <w:rPr>
          <w:rFonts w:ascii="Calibri;sans-serif" w:hAnsi="Calibri;sans-serif"/>
          <w:b w:val="false"/>
          <w:i/>
          <w:color w:val="000000"/>
          <w:sz w:val="22"/>
        </w:rPr>
        <w:t>despite uncertain macroeconomic environment and is removing 4 points of scheduled domestic capacity starting in the third quarter 2025</w:t>
      </w:r>
    </w:p>
    <w:p>
      <w:pPr>
        <w:pStyle w:val="TextBody"/>
        <w:bidi w:val="0"/>
        <w:spacing w:before="0" w:after="0"/>
        <w:jc w:val="left"/>
        <w:rPr/>
      </w:pPr>
      <w:r>
        <w:rPr/>
      </w:r>
    </w:p>
    <w:p>
      <w:pPr>
        <w:pStyle w:val="TextBody"/>
        <w:bidi w:val="0"/>
        <w:spacing w:lineRule="auto" w:line="276" w:before="0" w:after="0"/>
        <w:jc w:val="center"/>
        <w:rPr/>
      </w:pPr>
      <w:r>
        <w:rPr>
          <w:rFonts w:ascii="Calibri;sans-serif" w:hAnsi="Calibri;sans-serif"/>
          <w:b w:val="false"/>
          <w:i/>
          <w:color w:val="000000"/>
          <w:sz w:val="22"/>
        </w:rPr>
        <w:t>Generated operating cash flow of $3.7 billion in the first quarter and over $10 billion in the last 12 months; Over $2 billion of free cash flow</w:t>
      </w:r>
      <w:r>
        <w:rPr>
          <w:rFonts w:ascii="Calibri;sans-serif" w:hAnsi="Calibri;sans-serif"/>
          <w:b w:val="false"/>
          <w:i/>
          <w:color w:val="000000"/>
          <w:sz w:val="14"/>
        </w:rPr>
        <w:t>4</w:t>
      </w:r>
      <w:r>
        <w:rPr>
          <w:color w:val="000000"/>
        </w:rPr>
        <w:t xml:space="preserve"> </w:t>
      </w:r>
      <w:r>
        <w:rPr>
          <w:rFonts w:ascii="Calibri;sans-serif" w:hAnsi="Calibri;sans-serif"/>
          <w:b w:val="false"/>
          <w:i/>
          <w:color w:val="000000"/>
          <w:sz w:val="22"/>
        </w:rPr>
        <w:t>in the first quarter and over $5 billion in the last 12 months</w:t>
      </w:r>
    </w:p>
    <w:p>
      <w:pPr>
        <w:pStyle w:val="TextBody"/>
        <w:bidi w:val="0"/>
        <w:spacing w:before="0" w:after="0"/>
        <w:jc w:val="left"/>
        <w:rPr/>
      </w:pPr>
      <w:r>
        <w:rPr/>
      </w:r>
    </w:p>
    <w:p>
      <w:pPr>
        <w:pStyle w:val="TextBody"/>
        <w:bidi w:val="0"/>
        <w:spacing w:lineRule="auto" w:line="268" w:before="0" w:after="0"/>
        <w:jc w:val="center"/>
        <w:rPr>
          <w:rFonts w:ascii="Calibri;sans-serif" w:hAnsi="Calibri;sans-serif"/>
          <w:b w:val="false"/>
          <w:i/>
          <w:color w:val="000000"/>
          <w:sz w:val="22"/>
        </w:rPr>
      </w:pPr>
      <w:r>
        <w:rPr>
          <w:rFonts w:ascii="Calibri;sans-serif" w:hAnsi="Calibri;sans-serif"/>
          <w:b w:val="false"/>
          <w:i/>
          <w:color w:val="000000"/>
          <w:sz w:val="22"/>
        </w:rPr>
        <w:t>Delivered best first-quarter operational performance since 2021</w:t>
      </w:r>
    </w:p>
    <w:p>
      <w:pPr>
        <w:pStyle w:val="TextBody"/>
        <w:bidi w:val="0"/>
        <w:spacing w:before="0" w:after="0"/>
        <w:jc w:val="center"/>
        <w:rPr/>
      </w:pPr>
      <w:r>
        <w:rPr/>
      </w:r>
    </w:p>
    <w:p>
      <w:pPr>
        <w:pStyle w:val="TextBody"/>
        <w:bidi w:val="0"/>
        <w:spacing w:lineRule="auto" w:line="417" w:before="0" w:after="0"/>
        <w:ind w:left="0" w:right="0" w:firstLine="720"/>
        <w:jc w:val="left"/>
        <w:rPr/>
      </w:pPr>
      <w:r>
        <w:rPr>
          <w:rFonts w:ascii="Calibri;sans-serif" w:hAnsi="Calibri;sans-serif"/>
          <w:b/>
          <w:color w:val="000000"/>
          <w:sz w:val="22"/>
        </w:rPr>
        <w:t>CHICAGO, April 15, 2025</w:t>
      </w:r>
      <w:r>
        <w:rPr>
          <w:color w:val="000000"/>
        </w:rPr>
        <w:t xml:space="preserve"> – </w:t>
      </w:r>
      <w:r>
        <w:rPr>
          <w:rFonts w:ascii="Calibri;sans-serif" w:hAnsi="Calibri;sans-serif"/>
          <w:b w:val="false"/>
          <w:color w:val="000000"/>
          <w:sz w:val="22"/>
        </w:rPr>
        <w:t xml:space="preserve">United Airlines (UAL) today reported its best first-quarter financial results in the past five years, despite a challenging macroeconomic environment. </w:t>
      </w:r>
    </w:p>
    <w:p>
      <w:pPr>
        <w:pStyle w:val="TextBody"/>
        <w:bidi w:val="0"/>
        <w:spacing w:lineRule="auto" w:line="417" w:before="0" w:after="0"/>
        <w:ind w:left="0" w:right="0" w:firstLine="720"/>
        <w:jc w:val="left"/>
        <w:rPr/>
      </w:pPr>
      <w:r>
        <w:rPr>
          <w:rFonts w:ascii="Calibri;sans-serif" w:hAnsi="Calibri;sans-serif"/>
          <w:b w:val="false"/>
          <w:color w:val="000000"/>
          <w:sz w:val="22"/>
        </w:rPr>
        <w:t>United reported a first-quarter profit, with record revenue of $13.2 billion, and total revenue per available seat mile (TRASM) growth of 0.5% year-over-year. The company had first quarter pre-tax earnings of $478 million, with a pre-tax margin of 3.6%; and adjusted pre-tax earnings</w:t>
      </w:r>
      <w:r>
        <w:rPr>
          <w:rFonts w:ascii="Calibri;sans-serif" w:hAnsi="Calibri;sans-serif"/>
          <w:b w:val="false"/>
          <w:color w:val="000000"/>
          <w:sz w:val="14"/>
        </w:rPr>
        <w:t xml:space="preserve">1 </w:t>
      </w:r>
      <w:r>
        <w:rPr>
          <w:rFonts w:ascii="Calibri;sans-serif" w:hAnsi="Calibri;sans-serif"/>
          <w:b w:val="false"/>
          <w:color w:val="000000"/>
          <w:sz w:val="22"/>
        </w:rPr>
        <w:t>of $391 million, with an adjusted pre-tax margin</w:t>
      </w:r>
      <w:r>
        <w:rPr>
          <w:rFonts w:ascii="Calibri;sans-serif" w:hAnsi="Calibri;sans-serif"/>
          <w:b w:val="false"/>
          <w:color w:val="000000"/>
          <w:sz w:val="13"/>
        </w:rPr>
        <w:t>1</w:t>
      </w:r>
      <w:r>
        <w:rPr>
          <w:color w:val="000000"/>
        </w:rPr>
        <w:t xml:space="preserve"> </w:t>
      </w:r>
      <w:r>
        <w:rPr>
          <w:rFonts w:ascii="Calibri;sans-serif" w:hAnsi="Calibri;sans-serif"/>
          <w:b w:val="false"/>
          <w:color w:val="000000"/>
          <w:sz w:val="22"/>
        </w:rPr>
        <w:t>of 3.0%. The company also achieved diluted earnings per share of $1.16 and adjusted diluted earnings per share</w:t>
      </w:r>
      <w:r>
        <w:rPr>
          <w:rFonts w:ascii="Calibri;sans-serif" w:hAnsi="Calibri;sans-serif"/>
          <w:b w:val="false"/>
          <w:color w:val="000000"/>
          <w:sz w:val="13"/>
        </w:rPr>
        <w:t>1</w:t>
      </w:r>
      <w:r>
        <w:rPr>
          <w:color w:val="000000"/>
        </w:rPr>
        <w:t xml:space="preserve"> </w:t>
      </w:r>
      <w:r>
        <w:rPr>
          <w:rFonts w:ascii="Calibri;sans-serif" w:hAnsi="Calibri;sans-serif"/>
          <w:b w:val="false"/>
          <w:color w:val="000000"/>
          <w:sz w:val="22"/>
        </w:rPr>
        <w:t>of $0.91, within the guidance range provided at the start of the quarter.</w:t>
      </w:r>
    </w:p>
    <w:p>
      <w:pPr>
        <w:pStyle w:val="TextBody"/>
        <w:bidi w:val="0"/>
        <w:spacing w:lineRule="auto" w:line="417"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United continued to build brand loyalty in the first quarter and saw strong growth across its diversified revenue streams. Premium cabin revenue rose 9.2%, business revenue was up 7.4% and revenue from Basic Economy was up 7.6% year-over-year. International travel remained strong, with Atlantic RASM up 4.7% and Pacific RASM up 8.5% year-over-year. Other revenue streams such as cargo and loyalty remained resilient and were up 9.7% and 9.4% year-over-year, respectively. Forward bookings over the last two weeks have remained stable, with premium cabins up 17% and international up 5% year-over-year.</w:t>
      </w:r>
    </w:p>
    <w:p>
      <w:pPr>
        <w:pStyle w:val="TextBody"/>
        <w:bidi w:val="0"/>
        <w:spacing w:lineRule="auto" w:line="288" w:before="0" w:after="0"/>
        <w:jc w:val="left"/>
        <w:rPr/>
      </w:pPr>
      <w:r>
        <w:rPr>
          <w:rFonts w:ascii="Calibri;sans-serif" w:hAnsi="Calibri;sans-serif"/>
          <w:b w:val="false"/>
          <w:color w:val="000000"/>
          <w:sz w:val="10"/>
        </w:rPr>
        <w:t>1</w:t>
      </w:r>
      <w:r>
        <w:rPr>
          <w:color w:val="000000"/>
        </w:rPr>
        <w:t xml:space="preserve"> </w:t>
      </w:r>
      <w:r>
        <w:rPr>
          <w:rFonts w:ascii="Calibri;sans-serif" w:hAnsi="Calibri;sans-serif"/>
          <w:b w:val="false"/>
          <w:color w:val="000000"/>
          <w:sz w:val="16"/>
        </w:rPr>
        <w:t>For additional information about the non-GAAP financial measures used in this press release, see "Non-GAAP Financial Information" below.</w:t>
      </w:r>
    </w:p>
    <w:p>
      <w:pPr>
        <w:pStyle w:val="TextBody"/>
        <w:bidi w:val="0"/>
        <w:spacing w:lineRule="auto" w:line="288" w:before="0" w:after="0"/>
        <w:jc w:val="left"/>
        <w:rPr/>
      </w:pPr>
      <w:r>
        <w:rPr>
          <w:rFonts w:ascii="Calibri;sans-serif" w:hAnsi="Calibri;sans-serif"/>
          <w:b w:val="false"/>
          <w:color w:val="000000"/>
          <w:sz w:val="10"/>
        </w:rPr>
        <w:t>2</w:t>
      </w:r>
      <w:r>
        <w:rPr>
          <w:color w:val="000000"/>
        </w:rPr>
        <w:t xml:space="preserve"> </w:t>
      </w:r>
      <w:r>
        <w:rPr>
          <w:rFonts w:ascii="Calibri;sans-serif" w:hAnsi="Calibri;sans-serif"/>
          <w:b w:val="false"/>
          <w:color w:val="000000"/>
          <w:sz w:val="16"/>
        </w:rPr>
        <w:t xml:space="preserve">Shares repurchased through April 10, 2025. </w:t>
      </w:r>
    </w:p>
    <w:p>
      <w:pPr>
        <w:pStyle w:val="TextBody"/>
        <w:bidi w:val="0"/>
        <w:spacing w:lineRule="auto" w:line="268" w:before="0" w:after="0"/>
        <w:jc w:val="left"/>
        <w:rPr/>
      </w:pPr>
      <w:r>
        <w:rPr>
          <w:rFonts w:ascii="Calibri;sans-serif" w:hAnsi="Calibri;sans-serif"/>
          <w:b w:val="false"/>
          <w:color w:val="000000"/>
          <w:sz w:val="10"/>
        </w:rPr>
        <w:t>3</w:t>
      </w:r>
      <w:r>
        <w:rPr>
          <w:color w:val="000000"/>
        </w:rPr>
        <w:t xml:space="preserve"> </w:t>
      </w:r>
      <w:r>
        <w:rPr>
          <w:rFonts w:ascii="Calibri;sans-serif" w:hAnsi="Calibri;sans-serif"/>
          <w:b w:val="false"/>
          <w:color w:val="000000"/>
          <w:sz w:val="16"/>
        </w:rPr>
        <w:t>For additional information about United’s adjusted diluted earnings per share guidance, please refer to the Investor Update issued in connection with this quarterly earnings announcement.</w:t>
      </w:r>
    </w:p>
    <w:p>
      <w:pPr>
        <w:pStyle w:val="TextBody"/>
        <w:bidi w:val="0"/>
        <w:spacing w:lineRule="auto" w:line="268"/>
        <w:jc w:val="left"/>
        <w:rPr/>
      </w:pPr>
      <w:r>
        <w:rPr>
          <w:rFonts w:ascii="Calibri;sans-serif" w:hAnsi="Calibri;sans-serif"/>
          <w:b w:val="false"/>
          <w:color w:val="000000"/>
          <w:sz w:val="10"/>
        </w:rPr>
        <w:t>4</w:t>
      </w:r>
      <w:r>
        <w:rPr>
          <w:color w:val="000000"/>
        </w:rPr>
        <w:t xml:space="preserve"> </w:t>
      </w:r>
      <w:r>
        <w:rPr>
          <w:rFonts w:ascii="Calibri;sans-serif" w:hAnsi="Calibri;sans-serif"/>
          <w:b w:val="false"/>
          <w:color w:val="000000"/>
          <w:sz w:val="16"/>
        </w:rPr>
        <w:t>Effective January 1, 2025, we define free cash flow as the sum of net cash from operating activities and net cash from investing activities, adjusted for the net change in short-term investments and the net change in restricted cash. For additional information about the non-GAAP financial measures used in this press release, including free cash flow, see "Non-GAAP Financial Information" below.</w:t>
      </w: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United Airlines Announces First-Quarter 2025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 xml:space="preserve">United believes our proven ability to win brand-loyal customers is a competitive advantage and will make United resilient in any economic environment. In response to the current demand environment, United is removing 4 percentage points of scheduled domestic capacity starting in the third quarter of 2025. United is also continuing to make prudent adjustments to the utilization rate of its fleet, including ongoing reductions in off-peak flying on lower demand days. The airline expects to continue this approach into the fourth quarter of 2025. Additionally, as previously announced, United will retire 21 aircraft earlier than previously planned. </w:t>
      </w:r>
    </w:p>
    <w:p>
      <w:pPr>
        <w:pStyle w:val="TextBody"/>
        <w:bidi w:val="0"/>
        <w:spacing w:lineRule="auto" w:line="417" w:before="0" w:after="0"/>
        <w:ind w:left="0" w:right="0" w:firstLine="720"/>
        <w:jc w:val="left"/>
        <w:rPr>
          <w:color w:val="000000"/>
        </w:rPr>
      </w:pPr>
      <w:r>
        <w:rPr>
          <w:color w:val="000000"/>
        </w:rPr>
        <w:t>“</w:t>
      </w:r>
      <w:r>
        <w:rPr>
          <w:rFonts w:ascii="Calibri;sans-serif" w:hAnsi="Calibri;sans-serif"/>
          <w:b w:val="false"/>
          <w:color w:val="000000"/>
          <w:sz w:val="22"/>
        </w:rPr>
        <w:t>Our strategy coming out of the COVID pandemic was simple: Build the best airline in the world to attract brand-loyal customers. The people of United Airlines have executed and built that airline," said United CEO Scott Kirby. “United Next is on track and we will continue to execute our multiyear plan that has allowed United to thrive in any demand environment. It has given us industry-leading margins in the good times and we expect to expand our lead further in challenging economic times. Our ability to win brand-loyal customers and the resiliency of our business is a competitive advantage, and we are accelerating our investments in our product, service, technology and experience to further expand that lead.”</w:t>
      </w:r>
    </w:p>
    <w:p>
      <w:pPr>
        <w:pStyle w:val="TextBody"/>
        <w:bidi w:val="0"/>
        <w:spacing w:lineRule="auto" w:line="417"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Ongoing investments include the six additional gates at Chicago O’Hare expected to be awarded to United this fall based on a preliminary assessment by the Chicago Department of Aviation, due to United's continued growth and commitment to Chicago and O'Hare. The airline is also expanding at San Francisco and plans to have the fastest WiFi in the sky with Starlink installed on its entire United Express fleet by the end of this year. Customers will also continue to benefit from our technology investments such as new, more detailed connection information in the United app to help customers make their connection, and Spanish translations that led to increased digital check-ins for international travel.</w:t>
      </w:r>
    </w:p>
    <w:p>
      <w:pPr>
        <w:pStyle w:val="TextBody"/>
        <w:bidi w:val="0"/>
        <w:spacing w:lineRule="auto" w:line="417" w:before="0" w:after="0"/>
        <w:ind w:left="0" w:right="0" w:firstLine="720"/>
        <w:jc w:val="left"/>
        <w:rPr>
          <w:rFonts w:ascii="Calibri;sans-serif" w:hAnsi="Calibri;sans-serif"/>
          <w:b w:val="false"/>
          <w:color w:val="000000"/>
          <w:sz w:val="22"/>
        </w:rPr>
      </w:pPr>
      <w:r>
        <w:rPr>
          <w:rFonts w:ascii="Calibri;sans-serif" w:hAnsi="Calibri;sans-serif"/>
          <w:b w:val="false"/>
          <w:color w:val="000000"/>
          <w:sz w:val="22"/>
        </w:rPr>
        <w:t>United’s operation started 2025 stronger than any previous year since 2021. In the first quarter the airline flew the largest schedule by available seat miles in its history, carrying a record of over 450,000 customers per day on average. United achieved the best on-time arrival and departure rate for a first quarter since 2021 and cut its seat cancellation rate in half compared to the first quarter of 2024. Running a safe, reliable operation continues to be United's top priority.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9700"/>
                <wp:effectExtent l="0" t="0" r="0" b="0"/>
                <wp:wrapNone/>
                <wp:docPr id="6" name="Frame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Calibri;sans-serif" w:hAnsi="Calibri;sans-serif"/>
                          <w:b w:val="false"/>
                          <w:color w:val="000000"/>
                          <w:sz w:val="18"/>
                        </w:rPr>
                      </w:pPr>
                      <w:r>
                        <w:rPr>
                          <w:rFonts w:ascii="Calibri;sans-serif" w:hAnsi="Calibri;sans-serif"/>
                          <w:b w:val="false"/>
                          <w:color w:val="000000"/>
                          <w:sz w:val="18"/>
                        </w:rPr>
                        <w:t>2</w:t>
                      </w:r>
                    </w:p>
                  </w:txbxContent>
                </v:textbox>
                <w10:wrap type="none"/>
              </v:rect>
            </w:pict>
          </mc:Fallback>
        </mc:AlternateContent>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First-Quarter Financial Results</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Capacity up 4.9% compared to first-quarter 2024.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Total operating revenue of $13.2 billion, up 5.4% compared to first-quarter 2024.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TRASM up 0.5% compared to first-quarter 2024.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CASM down 3.4%, and CASM-ex</w:t>
      </w:r>
      <w:r>
        <w:rPr>
          <w:rFonts w:ascii="Calibri;sans-serif" w:hAnsi="Calibri;sans-serif"/>
          <w:b w:val="false"/>
          <w:color w:val="000000"/>
          <w:sz w:val="14"/>
        </w:rPr>
        <w:t>1</w:t>
      </w:r>
      <w:r>
        <w:rPr>
          <w:color w:val="000000"/>
        </w:rPr>
        <w:t xml:space="preserve"> </w:t>
      </w:r>
      <w:r>
        <w:rPr>
          <w:rFonts w:ascii="Calibri;sans-serif" w:hAnsi="Calibri;sans-serif"/>
          <w:b w:val="false"/>
          <w:color w:val="000000"/>
          <w:sz w:val="22"/>
        </w:rPr>
        <w:t xml:space="preserve">up 0.3%, compared to first-quarter 2024.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Pre-tax earnings of $0.5 billion, with a pre-tax margin of 3.6%; adjusted pre-tax earnings</w:t>
      </w:r>
      <w:r>
        <w:rPr>
          <w:rFonts w:ascii="Calibri;sans-serif" w:hAnsi="Calibri;sans-serif"/>
          <w:b w:val="false"/>
          <w:color w:val="000000"/>
          <w:sz w:val="14"/>
        </w:rPr>
        <w:t>1</w:t>
      </w:r>
      <w:r>
        <w:rPr>
          <w:color w:val="000000"/>
        </w:rPr>
        <w:t xml:space="preserve"> </w:t>
      </w:r>
      <w:r>
        <w:rPr>
          <w:rFonts w:ascii="Calibri;sans-serif" w:hAnsi="Calibri;sans-serif"/>
          <w:b w:val="false"/>
          <w:color w:val="000000"/>
          <w:sz w:val="22"/>
        </w:rPr>
        <w:t>of $0.4 billion, with an adjusted pre-tax margin</w:t>
      </w:r>
      <w:r>
        <w:rPr>
          <w:rFonts w:ascii="Calibri;sans-serif" w:hAnsi="Calibri;sans-serif"/>
          <w:b w:val="false"/>
          <w:color w:val="000000"/>
          <w:sz w:val="14"/>
        </w:rPr>
        <w:t>1</w:t>
      </w:r>
      <w:r>
        <w:rPr>
          <w:color w:val="000000"/>
        </w:rPr>
        <w:t xml:space="preserve"> </w:t>
      </w:r>
      <w:r>
        <w:rPr>
          <w:rFonts w:ascii="Calibri;sans-serif" w:hAnsi="Calibri;sans-serif"/>
          <w:b w:val="false"/>
          <w:color w:val="000000"/>
          <w:sz w:val="22"/>
        </w:rPr>
        <w:t>of 3.0%.</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Net income of $0.4 billion; adjusted net income</w:t>
      </w:r>
      <w:r>
        <w:rPr>
          <w:rFonts w:ascii="Calibri;sans-serif" w:hAnsi="Calibri;sans-serif"/>
          <w:b w:val="false"/>
          <w:color w:val="000000"/>
          <w:sz w:val="14"/>
        </w:rPr>
        <w:t>1</w:t>
      </w:r>
      <w:r>
        <w:rPr>
          <w:color w:val="000000"/>
        </w:rPr>
        <w:t xml:space="preserve"> </w:t>
      </w:r>
      <w:r>
        <w:rPr>
          <w:rFonts w:ascii="Calibri;sans-serif" w:hAnsi="Calibri;sans-serif"/>
          <w:b w:val="false"/>
          <w:color w:val="000000"/>
          <w:sz w:val="22"/>
        </w:rPr>
        <w:t>of $0.3 billion.</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Diluted earnings per share of $1.16; adjusted diluted earnings per share</w:t>
      </w:r>
      <w:r>
        <w:rPr>
          <w:rFonts w:ascii="Calibri;sans-serif" w:hAnsi="Calibri;sans-serif"/>
          <w:b w:val="false"/>
          <w:color w:val="000000"/>
          <w:sz w:val="14"/>
        </w:rPr>
        <w:t>1</w:t>
      </w:r>
      <w:r>
        <w:rPr>
          <w:color w:val="000000"/>
        </w:rPr>
        <w:t xml:space="preserve"> </w:t>
      </w:r>
      <w:r>
        <w:rPr>
          <w:rFonts w:ascii="Calibri;sans-serif" w:hAnsi="Calibri;sans-serif"/>
          <w:b w:val="false"/>
          <w:color w:val="000000"/>
          <w:sz w:val="22"/>
        </w:rPr>
        <w:t>of $0.91.</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Average fuel price per gallon of $2.53.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Generated $3.7 billion of operating cash flow.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Generated $2.3 billion of free cash flow</w:t>
      </w:r>
      <w:r>
        <w:rPr>
          <w:rFonts w:ascii="Calibri;sans-serif" w:hAnsi="Calibri;sans-serif"/>
          <w:b w:val="false"/>
          <w:color w:val="000000"/>
          <w:sz w:val="14"/>
        </w:rPr>
        <w:t>4</w:t>
      </w:r>
      <w:r>
        <w:rPr>
          <w:rFonts w:ascii="Calibri;sans-serif" w:hAnsi="Calibri;sans-serif"/>
          <w:b w:val="false"/>
          <w:color w:val="000000"/>
          <w:sz w:val="22"/>
        </w:rPr>
        <w:t>.</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Ending available liquidity</w:t>
      </w:r>
      <w:r>
        <w:rPr>
          <w:rFonts w:ascii="Calibri;sans-serif" w:hAnsi="Calibri;sans-serif"/>
          <w:b w:val="false"/>
          <w:color w:val="000000"/>
          <w:sz w:val="14"/>
        </w:rPr>
        <w:t>5</w:t>
      </w:r>
      <w:r>
        <w:rPr>
          <w:color w:val="000000"/>
        </w:rPr>
        <w:t xml:space="preserve"> </w:t>
      </w:r>
      <w:r>
        <w:rPr>
          <w:rFonts w:ascii="Calibri;sans-serif" w:hAnsi="Calibri;sans-serif"/>
          <w:b w:val="false"/>
          <w:color w:val="000000"/>
          <w:sz w:val="22"/>
        </w:rPr>
        <w:t xml:space="preserve">of $18.3 billion.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Total debt, finance lease obligations and other financial liabilities of $27.7 billion at quarter end.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Net leverage</w:t>
      </w:r>
      <w:r>
        <w:rPr>
          <w:rFonts w:ascii="Calibri;sans-serif" w:hAnsi="Calibri;sans-serif"/>
          <w:b w:val="false"/>
          <w:color w:val="000000"/>
          <w:sz w:val="14"/>
        </w:rPr>
        <w:t>6</w:t>
      </w:r>
      <w:r>
        <w:rPr>
          <w:color w:val="000000"/>
        </w:rPr>
        <w:t xml:space="preserve"> </w:t>
      </w:r>
      <w:r>
        <w:rPr>
          <w:rFonts w:ascii="Calibri;sans-serif" w:hAnsi="Calibri;sans-serif"/>
          <w:b w:val="false"/>
          <w:color w:val="000000"/>
          <w:sz w:val="22"/>
        </w:rPr>
        <w:t>of 2.0x.</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Year-to-date repurchased approximately $451 million of shares</w:t>
      </w:r>
      <w:r>
        <w:rPr>
          <w:rFonts w:ascii="Calibri;sans-serif" w:hAnsi="Calibri;sans-serif"/>
          <w:b w:val="false"/>
          <w:color w:val="000000"/>
          <w:sz w:val="14"/>
        </w:rPr>
        <w:t>2</w:t>
      </w:r>
      <w:r>
        <w:rPr>
          <w:rFonts w:ascii="Calibri;sans-serif" w:hAnsi="Calibri;sans-serif"/>
          <w:b w:val="false"/>
          <w:color w:val="000000"/>
          <w:sz w:val="22"/>
        </w:rPr>
        <w:t>.</w:t>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 xml:space="preserve">Key Highlights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Announced updates and enhanced benefits to the United Family of Cards from Chase, with $800 to $2,000 in total annual value for cardholders, and welcome bonus mile offers for new cardholders.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Received FAA certification for Starlink WiFi, with fast, reliable and free WiFi for MileagePlus members expected onboard certain commercial flights as early as May.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Achieved our highest customer satisfaction scores for a first quarter, an increase of 10% year over year, recording our highest ever ratings for pilot communication, inflight entertainment and check-in experience based on the Net Promoter Score customer satisfaction scale.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United operated its largest first quarter schedule by available seat miles in its history, carrying a record of over 450,000 customers per day on average, including nearly 90,000 on average in United’s industry-leading international network.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United Airlines Ventures (UAV), United’s corporate venture capital unit that invests in start-ups developing innovative technologies for scaling sustainable aviation fuel and advancing the aviation industry, announced an investment by the UAV Sustainable Flight Fund in direct carbon capture startup Heirloom.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Named to Fortune’s list for Most Admired Companies for the fourth consecutive year.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Calibri;sans-serif" w:hAnsi="Calibri;sans-serif"/>
          <w:b w:val="false"/>
          <w:color w:val="000000"/>
          <w:sz w:val="10"/>
        </w:rPr>
        <w:t>5</w:t>
      </w:r>
      <w:r>
        <w:rPr>
          <w:color w:val="000000"/>
        </w:rPr>
        <w:t xml:space="preserve"> </w:t>
      </w:r>
      <w:r>
        <w:rPr>
          <w:rFonts w:ascii="Calibri;sans-serif" w:hAnsi="Calibri;sans-serif"/>
          <w:b w:val="false"/>
          <w:color w:val="000000"/>
          <w:sz w:val="16"/>
        </w:rPr>
        <w:t>Includes cash, cash equivalents, short-term investments and undrawn credit facilities.</w:t>
      </w:r>
    </w:p>
    <w:p>
      <w:pPr>
        <w:pStyle w:val="TextBody"/>
        <w:bidi w:val="0"/>
        <w:spacing w:lineRule="auto" w:line="268"/>
        <w:jc w:val="left"/>
        <w:rPr/>
      </w:pPr>
      <w:r>
        <w:rPr>
          <w:rFonts w:ascii="Calibri;sans-serif" w:hAnsi="Calibri;sans-serif"/>
          <w:b w:val="false"/>
          <w:color w:val="000000"/>
          <w:sz w:val="10"/>
        </w:rPr>
        <w:t>6</w:t>
      </w:r>
      <w:r>
        <w:rPr>
          <w:color w:val="000000"/>
        </w:rPr>
        <w:t xml:space="preserve"> </w:t>
      </w:r>
      <w:r>
        <w:rPr>
          <w:rFonts w:ascii="Calibri;sans-serif" w:hAnsi="Calibri;sans-serif"/>
          <w:b w:val="false"/>
          <w:color w:val="000000"/>
          <w:sz w:val="16"/>
        </w:rPr>
        <w:t>Effective January 1, 2025, we define Adjusted EBITDAR, which is included in the calculation of net leverage on a trailing twelve month basis, to include an additional adjustment for the fixed portion of operating lease expense, instead of solely aircraft rent as was the case historically. For additional information about the non-GAAP financial measures used in this press release, including net leverage and Adjusted EBITDAR, see "Non-GAAP Financial Information" below.</w:t>
      </w: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9700"/>
                <wp:effectExtent l="0" t="0" r="0" b="0"/>
                <wp:wrapNone/>
                <wp:docPr id="7" name="Frame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ind w:left="0" w:right="0" w:firstLine="720"/>
                              <w:jc w:val="center"/>
                              <w:rPr>
                                <w:rFonts w:ascii="Calibri;sans-serif" w:hAnsi="Calibri;sans-serif"/>
                                <w:b w:val="false"/>
                                <w:color w:val="000000"/>
                                <w:sz w:val="18"/>
                              </w:rPr>
                            </w:pPr>
                            <w:r>
                              <w:rPr>
                                <w:rFonts w:ascii="Calibri;sans-serif" w:hAnsi="Calibri;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Calibri;sans-serif" w:hAnsi="Calibri;sans-serif"/>
                          <w:b w:val="false"/>
                          <w:color w:val="000000"/>
                          <w:sz w:val="18"/>
                        </w:rPr>
                      </w:pPr>
                      <w:r>
                        <w:rPr>
                          <w:rFonts w:ascii="Calibri;sans-serif" w:hAnsi="Calibri;sans-serif"/>
                          <w:b w:val="false"/>
                          <w:color w:val="000000"/>
                          <w:sz w:val="18"/>
                        </w:rPr>
                        <w:t>3</w:t>
                      </w:r>
                    </w:p>
                  </w:txbxContent>
                </v:textbox>
                <w10:wrap type="none"/>
              </v:rect>
            </w:pict>
          </mc:Fallback>
        </mc:AlternateContent>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 xml:space="preserve">Customer Experience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Customers continue to adopt self-service tools for a more seamless travel experience, with digital check-in reaching a record high of 85% in the first quarter and kiosk check-in dropping to a record low rate of 8%.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Saw increased engagement with the United app as 83% of customers used it for day-of travel needs in the first quarter, a 5% increase year-over-year, driven by in-app enhancements like Spanish translation and new, improved connection information in the Travel Mode feature for quick access to key trip details.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Returned guest favorite Daelmans Stroopwafel for domestic snacks for flights over 300 miles, introduced a revamped meal service to long-haul Hawaii flights for all cabins, including themed entrees, and added hot meals for economy guests and sundae carts featuring Tillamook ice cream and other desserts for first class passengers.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Uncorked the exclusive United Polaris® wine collaboration with Laurent-Perrier, becoming the only North American airline to serve Laurent-Perrier’s La Cuvée, and introduced three new canned cocktails from Chicago-based Crafthouse Cocktails on domestic flights, in collaboration with James Beard Award-winning mixologist, Charles Joly.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Named by USA Today to America’s Best Customer Service 2025, and MileagePlus® was named to Newsweek’s list of America’s Best Loyalty Programs for 2025.</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Introduced inflight entertainment enhancements such as a Control Tower feature, allowing customers a unique view of an airport’s airfield map.</w:t>
      </w:r>
    </w:p>
    <w:p>
      <w:pPr>
        <w:pStyle w:val="TextBody"/>
        <w:bidi w:val="0"/>
        <w:spacing w:before="0" w:after="0"/>
        <w:ind w:left="0" w:right="0" w:hanging="360"/>
        <w:jc w:val="left"/>
        <w:rPr/>
      </w:pPr>
      <w:r>
        <w:rPr/>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 xml:space="preserve">Operations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Achieved the Company's best on-time departure and arrival for a first quarter since 2021, and ranked first in on-time departures at United’s hubs in San Francisco, Los Angeles and Washington D.C. among airlines with comparable operations at those airports.</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Recorded the second lowest seat cancel rate for a first quarter in company history, at half the rate of the year-ago period.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United Express more than doubled its record of 100% completion days in the first quarter, at 21 days.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Opened a state-of-the-art Tech Ops Training Facility at the airline’s Houston hub and broke ground on a $315 million Tech Ops complex in Orlando in collaboration with the Greater Orlando Aviation Authority.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Set company records for on-time performance and completion at line stations with at least 10 flights per day. </w:t>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Network</w:t>
      </w:r>
    </w:p>
    <w:p>
      <w:pPr>
        <w:pStyle w:val="TextBody"/>
        <w:bidi w:val="0"/>
        <w:spacing w:lineRule="auto" w:line="417"/>
        <w:ind w:left="0" w:right="0" w:hanging="360"/>
        <w:jc w:val="left"/>
        <w:rPr/>
      </w:pPr>
      <w:r>
        <w:rPr>
          <w:color w:val="000000"/>
        </w:rPr>
        <w:t>•</w:t>
      </w:r>
      <w:r>
        <w:rPr>
          <w:rFonts w:ascii="Calibri;sans-serif" w:hAnsi="Calibri;sans-serif"/>
          <w:b w:val="false"/>
          <w:color w:val="000000"/>
          <w:sz w:val="22"/>
        </w:rPr>
        <w:t xml:space="preserve">In the first quarter, United took delivery of its 1,000th mainline jet, enabling continued expansion of its premium offerings with 69,000 average daily premium seats flown across the system in the quarter, an increase of 7% year-over-year. </w:t>
      </w: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9700"/>
                <wp:effectExtent l="0" t="0" r="0" b="0"/>
                <wp:wrapNone/>
                <wp:docPr id="8" name="Frame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4</w:t>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Re-started service to Tel Aviv, Israel from New York/Newark, with twice daily service, more service than any other U.S. airline currently provides.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United expanded its service to warm-weather, customer-favorite destinations, flying its largest ever first-quarter schedules to the Caribbean, Latin America and Africa, additionally operating its largest first-quarter schedule to domestic sun destinations at over 11 million seats.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Launched its first-ever nonstop flight between New York/Newark and Dominica in February.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Added or upgauged 210 flights to help customers reach major special events like college and professional football championships and Mardi Gras. </w:t>
      </w:r>
    </w:p>
    <w:p>
      <w:pPr>
        <w:pStyle w:val="TextBody"/>
        <w:bidi w:val="0"/>
        <w:spacing w:lineRule="auto" w:line="417" w:before="180" w:after="100"/>
        <w:jc w:val="center"/>
        <w:rPr>
          <w:rFonts w:ascii="Calibri;sans-serif" w:hAnsi="Calibri;sans-serif"/>
          <w:b/>
          <w:color w:val="000000"/>
          <w:sz w:val="22"/>
        </w:rPr>
      </w:pPr>
      <w:r>
        <w:rPr>
          <w:rFonts w:ascii="Calibri;sans-serif" w:hAnsi="Calibri;sans-serif"/>
          <w:b/>
          <w:color w:val="000000"/>
          <w:sz w:val="22"/>
        </w:rPr>
        <w:t xml:space="preserve">Employees and Communities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More than 850 employees volunteered more than 6,900 hours at non-profit organizations supporting local communities around the world in the first quarter, with United’s business resource groups hosting over 30 events in honor of MLK Day of Service and other volunteerism efforts in the quarter.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As a partner of Airlink, United transported over 8,000 pounds of cargo to Los Angeles to aid those affected by the fires, additionally donating close to 15 million miles and nearly $400,000 for disaster relief with the support of United customers. </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United was recognized as a top employer, being named as one of Forbes’ Best Large Employers in 2025 and one of the Best Workplaces for Black Americans and Women by Newsweek.</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Chief Operations Officer Toby Enqvist was elected to the Special Olympics International Board of Directors in April. He will build on the partnership United launched in 2017 that created the industry-leading Special Olympics Service Ambassador program, enabling Special Olympics Athlete Leaders to use their talents and develop their skills by helping United customers in airports.</w:t>
      </w:r>
    </w:p>
    <w:p>
      <w:pPr>
        <w:pStyle w:val="TextBody"/>
        <w:bidi w:val="0"/>
        <w:spacing w:lineRule="auto" w:line="417" w:before="0" w:after="0"/>
        <w:ind w:left="0" w:right="0" w:hanging="360"/>
        <w:jc w:val="left"/>
        <w:rPr/>
      </w:pPr>
      <w:r>
        <w:rPr>
          <w:color w:val="000000"/>
        </w:rPr>
        <w:t>•</w:t>
      </w:r>
      <w:r>
        <w:rPr>
          <w:rFonts w:ascii="Calibri;sans-serif" w:hAnsi="Calibri;sans-serif"/>
          <w:b w:val="false"/>
          <w:color w:val="000000"/>
          <w:sz w:val="22"/>
        </w:rPr>
        <w:t xml:space="preserve">Hosted career day events for high schoolers at Houston and Newark hubs in collaboration with the Houston Texans and New York Giants to educate students on future careers in aviation.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10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9700"/>
                <wp:effectExtent l="0" t="0" r="0" b="0"/>
                <wp:wrapNone/>
                <wp:docPr id="9" name="Frame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5</w:t>
                      </w:r>
                    </w:p>
                  </w:txbxContent>
                </v:textbox>
                <w10:wrap type="none"/>
              </v:rect>
            </w:pict>
          </mc:Fallback>
        </mc:AlternateContent>
      </w:r>
    </w:p>
    <w:p>
      <w:pPr>
        <w:pStyle w:val="TextBody"/>
        <w:bidi w:val="0"/>
        <w:spacing w:lineRule="auto" w:line="276" w:before="0" w:after="0"/>
        <w:jc w:val="center"/>
        <w:rPr>
          <w:rFonts w:ascii="Calibri;sans-serif" w:hAnsi="Calibri;sans-serif"/>
          <w:b/>
          <w:color w:val="000000"/>
          <w:sz w:val="20"/>
        </w:rPr>
      </w:pPr>
      <w:r>
        <w:rPr>
          <w:rFonts w:ascii="Calibri;sans-serif" w:hAnsi="Calibri;sans-serif"/>
          <w:b/>
          <w:color w:val="000000"/>
          <w:sz w:val="20"/>
        </w:rPr>
        <w:t>Earnings Call</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UAL will hold a conference call to discuss first-quarter 2025 financial results, as well as its financial and operational outlook for the second-quarter 2025 and beyond, on Wednesday, April 16, 2025 at 9:30 a.m. CST/10:30 a.m. EST. A live, listen-only webcast of the conference call will be available at ir.united.com. The webcast will be available for replay within 24 hours of the conference call and then archived on the website.</w:t>
      </w:r>
    </w:p>
    <w:p>
      <w:pPr>
        <w:pStyle w:val="TextBody"/>
        <w:bidi w:val="0"/>
        <w:spacing w:lineRule="auto" w:line="276" w:before="0" w:after="0"/>
        <w:jc w:val="center"/>
        <w:rPr>
          <w:rFonts w:ascii="Calibri;sans-serif" w:hAnsi="Calibri;sans-serif"/>
          <w:b/>
          <w:color w:val="000000"/>
          <w:sz w:val="20"/>
        </w:rPr>
      </w:pPr>
      <w:r>
        <w:rPr>
          <w:rFonts w:ascii="Calibri;sans-serif" w:hAnsi="Calibri;sans-serif"/>
          <w:b/>
          <w:color w:val="000000"/>
          <w:sz w:val="20"/>
        </w:rPr>
        <w:t>Outlook</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providing certain second quarter and full year 2025 financial targets, during the quarterly earnings conference call.</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company's business outlook is subject to risks and uncertainties applicable to all forward-looking statements as described elsewhere in this press release. Please see the section entitled "Cautionary Statement Regarding Forward-Looking Statements."</w:t>
      </w:r>
    </w:p>
    <w:p>
      <w:pPr>
        <w:pStyle w:val="TextBody"/>
        <w:bidi w:val="0"/>
        <w:spacing w:before="0" w:after="0"/>
        <w:jc w:val="left"/>
        <w:rPr/>
      </w:pPr>
      <w:r>
        <w:rPr/>
      </w:r>
    </w:p>
    <w:p>
      <w:pPr>
        <w:pStyle w:val="TextBody"/>
        <w:bidi w:val="0"/>
        <w:spacing w:lineRule="auto" w:line="268" w:before="0" w:after="0"/>
        <w:jc w:val="center"/>
        <w:rPr>
          <w:rFonts w:ascii="Calibri;sans-serif" w:hAnsi="Calibri;sans-serif"/>
          <w:b/>
          <w:color w:val="000000"/>
          <w:sz w:val="20"/>
        </w:rPr>
      </w:pPr>
      <w:r>
        <w:rPr>
          <w:rFonts w:ascii="Calibri;sans-serif" w:hAnsi="Calibri;sans-serif"/>
          <w:b/>
          <w:color w:val="000000"/>
          <w:sz w:val="20"/>
        </w:rPr>
        <w:t xml:space="preserve">About United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 </w:t>
      </w:r>
    </w:p>
    <w:p>
      <w:pPr>
        <w:pStyle w:val="TextBody"/>
        <w:bidi w:val="0"/>
        <w:spacing w:before="0" w:after="0"/>
        <w:jc w:val="left"/>
        <w:rPr/>
      </w:pPr>
      <w:r>
        <w:rPr/>
      </w:r>
    </w:p>
    <w:p>
      <w:pPr>
        <w:pStyle w:val="TextBody"/>
        <w:bidi w:val="0"/>
        <w:spacing w:lineRule="auto" w:line="276" w:before="0" w:after="0"/>
        <w:jc w:val="center"/>
        <w:rPr>
          <w:rFonts w:ascii="Calibri;sans-serif" w:hAnsi="Calibri;sans-serif"/>
          <w:b/>
          <w:color w:val="000000"/>
          <w:sz w:val="20"/>
        </w:rPr>
      </w:pPr>
      <w:r>
        <w:rPr>
          <w:rFonts w:ascii="Calibri;sans-serif" w:hAnsi="Calibri;sans-serif"/>
          <w:b/>
          <w:color w:val="000000"/>
          <w:sz w:val="20"/>
        </w:rPr>
        <w:t>Website Information</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The information contained on, or that may be accessed through, our website or social media channels are not incorporated by reference into, and are not a part of, this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 xml:space="preserve">Cautionary Statement Regarding Forward-Looking Statements: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This press release and the related attachments and Investor Update (as well as the oral statements made with respect to information contained in this release and the attachments) contain certain "forward-looking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pStyle w:val="TextBody"/>
        <w:bidi w:val="0"/>
        <w:spacing w:before="0" w:after="283"/>
        <w:jc w:val="left"/>
        <w:rPr/>
      </w:pPr>
      <w:r>
        <w:rPr/>
      </w: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9700"/>
                <wp:effectExtent l="0" t="0" r="0" b="0"/>
                <wp:wrapNone/>
                <wp:docPr id="10" name="Frame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6</w:t>
                      </w:r>
                    </w:p>
                  </w:txbxContent>
                </v:textbox>
                <w10:wrap type="none"/>
              </v:rect>
            </w:pict>
          </mc:Fallback>
        </mc:AlternateConten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including our MileagePlus senior secured notes;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2024, as well as other risks and uncertainties set forth from time to time in the reports we file with the U.S. Securities and Exchange Commission.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Non-GAAP Financial Information:</w:t>
      </w:r>
    </w:p>
    <w:p>
      <w:pPr>
        <w:pStyle w:val="TextBody"/>
        <w:bidi w:val="0"/>
        <w:spacing w:lineRule="auto" w:line="276"/>
        <w:jc w:val="left"/>
        <w:rPr>
          <w:rFonts w:ascii="Calibri;sans-serif" w:hAnsi="Calibri;sans-serif"/>
          <w:b w:val="false"/>
          <w:color w:val="000000"/>
          <w:sz w:val="20"/>
        </w:rPr>
      </w:pPr>
      <w:r>
        <w:rPr>
          <w:rFonts w:ascii="Calibri;sans-serif" w:hAnsi="Calibri;sans-serif"/>
          <w:b w:val="false"/>
          <w:color w:val="000000"/>
          <w:sz w:val="20"/>
        </w:rPr>
        <w:t>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Non-GAAP financial measures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9700"/>
                <wp:effectExtent l="0" t="0" r="0" b="0"/>
                <wp:wrapNone/>
                <wp:docPr id="11" name="Frame1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Please refer to the tables accompanying this release for a description of the non-GAAP adjustments and reconciliations of the historical non-GAAP financial measures used to the most comparable GAAP financial measure and related disclosures.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color w:val="000000"/>
          <w:sz w:val="20"/>
        </w:rPr>
        <w:t>Change in Presentation:</w:t>
      </w:r>
      <w:r>
        <w:rPr>
          <w:color w:val="000000"/>
        </w:rPr>
        <w:t xml:space="preserve">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the first quarter of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center"/>
        <w:rPr>
          <w:rFonts w:ascii="Calibri;sans-serif" w:hAnsi="Calibri;sans-serif"/>
          <w:b w:val="false"/>
          <w:color w:val="000000"/>
          <w:sz w:val="20"/>
        </w:rPr>
      </w:pPr>
      <w:r>
        <w:rPr>
          <w:rFonts w:ascii="Calibri;sans-serif" w:hAnsi="Calibri;sans-serif"/>
          <w:b w:val="false"/>
          <w:color w:val="000000"/>
          <w:sz w:val="20"/>
        </w:rPr>
        <w:t>-tables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9700"/>
                <wp:effectExtent l="0" t="0" r="0" b="0"/>
                <wp:wrapNone/>
                <wp:docPr id="12" name="Frame1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8</w:t>
                      </w:r>
                    </w:p>
                  </w:txbxContent>
                </v:textbox>
                <w10:wrap type="none"/>
              </v:rect>
            </w:pict>
          </mc:Fallback>
        </mc:AlternateContent>
      </w:r>
    </w:p>
    <w:p>
      <w:pPr>
        <w:pStyle w:val="TextBody"/>
        <w:bidi w:val="0"/>
        <w:spacing w:lineRule="auto" w:line="288" w:before="120" w:after="283"/>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 xml:space="preserve">STATEMENTS OF CONSOLIDATED OPERATIONS (UNAUDITED) </w:t>
      </w:r>
    </w:p>
    <w:tbl>
      <w:tblPr>
        <w:tblW w:w="9573" w:type="dxa"/>
        <w:jc w:val="center"/>
        <w:tblInd w:w="0" w:type="dxa"/>
        <w:tblLayout w:type="fixed"/>
        <w:tblCellMar>
          <w:top w:w="28" w:type="dxa"/>
          <w:left w:w="28" w:type="dxa"/>
          <w:bottom w:w="28" w:type="dxa"/>
          <w:right w:w="28" w:type="dxa"/>
        </w:tblCellMar>
      </w:tblPr>
      <w:tblGrid>
        <w:gridCol w:w="1724"/>
        <w:gridCol w:w="1518"/>
        <w:gridCol w:w="1528"/>
        <w:gridCol w:w="109"/>
        <w:gridCol w:w="109"/>
        <w:gridCol w:w="109"/>
        <w:gridCol w:w="211"/>
        <w:gridCol w:w="695"/>
        <w:gridCol w:w="117"/>
        <w:gridCol w:w="117"/>
        <w:gridCol w:w="117"/>
        <w:gridCol w:w="117"/>
        <w:gridCol w:w="211"/>
        <w:gridCol w:w="695"/>
        <w:gridCol w:w="117"/>
        <w:gridCol w:w="109"/>
        <w:gridCol w:w="109"/>
        <w:gridCol w:w="109"/>
        <w:gridCol w:w="314"/>
        <w:gridCol w:w="314"/>
        <w:gridCol w:w="316"/>
        <w:gridCol w:w="109"/>
        <w:gridCol w:w="109"/>
        <w:gridCol w:w="109"/>
        <w:gridCol w:w="109"/>
        <w:gridCol w:w="109"/>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w:t>
              <w:br/>
              <w:t>Increase/</w:t>
              <w:br/>
              <w:t xml:space="preserve">(Decrease)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 millions, except for percentage changes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Passenger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Cargo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13,213 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Salaries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Aircraft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Landing fees and other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Aircraft maintenance materials and outside repairs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Regional capacity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Distribution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Aircraft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Unrealized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Miscellaneous,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Earnings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 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NM-Greater than 100% change or otherwise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9700"/>
                <wp:effectExtent l="0" t="0" r="0" b="0"/>
                <wp:wrapNone/>
                <wp:docPr id="13" name="Frame1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9</w:t>
                      </w:r>
                    </w:p>
                  </w:txbxContent>
                </v:textbox>
                <w10:wrap type="none"/>
              </v:rect>
            </w:pict>
          </mc:Fallback>
        </mc:AlternateContent>
      </w:r>
    </w:p>
    <w:p>
      <w:pPr>
        <w:pStyle w:val="TextBody"/>
        <w:bidi w:val="0"/>
        <w:spacing w:lineRule="auto" w:line="288" w:before="240" w:after="283"/>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PASSENGER REVENUE INFORMATION AND STATISTICS (UNAUDITED)</w:t>
      </w:r>
    </w:p>
    <w:p>
      <w:pPr>
        <w:pStyle w:val="TextBody"/>
        <w:bidi w:val="0"/>
        <w:spacing w:before="0" w:after="0"/>
        <w:jc w:val="center"/>
        <w:rPr/>
      </w:pPr>
      <w:r>
        <w:rPr/>
      </w:r>
    </w:p>
    <w:p>
      <w:pPr>
        <w:pStyle w:val="TextBody"/>
        <w:bidi w:val="0"/>
        <w:spacing w:lineRule="auto" w:line="288" w:before="0" w:after="0"/>
        <w:jc w:val="left"/>
        <w:rPr>
          <w:rFonts w:ascii="Calibri;sans-serif" w:hAnsi="Calibri;sans-serif"/>
          <w:b/>
          <w:color w:val="000000"/>
          <w:sz w:val="18"/>
        </w:rPr>
      </w:pPr>
      <w:r>
        <w:rPr>
          <w:rFonts w:ascii="Calibri;sans-serif" w:hAnsi="Calibri;sans-serif"/>
          <w:b/>
          <w:color w:val="000000"/>
          <w:sz w:val="18"/>
        </w:rPr>
        <w:t>Information is as follows (in millions, except for percentage changes):</w:t>
      </w:r>
    </w:p>
    <w:tbl>
      <w:tblPr>
        <w:tblW w:w="10205" w:type="dxa"/>
        <w:jc w:val="left"/>
        <w:tblInd w:w="0" w:type="dxa"/>
        <w:tblLayout w:type="fixed"/>
        <w:tblCellMar>
          <w:top w:w="28" w:type="dxa"/>
          <w:left w:w="28" w:type="dxa"/>
          <w:bottom w:w="28" w:type="dxa"/>
          <w:right w:w="28" w:type="dxa"/>
        </w:tblCellMar>
      </w:tblPr>
      <w:tblGrid>
        <w:gridCol w:w="566"/>
        <w:gridCol w:w="299"/>
        <w:gridCol w:w="300"/>
        <w:gridCol w:w="196"/>
        <w:gridCol w:w="646"/>
        <w:gridCol w:w="109"/>
        <w:gridCol w:w="109"/>
        <w:gridCol w:w="109"/>
        <w:gridCol w:w="109"/>
        <w:gridCol w:w="285"/>
        <w:gridCol w:w="285"/>
        <w:gridCol w:w="286"/>
        <w:gridCol w:w="109"/>
        <w:gridCol w:w="109"/>
        <w:gridCol w:w="109"/>
        <w:gridCol w:w="446"/>
        <w:gridCol w:w="446"/>
        <w:gridCol w:w="448"/>
        <w:gridCol w:w="109"/>
        <w:gridCol w:w="109"/>
        <w:gridCol w:w="109"/>
        <w:gridCol w:w="264"/>
        <w:gridCol w:w="264"/>
        <w:gridCol w:w="265"/>
        <w:gridCol w:w="109"/>
        <w:gridCol w:w="109"/>
        <w:gridCol w:w="109"/>
        <w:gridCol w:w="323"/>
        <w:gridCol w:w="323"/>
        <w:gridCol w:w="324"/>
        <w:gridCol w:w="109"/>
        <w:gridCol w:w="109"/>
        <w:gridCol w:w="109"/>
        <w:gridCol w:w="394"/>
        <w:gridCol w:w="268"/>
        <w:gridCol w:w="201"/>
        <w:gridCol w:w="109"/>
        <w:gridCol w:w="109"/>
        <w:gridCol w:w="109"/>
        <w:gridCol w:w="453"/>
        <w:gridCol w:w="349"/>
        <w:gridCol w:w="503"/>
      </w:tblGrid>
      <w:tr>
        <w:trPr/>
        <w:tc>
          <w:tcPr>
            <w:tcW w:w="5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1Q 2025</w:t>
              <w:br/>
              <w:t>Passenger</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Passenger</w:t>
              <w:br/>
              <w:t>Revenue</w:t>
              <w:br/>
              <w:t>vs.</w:t>
              <w:br/>
              <w:t>1Q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Passenger Revenue per Available Seat Mile ("PRASM") vs. 1Q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Yield vs. 1Q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Available</w:t>
              <w:br/>
              <w:t>Seat Miles ("ASMs")</w:t>
              <w:br/>
              <w:t>vs.</w:t>
              <w:br/>
              <w:t>1Q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1Q 2025 ASMs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1Q 2025 Revenue Passenger Miles ("RPMs")</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41,810 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33,557 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Europe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7,433 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Middle East/India/Africa</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1,843 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1,484 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Atlantic</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8,917 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11,901 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9,159 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Latin America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7,883 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33,346 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25,959 </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75,155 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59,517 </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Calibri;sans-serif" w:hAnsi="Calibri;sans-serif"/>
          <w:b/>
          <w:color w:val="000000"/>
          <w:sz w:val="18"/>
        </w:rPr>
      </w:pPr>
      <w:r>
        <w:rPr>
          <w:rFonts w:ascii="Calibri;sans-serif" w:hAnsi="Calibri;sans-serif"/>
          <w:b/>
          <w:color w:val="000000"/>
          <w:sz w:val="18"/>
        </w:rPr>
        <w:t>Select operating statistics are as follows:</w:t>
      </w:r>
    </w:p>
    <w:tbl>
      <w:tblPr>
        <w:tblW w:w="9286" w:type="dxa"/>
        <w:jc w:val="center"/>
        <w:tblInd w:w="0" w:type="dxa"/>
        <w:tblLayout w:type="fixed"/>
        <w:tblCellMar>
          <w:top w:w="28" w:type="dxa"/>
          <w:left w:w="28" w:type="dxa"/>
          <w:bottom w:w="28" w:type="dxa"/>
          <w:right w:w="28" w:type="dxa"/>
        </w:tblCellMar>
      </w:tblPr>
      <w:tblGrid>
        <w:gridCol w:w="1543"/>
        <w:gridCol w:w="1354"/>
        <w:gridCol w:w="1362"/>
        <w:gridCol w:w="109"/>
        <w:gridCol w:w="109"/>
        <w:gridCol w:w="109"/>
        <w:gridCol w:w="220"/>
        <w:gridCol w:w="524"/>
        <w:gridCol w:w="271"/>
        <w:gridCol w:w="122"/>
        <w:gridCol w:w="122"/>
        <w:gridCol w:w="122"/>
        <w:gridCol w:w="220"/>
        <w:gridCol w:w="524"/>
        <w:gridCol w:w="271"/>
        <w:gridCol w:w="109"/>
        <w:gridCol w:w="109"/>
        <w:gridCol w:w="109"/>
        <w:gridCol w:w="268"/>
        <w:gridCol w:w="272"/>
        <w:gridCol w:w="157"/>
        <w:gridCol w:w="157"/>
        <w:gridCol w:w="157"/>
        <w:gridCol w:w="158"/>
        <w:gridCol w:w="109"/>
        <w:gridCol w:w="109"/>
        <w:gridCol w:w="109"/>
        <w:gridCol w:w="109"/>
        <w:gridCol w:w="109"/>
        <w:gridCol w:w="109"/>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w:t>
              <w:br/>
              <w:t>Increase/</w:t>
              <w:br/>
              <w:t xml:space="preserve">(Decrease)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6"/>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Passengers (thousands)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40,806 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RPMs (millions)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ASMs (millions)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Passenger load factor: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PRASM (cents)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 per available seat mile ("TRASM")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Average yield per RPM (cents)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Cargo revenue ton miles (millions)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Aircraft in fleet at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Average stage length (miles)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Employee headcount, as of March 31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Cost per ASM ("CASM")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CASM-ex (cents)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Average aircraft fuel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Fuel gallons consumed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(a) The number of revenue passengers measured by each flight segment flown.</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(b) The number of scheduled miles flown by revenue passengers.</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(c) The number of seats available for passengers multiplied by the number of scheduled miles those seats are flown.</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(d) RPMs divided by ASMs.</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(e) The average passenger revenue received for each RPM flown.</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(f) The number of cargo revenue tons transported multiplied by the number of miles flown.</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(g) Average distance a flight travels weighted for size of aircraft.</w: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(h) CASM-ex is CASM less the impact of fuel expense, profit sharing, special charges and third-party business expenses. See NON-GAAP FINANCIAL INFORMATION for a reconciliation of CASM-ex to CASM, the most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9700"/>
                <wp:effectExtent l="0" t="0" r="0" b="0"/>
                <wp:wrapNone/>
                <wp:docPr id="14" name="Frame1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10</w:t>
                      </w:r>
                    </w:p>
                  </w:txbxContent>
                </v:textbox>
                <w10:wrap type="none"/>
              </v:rect>
            </w:pict>
          </mc:Fallback>
        </mc:AlternateContent>
      </w:r>
    </w:p>
    <w:p>
      <w:pPr>
        <w:pStyle w:val="TextBody"/>
        <w:bidi w:val="0"/>
        <w:spacing w:lineRule="auto" w:line="288" w:before="240" w:after="283"/>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60" w:after="100"/>
        <w:jc w:val="left"/>
        <w:rPr/>
      </w:pPr>
      <w:r>
        <w:rPr>
          <w:rFonts w:ascii="Calibri;sans-serif" w:hAnsi="Calibri;sans-serif"/>
          <w:b w:val="false"/>
          <w:color w:val="000000"/>
          <w:sz w:val="12"/>
        </w:rPr>
        <w:t xml:space="preserve">1 </w:t>
      </w:r>
      <w:r>
        <w:rPr>
          <w:rFonts w:ascii="Calibri;sans-serif" w:hAnsi="Calibri;sans-serif"/>
          <w:b w:val="false"/>
          <w:color w:val="000000"/>
          <w:sz w:val="18"/>
        </w:rPr>
        <w:t xml:space="preserve">NON-GAAP FINANCIAL INFORMATION </w:t>
      </w:r>
    </w:p>
    <w:p>
      <w:pPr>
        <w:pStyle w:val="TextBody"/>
        <w:bidi w:val="0"/>
        <w:spacing w:lineRule="auto" w:line="288" w:before="60" w:after="100"/>
        <w:jc w:val="left"/>
        <w:rPr>
          <w:rFonts w:ascii="Calibri;sans-serif" w:hAnsi="Calibri;sans-serif"/>
          <w:b w:val="false"/>
          <w:color w:val="000000"/>
          <w:sz w:val="18"/>
        </w:rPr>
      </w:pPr>
      <w:r>
        <w:rPr>
          <w:rFonts w:ascii="Calibri;sans-serif" w:hAnsi="Calibri;sans-serif"/>
          <w:b w:val="false"/>
          <w:color w:val="000000"/>
          <w:sz w:val="18"/>
        </w:rPr>
        <w:t xml:space="preserve">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w:t>
      </w:r>
    </w:p>
    <w:p>
      <w:pPr>
        <w:pStyle w:val="TextBody"/>
        <w:bidi w:val="0"/>
        <w:spacing w:lineRule="auto" w:line="276" w:before="100" w:after="283"/>
        <w:jc w:val="left"/>
        <w:rPr>
          <w:rFonts w:ascii="Calibri;sans-serif" w:hAnsi="Calibri;sans-serif"/>
          <w:b w:val="false"/>
          <w:color w:val="000000"/>
          <w:sz w:val="18"/>
        </w:rPr>
      </w:pPr>
      <w:r>
        <w:rPr>
          <w:rFonts w:ascii="Calibri;sans-serif" w:hAnsi="Calibri;sans-serif"/>
          <w:b w:val="false"/>
          <w:color w:val="000000"/>
          <w:sz w:val="18"/>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pStyle w:val="TextBody"/>
        <w:bidi w:val="0"/>
        <w:spacing w:lineRule="auto" w:line="276" w:before="100" w:after="283"/>
        <w:jc w:val="left"/>
        <w:rPr>
          <w:rFonts w:ascii="Calibri;sans-serif" w:hAnsi="Calibri;sans-serif"/>
          <w:b w:val="false"/>
          <w:color w:val="000000"/>
          <w:sz w:val="18"/>
        </w:rPr>
      </w:pPr>
      <w:r>
        <w:rPr>
          <w:rFonts w:ascii="Calibri;sans-serif" w:hAnsi="Calibri;sans-serif"/>
          <w:b w:val="false"/>
          <w:color w:val="000000"/>
          <w:sz w:val="18"/>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pStyle w:val="TextBody"/>
        <w:bidi w:val="0"/>
        <w:spacing w:lineRule="auto" w:line="276" w:before="100" w:after="283"/>
        <w:jc w:val="left"/>
        <w:rPr/>
      </w:pPr>
      <w:r>
        <w:rPr>
          <w:rFonts w:ascii="Calibri;sans-serif" w:hAnsi="Calibri;sans-serif"/>
          <w:b/>
          <w:color w:val="000000"/>
          <w:sz w:val="18"/>
        </w:rPr>
        <w:t>CASM-ex:</w:t>
      </w:r>
      <w:r>
        <w:rPr>
          <w:color w:val="000000"/>
        </w:rPr>
        <w:t xml:space="preserve"> </w:t>
      </w:r>
      <w:r>
        <w:rPr>
          <w:rFonts w:ascii="Calibri;sans-serif" w:hAnsi="Calibri;sans-serif"/>
          <w:b w:val="false"/>
          <w:color w:val="000000"/>
          <w:sz w:val="18"/>
        </w:rPr>
        <w:t>CASM is a common metric used in the airline industry to measure an airline's cost structure and efficiency. UAL reports CASM excluding special 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pStyle w:val="TextBody"/>
        <w:bidi w:val="0"/>
        <w:spacing w:lineRule="auto" w:line="276" w:before="100" w:after="283"/>
        <w:jc w:val="left"/>
        <w:rPr/>
      </w:pPr>
      <w:r>
        <w:rPr>
          <w:rFonts w:ascii="Calibri;sans-serif" w:hAnsi="Calibri;sans-serif"/>
          <w:b/>
          <w:color w:val="000000"/>
          <w:sz w:val="18"/>
        </w:rPr>
        <w:t xml:space="preserve">Adjusted EBITDA and Adjusted EBITDAR: </w:t>
      </w:r>
      <w:r>
        <w:rPr>
          <w:rFonts w:ascii="Calibri;sans-serif" w:hAnsi="Calibri;sans-serif"/>
          <w:b w:val="false"/>
          <w:color w:val="000000"/>
          <w:sz w:val="18"/>
        </w:rPr>
        <w:t>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w:t>
      </w:r>
    </w:p>
    <w:p>
      <w:pPr>
        <w:pStyle w:val="TextBody"/>
        <w:bidi w:val="0"/>
        <w:spacing w:lineRule="auto" w:line="288" w:before="180" w:after="100"/>
        <w:jc w:val="left"/>
        <w:rPr/>
      </w:pPr>
      <w:r>
        <w:rPr>
          <w:rFonts w:ascii="Calibri;sans-serif" w:hAnsi="Calibri;sans-serif"/>
          <w:b/>
          <w:color w:val="000000"/>
          <w:sz w:val="18"/>
        </w:rPr>
        <w:t xml:space="preserve">Adjusted Capital Expenditures: </w:t>
      </w:r>
      <w:r>
        <w:rPr>
          <w:rFonts w:ascii="Calibri;sans-serif" w:hAnsi="Calibri;sans-serif"/>
          <w:b w:val="false"/>
          <w:color w:val="000000"/>
          <w:sz w:val="18"/>
        </w:rPr>
        <w:t xml:space="preserve">UAL believes that adjusting capital expenditures for assets acquired through the issuance or modification of debt, finance leases and other financial liabilities is useful to investors in order to appropriately reflect the total amounts spent on capital expenditures. </w:t>
      </w:r>
    </w:p>
    <w:p>
      <w:pPr>
        <w:pStyle w:val="TextBody"/>
        <w:bidi w:val="0"/>
        <w:spacing w:lineRule="auto" w:line="288" w:before="180" w:after="100"/>
        <w:jc w:val="left"/>
        <w:rPr/>
      </w:pPr>
      <w:r>
        <w:rPr>
          <w:rFonts w:ascii="Calibri;sans-serif" w:hAnsi="Calibri;sans-serif"/>
          <w:b/>
          <w:color w:val="000000"/>
          <w:sz w:val="18"/>
        </w:rPr>
        <w:t>Free Cash Flow:</w:t>
      </w:r>
      <w:r>
        <w:rPr>
          <w:color w:val="000000"/>
        </w:rPr>
        <w:t xml:space="preserve"> </w:t>
      </w:r>
      <w:r>
        <w:rPr>
          <w:rFonts w:ascii="Calibri;sans-serif" w:hAnsi="Calibri;sans-serif"/>
          <w:b w:val="false"/>
          <w:color w:val="000000"/>
          <w:sz w:val="18"/>
        </w:rPr>
        <w:t>Effective January 1, 2025, we define free cash flow as the sum of net cash from operating activities and net cash from investing activities, adjusted for the net change in short-term investments and the net change in restricted cash. We believe adjusting for short-term investments and restricted cash activity provides investors a better understanding of the company's free cash flow generated by our core operations. The change in free cash flow calculation methodology does not represent a change in management's expectations. We believe this change provides investors with enhanced comparability to peers and better reflects our performance. Prior period amounts have been recast to conform to the current period presentation.</w:t>
      </w:r>
    </w:p>
    <w:p>
      <w:pPr>
        <w:pStyle w:val="TextBody"/>
        <w:bidi w:val="0"/>
        <w:spacing w:lineRule="auto" w:line="276" w:before="100" w:after="283"/>
        <w:jc w:val="left"/>
        <w:rPr/>
      </w:pPr>
      <w:r>
        <w:rPr>
          <w:rFonts w:ascii="Calibri;sans-serif" w:hAnsi="Calibri;sans-serif"/>
          <w:b/>
          <w:color w:val="000000"/>
          <w:sz w:val="18"/>
        </w:rPr>
        <w:t>Adjusted Total Debt and Adjusted Net Debt:</w:t>
      </w:r>
      <w:r>
        <w:rPr>
          <w:color w:val="000000"/>
        </w:rPr>
        <w:t xml:space="preserve"> </w:t>
      </w:r>
      <w:r>
        <w:rPr>
          <w:rFonts w:ascii="Calibri;sans-serif" w:hAnsi="Calibri;sans-serif"/>
          <w:b w:val="false"/>
          <w:color w:val="000000"/>
          <w:sz w:val="18"/>
        </w:rPr>
        <w:t>Adjusted total debt is a non-GAAP financial measure that includes current and long-term debt, finance lease 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r>
        <w:rPr>
          <w:color w:val="FFFFFF"/>
        </w:rPr>
        <w:t xml:space="preserve"> </w:t>
      </w:r>
    </w:p>
    <w:p>
      <w:pPr>
        <w:pStyle w:val="TextBody"/>
        <w:bidi w:val="0"/>
        <w:spacing w:lineRule="auto" w:line="288" w:before="180" w:after="100"/>
        <w:jc w:val="left"/>
        <w:rPr/>
      </w:pPr>
      <w:r>
        <w:rPr>
          <w:rFonts w:ascii="Calibri;sans-serif" w:hAnsi="Calibri;sans-serif"/>
          <w:b/>
          <w:color w:val="000000"/>
          <w:sz w:val="18"/>
        </w:rPr>
        <w:t xml:space="preserve">Net Leverage: </w:t>
      </w:r>
      <w:r>
        <w:rPr>
          <w:rFonts w:ascii="Calibri;sans-serif" w:hAnsi="Calibri;sans-serif"/>
          <w:b w:val="false"/>
          <w:color w:val="000000"/>
          <w:sz w:val="18"/>
        </w:rPr>
        <w:t xml:space="preserve">Net leverage is a non-GAAP financial measure that is equal to adjusted net debt divided by trailing twelve month Adjusted EBITDAR. UAL provides net leverage because we believe it provides useful supplemental information for assessing the company's debt level. See the above descriptions of Adjusted Net Debt and Adjusted EBITDAR. </w:t>
      </w:r>
    </w:p>
    <w:p>
      <w:pPr>
        <w:pStyle w:val="TextBody"/>
        <w:bidi w:val="0"/>
        <w:spacing w:before="100" w:after="283"/>
        <w:jc w:val="left"/>
        <w:rPr/>
      </w:pPr>
      <w:r>
        <w:rPr/>
      </w:r>
    </w:p>
    <w:tbl>
      <w:tblPr>
        <w:tblW w:w="8580" w:type="dxa"/>
        <w:jc w:val="left"/>
        <w:tblInd w:w="0" w:type="dxa"/>
        <w:tblLayout w:type="fixed"/>
        <w:tblCellMar>
          <w:top w:w="28" w:type="dxa"/>
          <w:left w:w="28" w:type="dxa"/>
          <w:bottom w:w="28" w:type="dxa"/>
          <w:right w:w="28" w:type="dxa"/>
        </w:tblCellMar>
      </w:tblPr>
      <w:tblGrid>
        <w:gridCol w:w="1404"/>
        <w:gridCol w:w="1236"/>
        <w:gridCol w:w="1244"/>
        <w:gridCol w:w="109"/>
        <w:gridCol w:w="109"/>
        <w:gridCol w:w="109"/>
        <w:gridCol w:w="278"/>
        <w:gridCol w:w="278"/>
        <w:gridCol w:w="266"/>
        <w:gridCol w:w="266"/>
        <w:gridCol w:w="266"/>
        <w:gridCol w:w="266"/>
        <w:gridCol w:w="278"/>
        <w:gridCol w:w="278"/>
        <w:gridCol w:w="268"/>
        <w:gridCol w:w="109"/>
        <w:gridCol w:w="109"/>
        <w:gridCol w:w="109"/>
        <w:gridCol w:w="299"/>
        <w:gridCol w:w="299"/>
        <w:gridCol w:w="301"/>
        <w:gridCol w:w="109"/>
        <w:gridCol w:w="109"/>
        <w:gridCol w:w="109"/>
        <w:gridCol w:w="109"/>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color w:val="000000"/>
                <w:sz w:val="18"/>
              </w:rPr>
              <w:t>CASM-ex</w:t>
            </w:r>
            <w:r>
              <w:rPr>
                <w:color w:val="000000"/>
              </w:rPr>
              <w:t xml:space="preserve"> </w:t>
            </w:r>
            <w:r>
              <w:rPr>
                <w:rFonts w:ascii="Calibri;sans-serif" w:hAnsi="Calibri;sans-serif"/>
                <w:b w:val="false"/>
                <w:color w:val="000000"/>
                <w:sz w:val="18"/>
              </w:rPr>
              <w:t>(in cents, except for percentage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CASM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17.36 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Fuel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Third-party business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Special charges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CASM-ex (Non-GAAP)</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13.17 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13.13 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9700"/>
                <wp:effectExtent l="0" t="0" r="0" b="0"/>
                <wp:wrapNone/>
                <wp:docPr id="15" name="Frame1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11</w:t>
                      </w:r>
                    </w:p>
                  </w:txbxContent>
                </v:textbox>
                <w10:wrap type="none"/>
              </v:rect>
            </w:pict>
          </mc:Fallback>
        </mc:AlternateContent>
      </w:r>
    </w:p>
    <w:p>
      <w:pPr>
        <w:pStyle w:val="TextBody"/>
        <w:bidi w:val="0"/>
        <w:spacing w:lineRule="auto" w:line="417" w:before="240" w:after="60"/>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20"/>
        <w:jc w:val="center"/>
        <w:rPr>
          <w:rFonts w:ascii="Calibri;sans-serif" w:hAnsi="Calibri;sans-serif"/>
          <w:b w:val="false"/>
          <w:color w:val="000000"/>
          <w:sz w:val="18"/>
        </w:rPr>
      </w:pPr>
      <w:r>
        <w:rPr>
          <w:rFonts w:ascii="Calibri;sans-serif" w:hAnsi="Calibri;sans-serif"/>
          <w:b w:val="false"/>
          <w:color w:val="000000"/>
          <w:sz w:val="18"/>
        </w:rPr>
        <w:t>NON-GAAP FINANCIAL INFORMATION (Continued)</w:t>
      </w:r>
    </w:p>
    <w:tbl>
      <w:tblPr>
        <w:tblW w:w="10205" w:type="dxa"/>
        <w:jc w:val="left"/>
        <w:tblInd w:w="0" w:type="dxa"/>
        <w:tblLayout w:type="fixed"/>
        <w:tblCellMar>
          <w:top w:w="28" w:type="dxa"/>
          <w:left w:w="28" w:type="dxa"/>
          <w:bottom w:w="28" w:type="dxa"/>
          <w:right w:w="28" w:type="dxa"/>
        </w:tblCellMar>
      </w:tblPr>
      <w:tblGrid>
        <w:gridCol w:w="1741"/>
        <w:gridCol w:w="1437"/>
        <w:gridCol w:w="1448"/>
        <w:gridCol w:w="120"/>
        <w:gridCol w:w="120"/>
        <w:gridCol w:w="120"/>
        <w:gridCol w:w="201"/>
        <w:gridCol w:w="572"/>
        <w:gridCol w:w="248"/>
        <w:gridCol w:w="112"/>
        <w:gridCol w:w="112"/>
        <w:gridCol w:w="112"/>
        <w:gridCol w:w="201"/>
        <w:gridCol w:w="572"/>
        <w:gridCol w:w="248"/>
        <w:gridCol w:w="109"/>
        <w:gridCol w:w="109"/>
        <w:gridCol w:w="109"/>
        <w:gridCol w:w="208"/>
        <w:gridCol w:w="591"/>
        <w:gridCol w:w="256"/>
        <w:gridCol w:w="115"/>
        <w:gridCol w:w="115"/>
        <w:gridCol w:w="115"/>
        <w:gridCol w:w="208"/>
        <w:gridCol w:w="591"/>
        <w:gridCol w:w="315"/>
      </w:tblGrid>
      <w:tr>
        <w:trPr/>
        <w:tc>
          <w:tcPr>
            <w:tcW w:w="174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Twelve Months Ended March 31,</w:t>
            </w:r>
          </w:p>
        </w:tc>
      </w:tr>
      <w:tr>
        <w:trPr/>
        <w:tc>
          <w:tcPr>
            <w:tcW w:w="46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color w:val="000000"/>
                <w:sz w:val="18"/>
              </w:rPr>
              <w:t>Adjusted EBITDA and Adjusted EBITDAR</w:t>
            </w:r>
            <w:r>
              <w:rPr>
                <w:color w:val="000000"/>
              </w:rPr>
              <w:t xml:space="preserve"> </w:t>
            </w:r>
            <w:r>
              <w:rPr>
                <w:rFonts w:ascii="Calibri;sans-serif" w:hAnsi="Calibri;sans-serif"/>
                <w:b w:val="false"/>
                <w:color w:val="000000"/>
                <w:sz w:val="18"/>
              </w:rPr>
              <w:t>(in millions)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(GAAP)</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2,688 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for:</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net of capitalized interest and interest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expense (benefit)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 unrealized (gains) losses on investments, net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 debt extinguishment and modification fees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EBITDA (non-GAAP)</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8,116 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18"/>
              </w:rPr>
            </w:pPr>
            <w:r>
              <w:rPr>
                <w:rFonts w:ascii="Calibri;sans-serif" w:hAnsi="Calibri;sans-serif"/>
                <w:b w:val="false"/>
                <w:i/>
                <w:color w:val="000000"/>
                <w:sz w:val="18"/>
              </w:rPr>
              <w:t>Adjusted EBITDA margin (non-GAAP)</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9.6 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6.7 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14.9 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14.8 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EBITDA (non-GAAP)</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8,116 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Fixed portion of operating lease expense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EBITDAR (non-GAAP) (a)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1,475 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9,018 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 The prior period has been recast to conform to current period presentation.</w:t>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683"/>
        <w:gridCol w:w="2353"/>
        <w:gridCol w:w="2366"/>
        <w:gridCol w:w="221"/>
        <w:gridCol w:w="630"/>
        <w:gridCol w:w="123"/>
        <w:gridCol w:w="123"/>
        <w:gridCol w:w="123"/>
        <w:gridCol w:w="123"/>
        <w:gridCol w:w="221"/>
        <w:gridCol w:w="630"/>
        <w:gridCol w:w="123"/>
        <w:gridCol w:w="109"/>
        <w:gridCol w:w="109"/>
        <w:gridCol w:w="109"/>
        <w:gridCol w:w="159"/>
      </w:tblGrid>
      <w:tr>
        <w:trPr/>
        <w:tc>
          <w:tcPr>
            <w:tcW w:w="268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color w:val="000000"/>
                <w:sz w:val="18"/>
              </w:rPr>
              <w:t>Adjusted Capital Expenditures</w:t>
            </w:r>
            <w:r>
              <w:rPr>
                <w:color w:val="000000"/>
              </w:rPr>
              <w:t xml:space="preserve"> </w:t>
            </w:r>
            <w:r>
              <w:rPr>
                <w:rFonts w:ascii="Calibri;sans-serif" w:hAnsi="Calibri;sans-serif"/>
                <w:b w:val="false"/>
                <w:color w:val="000000"/>
                <w:sz w:val="18"/>
              </w:rPr>
              <w:t>(in millions)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Capital expenditures, net of flight equipment purchase deposit returns (GAAP)</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and equipment acquired through the issuance or modification of debt, finance leases and other financial liabilities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capital expenditures (Non-GAAP)</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526"/>
        <w:gridCol w:w="1336"/>
        <w:gridCol w:w="1340"/>
        <w:gridCol w:w="109"/>
        <w:gridCol w:w="109"/>
        <w:gridCol w:w="109"/>
        <w:gridCol w:w="227"/>
        <w:gridCol w:w="647"/>
        <w:gridCol w:w="126"/>
        <w:gridCol w:w="126"/>
        <w:gridCol w:w="126"/>
        <w:gridCol w:w="126"/>
        <w:gridCol w:w="227"/>
        <w:gridCol w:w="647"/>
        <w:gridCol w:w="126"/>
        <w:gridCol w:w="109"/>
        <w:gridCol w:w="109"/>
        <w:gridCol w:w="109"/>
        <w:gridCol w:w="227"/>
        <w:gridCol w:w="751"/>
        <w:gridCol w:w="126"/>
        <w:gridCol w:w="126"/>
        <w:gridCol w:w="126"/>
        <w:gridCol w:w="126"/>
        <w:gridCol w:w="227"/>
        <w:gridCol w:w="647"/>
        <w:gridCol w:w="126"/>
        <w:gridCol w:w="109"/>
        <w:gridCol w:w="109"/>
        <w:gridCol w:w="109"/>
        <w:gridCol w:w="162"/>
      </w:tblGrid>
      <w:tr>
        <w:trPr/>
        <w:tc>
          <w:tcPr>
            <w:tcW w:w="152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Twelve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color w:val="000000"/>
                <w:sz w:val="18"/>
              </w:rPr>
              <w:t>Free Cash Flow</w:t>
            </w:r>
            <w:r>
              <w:rPr>
                <w:color w:val="000000"/>
              </w:rPr>
              <w:t xml:space="preserve"> </w:t>
            </w:r>
            <w:r>
              <w:rPr>
                <w:rFonts w:ascii="Calibri;sans-serif" w:hAnsi="Calibri;sans-serif"/>
                <w:b w:val="false"/>
                <w:color w:val="000000"/>
                <w:sz w:val="18"/>
              </w:rPr>
              <w:t xml:space="preserve">(in millions)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investing activities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change in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change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Free cash flow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5,039 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 The prior period has been recast to conform to current period presentation.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236"/>
        <w:gridCol w:w="1862"/>
        <w:gridCol w:w="1876"/>
        <w:gridCol w:w="109"/>
        <w:gridCol w:w="109"/>
        <w:gridCol w:w="109"/>
        <w:gridCol w:w="196"/>
        <w:gridCol w:w="646"/>
        <w:gridCol w:w="109"/>
        <w:gridCol w:w="109"/>
        <w:gridCol w:w="109"/>
        <w:gridCol w:w="109"/>
        <w:gridCol w:w="196"/>
        <w:gridCol w:w="646"/>
        <w:gridCol w:w="109"/>
        <w:gridCol w:w="109"/>
        <w:gridCol w:w="109"/>
        <w:gridCol w:w="109"/>
        <w:gridCol w:w="196"/>
        <w:gridCol w:w="620"/>
        <w:gridCol w:w="109"/>
        <w:gridCol w:w="123"/>
        <w:gridCol w:w="123"/>
        <w:gridCol w:w="177"/>
      </w:tblGrid>
      <w:tr>
        <w:trPr/>
        <w:tc>
          <w:tcPr>
            <w:tcW w:w="223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Calibri;sans-serif" w:hAnsi="Calibri;sans-serif"/>
                <w:b w:val="false"/>
                <w:sz w:val="18"/>
              </w:rPr>
              <w:br/>
            </w:r>
            <w:r>
              <w:rPr>
                <w:rFonts w:ascii="Calibri;sans-serif" w:hAnsi="Calibri;sans-serif"/>
                <w:b w:val="false"/>
                <w:color w:val="000000"/>
                <w:sz w:val="18"/>
              </w:rPr>
              <w:t>Increase/</w:t>
              <w:br/>
              <w:t xml:space="preserve">(Decrease) </w:t>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color w:val="000000"/>
                <w:sz w:val="18"/>
              </w:rPr>
              <w:t>Adjusted Total Debt, Adjusted Net Debt and Net Leverage</w:t>
            </w:r>
            <w:r>
              <w:rPr>
                <w:color w:val="000000"/>
              </w:rPr>
              <w:t xml:space="preserve"> </w:t>
            </w:r>
            <w:r>
              <w:rPr>
                <w:rFonts w:ascii="Calibri;sans-serif" w:hAnsi="Calibr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finance lease obligations and other financial liabilities - current and noncurrent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obligations -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and postretirement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total debt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net debt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leverage (Non-GAAP)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pts.</w:t>
            </w:r>
          </w:p>
        </w:tc>
      </w:tr>
      <w:tr>
        <w:trPr/>
        <w:tc>
          <w:tcPr>
            <w:tcW w:w="6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 The prior period has been recast to conform to current period presentation.</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9700"/>
                <wp:effectExtent l="0" t="0" r="0" b="0"/>
                <wp:wrapNone/>
                <wp:docPr id="16" name="Frame1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12</w:t>
                      </w:r>
                    </w:p>
                  </w:txbxContent>
                </v:textbox>
                <w10:wrap type="none"/>
              </v:rect>
            </w:pict>
          </mc:Fallback>
        </mc:AlternateContent>
      </w:r>
    </w:p>
    <w:p>
      <w:pPr>
        <w:pStyle w:val="TextBody"/>
        <w:bidi w:val="0"/>
        <w:spacing w:lineRule="auto" w:line="288" w:before="240" w:after="283"/>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NON-GAAP FINANCIAL INFORMATION (Continued)</w:t>
      </w:r>
    </w:p>
    <w:tbl>
      <w:tblPr>
        <w:tblW w:w="9233" w:type="dxa"/>
        <w:jc w:val="left"/>
        <w:tblInd w:w="0" w:type="dxa"/>
        <w:tblLayout w:type="fixed"/>
        <w:tblCellMar>
          <w:top w:w="28" w:type="dxa"/>
          <w:left w:w="28" w:type="dxa"/>
          <w:bottom w:w="28" w:type="dxa"/>
          <w:right w:w="28" w:type="dxa"/>
        </w:tblCellMar>
      </w:tblPr>
      <w:tblGrid>
        <w:gridCol w:w="1724"/>
        <w:gridCol w:w="1518"/>
        <w:gridCol w:w="1528"/>
        <w:gridCol w:w="196"/>
        <w:gridCol w:w="646"/>
        <w:gridCol w:w="241"/>
        <w:gridCol w:w="109"/>
        <w:gridCol w:w="109"/>
        <w:gridCol w:w="109"/>
        <w:gridCol w:w="196"/>
        <w:gridCol w:w="646"/>
        <w:gridCol w:w="241"/>
        <w:gridCol w:w="109"/>
        <w:gridCol w:w="109"/>
        <w:gridCol w:w="109"/>
        <w:gridCol w:w="314"/>
        <w:gridCol w:w="314"/>
        <w:gridCol w:w="316"/>
        <w:gridCol w:w="109"/>
        <w:gridCol w:w="109"/>
        <w:gridCol w:w="109"/>
        <w:gridCol w:w="109"/>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w:t>
              <w:br/>
              <w:t>Increase/</w:t>
              <w:br/>
              <w:t xml:space="preserve">(Decrease)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 millions, except for percentage changes and per share data)</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expenses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Operating expenses, excluding special charges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12,713 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 exclude: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Fuel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Profit sharing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Third-party business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Adjusted operating expenses (Non-GAAP)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income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operating income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18"/>
              </w:rPr>
            </w:pPr>
            <w:r>
              <w:rPr>
                <w:rFonts w:ascii="Calibri;sans-serif" w:hAnsi="Calibri;sans-serif"/>
                <w:b w:val="false"/>
                <w:i/>
                <w:color w:val="000000"/>
                <w:sz w:val="18"/>
              </w:rPr>
              <w:t>Operating margin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4.6 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0.8 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3.8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18"/>
              </w:rPr>
            </w:pPr>
            <w:r>
              <w:rPr>
                <w:rFonts w:ascii="Calibri;sans-serif" w:hAnsi="Calibri;sans-serif"/>
                <w:b w:val="false"/>
                <w:i/>
                <w:color w:val="000000"/>
                <w:sz w:val="18"/>
              </w:rPr>
              <w:t xml:space="preserve">Adjusted operating margin (Non-GAAP)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0.9 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2.9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Pre-tax income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 exclude: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Unrealized losses on investments,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extinguishment and modification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Adjusted pre-tax income (loss) (Non-GAAP)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18"/>
              </w:rPr>
            </w:pPr>
            <w:r>
              <w:rPr>
                <w:rFonts w:ascii="Calibri;sans-serif" w:hAnsi="Calibri;sans-serif"/>
                <w:b w:val="false"/>
                <w:i/>
                <w:color w:val="000000"/>
                <w:sz w:val="18"/>
              </w:rPr>
              <w:t>Pre-tax margin (GAAP)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4.9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18"/>
              </w:rPr>
            </w:pPr>
            <w:r>
              <w:rPr>
                <w:rFonts w:ascii="Calibri;sans-serif" w:hAnsi="Calibri;sans-serif"/>
                <w:b w:val="false"/>
                <w:i/>
                <w:color w:val="000000"/>
                <w:sz w:val="18"/>
              </w:rPr>
              <w:t xml:space="preserve">Adjusted pre-tax margin (Non-GAAP)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(0.6)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18"/>
              </w:rPr>
            </w:pPr>
            <w:r>
              <w:rPr>
                <w:rFonts w:ascii="Calibri;sans-serif" w:hAnsi="Calibri;sans-serif"/>
                <w:b w:val="false"/>
                <w:i/>
                <w:color w:val="000000"/>
                <w:sz w:val="18"/>
              </w:rPr>
              <w:t>3.6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Net income (loss)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 exclude: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Unrealized losses on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extinguishment and modification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expense (benefit) on adjustments,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Adjusted net income (loss) (Non-GAAP)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Diluted earnings (loss) per share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 exclude: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Special charges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Unrealized losses on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extinguishment and modification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Income tax expense (benefit) on adjustments,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Adjusted diluted earnings (loss) per share (Non-GAAP)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0.91 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9700"/>
                <wp:effectExtent l="0" t="0" r="0" b="0"/>
                <wp:wrapNone/>
                <wp:docPr id="17" name="Frame1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13</w:t>
                      </w:r>
                    </w:p>
                  </w:txbxContent>
                </v:textbox>
                <w10:wrap type="none"/>
              </v:rect>
            </w:pict>
          </mc:Fallback>
        </mc:AlternateContent>
      </w:r>
    </w:p>
    <w:p>
      <w:pPr>
        <w:pStyle w:val="TextBody"/>
        <w:bidi w:val="0"/>
        <w:spacing w:lineRule="auto" w:line="288" w:before="120" w:after="283"/>
        <w:jc w:val="center"/>
        <w:rPr>
          <w:rFonts w:ascii="Calibri;sans-serif" w:hAnsi="Calibri;sans-serif"/>
          <w:b/>
          <w:color w:val="000000"/>
          <w:sz w:val="18"/>
        </w:rPr>
      </w:pPr>
      <w:r>
        <w:rPr>
          <w:rFonts w:ascii="Calibri;sans-serif" w:hAnsi="Calibri;sans-serif"/>
          <w:b/>
          <w:color w:val="000000"/>
          <w:sz w:val="18"/>
        </w:rPr>
        <w:t xml:space="preserve">UNITED AIRLINES HOLDINGS, INC. </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186"/>
        <w:gridCol w:w="1916"/>
        <w:gridCol w:w="1926"/>
        <w:gridCol w:w="469"/>
        <w:gridCol w:w="1552"/>
        <w:gridCol w:w="263"/>
        <w:gridCol w:w="109"/>
        <w:gridCol w:w="109"/>
        <w:gridCol w:w="109"/>
        <w:gridCol w:w="307"/>
        <w:gridCol w:w="1014"/>
        <w:gridCol w:w="245"/>
      </w:tblGrid>
      <w:tr>
        <w:trPr/>
        <w:tc>
          <w:tcPr>
            <w:tcW w:w="218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(in millions)</w:t>
            </w:r>
          </w:p>
        </w:tc>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March 31,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December 31, 2024</w:t>
            </w:r>
          </w:p>
        </w:tc>
      </w:tr>
      <w:tr>
        <w:trPr/>
        <w:tc>
          <w:tcPr>
            <w:tcW w:w="6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2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9,370 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Short-term investments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 net</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Aircraft fuel, spare parts and supplies, net</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1,572 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18,883 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property and equipment, net</w:t>
            </w:r>
          </w:p>
        </w:tc>
        <w:tc>
          <w:tcPr>
            <w:tcW w:w="2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43,430 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42,908 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right-of-use assets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2,683 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Investments in affiliates and other, net</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noncurrent assets</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55,963 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55,200 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76,111 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74,083 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STOCKHOLDERS' EQUITY</w:t>
            </w:r>
          </w:p>
        </w:tc>
        <w:tc>
          <w:tcPr>
            <w:tcW w:w="2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4,193 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salaries and benefits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Advance ticket sales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10,477 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Frequent flyer deferred revenue</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maturities of long-term debt, finance leases, and other financial liabilities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3,265 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maturities of operating leases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25,798 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23,314 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finance leases, and other financial liabilities</w:t>
            </w:r>
          </w:p>
        </w:tc>
        <w:tc>
          <w:tcPr>
            <w:tcW w:w="2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24,398 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25,203 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obligations under operating leases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4,756 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Frequent flyer deferred revenue</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4,118 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and postretirement benefit liability</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1,530 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noncurrent liabilities</w:t>
            </w:r>
          </w:p>
        </w:tc>
        <w:tc>
          <w:tcPr>
            <w:tcW w:w="2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37,697 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38,094 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stockholders' equity</w:t>
            </w:r>
          </w:p>
        </w:tc>
        <w:tc>
          <w:tcPr>
            <w:tcW w:w="2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12,675 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stockholders' equity</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76,111 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74,083 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9700"/>
                <wp:effectExtent l="0" t="0" r="0" b="0"/>
                <wp:wrapNone/>
                <wp:docPr id="18" name="Frame1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14</w:t>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CONDENSED STATEMENTS OF CONSOLIDATED CASH FLOWS (UNAUDITED)</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2868"/>
        <w:gridCol w:w="2470"/>
        <w:gridCol w:w="2481"/>
        <w:gridCol w:w="222"/>
        <w:gridCol w:w="633"/>
        <w:gridCol w:w="124"/>
        <w:gridCol w:w="124"/>
        <w:gridCol w:w="124"/>
        <w:gridCol w:w="124"/>
        <w:gridCol w:w="222"/>
        <w:gridCol w:w="633"/>
        <w:gridCol w:w="180"/>
      </w:tblGrid>
      <w:tr>
        <w:trPr/>
        <w:tc>
          <w:tcPr>
            <w:tcW w:w="2868"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 xml:space="preserve">(in millions) </w:t>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r>
      <w:tr>
        <w:trPr/>
        <w:tc>
          <w:tcPr>
            <w:tcW w:w="7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r>
      <w:tr>
        <w:trPr/>
        <w:tc>
          <w:tcPr>
            <w:tcW w:w="7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Activities:</w:t>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Investing Activities: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Capital expenditures, net of flight equipment purchase deposit returns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short-term and other investments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sale of short-term and other investments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sale of property and equipment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investing activities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Financing Activities: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issuance of debt and other financial liabilities, net of discounts and fees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of long-term debt, finance leases and other financial liabilities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Repurchases of common stock</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increase in cash, cash equivalents and restricted cash</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at beginning of the period</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at end of the period (a)</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Investing and Financing Activities Not Affecting Cash:</w:t>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 acquired or modified through operating leases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and equipment acquired through the issuance or modification of debt, finance leases and other financial liabilities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7819"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Calibri;sans-serif" w:hAnsi="Calibri;sans-serif"/>
          <w:b w:val="false"/>
          <w:color w:val="000000"/>
          <w:sz w:val="16"/>
        </w:rPr>
      </w:pPr>
      <w:r>
        <w:rPr>
          <w:rFonts w:ascii="Calibri;sans-serif" w:hAnsi="Calibri;sans-serif"/>
          <w:b w:val="false"/>
          <w:color w:val="000000"/>
          <w:sz w:val="16"/>
        </w:rPr>
        <w:t>(a) The following table provides a reconciliation of cash, cash equivalents and restricted cash to amounts reported within the condensed consolidated balance sheets:</w:t>
      </w:r>
    </w:p>
    <w:tbl>
      <w:tblPr>
        <w:tblW w:w="6413" w:type="dxa"/>
        <w:jc w:val="center"/>
        <w:tblInd w:w="0" w:type="dxa"/>
        <w:tblLayout w:type="fixed"/>
        <w:tblCellMar>
          <w:top w:w="28" w:type="dxa"/>
          <w:left w:w="28" w:type="dxa"/>
          <w:bottom w:w="28" w:type="dxa"/>
          <w:right w:w="28" w:type="dxa"/>
        </w:tblCellMar>
      </w:tblPr>
      <w:tblGrid>
        <w:gridCol w:w="1565"/>
        <w:gridCol w:w="1374"/>
        <w:gridCol w:w="1380"/>
        <w:gridCol w:w="196"/>
        <w:gridCol w:w="556"/>
        <w:gridCol w:w="109"/>
        <w:gridCol w:w="109"/>
        <w:gridCol w:w="109"/>
        <w:gridCol w:w="109"/>
        <w:gridCol w:w="196"/>
        <w:gridCol w:w="55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cash in Prepaid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cash in Investments in affiliates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Total cash, cash equivalents and restricted cash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 xml:space="preserve">United Airlines Reports First-Quarter 2025 Results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9700"/>
                <wp:effectExtent l="0" t="0" r="0" b="0"/>
                <wp:wrapNone/>
                <wp:docPr id="19" name="Frame1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15</w:t>
                      </w:r>
                    </w:p>
                  </w:txbxContent>
                </v:textbox>
                <w10:wrap type="none"/>
              </v:rect>
            </w:pict>
          </mc:Fallback>
        </mc:AlternateContent>
      </w:r>
    </w:p>
    <w:p>
      <w:pPr>
        <w:pStyle w:val="TextBody"/>
        <w:bidi w:val="0"/>
        <w:spacing w:lineRule="auto" w:line="288" w:before="240" w:after="283"/>
        <w:jc w:val="center"/>
        <w:rPr>
          <w:rFonts w:ascii="Calibri;sans-serif" w:hAnsi="Calibri;sans-serif"/>
          <w:b/>
          <w:color w:val="000000"/>
          <w:sz w:val="18"/>
        </w:rPr>
      </w:pPr>
      <w:r>
        <w:rPr>
          <w:rFonts w:ascii="Calibri;sans-serif" w:hAnsi="Calibri;sans-serif"/>
          <w:b/>
          <w:color w:val="000000"/>
          <w:sz w:val="18"/>
        </w:rPr>
        <w:t>UNITED AIRLINES HOLDINGS, INC.</w:t>
      </w:r>
    </w:p>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NOTES (UNAUDITED)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Calibri;sans-serif" w:hAnsi="Calibri;sans-serif"/>
          <w:b/>
          <w:color w:val="000000"/>
          <w:sz w:val="18"/>
        </w:rPr>
      </w:pPr>
      <w:r>
        <w:rPr>
          <w:rFonts w:ascii="Calibri;sans-serif" w:hAnsi="Calibri;sans-serif"/>
          <w:b/>
          <w:color w:val="000000"/>
          <w:sz w:val="18"/>
        </w:rPr>
        <w:t>Special charges (credits) and unrealized losses on investments, net include the following:</w:t>
      </w:r>
    </w:p>
    <w:tbl>
      <w:tblPr>
        <w:tblW w:w="10205" w:type="dxa"/>
        <w:jc w:val="left"/>
        <w:tblInd w:w="0" w:type="dxa"/>
        <w:tblLayout w:type="fixed"/>
        <w:tblCellMar>
          <w:top w:w="28" w:type="dxa"/>
          <w:left w:w="28" w:type="dxa"/>
          <w:bottom w:w="28" w:type="dxa"/>
          <w:right w:w="28" w:type="dxa"/>
        </w:tblCellMar>
      </w:tblPr>
      <w:tblGrid>
        <w:gridCol w:w="2661"/>
        <w:gridCol w:w="2249"/>
        <w:gridCol w:w="2252"/>
        <w:gridCol w:w="109"/>
        <w:gridCol w:w="109"/>
        <w:gridCol w:w="109"/>
        <w:gridCol w:w="249"/>
        <w:gridCol w:w="618"/>
        <w:gridCol w:w="138"/>
        <w:gridCol w:w="138"/>
        <w:gridCol w:w="138"/>
        <w:gridCol w:w="138"/>
        <w:gridCol w:w="249"/>
        <w:gridCol w:w="421"/>
        <w:gridCol w:w="138"/>
        <w:gridCol w:w="109"/>
        <w:gridCol w:w="109"/>
        <w:gridCol w:w="109"/>
        <w:gridCol w:w="162"/>
      </w:tblGrid>
      <w:tr>
        <w:trPr/>
        <w:tc>
          <w:tcPr>
            <w:tcW w:w="2661"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(Gains) losses on sale of assets and other 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 unrealized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Nonoperating debt extinguishment and modification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Total nonoperating special charges and unrealized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and nonoperating special charges (credits) and unrealized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7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Income tax expense (benefit), net of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18"/>
              </w:rPr>
              <w:t>Total operating and nonoperating special charges (credits) and unrealized losses on investments,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00"/>
        <w:jc w:val="left"/>
        <w:rPr>
          <w:rFonts w:ascii="Calibri;sans-serif" w:hAnsi="Calibri;sans-serif"/>
          <w:b w:val="false"/>
          <w:color w:val="000000"/>
          <w:sz w:val="18"/>
        </w:rPr>
      </w:pPr>
      <w:r>
        <w:rPr>
          <w:rFonts w:ascii="Calibri;sans-serif" w:hAnsi="Calibri;sans-serif"/>
          <w:b w:val="false"/>
          <w:color w:val="000000"/>
          <w:sz w:val="18"/>
        </w:rPr>
        <w:t>Operating and nonoperating special charges (credits) and unrealized losses on investments included the following:</w:t>
      </w:r>
    </w:p>
    <w:p>
      <w:pPr>
        <w:pStyle w:val="TextBody"/>
        <w:bidi w:val="0"/>
        <w:spacing w:lineRule="auto" w:line="288" w:before="180" w:after="100"/>
        <w:jc w:val="left"/>
        <w:rPr>
          <w:rFonts w:ascii="Calibri;sans-serif" w:hAnsi="Calibri;sans-serif"/>
          <w:b w:val="false"/>
          <w:color w:val="000000"/>
          <w:sz w:val="18"/>
        </w:rPr>
      </w:pPr>
      <w:r>
        <w:rPr>
          <w:rFonts w:ascii="Calibri;sans-serif" w:hAnsi="Calibri;sans-serif"/>
          <w:b w:val="false"/>
          <w:color w:val="000000"/>
          <w:sz w:val="18"/>
        </w:rPr>
        <w:t>During 2025, the company recorded $108 million of net gains primarily related to gains on various aircraft sale-leaseback transactions.</w:t>
      </w:r>
    </w:p>
    <w:p>
      <w:pPr>
        <w:pStyle w:val="TextBody"/>
        <w:bidi w:val="0"/>
        <w:spacing w:lineRule="auto" w:line="288" w:before="180" w:after="100"/>
        <w:jc w:val="left"/>
        <w:rPr>
          <w:rFonts w:ascii="Calibri;sans-serif" w:hAnsi="Calibri;sans-serif"/>
          <w:b/>
          <w:color w:val="000000"/>
          <w:sz w:val="18"/>
        </w:rPr>
      </w:pPr>
      <w:r>
        <w:rPr>
          <w:rFonts w:ascii="Calibri;sans-serif" w:hAnsi="Calibri;sans-serif"/>
          <w:b/>
          <w:color w:val="000000"/>
          <w:sz w:val="18"/>
        </w:rPr>
        <w:t>Effective tax rate:</w:t>
      </w:r>
    </w:p>
    <w:p>
      <w:pPr>
        <w:pStyle w:val="TextBody"/>
        <w:bidi w:val="0"/>
        <w:spacing w:lineRule="auto" w:line="288" w:before="100" w:after="283"/>
        <w:jc w:val="left"/>
        <w:rPr>
          <w:rFonts w:ascii="Calibri;sans-serif" w:hAnsi="Calibri;sans-serif"/>
          <w:b w:val="false"/>
          <w:color w:val="000000"/>
          <w:sz w:val="18"/>
        </w:rPr>
      </w:pPr>
      <w:r>
        <w:rPr>
          <w:rFonts w:ascii="Calibri;sans-serif" w:hAnsi="Calibri;sans-serif"/>
          <w:b w:val="false"/>
          <w:color w:val="000000"/>
          <w:sz w:val="18"/>
        </w:rPr>
        <w:t>The company's effective tax rates were as follows:</w:t>
      </w:r>
    </w:p>
    <w:tbl>
      <w:tblPr>
        <w:tblW w:w="4771" w:type="dxa"/>
        <w:jc w:val="left"/>
        <w:tblInd w:w="0" w:type="dxa"/>
        <w:tblLayout w:type="fixed"/>
        <w:tblCellMar>
          <w:top w:w="28" w:type="dxa"/>
          <w:left w:w="28" w:type="dxa"/>
          <w:bottom w:w="28" w:type="dxa"/>
          <w:right w:w="28" w:type="dxa"/>
        </w:tblCellMar>
      </w:tblPr>
      <w:tblGrid>
        <w:gridCol w:w="494"/>
        <w:gridCol w:w="434"/>
        <w:gridCol w:w="436"/>
        <w:gridCol w:w="240"/>
        <w:gridCol w:w="226"/>
        <w:gridCol w:w="464"/>
        <w:gridCol w:w="210"/>
        <w:gridCol w:w="210"/>
        <w:gridCol w:w="210"/>
        <w:gridCol w:w="240"/>
        <w:gridCol w:w="226"/>
        <w:gridCol w:w="464"/>
        <w:gridCol w:w="109"/>
        <w:gridCol w:w="109"/>
        <w:gridCol w:w="109"/>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Effective tax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Calibri;sans-serif" w:hAnsi="Calibri;sans-serif"/>
          <w:b w:val="false"/>
          <w:color w:val="000000"/>
          <w:sz w:val="18"/>
        </w:rPr>
      </w:pPr>
      <w:r>
        <w:rPr>
          <w:rFonts w:ascii="Calibri;sans-serif" w:hAnsi="Calibri;sans-serif"/>
          <w:b w:val="false"/>
          <w:color w:val="000000"/>
          <w:sz w:val="18"/>
        </w:rPr>
        <w:t xml:space="preserve">The provision for income taxes is based on the estimated annual effective tax rate, which represents a blend of federal, state and foreign taxes and includes the impact of certain nondeductible items. The decrease in the effective tax rate, in the three months ended March 31, 2025 as compared to the same period in 2024, was primarily due to an increase in the excess tax benefits related to stock-based compensation. </w:t>
      </w:r>
    </w:p>
    <w:p>
      <w:pPr>
        <w:pStyle w:val="TextBody"/>
        <w:bidi w:val="0"/>
        <w:spacing w:before="180" w:after="100"/>
        <w:jc w:val="left"/>
        <w:rPr/>
      </w:pPr>
      <w:r>
        <w:rPr/>
      </w:r>
    </w:p>
    <w:p>
      <w:pPr>
        <w:pStyle w:val="TextBody"/>
        <w:bidi w:val="0"/>
        <w:spacing w:lineRule="auto" w:line="288" w:before="180" w:after="100"/>
        <w:jc w:val="center"/>
        <w:rPr>
          <w:rFonts w:ascii="Calibri;sans-serif" w:hAnsi="Calibri;sans-serif"/>
          <w:b w:val="false"/>
          <w:color w:val="000000"/>
          <w:sz w:val="18"/>
        </w:rPr>
      </w:pPr>
      <w:r>
        <w:rPr>
          <w:rFonts w:ascii="Calibri;sans-serif" w:hAnsi="Calibri;sans-serif"/>
          <w:b w:val="false"/>
          <w:color w:val="000000"/>
          <w:sz w:val="18"/>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9700"/>
                <wp:effectExtent l="0" t="0" r="0" b="0"/>
                <wp:wrapNone/>
                <wp:docPr id="20" name="Frame1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18"/>
                        </w:rPr>
                      </w:pPr>
                      <w:r>
                        <w:rPr>
                          <w:rFonts w:ascii="Calibri;sans-serif" w:hAnsi="Calibri;sans-serif"/>
                          <w:b w:val="false"/>
                          <w:color w:val="000000"/>
                          <w:sz w:val="18"/>
                        </w:rPr>
                        <w:t>16</w:t>
                      </w:r>
                    </w:p>
                  </w:txbxContent>
                </v:textbox>
                <w10:wrap type="none"/>
              </v:rect>
            </w:pict>
          </mc:Fallback>
        </mc:AlternateContent>
      </w:r>
    </w:p>
    <w:tbl>
      <w:tblPr>
        <w:tblW w:w="3206" w:type="dxa"/>
        <w:jc w:val="left"/>
        <w:tblInd w:w="0" w:type="dxa"/>
        <w:tblLayout w:type="fixed"/>
        <w:tblCellMar>
          <w:top w:w="28" w:type="dxa"/>
          <w:left w:w="28" w:type="dxa"/>
          <w:bottom w:w="28" w:type="dxa"/>
          <w:right w:w="28" w:type="dxa"/>
        </w:tblCellMar>
      </w:tblPr>
      <w:tblGrid>
        <w:gridCol w:w="1027"/>
        <w:gridCol w:w="902"/>
        <w:gridCol w:w="1277"/>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43100" cy="8001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1943100" cy="800100"/>
                          </a:xfrm>
                          <a:prstGeom prst="rect">
                            <a:avLst/>
                          </a:prstGeom>
                        </pic:spPr>
                      </pic:pic>
                    </a:graphicData>
                  </a:graphic>
                </wp:inline>
              </w:drawing>
            </w:r>
          </w:p>
        </w:tc>
      </w:tr>
    </w:tbl>
    <w:tbl>
      <w:tblPr>
        <w:tblW w:w="3730" w:type="dxa"/>
        <w:jc w:val="right"/>
        <w:tblInd w:w="0" w:type="dxa"/>
        <w:tblLayout w:type="fixed"/>
        <w:tblCellMar>
          <w:top w:w="28" w:type="dxa"/>
          <w:left w:w="28" w:type="dxa"/>
          <w:bottom w:w="28" w:type="dxa"/>
          <w:right w:w="28" w:type="dxa"/>
        </w:tblCellMar>
      </w:tblPr>
      <w:tblGrid>
        <w:gridCol w:w="494"/>
        <w:gridCol w:w="433"/>
        <w:gridCol w:w="437"/>
        <w:gridCol w:w="109"/>
        <w:gridCol w:w="109"/>
        <w:gridCol w:w="109"/>
        <w:gridCol w:w="594"/>
        <w:gridCol w:w="594"/>
        <w:gridCol w:w="851"/>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Investor Update</w:t>
            </w:r>
            <w:r>
              <w:rPr>
                <w:rFonts w:ascii="Calibri;sans-serif" w:hAnsi="Calibri;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Issue Date: April 15, 2025</w:t>
            </w:r>
          </w:p>
        </w:tc>
      </w:tr>
    </w:tbl>
    <w:p>
      <w:pPr>
        <w:pStyle w:val="TextBody"/>
        <w:bidi w:val="0"/>
        <w:spacing w:lineRule="auto" w:line="288" w:before="180" w:after="100"/>
        <w:jc w:val="left"/>
        <w:rPr>
          <w:rFonts w:ascii="Calibri;sans-serif" w:hAnsi="Calibri;sans-serif"/>
          <w:b w:val="false"/>
          <w:color w:val="000000"/>
          <w:sz w:val="18"/>
        </w:rPr>
      </w:pPr>
      <w:r>
        <w:rPr>
          <w:rFonts w:ascii="Calibri;sans-serif" w:hAnsi="Calibri;sans-serif"/>
          <w:b w:val="false"/>
          <w:color w:val="000000"/>
          <w:sz w:val="18"/>
        </w:rPr>
        <w:t>This Investor Update provides guidance and certain other forward-looking statements about United Airlines Holdings, Inc. (the "Company" or "UAL"). The information in this Investor Update contains the preliminary financial and operational outlook for the Company for second-quarter and full-year 2025, among other items.</w:t>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 xml:space="preserve">The Company’s outlook is dependent on the macro environment which the Company believes is impossible to predict this year with any degree of confidence. Accordingly, two guidance benchmarks are provided below. We undertake no obligation to update this guidance as circumstances evolve. </w:t>
      </w:r>
    </w:p>
    <w:p>
      <w:pPr>
        <w:pStyle w:val="TextBody"/>
        <w:bidi w:val="0"/>
        <w:spacing w:before="0" w:after="0"/>
        <w:jc w:val="left"/>
        <w:rPr/>
      </w:pPr>
      <w:r>
        <w:rPr/>
      </w:r>
    </w:p>
    <w:tbl>
      <w:tblPr>
        <w:tblW w:w="9334"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354"/>
        <w:gridCol w:w="354"/>
        <w:gridCol w:w="356"/>
        <w:gridCol w:w="109"/>
        <w:gridCol w:w="109"/>
        <w:gridCol w:w="109"/>
        <w:gridCol w:w="519"/>
        <w:gridCol w:w="519"/>
        <w:gridCol w:w="521"/>
        <w:gridCol w:w="109"/>
        <w:gridCol w:w="109"/>
        <w:gridCol w:w="109"/>
        <w:gridCol w:w="618"/>
        <w:gridCol w:w="618"/>
        <w:gridCol w:w="879"/>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 xml:space="preserve">Estimated </w:t>
              <w:b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 xml:space="preserve">Estimated </w:t>
              <w:br/>
              <w:t>FY 2025:</w:t>
              <w:br/>
              <w:t>Stable Environment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 xml:space="preserve">Estimated </w:t>
              <w:br/>
              <w:t>FY 2025:</w:t>
              <w:br/>
              <w:t>Recessionary Environment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diluted earnings per share (“EPS”)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$3.25 - $4.25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$11.50 - $13.50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$7.00 - $9.00</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total capital expenditures (in billions)</w:t>
            </w:r>
            <w:r>
              <w:rPr>
                <w:rFonts w:ascii="Calibri;sans-serif" w:hAnsi="Calibri;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&lt;$6.5B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&lt;$6.5B</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18"/>
          <w:u w:val="single"/>
        </w:rPr>
      </w:pPr>
      <w:r>
        <w:rPr>
          <w:rFonts w:ascii="Calibri;sans-serif" w:hAnsi="Calibri;sans-serif"/>
          <w:b/>
          <w:color w:val="000000"/>
          <w:sz w:val="18"/>
          <w:u w:val="single"/>
        </w:rPr>
        <w:t>Adjusted Diluted EPS Supplemental Information:</w:t>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The Company’s guidance is based on consensus market macroeconomic expectations. However, a single consensus no longer exists, and therefore the Company’s expectation has become bimodal – either the U.S. economy will remain weaker but stable, or the U.S. may enter into a recession. The Company is therefore providing two separate guidance benchmarks based on these two different macroeconomic views:</w:t>
      </w:r>
    </w:p>
    <w:p>
      <w:pPr>
        <w:pStyle w:val="TextBody"/>
        <w:bidi w:val="0"/>
        <w:spacing w:before="0" w:after="0"/>
        <w:jc w:val="left"/>
        <w:rPr/>
      </w:pPr>
      <w:r>
        <w:rPr/>
      </w:r>
    </w:p>
    <w:p>
      <w:pPr>
        <w:pStyle w:val="TextBody"/>
        <w:bidi w:val="0"/>
        <w:spacing w:lineRule="auto" w:line="268" w:before="0" w:after="0"/>
        <w:jc w:val="left"/>
        <w:rPr/>
      </w:pPr>
      <w:r>
        <w:rPr>
          <w:rFonts w:ascii="Calibri;sans-serif" w:hAnsi="Calibri;sans-serif"/>
          <w:b/>
          <w:color w:val="000000"/>
          <w:sz w:val="18"/>
        </w:rPr>
        <w:t xml:space="preserve">Stable Environment Scenario: </w:t>
      </w:r>
      <w:r>
        <w:rPr>
          <w:rFonts w:ascii="Calibri;sans-serif" w:hAnsi="Calibri;sans-serif"/>
          <w:b w:val="false"/>
          <w:color w:val="000000"/>
          <w:sz w:val="18"/>
        </w:rPr>
        <w:t>While the Company is closely monitoring bookings, as of the date of this Investor Update, booking trends have been stable. Therefore, if demand remains consistent with the weaker, but stabilized demand trends from the six weeks prior to this Investor Update, along with the current forward fuel curve, the Company continues to expect to be within the initial guidance range of $11.50 to $13.50 in adjusted diluted earnings per share.</w:t>
      </w:r>
    </w:p>
    <w:p>
      <w:pPr>
        <w:pStyle w:val="TextBody"/>
        <w:bidi w:val="0"/>
        <w:spacing w:before="0" w:after="0"/>
        <w:jc w:val="left"/>
        <w:rPr/>
      </w:pPr>
      <w:r>
        <w:rPr/>
      </w:r>
    </w:p>
    <w:p>
      <w:pPr>
        <w:pStyle w:val="TextBody"/>
        <w:bidi w:val="0"/>
        <w:spacing w:lineRule="auto" w:line="268" w:before="0" w:after="0"/>
        <w:jc w:val="left"/>
        <w:rPr/>
      </w:pPr>
      <w:r>
        <w:rPr>
          <w:rFonts w:ascii="Calibri;sans-serif" w:hAnsi="Calibri;sans-serif"/>
          <w:b/>
          <w:color w:val="000000"/>
          <w:sz w:val="18"/>
        </w:rPr>
        <w:t xml:space="preserve">Recessionary Environment Scenario: </w:t>
      </w:r>
      <w:r>
        <w:rPr>
          <w:rFonts w:ascii="Calibri;sans-serif" w:hAnsi="Calibri;sans-serif"/>
          <w:b w:val="false"/>
          <w:color w:val="000000"/>
          <w:sz w:val="18"/>
        </w:rPr>
        <w:t>If the U.S. economy enters a recession, we are modeling an incremental 5 point reduction in our total operating revenue in 2Q 2025 through 4Q 2025 compared to the stable environment scenario above. With that decrease in expected revenue, along with further capacity reductions from United but assuming no further cost relief from fuel, the Company expects adjusted diluted earnings per share of $7.00 to $9.00. For modeling purposes, each incremental 5 point reduction in revenue for the rest of the year would equal approximately $4.50 in adjusted diluted earnings per share if there were no further fuel or capacity offsets.</w:t>
      </w:r>
    </w:p>
    <w:p>
      <w:pPr>
        <w:pStyle w:val="TextBody"/>
        <w:bidi w:val="0"/>
        <w:spacing w:lineRule="auto" w:line="268" w:before="0" w:after="0"/>
        <w:jc w:val="left"/>
        <w:rPr/>
      </w:pPr>
      <w:r>
        <w:rPr>
          <w:rFonts w:ascii="Calibri;sans-serif" w:hAnsi="Calibri;sans-serif"/>
          <w:b w:val="false"/>
          <w:color w:val="000000"/>
          <w:sz w:val="10"/>
        </w:rPr>
        <w:t>1</w:t>
      </w:r>
      <w:r>
        <w:rPr>
          <w:color w:val="000000"/>
        </w:rPr>
        <w:t xml:space="preserve"> </w:t>
      </w:r>
      <w:r>
        <w:rPr>
          <w:rFonts w:ascii="Calibri;sans-serif" w:hAnsi="Calibri;sans-serif"/>
          <w:b w:val="false"/>
          <w:color w:val="000000"/>
          <w:sz w:val="16"/>
        </w:rPr>
        <w:t xml:space="preserve">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and in Part I, Item 1A. Risk Factors of the Company’s Annual Report on Form 10-K for the fiscal year ended December 31, 2024 as well as other risks and uncertainties set forth from time to time in the reports we file with the U.S. Securities and Exchange Commission (the “SEC”). The guidance is only effective as of the date given and should not be considered updated or affirmed unless and until we publicly announce updated or affirmed guidance. </w:t>
      </w:r>
    </w:p>
    <w:p>
      <w:pPr>
        <w:pStyle w:val="TextBody"/>
        <w:bidi w:val="0"/>
        <w:spacing w:lineRule="auto" w:line="268" w:before="0" w:after="0"/>
        <w:jc w:val="left"/>
        <w:rPr>
          <w:rFonts w:ascii="Calibri;sans-serif" w:hAnsi="Calibri;sans-serif"/>
          <w:b w:val="false"/>
          <w:color w:val="000000"/>
          <w:sz w:val="16"/>
        </w:rPr>
      </w:pPr>
      <w:r>
        <w:rPr>
          <w:rFonts w:ascii="Calibri;sans-serif" w:hAnsi="Calibri;sans-serif"/>
          <w:b w:val="false"/>
          <w:color w:val="000000"/>
          <w:sz w:val="16"/>
        </w:rPr>
        <w:t>We undertake no obligation to update our guidance. Management will also discuss certain business outlook items during its regularly scheduled quarterly earnings conference call on April 16, 2025. This Investor Update should be read in conjunction with the Company's earnings release issued in connection with this Investor Update and its filings with the SEC.</w:t>
      </w:r>
    </w:p>
    <w:p>
      <w:pPr>
        <w:pStyle w:val="TextBody"/>
        <w:bidi w:val="0"/>
        <w:spacing w:lineRule="auto" w:line="288" w:before="0" w:after="0"/>
        <w:jc w:val="left"/>
        <w:rPr/>
      </w:pPr>
      <w:r>
        <w:rPr>
          <w:rFonts w:ascii="Calibri;sans-serif" w:hAnsi="Calibri;sans-serif"/>
          <w:b w:val="false"/>
          <w:color w:val="000000"/>
          <w:sz w:val="10"/>
        </w:rPr>
        <w:t>2</w:t>
      </w:r>
      <w:r>
        <w:rPr>
          <w:color w:val="000000"/>
        </w:rPr>
        <w:t xml:space="preserve"> </w:t>
      </w:r>
      <w:r>
        <w:rPr>
          <w:rFonts w:ascii="Calibri;sans-serif" w:hAnsi="Calibri;sans-serif"/>
          <w:b w:val="false"/>
          <w:color w:val="000000"/>
          <w:sz w:val="16"/>
        </w:rPr>
        <w:t>Adjusted diluted earnings per share is a non-GAAP financial measure that excludes operating and non-operating special charges and unrealized (gains) losses on investments,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pStyle w:val="TextBody"/>
        <w:bidi w:val="0"/>
        <w:spacing w:lineRule="auto" w:line="268"/>
        <w:jc w:val="left"/>
        <w:rPr/>
      </w:pPr>
      <w:r>
        <w:rPr>
          <w:rFonts w:ascii="Calibri;sans-serif" w:hAnsi="Calibri;sans-serif"/>
          <w:b w:val="false"/>
          <w:color w:val="000000"/>
          <w:sz w:val="10"/>
        </w:rPr>
        <w:t>3</w:t>
      </w:r>
      <w:r>
        <w:rPr>
          <w:color w:val="000000"/>
        </w:rPr>
        <w:t xml:space="preserve"> </w:t>
      </w:r>
      <w:r>
        <w:rPr>
          <w:rFonts w:ascii="Calibri;sans-serif" w:hAnsi="Calibri;sans-serif"/>
          <w:b w:val="false"/>
          <w:color w:val="000000"/>
          <w:sz w:val="16"/>
        </w:rPr>
        <w:t>Adjusted total capital expenditures is a non-GAAP financial measure calculated as capital expenditures, net of flight equipment purchase deposit returns, plus property and equipment acquired through the issuance or modification of debt, finance leases, and other financial liabilities.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9700"/>
                <wp:effectExtent l="0" t="0" r="0" b="0"/>
                <wp:wrapNone/>
                <wp:docPr id="22" name="Frame2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1</w:t>
                      </w:r>
                    </w:p>
                  </w:txbxContent>
                </v:textbox>
                <w10:wrap type="none"/>
              </v:rect>
            </w:pict>
          </mc:Fallback>
        </mc:AlternateContent>
      </w:r>
    </w:p>
    <w:p>
      <w:pPr>
        <w:pStyle w:val="TextBody"/>
        <w:bidi w:val="0"/>
        <w:spacing w:lineRule="auto" w:line="268" w:before="0" w:after="0"/>
        <w:jc w:val="left"/>
        <w:rPr/>
      </w:pPr>
      <w:r>
        <w:rPr>
          <w:rFonts w:ascii="Calibri;sans-serif" w:hAnsi="Calibri;sans-serif"/>
          <w:b/>
          <w:color w:val="000000"/>
          <w:sz w:val="18"/>
          <w:u w:val="single"/>
        </w:rPr>
        <w:t>Profit Sharing:</w:t>
      </w:r>
      <w:r>
        <w:rPr>
          <w:color w:val="000000"/>
        </w:rPr>
        <w:t xml:space="preserve"> </w:t>
      </w:r>
      <w:r>
        <w:rPr>
          <w:rFonts w:ascii="Calibri;sans-serif" w:hAnsi="Calibri;sans-serif"/>
          <w:b w:val="false"/>
          <w:color w:val="000000"/>
          <w:sz w:val="18"/>
        </w:rPr>
        <w:t xml:space="preserve">Based on profit sharing plans in current labor agreements, the Company expects to accrue between $150 million and $205 million in the second quarter of 2025. The accrual is based on the sum of the methodology below.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18"/>
        </w:rPr>
        <w:t>Approximately 4.0% of total adjusted pre-tax earnings up to a 6.9% adjusted pre-tax margin, plus approximately 3.6% of total adjusted pre-tax earnings above a 6.9% adjusted pre-tax margin.</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18"/>
        </w:rPr>
        <w:t>Approximately 6.0% of total adjusted pre-tax earnings up to $2.5 billion adjusted pre-tax earnings, plus approximately 11.9% of total adjusted pre-tax earnings above $2.5 billion adjusted pre-tax earnings.</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18"/>
        </w:rPr>
        <w:t>Approximately 3.4% for all adjusted pre-tax earnings above the prior year’s adjusted pre-tax earnings.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Profit sharing adjusted pre-tax earnings is calculated as GAAP pre-tax income (loss), excluding operating and non-operating special charges and unrealized (gains) losses on investments, net, profit sharing expense and share-based compensation program expense. The Company estimates that share-based compensation expense for the purposes of the profit sharing adjusted pre-tax earnings calculation will be approximately $39 million for the second quarter of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18"/>
          <w:u w:val="single"/>
        </w:rPr>
        <w:t>Fleet Plan:</w:t>
      </w:r>
      <w:r>
        <w:rPr>
          <w:color w:val="000000"/>
        </w:rPr>
        <w:t xml:space="preserve"> </w:t>
      </w:r>
      <w:r>
        <w:rPr>
          <w:rFonts w:ascii="Calibri;sans-serif" w:hAnsi="Calibri;sans-serif"/>
          <w:b w:val="false"/>
          <w:color w:val="000000"/>
          <w:sz w:val="18"/>
        </w:rPr>
        <w:t>As of April 15, 2025, the Company's fleet plan was as follows:</w:t>
      </w:r>
    </w:p>
    <w:p>
      <w:pPr>
        <w:pStyle w:val="TextBody"/>
        <w:bidi w:val="0"/>
        <w:spacing w:before="0" w:after="0"/>
        <w:jc w:val="left"/>
        <w:rPr/>
      </w:pPr>
      <w:r>
        <w:rPr/>
      </w:r>
    </w:p>
    <w:tbl>
      <w:tblPr>
        <w:tblW w:w="6934" w:type="dxa"/>
        <w:jc w:val="left"/>
        <w:tblInd w:w="0" w:type="dxa"/>
        <w:tblLayout w:type="fixed"/>
        <w:tblCellMar>
          <w:top w:w="28" w:type="dxa"/>
          <w:left w:w="28" w:type="dxa"/>
          <w:bottom w:w="28" w:type="dxa"/>
          <w:right w:w="28" w:type="dxa"/>
        </w:tblCellMar>
      </w:tblPr>
      <w:tblGrid>
        <w:gridCol w:w="1010"/>
        <w:gridCol w:w="888"/>
        <w:gridCol w:w="892"/>
        <w:gridCol w:w="239"/>
        <w:gridCol w:w="239"/>
        <w:gridCol w:w="241"/>
        <w:gridCol w:w="109"/>
        <w:gridCol w:w="109"/>
        <w:gridCol w:w="109"/>
        <w:gridCol w:w="269"/>
        <w:gridCol w:w="269"/>
        <w:gridCol w:w="271"/>
        <w:gridCol w:w="109"/>
        <w:gridCol w:w="109"/>
        <w:gridCol w:w="109"/>
        <w:gridCol w:w="269"/>
        <w:gridCol w:w="269"/>
        <w:gridCol w:w="271"/>
        <w:gridCol w:w="109"/>
        <w:gridCol w:w="109"/>
        <w:gridCol w:w="109"/>
        <w:gridCol w:w="242"/>
        <w:gridCol w:w="242"/>
        <w:gridCol w:w="342"/>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1Q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2Q 2025E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3Q 2025E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YE 2025E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B777-200/300</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96</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B787-8/9/10</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B767-300/400</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53</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B757-200/300</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61</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Calibri;sans-serif" w:hAnsi="Calibri;sans-serif"/>
                <w:b w:val="false"/>
                <w:color w:val="000000"/>
                <w:sz w:val="18"/>
              </w:rPr>
            </w:pPr>
            <w:r>
              <w:rPr>
                <w:rFonts w:ascii="Calibri;sans-serif" w:hAnsi="Calibri;sans-serif"/>
                <w:b w:val="false"/>
                <w:color w:val="000000"/>
                <w:sz w:val="18"/>
              </w:rPr>
              <w:t>B737 MAX</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236</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B737-700/800/900</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329</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A319/A320</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139</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A321neo/XLR</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57</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Total Mainline Aircraft</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1,054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1,054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50-seat (ERJ145XR, CRJ550, CRJ200)</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173</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70/76-seat (E175, E170, CRJ700)</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255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Total Regional Aircraft</w:t>
            </w:r>
          </w:p>
        </w:tc>
        <w:tc>
          <w:tcPr>
            <w:tcW w:w="7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428</w:t>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 xml:space="preserve">Note: Above figures correspond with current expectations for future delivery dates, which are subject to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9700"/>
                <wp:effectExtent l="0" t="0" r="0" b="0"/>
                <wp:wrapNone/>
                <wp:docPr id="23" name="Frame2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2</w:t>
                      </w:r>
                    </w:p>
                  </w:txbxContent>
                </v:textbox>
                <w10:wrap type="none"/>
              </v:rect>
            </w:pict>
          </mc:Fallback>
        </mc:AlternateContent>
      </w:r>
    </w:p>
    <w:p>
      <w:pPr>
        <w:pStyle w:val="TextBody"/>
        <w:bidi w:val="0"/>
        <w:spacing w:lineRule="auto" w:line="333" w:before="0" w:after="0"/>
        <w:jc w:val="left"/>
        <w:rPr>
          <w:rFonts w:ascii="Calibri;sans-serif" w:hAnsi="Calibri;sans-serif"/>
          <w:b/>
          <w:color w:val="000000"/>
          <w:sz w:val="18"/>
        </w:rPr>
      </w:pPr>
      <w:r>
        <w:rPr>
          <w:rFonts w:ascii="Calibri;sans-serif" w:hAnsi="Calibri;sans-serif"/>
          <w:b/>
          <w:color w:val="000000"/>
          <w:sz w:val="18"/>
        </w:rPr>
        <w:t>Cautionary Statement Regarding Forward-Looking Statements</w:t>
      </w:r>
    </w:p>
    <w:p>
      <w:pPr>
        <w:pStyle w:val="TextBody"/>
        <w:bidi w:val="0"/>
        <w:spacing w:lineRule="auto" w:line="268" w:before="0" w:after="0"/>
        <w:jc w:val="left"/>
        <w:rPr>
          <w:rFonts w:ascii="Calibri;sans-serif" w:hAnsi="Calibri;sans-serif"/>
          <w:b w:val="false"/>
          <w:color w:val="000000"/>
          <w:sz w:val="18"/>
        </w:rPr>
      </w:pPr>
      <w:r>
        <w:rPr>
          <w:rFonts w:ascii="Calibri;sans-serif" w:hAnsi="Calibri;sans-serif"/>
          <w:b w:val="false"/>
          <w:color w:val="000000"/>
          <w:sz w:val="18"/>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68" w:before="0" w:after="0"/>
        <w:jc w:val="left"/>
        <w:rPr/>
      </w:pPr>
      <w:r>
        <w:rPr>
          <w:rFonts w:ascii="Calibri;sans-serif" w:hAnsi="Calibri;sans-serif"/>
          <w:b w:val="false"/>
          <w:color w:val="000000"/>
          <w:sz w:val="18"/>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 in the Middle East, as well as any escalation of the broader economic consequences of these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including our MileagePlus® senior secured notes;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w:t>
      </w:r>
      <w:r>
        <w:rPr>
          <w:rFonts w:ascii="Calibri;sans-serif" w:hAnsi="Calibri;sans-serif"/>
          <w:b w:val="false"/>
          <w:color w:val="000000"/>
          <w:sz w:val="18"/>
          <w:shd w:fill="FFFFFF" w:val="clear"/>
        </w:rPr>
        <w:t xml:space="preserve">er 31, 2024, as </w:t>
      </w:r>
      <w:r>
        <w:rPr>
          <w:rFonts w:ascii="Calibri;sans-serif" w:hAnsi="Calibri;sans-serif"/>
          <w:b w:val="false"/>
          <w:color w:val="000000"/>
          <w:sz w:val="18"/>
        </w:rPr>
        <w:t>well as other risks and uncertainties set forth from time to time in the reports we file with the SEC.</w:t>
      </w:r>
    </w:p>
    <w:p>
      <w:pPr>
        <w:pStyle w:val="TextBody"/>
        <w:bidi w:val="0"/>
        <w:spacing w:lineRule="auto" w:line="333" w:before="180" w:after="283"/>
        <w:jc w:val="left"/>
        <w:rPr>
          <w:rFonts w:ascii="Calibri;sans-serif" w:hAnsi="Calibri;sans-serif"/>
          <w:b/>
          <w:color w:val="000000"/>
          <w:sz w:val="18"/>
        </w:rPr>
      </w:pPr>
      <w:r>
        <w:rPr>
          <w:rFonts w:ascii="Calibri;sans-serif" w:hAnsi="Calibri;sans-serif"/>
          <w:b/>
          <w:color w:val="000000"/>
          <w:sz w:val="18"/>
        </w:rPr>
        <w:t>Non-GAAP Financial Information and Financial Guidance</w:t>
      </w:r>
    </w:p>
    <w:p>
      <w:pPr>
        <w:pStyle w:val="TextBody"/>
        <w:bidi w:val="0"/>
        <w:spacing w:lineRule="auto" w:line="288"/>
        <w:jc w:val="left"/>
        <w:rPr>
          <w:rFonts w:ascii="Calibri;sans-serif" w:hAnsi="Calibri;sans-serif"/>
          <w:b w:val="false"/>
          <w:color w:val="000000"/>
          <w:sz w:val="18"/>
        </w:rPr>
      </w:pPr>
      <w:r>
        <w:rPr>
          <w:rFonts w:ascii="Calibri;sans-serif" w:hAnsi="Calibri;sans-serif"/>
          <w:b w:val="false"/>
          <w:color w:val="000000"/>
          <w:sz w:val="18"/>
        </w:rPr>
        <w:t xml:space="preserve">The Company refers to financial measures that are not in accordance with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9700"/>
                <wp:effectExtent l="0" t="0" r="0" b="0"/>
                <wp:wrapNone/>
                <wp:docPr id="24" name="Frame2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3</w:t>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lineRule="auto" w:line="333"/>
        <w:jc w:val="center"/>
        <w:rPr>
          <w:rFonts w:ascii="Calibri;sans-serif" w:hAnsi="Calibri;sans-serif"/>
          <w:b w:val="false"/>
          <w:color w:val="000000"/>
          <w:sz w:val="18"/>
        </w:rPr>
      </w:pPr>
      <w:r>
        <w:rPr>
          <w:rFonts w:ascii="Calibri;sans-serif" w:hAnsi="Calibri;sans-serif"/>
          <w:b w:val="false"/>
          <w:color w:val="000000"/>
          <w:sz w:val="18"/>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9700"/>
                <wp:effectExtent l="0" t="0" r="0" b="0"/>
                <wp:wrapNone/>
                <wp:docPr id="25" name="Frame2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Calibri;sans-serif" w:hAnsi="Calibri;sans-serif"/>
                          <w:b w:val="false"/>
                          <w:color w:val="000000"/>
                          <w:sz w:val="18"/>
                        </w:rPr>
                      </w:pPr>
                      <w:r>
                        <w:rPr>
                          <w:rFonts w:ascii="Calibri;sans-serif" w:hAnsi="Calibri;sans-serif"/>
                          <w:b w:val="false"/>
                          <w:color w:val="000000"/>
                          <w:sz w:val="18"/>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10171</Words>
  <Characters>58013</Characters>
  <CharactersWithSpaces>67474</CharactersWithSpaces>
  <Paragraphs>1283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