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Republic Airways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590479408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Robert S. Rivkin</w:t>
              <w:br/>
              <w:t>United Airlines Holdings, Inc., 233 South Wacker Drive</w:t>
              <w:br/>
              <w:t>Chicago, IL, 60606</w:t>
              <w:br/>
              <w:t>(872) 825-4000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02/03/2026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590479408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United Airlines Holdings,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10,490,745.00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10,490,745.00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10,490,745.00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of Shares (as defined herein) reported beneficially owned by the Reporting Person is based on 46,949,601 Shares outstanding as of February 5, 2026, based on information received from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590479408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UNITED AIRLINES,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10,490,745.00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10,490,745.00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10,490,745.00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22.3 %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of Shares reported beneficially owned by the Reporting Person is based on 46,949,601 Shares outstanding as of February 5, 2026, based on information received from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48"/>
        <w:gridCol w:w="8889"/>
        <w:gridCol w:w="168"/>
      </w:tblGrid>
      <w:tr>
        <w:trPr/>
        <w:tc>
          <w:tcPr>
            <w:tcW w:w="1148"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Republic Airways Holdings Inc.</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Brickyard Lane, Carmel, INDIANA , 46032.</w:t>
            </w:r>
          </w:p>
        </w:tc>
        <w:tc>
          <w:tcPr>
            <w:tcW w:w="168"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5 to Schedule 13D ("Amendment No. 5") is being filed by the undersigned, pursuant to Section 240.13d-2(a), to amend and supplement the Schedule 13D filed with the U.S. Securities and Exchange Commission (the "SEC" or the "Commission") by the undersigned on January 23, 2023 (the "Initial Schedule 13D"), as amended and supplemented by Amendment No. 1 filed with the Commission on March 8, 2023, Amendment No. 2 filed with the Commission on May 4, 2023, Amendment No. 3 filed with the Commission on April 8, 2025, and Amendment No. 4 filed with the Commission on November 28, 2025 (collectively, the "Schedule 13D"), with respect to the common stock, par value $0.001 per share (the "Shares"), of Republic Airways Holdings Inc. (formerly known as Mesa Air Group, Inc.), a Delaware corporation (the "Issuer" or the "Company"), whose principal executive offices are located at 2 Brickyard Lane, Carmel, Indiana 46032. Capitalized terms not otherwise defined herein shall have the meanings ascribed to them in the Schedule 13D. Except as specifically provided herein, this Amendment No. 5 does not modify any of the information previously reported in the Schedule 13D.</w:t>
            </w:r>
          </w:p>
        </w:tc>
      </w:tr>
      <w:tr>
        <w:trPr/>
        <w:tc>
          <w:tcPr>
            <w:tcW w:w="1148"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Source and Amount of Funds or Other Consideration</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3 of the Schedule 13D is hereby amended and supplemented as follows: The disclosure in Item 4 of this Amendment No. 5 is incorporated by reference into this Item 3.</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Purpose of Transaction</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4 of the Schedule 13D is hereby amended and supplemented as follows: On February 3, 2026, pursuant to the terms of the Three Party Agreement (as defined and described in Amendment No. 3), the amount of Escrow Shares payable to United in exchange for the forgiveness and repayment of certain debts and obligations of the pre-closing Company to United was agreed upon among United, the Issuer, and Legacy Republic as 2,744,348 Escrow Shares, valued at $18.84 per share, with a total value of $51,703,516.32.</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Item 5(a) of the Schedule 13D is hereby amended and supplemented as follows: As of the date hereof, each of the Reporting Persons may be deemed to own 10,490,745 Shares, which represent approximately 22.3% of the Shares outstanding. The percentage of Shares reported beneficially owned by the Reporting Persons is based on 46,949,601 Shares outstanding as of February 5, 2026, based on information received from the Issuer.</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Item 5(b) of the Schedule 13D is hereby amended and supplemented as follows: As the holding company of United, UAL shares with United the power to vote or direct the vote, and the power to dispose or direct the disposition of, the 10,490,745 Shares directly held by United.</w:t>
            </w:r>
          </w:p>
        </w:tc>
        <w:tc>
          <w:tcPr>
            <w:tcW w:w="168"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Item 5(c) of the Schedule 13D is hereby amended and supplemented as follows: The disclosure in Item 4 of this Amendment No. 5 is incorporated by reference into this Item 5(c).</w:t>
            </w:r>
          </w:p>
        </w:tc>
        <w:tc>
          <w:tcPr>
            <w:tcW w:w="16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United Airlines Holdings,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S. Rivkin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Robert S. Rivkin, Senior Vice President and Chief Legal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02/05/2026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UNITED AIRLINES, INC.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D. Leskinen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D. Leskinen, Executive Vice President and Chief Financial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02/05/2026</w:t>
                  </w:r>
                </w:p>
              </w:tc>
            </w:tr>
          </w:tbl>
          <w:p>
            <w:pPr>
              <w:pStyle w:val="TableContents"/>
              <w:bidi w:val="0"/>
              <w:spacing w:before="0" w:after="283"/>
              <w:jc w:val="left"/>
              <w:rPr/>
            </w:pPr>
            <w:r>
              <w:rPr/>
            </w:r>
          </w:p>
        </w:tc>
        <w:tc>
          <w:tcPr>
            <w:tcW w:w="43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1118</Words>
  <Characters>5792</Characters>
  <CharactersWithSpaces>6839</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