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757555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15, 2021</w:t>
      </w: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HOLDINGS, INC.</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AIRLINES, INC.</w:t>
      </w:r>
    </w:p>
    <w:p>
      <w:pPr>
        <w:spacing w:after="0" w:line="230" w:lineRule="exact"/>
        <w:rPr>
          <w:sz w:val="24"/>
          <w:szCs w:val="24"/>
          <w:color w:val="auto"/>
        </w:rPr>
      </w:pPr>
    </w:p>
    <w:tbl>
      <w:tblPr>
        <w:tblLayout w:type="fixed"/>
        <w:tblInd w:w="1480" w:type="dxa"/>
        <w:tblCellMar>
          <w:top w:w="0" w:type="dxa"/>
          <w:left w:w="0" w:type="dxa"/>
          <w:bottom w:w="0" w:type="dxa"/>
          <w:right w:w="0" w:type="dxa"/>
        </w:tblCellMar>
      </w:tblPr>
      <w:tr>
        <w:trPr>
          <w:trHeight w:val="230"/>
        </w:trPr>
        <w:tc>
          <w:tcPr>
            <w:tcW w:w="6140" w:type="dxa"/>
            <w:vAlign w:val="bottom"/>
            <w:gridSpan w:val="3"/>
          </w:tcPr>
          <w:p>
            <w:pPr>
              <w:ind w:left="2280"/>
              <w:spacing w:after="0"/>
              <w:rPr>
                <w:sz w:val="20"/>
                <w:szCs w:val="20"/>
                <w:color w:val="auto"/>
              </w:rPr>
            </w:pPr>
            <w:r>
              <w:rPr>
                <w:rFonts w:ascii="Arial" w:cs="Arial" w:eastAsia="Arial" w:hAnsi="Arial"/>
                <w:sz w:val="18"/>
                <w:szCs w:val="18"/>
                <w:color w:val="auto"/>
                <w:w w:val="93"/>
              </w:rPr>
              <w:t>(Exact name of registrant as specified in its charter)</w:t>
            </w:r>
          </w:p>
        </w:tc>
        <w:tc>
          <w:tcPr>
            <w:tcW w:w="2000" w:type="dxa"/>
            <w:vAlign w:val="bottom"/>
          </w:tcPr>
          <w:p>
            <w:pPr>
              <w:spacing w:after="0"/>
              <w:rPr>
                <w:sz w:val="20"/>
                <w:szCs w:val="20"/>
                <w:color w:val="auto"/>
              </w:rPr>
            </w:pPr>
          </w:p>
        </w:tc>
      </w:tr>
      <w:tr>
        <w:trPr>
          <w:trHeight w:val="346"/>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001-06033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36-2675207</w:t>
            </w:r>
          </w:p>
        </w:tc>
      </w:tr>
      <w:tr>
        <w:trPr>
          <w:trHeight w:val="233"/>
        </w:trPr>
        <w:tc>
          <w:tcPr>
            <w:tcW w:w="30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3"/>
              </w:rPr>
              <w:t>Delaware</w:t>
            </w:r>
          </w:p>
        </w:tc>
        <w:tc>
          <w:tcPr>
            <w:tcW w:w="310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0"/>
              </w:rPr>
              <w:t>001-10323</w:t>
            </w:r>
          </w:p>
        </w:tc>
        <w:tc>
          <w:tcPr>
            <w:tcW w:w="200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74-2099724</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2"/>
              </w:rPr>
              <w:t>(State or other jurisdiction</w:t>
            </w:r>
          </w:p>
        </w:tc>
        <w:tc>
          <w:tcPr>
            <w:tcW w:w="3100" w:type="dxa"/>
            <w:vAlign w:val="bottom"/>
            <w:gridSpan w:val="2"/>
          </w:tcPr>
          <w:p>
            <w:pPr>
              <w:jc w:val="center"/>
              <w:ind w:right="850"/>
              <w:spacing w:after="0"/>
              <w:rPr>
                <w:sz w:val="20"/>
                <w:szCs w:val="20"/>
                <w:color w:val="auto"/>
              </w:rPr>
            </w:pPr>
            <w:r>
              <w:rPr>
                <w:rFonts w:ascii="Arial" w:cs="Arial" w:eastAsia="Arial" w:hAnsi="Arial"/>
                <w:sz w:val="18"/>
                <w:szCs w:val="18"/>
                <w:color w:val="auto"/>
                <w:w w:val="93"/>
              </w:rPr>
              <w:t>(Commission File Number)</w:t>
            </w: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right="1050"/>
              <w:spacing w:after="0"/>
              <w:rPr>
                <w:sz w:val="20"/>
                <w:szCs w:val="20"/>
                <w:color w:val="auto"/>
              </w:rPr>
            </w:pPr>
            <w:r>
              <w:rPr>
                <w:rFonts w:ascii="Arial" w:cs="Arial" w:eastAsia="Arial" w:hAnsi="Arial"/>
                <w:sz w:val="18"/>
                <w:szCs w:val="18"/>
                <w:color w:val="auto"/>
                <w:w w:val="93"/>
              </w:rPr>
              <w:t>of incorporation)</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left="250"/>
              <w:spacing w:after="0"/>
              <w:rPr>
                <w:sz w:val="20"/>
                <w:szCs w:val="20"/>
                <w:color w:val="auto"/>
              </w:rPr>
            </w:pPr>
            <w:r>
              <w:rPr>
                <w:rFonts w:ascii="Arial" w:cs="Arial" w:eastAsia="Arial" w:hAnsi="Arial"/>
                <w:sz w:val="18"/>
                <w:szCs w:val="18"/>
                <w:color w:val="auto"/>
                <w:w w:val="94"/>
              </w:rPr>
              <w:t>Identification Number)</w:t>
            </w:r>
          </w:p>
        </w:tc>
      </w:tr>
      <w:tr>
        <w:trPr>
          <w:trHeight w:val="346"/>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4"/>
        </w:trPr>
        <w:tc>
          <w:tcPr>
            <w:tcW w:w="3040" w:type="dxa"/>
            <w:vAlign w:val="bottom"/>
          </w:tcPr>
          <w:p>
            <w:pPr>
              <w:jc w:val="center"/>
              <w:spacing w:after="0"/>
              <w:rPr>
                <w:sz w:val="20"/>
                <w:szCs w:val="20"/>
                <w:color w:val="auto"/>
              </w:rPr>
            </w:pPr>
            <w:r>
              <w:rPr>
                <w:rFonts w:ascii="Arial" w:cs="Arial" w:eastAsia="Arial" w:hAnsi="Arial"/>
                <w:sz w:val="18"/>
                <w:szCs w:val="18"/>
                <w:b w:val="1"/>
                <w:bCs w:val="1"/>
                <w:color w:val="auto"/>
                <w:w w:val="91"/>
              </w:rPr>
              <w:t>233 S. Wacker Drive,</w:t>
            </w:r>
          </w:p>
        </w:tc>
        <w:tc>
          <w:tcPr>
            <w:tcW w:w="1180" w:type="dxa"/>
            <w:vAlign w:val="bottom"/>
          </w:tcPr>
          <w:p>
            <w:pPr>
              <w:ind w:left="380"/>
              <w:spacing w:after="0"/>
              <w:rPr>
                <w:sz w:val="20"/>
                <w:szCs w:val="20"/>
                <w:color w:val="auto"/>
              </w:rPr>
            </w:pPr>
            <w:r>
              <w:rPr>
                <w:rFonts w:ascii="Arial" w:cs="Arial" w:eastAsia="Arial" w:hAnsi="Arial"/>
                <w:sz w:val="18"/>
                <w:szCs w:val="18"/>
                <w:b w:val="1"/>
                <w:bCs w:val="1"/>
                <w:color w:val="auto"/>
              </w:rPr>
              <w:t>Chicago,</w:t>
            </w: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IL</w:t>
            </w:r>
          </w:p>
        </w:tc>
        <w:tc>
          <w:tcPr>
            <w:tcW w:w="200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60606</w:t>
            </w:r>
          </w:p>
        </w:tc>
      </w:tr>
      <w:tr>
        <w:trPr>
          <w:trHeight w:val="230"/>
        </w:trPr>
        <w:tc>
          <w:tcPr>
            <w:tcW w:w="30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0" w:type="dxa"/>
            <w:vAlign w:val="bottom"/>
          </w:tcPr>
          <w:p>
            <w:pPr>
              <w:jc w:val="center"/>
              <w:ind w:right="8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00" w:hanging="438"/>
        <w:spacing w:after="0"/>
        <w:tabs>
          <w:tab w:leader="none" w:pos="5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103"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2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60"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 w:lineRule="exact"/>
        <w:rPr>
          <w:rFonts w:ascii="MS PGothic" w:cs="MS PGothic" w:eastAsia="MS PGothic" w:hAnsi="MS PGothic"/>
          <w:sz w:val="16"/>
          <w:szCs w:val="16"/>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280" w:type="dxa"/>
            <w:vAlign w:val="bottom"/>
            <w:gridSpan w:val="2"/>
          </w:tcPr>
          <w:p>
            <w:pPr>
              <w:ind w:left="20"/>
              <w:spacing w:after="0"/>
              <w:rPr>
                <w:sz w:val="20"/>
                <w:szCs w:val="20"/>
                <w:color w:val="auto"/>
              </w:rPr>
            </w:pPr>
            <w:r>
              <w:rPr>
                <w:rFonts w:ascii="Arial" w:cs="Arial" w:eastAsia="Arial" w:hAnsi="Arial"/>
                <w:sz w:val="13"/>
                <w:szCs w:val="13"/>
                <w:b w:val="1"/>
                <w:bCs w:val="1"/>
                <w:color w:val="auto"/>
              </w:rPr>
              <w:t>Registrant</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Title of Each Class</w:t>
            </w:r>
          </w:p>
        </w:tc>
        <w:tc>
          <w:tcPr>
            <w:tcW w:w="1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Trading Symbol</w:t>
            </w:r>
          </w:p>
        </w:tc>
        <w:tc>
          <w:tcPr>
            <w:tcW w:w="3600" w:type="dxa"/>
            <w:vAlign w:val="bottom"/>
          </w:tcPr>
          <w:p>
            <w:pPr>
              <w:jc w:val="center"/>
              <w:spacing w:after="0"/>
              <w:rPr>
                <w:sz w:val="20"/>
                <w:szCs w:val="20"/>
                <w:color w:val="auto"/>
              </w:rPr>
            </w:pPr>
            <w:r>
              <w:rPr>
                <w:rFonts w:ascii="Arial" w:cs="Arial" w:eastAsia="Arial" w:hAnsi="Arial"/>
                <w:sz w:val="13"/>
                <w:szCs w:val="13"/>
                <w:b w:val="1"/>
                <w:bCs w:val="1"/>
                <w:color w:val="auto"/>
                <w:w w:val="86"/>
              </w:rPr>
              <w:t>Name of Each Exchange on Which Registered</w:t>
            </w:r>
          </w:p>
        </w:tc>
      </w:tr>
      <w:tr>
        <w:trPr>
          <w:trHeight w:val="160"/>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United Airlines Holdings, Inc.</w:t>
            </w:r>
          </w:p>
        </w:tc>
        <w:tc>
          <w:tcPr>
            <w:tcW w:w="280" w:type="dxa"/>
            <w:vAlign w:val="bottom"/>
          </w:tcPr>
          <w:p>
            <w:pPr>
              <w:spacing w:after="0"/>
              <w:rPr>
                <w:sz w:val="13"/>
                <w:szCs w:val="13"/>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Common Stock, $0.01 par value</w:t>
            </w:r>
          </w:p>
        </w:tc>
        <w:tc>
          <w:tcPr>
            <w:tcW w:w="280" w:type="dxa"/>
            <w:vAlign w:val="bottom"/>
          </w:tcPr>
          <w:p>
            <w:pPr>
              <w:spacing w:after="0"/>
              <w:rPr>
                <w:sz w:val="13"/>
                <w:szCs w:val="13"/>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UAL</w:t>
            </w:r>
          </w:p>
        </w:tc>
        <w:tc>
          <w:tcPr>
            <w:tcW w:w="240" w:type="dxa"/>
            <w:vAlign w:val="bottom"/>
          </w:tcPr>
          <w:p>
            <w:pPr>
              <w:spacing w:after="0"/>
              <w:rPr>
                <w:sz w:val="13"/>
                <w:szCs w:val="13"/>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Holdings,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6"/>
              </w:rPr>
              <w:t>Preferred Stock Purchase Rights</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The Nasdaq Stock Market LLC</w:t>
            </w:r>
          </w:p>
        </w:tc>
      </w:tr>
      <w:tr>
        <w:trPr>
          <w:trHeight w:val="175"/>
        </w:trPr>
        <w:tc>
          <w:tcPr>
            <w:tcW w:w="3280" w:type="dxa"/>
            <w:vAlign w:val="bottom"/>
            <w:gridSpan w:val="2"/>
          </w:tcPr>
          <w:p>
            <w:pPr>
              <w:ind w:left="20"/>
              <w:spacing w:after="0"/>
              <w:rPr>
                <w:sz w:val="20"/>
                <w:szCs w:val="20"/>
                <w:color w:val="auto"/>
              </w:rPr>
            </w:pPr>
            <w:r>
              <w:rPr>
                <w:rFonts w:ascii="Arial" w:cs="Arial" w:eastAsia="Arial" w:hAnsi="Arial"/>
                <w:sz w:val="13"/>
                <w:szCs w:val="13"/>
                <w:color w:val="auto"/>
              </w:rPr>
              <w:t>United Airlines, Inc.</w:t>
            </w:r>
          </w:p>
        </w:tc>
        <w:tc>
          <w:tcPr>
            <w:tcW w:w="236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None</w:t>
            </w:r>
          </w:p>
        </w:tc>
        <w:tc>
          <w:tcPr>
            <w:tcW w:w="18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None</w:t>
            </w:r>
          </w:p>
        </w:tc>
        <w:tc>
          <w:tcPr>
            <w:tcW w:w="3600" w:type="dxa"/>
            <w:vAlign w:val="bottom"/>
          </w:tcPr>
          <w:p>
            <w:pPr>
              <w:jc w:val="center"/>
              <w:spacing w:after="0"/>
              <w:rPr>
                <w:sz w:val="20"/>
                <w:szCs w:val="20"/>
                <w:color w:val="auto"/>
              </w:rPr>
            </w:pPr>
            <w:r>
              <w:rPr>
                <w:rFonts w:ascii="Arial" w:cs="Arial" w:eastAsia="Arial" w:hAnsi="Arial"/>
                <w:sz w:val="13"/>
                <w:szCs w:val="13"/>
                <w:color w:val="auto"/>
                <w:w w:val="89"/>
              </w:rPr>
              <w:t>None</w:t>
            </w:r>
          </w:p>
        </w:tc>
      </w:tr>
    </w:tbl>
    <w:p>
      <w:pPr>
        <w:spacing w:after="0" w:line="344"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right="9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95885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United Airlines, Inc. ("United"), a wholly-owned subsidiary of United Airlines Holdings, Inc. ("UAL" and, together with United, the "Company"), has seen improvement in customer demand for travel and new bookings compared to previous estimations in recent weeks. The Company now expects core cash flow for the month of March 2021 to be positive if the current trajectory of bookings improvement is sustained. The Company additionally anticipates core cash burn for the first quarter of 2021 to be favorable versus the fourth quarter of 2020 as a result of the acceleration in forward bookings. If the current rate of improvement in bookings continues, the Company expects core cash flow to be positive moving forward.</w:t>
      </w:r>
    </w:p>
    <w:p>
      <w:pPr>
        <w:spacing w:after="0" w:line="5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Core cash flow as referenced above is defined in the same manner as core cash burn, except that the result is positive. Core cash burn is defined as: Net cash from operations, less investing and financing activities. Proceeds from the issuance of new debt (excluding expected aircraft financing), government grants associated with the Payroll Support Program of the CARES Act, issuance of new stock, net proceeds from the sale of short-term and other investments, changes in certain restricted cash balances, debt principal payments, timing of certain payments, capital expenditures (net of flight equipment purchase deposit returns), investments in the recovery and severance payments are not included in this figure.</w:t>
      </w:r>
    </w:p>
    <w:p>
      <w:pPr>
        <w:spacing w:after="0" w:line="1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Cautionary Statement Regarding Forward-Looking Statements</w:t>
      </w:r>
      <w:r>
        <w:rPr>
          <w:rFonts w:ascii="Arial" w:cs="Arial" w:eastAsia="Arial" w:hAnsi="Arial"/>
          <w:sz w:val="18"/>
          <w:szCs w:val="18"/>
          <w:color w:val="auto"/>
        </w:rPr>
        <w:t>:</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1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actual results could differ materially from these forward-looking statements due to numerous factors including, without limitation, the following: the adverse impacts of the ongoing COVID-19 global pandemic, and possible outbreaks of another disease or similar public health threat in the future, on the business, operating results, financial condition, liquidity and near-term and long-term strategic operating plan of the Company, including possible additional adverse impacts resulting from the duration and spread of the pandemic; unfavorable economic and political conditions in the United States and globally; the highly competitive nature of the global airline industry and susceptibility of the industry to price discounting and changes in capacity; high and/or volatile fuel prices or significant disruptions in the supply of aircraft fuel; the Company's reliance on technology and automated systems to operate its business and the impact of any significant failure or disruption of, or failure to effectively integrate and implement, the technology or systems; the Company's reliance on third-party service providers and the impact of any failure of these parties to perform as expected, or interruptions in the Company's relationships with these providers or their provision of services; adverse publicity, harm to the Company's brand, reduced travel demand and potential tort liability as a result of an accident, catastrophe or incident involving the Company, its regional carriers, its codeshare partners, or another airline; terrorist attacks, international hostilities or other security events, or the fear of terrorist attacks or hostilities, even if not made directly on the airline industry; increasing privacy and data security obligations or a significant data breach; disruptions to the Company's regional network and United Express flights provided by third-party regional carriers; the failure of the Company's significant investments in other airlines, including Avianca Holdings, S.A. and its affiliates, and the commercial relationships that the Company has with those carriers, to produce the returns or results the Company expects; further changes to the airline industry with respect to alliances and joint business arrangements or due to consolidations; changes in the Company's network strategy or other factors outside the Company's control resulting in less economic aircraft orders, costs related to modification or termination of aircraft orders or entry into less favorable aircraft orders; the Company's reliance on single suppliers to source a majority of its aircraft and certain parts, and the impact of any failure to obtain timely deliveries, additional equipment or support from any of these suppliers; the impacts of union disputes, employee strikes or slowdowns, and other labor-related disruptions on the Company's operations; extended interruptions or disruptions in service at major airports where the Company operates; the impacts of the United Kingdom's withdrawal from the European Union on the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 w:name="page3"/>
    <w:bookmarkEnd w:id="2"/>
    <w:p>
      <w:pPr>
        <w:spacing w:after="0" w:line="286" w:lineRule="auto"/>
        <w:rPr>
          <w:sz w:val="20"/>
          <w:szCs w:val="20"/>
          <w:color w:val="auto"/>
        </w:rPr>
      </w:pPr>
      <w:r>
        <w:rPr>
          <w:rFonts w:ascii="Arial" w:cs="Arial" w:eastAsia="Arial" w:hAnsi="Arial"/>
          <w:sz w:val="16"/>
          <w:szCs w:val="16"/>
          <w:color w:val="auto"/>
        </w:rPr>
        <w:t>Company's operations in the United Kingdom and elsewhere; the impacts of seasonality and other factors associated with the airline industry; the Company's failure to realize the full value of its intangible assets or its long-lived assets, causing the Company to record impairments; any damage to the Company's reputation or brand image; the limitation of the Company's ability to use its net operating loss carryforwards and certain other tax attributes to offset future taxable income for U.S. federal income tax purposes; the costs of compliance with extensive government regulation of the airline industry; costs, liabilities and risks associated with environmental regulation and climate change; continued restrictions on the use of the Boeing 737 MAX aircraft and the Company's inability to accept or integrate new aircraft into its fleet as planned; the impacts of the Company's significant amount of financial leverage from fixed obligations, the possibility the Company may seek material amounts of additional financial liquidity in the short-term and insufficient liquidity on its financial condition and business; failure to comply with the covenants in the MileagePlus financing agreements, resulting in the possible acceleration of the MileagePlus indebtedness, foreclosure upon the collateral securing the MileagePlus indebtedness or the exercise of other remedies; failure to comply with financial and other covenants governing the Company's other debt; changes in, or failure to retain, the Company's senior management team or other key employees; current or future litigation and regulatory actions, or failure to comply with the terms of any settlement, order or arrangement relating to these actions; increases in insurance costs or inadequate insurance coverage; and other risks and uncertainties set forth under Part I, Item 1A., "Risk Factors," of the Company's Annual Report on Form 10-K for the fiscal year ended December 31, 2020 as well as other risks and uncertainties set forth from time to time in the reports the Company files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 w:name="page4"/>
    <w:bookmarkEnd w:id="3"/>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UNITED AIRLINES, INC.</w:t>
      </w:r>
    </w:p>
    <w:p>
      <w:pPr>
        <w:spacing w:after="0" w:line="200" w:lineRule="exact"/>
        <w:rPr>
          <w:sz w:val="20"/>
          <w:szCs w:val="20"/>
          <w:color w:val="auto"/>
        </w:rPr>
      </w:pPr>
    </w:p>
    <w:p>
      <w:pPr>
        <w:spacing w:after="0" w:line="267" w:lineRule="exact"/>
        <w:rPr>
          <w:sz w:val="20"/>
          <w:szCs w:val="20"/>
          <w:color w:val="auto"/>
        </w:rPr>
      </w:pPr>
    </w:p>
    <w:tbl>
      <w:tblPr>
        <w:tblLayout w:type="fixed"/>
        <w:tblInd w:w="5160" w:type="dxa"/>
        <w:tblCellMar>
          <w:top w:w="0" w:type="dxa"/>
          <w:left w:w="0" w:type="dxa"/>
          <w:bottom w:w="0" w:type="dxa"/>
          <w:right w:w="0" w:type="dxa"/>
        </w:tblCellMar>
      </w:tblP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Gerald Laderman</w:t>
            </w: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Gerald Laderman</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ectPr>
          <w:pgSz w:w="11900" w:h="16838" w:orient="portrait"/>
          <w:cols w:equalWidth="0" w:num="1">
            <w:col w:w="11240"/>
          </w:cols>
          <w:pgMar w:left="320" w:top="1440"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sectPr>
      <w:pgSz w:w="11900" w:h="16838" w:orient="portrait"/>
      <w:cols w:equalWidth="0" w:num="1">
        <w:col w:w="11240"/>
      </w:cols>
      <w:pgMar w:left="320" w:top="1440" w:right="3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872"/>
    </w:lvl>
  </w:abstractNum>
  <w:abstractNum w:abstractNumId="1">
    <w:nsid w:val="74B0DC51"/>
    <w:multiLevelType w:val="hybridMultilevel"/>
    <w:lvl w:ilvl="0">
      <w:lvlJc w:val="left"/>
      <w:lvlText w:val="(%1)"/>
      <w:numFmt w:val="decimal"/>
      <w:start w:val="87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2021-03-15T09:25:45Z</dcterms:created>
  <dcterms:modified xsi:type="dcterms:W3CDTF">2021-03-15T09:25:45Z</dcterms:modified>
</cp:coreProperties>
</file>