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0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1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3, 2020</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HOLDINGS, INC.</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INC.</w:t>
      </w:r>
    </w:p>
    <w:p>
      <w:pPr>
        <w:spacing w:after="0" w:line="203" w:lineRule="exact"/>
        <w:rPr>
          <w:sz w:val="24"/>
          <w:szCs w:val="24"/>
          <w:color w:val="auto"/>
        </w:rPr>
      </w:pPr>
    </w:p>
    <w:tbl>
      <w:tblPr>
        <w:tblLayout w:type="fixed"/>
        <w:tblInd w:w="1520" w:type="dxa"/>
        <w:tblCellMar>
          <w:top w:w="0" w:type="dxa"/>
          <w:left w:w="0" w:type="dxa"/>
          <w:bottom w:w="0" w:type="dxa"/>
          <w:right w:w="0" w:type="dxa"/>
        </w:tblCellMar>
      </w:tblPr>
      <w:tr>
        <w:trPr>
          <w:trHeight w:val="230"/>
        </w:trPr>
        <w:tc>
          <w:tcPr>
            <w:tcW w:w="6100" w:type="dxa"/>
            <w:vAlign w:val="bottom"/>
            <w:gridSpan w:val="3"/>
          </w:tcPr>
          <w:p>
            <w:pPr>
              <w:jc w:val="center"/>
              <w:ind w:left="2010"/>
              <w:spacing w:after="0"/>
              <w:rPr>
                <w:sz w:val="20"/>
                <w:szCs w:val="20"/>
                <w:color w:val="auto"/>
              </w:rPr>
            </w:pPr>
            <w:r>
              <w:rPr>
                <w:rFonts w:ascii="Arial" w:cs="Arial" w:eastAsia="Arial" w:hAnsi="Arial"/>
                <w:sz w:val="18"/>
                <w:szCs w:val="18"/>
                <w:color w:val="auto"/>
                <w:w w:val="90"/>
              </w:rPr>
              <w:t>(Exact name of registrant as specified in its charter)</w:t>
            </w:r>
          </w:p>
        </w:tc>
        <w:tc>
          <w:tcPr>
            <w:tcW w:w="1980" w:type="dxa"/>
            <w:vAlign w:val="bottom"/>
          </w:tcPr>
          <w:p>
            <w:pPr>
              <w:spacing w:after="0"/>
              <w:rPr>
                <w:sz w:val="20"/>
                <w:szCs w:val="20"/>
                <w:color w:val="auto"/>
              </w:rPr>
            </w:pPr>
          </w:p>
        </w:tc>
      </w:tr>
      <w:tr>
        <w:trPr>
          <w:trHeight w:val="594"/>
        </w:trPr>
        <w:tc>
          <w:tcPr>
            <w:tcW w:w="30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3"/>
              </w:rPr>
              <w:t>Delaware</w:t>
            </w:r>
          </w:p>
        </w:tc>
        <w:tc>
          <w:tcPr>
            <w:tcW w:w="3080" w:type="dxa"/>
            <w:vAlign w:val="bottom"/>
            <w:gridSpan w:val="2"/>
          </w:tcPr>
          <w:p>
            <w:pPr>
              <w:jc w:val="center"/>
              <w:ind w:right="850"/>
              <w:spacing w:after="0"/>
              <w:rPr>
                <w:sz w:val="20"/>
                <w:szCs w:val="20"/>
                <w:color w:val="auto"/>
              </w:rPr>
            </w:pPr>
            <w:r>
              <w:rPr>
                <w:rFonts w:ascii="Arial" w:cs="Arial" w:eastAsia="Arial" w:hAnsi="Arial"/>
                <w:sz w:val="18"/>
                <w:szCs w:val="18"/>
                <w:b w:val="1"/>
                <w:bCs w:val="1"/>
                <w:color w:val="auto"/>
                <w:w w:val="90"/>
              </w:rPr>
              <w:t>001-06033</w:t>
            </w:r>
          </w:p>
        </w:tc>
        <w:tc>
          <w:tcPr>
            <w:tcW w:w="198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36-2675207</w:t>
            </w:r>
          </w:p>
        </w:tc>
      </w:tr>
      <w:tr>
        <w:trPr>
          <w:trHeight w:val="270"/>
        </w:trPr>
        <w:tc>
          <w:tcPr>
            <w:tcW w:w="30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3"/>
              </w:rPr>
              <w:t>Delaware</w:t>
            </w:r>
          </w:p>
        </w:tc>
        <w:tc>
          <w:tcPr>
            <w:tcW w:w="3080" w:type="dxa"/>
            <w:vAlign w:val="bottom"/>
            <w:gridSpan w:val="2"/>
          </w:tcPr>
          <w:p>
            <w:pPr>
              <w:jc w:val="center"/>
              <w:ind w:right="850"/>
              <w:spacing w:after="0"/>
              <w:rPr>
                <w:sz w:val="20"/>
                <w:szCs w:val="20"/>
                <w:color w:val="auto"/>
              </w:rPr>
            </w:pPr>
            <w:r>
              <w:rPr>
                <w:rFonts w:ascii="Arial" w:cs="Arial" w:eastAsia="Arial" w:hAnsi="Arial"/>
                <w:sz w:val="18"/>
                <w:szCs w:val="18"/>
                <w:b w:val="1"/>
                <w:bCs w:val="1"/>
                <w:color w:val="auto"/>
                <w:w w:val="90"/>
              </w:rPr>
              <w:t>001-10323</w:t>
            </w:r>
          </w:p>
        </w:tc>
        <w:tc>
          <w:tcPr>
            <w:tcW w:w="198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74-2099724</w:t>
            </w:r>
          </w:p>
        </w:tc>
      </w:tr>
      <w:tr>
        <w:trPr>
          <w:trHeight w:val="270"/>
        </w:trPr>
        <w:tc>
          <w:tcPr>
            <w:tcW w:w="30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w:t>
            </w:r>
          </w:p>
        </w:tc>
        <w:tc>
          <w:tcPr>
            <w:tcW w:w="3080" w:type="dxa"/>
            <w:vAlign w:val="bottom"/>
            <w:gridSpan w:val="2"/>
          </w:tcPr>
          <w:p>
            <w:pPr>
              <w:jc w:val="center"/>
              <w:ind w:right="830"/>
              <w:spacing w:after="0"/>
              <w:rPr>
                <w:sz w:val="20"/>
                <w:szCs w:val="20"/>
                <w:color w:val="auto"/>
              </w:rPr>
            </w:pPr>
            <w:r>
              <w:rPr>
                <w:rFonts w:ascii="Arial" w:cs="Arial" w:eastAsia="Arial" w:hAnsi="Arial"/>
                <w:sz w:val="18"/>
                <w:szCs w:val="18"/>
                <w:color w:val="auto"/>
                <w:w w:val="93"/>
              </w:rPr>
              <w:t>(Commission File Number)</w:t>
            </w:r>
          </w:p>
        </w:tc>
        <w:tc>
          <w:tcPr>
            <w:tcW w:w="1980" w:type="dxa"/>
            <w:vAlign w:val="bottom"/>
          </w:tcPr>
          <w:p>
            <w:pPr>
              <w:jc w:val="center"/>
              <w:ind w:left="230"/>
              <w:spacing w:after="0"/>
              <w:rPr>
                <w:sz w:val="20"/>
                <w:szCs w:val="20"/>
                <w:color w:val="auto"/>
              </w:rPr>
            </w:pPr>
            <w:r>
              <w:rPr>
                <w:rFonts w:ascii="Arial" w:cs="Arial" w:eastAsia="Arial" w:hAnsi="Arial"/>
                <w:sz w:val="18"/>
                <w:szCs w:val="18"/>
                <w:color w:val="auto"/>
                <w:w w:val="93"/>
              </w:rPr>
              <w:t>(IRS Employer</w:t>
            </w:r>
          </w:p>
        </w:tc>
      </w:tr>
      <w:tr>
        <w:trPr>
          <w:trHeight w:val="270"/>
        </w:trPr>
        <w:tc>
          <w:tcPr>
            <w:tcW w:w="3020" w:type="dxa"/>
            <w:vAlign w:val="bottom"/>
          </w:tcPr>
          <w:p>
            <w:pPr>
              <w:jc w:val="center"/>
              <w:ind w:right="1030"/>
              <w:spacing w:after="0"/>
              <w:rPr>
                <w:sz w:val="20"/>
                <w:szCs w:val="20"/>
                <w:color w:val="auto"/>
              </w:rPr>
            </w:pPr>
            <w:r>
              <w:rPr>
                <w:rFonts w:ascii="Arial" w:cs="Arial" w:eastAsia="Arial" w:hAnsi="Arial"/>
                <w:sz w:val="18"/>
                <w:szCs w:val="18"/>
                <w:color w:val="auto"/>
                <w:w w:val="93"/>
              </w:rPr>
              <w:t>of incorporation)</w:t>
            </w:r>
          </w:p>
        </w:tc>
        <w:tc>
          <w:tcPr>
            <w:tcW w:w="12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980" w:type="dxa"/>
            <w:vAlign w:val="bottom"/>
          </w:tcPr>
          <w:p>
            <w:pPr>
              <w:jc w:val="center"/>
              <w:ind w:left="230"/>
              <w:spacing w:after="0"/>
              <w:rPr>
                <w:sz w:val="20"/>
                <w:szCs w:val="20"/>
                <w:color w:val="auto"/>
              </w:rPr>
            </w:pPr>
            <w:r>
              <w:rPr>
                <w:rFonts w:ascii="Arial" w:cs="Arial" w:eastAsia="Arial" w:hAnsi="Arial"/>
                <w:sz w:val="18"/>
                <w:szCs w:val="18"/>
                <w:color w:val="auto"/>
                <w:w w:val="94"/>
              </w:rPr>
              <w:t>Identification Number)</w:t>
            </w:r>
          </w:p>
        </w:tc>
      </w:tr>
      <w:tr>
        <w:trPr>
          <w:trHeight w:val="405"/>
        </w:trPr>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220" w:type="dxa"/>
            <w:vAlign w:val="bottom"/>
          </w:tcPr>
          <w:p>
            <w:pPr>
              <w:ind w:left="440"/>
              <w:spacing w:after="0"/>
              <w:rPr>
                <w:sz w:val="20"/>
                <w:szCs w:val="20"/>
                <w:color w:val="auto"/>
              </w:rPr>
            </w:pPr>
            <w:r>
              <w:rPr>
                <w:rFonts w:ascii="Arial" w:cs="Arial" w:eastAsia="Arial" w:hAnsi="Arial"/>
                <w:sz w:val="18"/>
                <w:szCs w:val="18"/>
                <w:b w:val="1"/>
                <w:bCs w:val="1"/>
                <w:color w:val="auto"/>
                <w:w w:val="99"/>
              </w:rPr>
              <w:t>Chicago,</w:t>
            </w:r>
          </w:p>
        </w:tc>
        <w:tc>
          <w:tcPr>
            <w:tcW w:w="186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1980" w:type="dxa"/>
            <w:vAlign w:val="bottom"/>
          </w:tcPr>
          <w:p>
            <w:pPr>
              <w:jc w:val="center"/>
              <w:ind w:right="850"/>
              <w:spacing w:after="0"/>
              <w:rPr>
                <w:sz w:val="20"/>
                <w:szCs w:val="20"/>
                <w:color w:val="auto"/>
              </w:rPr>
            </w:pPr>
            <w:r>
              <w:rPr>
                <w:rFonts w:ascii="Arial" w:cs="Arial" w:eastAsia="Arial" w:hAnsi="Arial"/>
                <w:sz w:val="18"/>
                <w:szCs w:val="18"/>
                <w:b w:val="1"/>
                <w:bCs w:val="1"/>
                <w:color w:val="auto"/>
                <w:w w:val="87"/>
              </w:rPr>
              <w:t>60606</w:t>
            </w:r>
          </w:p>
        </w:tc>
      </w:tr>
      <w:tr>
        <w:trPr>
          <w:trHeight w:val="270"/>
        </w:trPr>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220" w:type="dxa"/>
            <w:vAlign w:val="bottom"/>
          </w:tcPr>
          <w:p>
            <w:pPr>
              <w:ind w:left="440"/>
              <w:spacing w:after="0"/>
              <w:rPr>
                <w:sz w:val="20"/>
                <w:szCs w:val="20"/>
                <w:color w:val="auto"/>
              </w:rPr>
            </w:pPr>
            <w:r>
              <w:rPr>
                <w:rFonts w:ascii="Arial" w:cs="Arial" w:eastAsia="Arial" w:hAnsi="Arial"/>
                <w:sz w:val="18"/>
                <w:szCs w:val="18"/>
                <w:b w:val="1"/>
                <w:bCs w:val="1"/>
                <w:color w:val="auto"/>
                <w:w w:val="99"/>
              </w:rPr>
              <w:t>Chicago,</w:t>
            </w:r>
          </w:p>
        </w:tc>
        <w:tc>
          <w:tcPr>
            <w:tcW w:w="186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1980" w:type="dxa"/>
            <w:vAlign w:val="bottom"/>
          </w:tcPr>
          <w:p>
            <w:pPr>
              <w:jc w:val="center"/>
              <w:ind w:right="850"/>
              <w:spacing w:after="0"/>
              <w:rPr>
                <w:sz w:val="20"/>
                <w:szCs w:val="20"/>
                <w:color w:val="auto"/>
              </w:rPr>
            </w:pPr>
            <w:r>
              <w:rPr>
                <w:rFonts w:ascii="Arial" w:cs="Arial" w:eastAsia="Arial" w:hAnsi="Arial"/>
                <w:sz w:val="18"/>
                <w:szCs w:val="18"/>
                <w:b w:val="1"/>
                <w:bCs w:val="1"/>
                <w:color w:val="auto"/>
                <w:w w:val="87"/>
              </w:rPr>
              <w:t>60606</w:t>
            </w:r>
          </w:p>
        </w:tc>
      </w:tr>
      <w:tr>
        <w:trPr>
          <w:trHeight w:val="270"/>
        </w:trPr>
        <w:tc>
          <w:tcPr>
            <w:tcW w:w="30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980" w:type="dxa"/>
            <w:vAlign w:val="bottom"/>
          </w:tcPr>
          <w:p>
            <w:pPr>
              <w:jc w:val="center"/>
              <w:ind w:right="85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ind w:left="5500" w:hanging="438"/>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00" w:hanging="438"/>
        <w:spacing w:after="0"/>
        <w:tabs>
          <w:tab w:leader="none" w:pos="5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103"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3"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72"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Registrant</w:t>
            </w:r>
          </w:p>
        </w:tc>
        <w:tc>
          <w:tcPr>
            <w:tcW w:w="220" w:type="dxa"/>
            <w:vAlign w:val="bottom"/>
          </w:tcPr>
          <w:p>
            <w:pPr>
              <w:spacing w:after="0"/>
              <w:rPr>
                <w:sz w:val="15"/>
                <w:szCs w:val="15"/>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Title of Each Class</w:t>
            </w:r>
          </w:p>
        </w:tc>
        <w:tc>
          <w:tcPr>
            <w:tcW w:w="2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Trading Symbol</w:t>
            </w:r>
          </w:p>
        </w:tc>
        <w:tc>
          <w:tcPr>
            <w:tcW w:w="220" w:type="dxa"/>
            <w:vAlign w:val="bottom"/>
          </w:tcPr>
          <w:p>
            <w:pPr>
              <w:spacing w:after="0"/>
              <w:rPr>
                <w:sz w:val="15"/>
                <w:szCs w:val="15"/>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Name on Each Exchange on Which Registered</w:t>
            </w:r>
          </w:p>
        </w:tc>
      </w:tr>
      <w:tr>
        <w:trPr>
          <w:trHeight w:val="240"/>
        </w:trPr>
        <w:tc>
          <w:tcPr>
            <w:tcW w:w="3240" w:type="dxa"/>
            <w:vAlign w:val="bottom"/>
            <w:gridSpan w:val="2"/>
          </w:tcPr>
          <w:p>
            <w:pPr>
              <w:ind w:left="40"/>
              <w:spacing w:after="0"/>
              <w:rPr>
                <w:sz w:val="20"/>
                <w:szCs w:val="20"/>
                <w:color w:val="auto"/>
              </w:rPr>
            </w:pPr>
            <w:r>
              <w:rPr>
                <w:rFonts w:ascii="Arial" w:cs="Arial" w:eastAsia="Arial" w:hAnsi="Arial"/>
                <w:sz w:val="13"/>
                <w:szCs w:val="13"/>
                <w:color w:val="auto"/>
              </w:rPr>
              <w:t>United Airlines Holdings, Inc.</w:t>
            </w:r>
          </w:p>
        </w:tc>
        <w:tc>
          <w:tcPr>
            <w:tcW w:w="2340" w:type="dxa"/>
            <w:vAlign w:val="bottom"/>
            <w:gridSpan w:val="2"/>
          </w:tcPr>
          <w:p>
            <w:pPr>
              <w:jc w:val="center"/>
              <w:ind w:right="200"/>
              <w:spacing w:after="0"/>
              <w:rPr>
                <w:sz w:val="20"/>
                <w:szCs w:val="20"/>
                <w:color w:val="auto"/>
              </w:rPr>
            </w:pPr>
            <w:r>
              <w:rPr>
                <w:rFonts w:ascii="Arial" w:cs="Arial" w:eastAsia="Arial" w:hAnsi="Arial"/>
                <w:sz w:val="13"/>
                <w:szCs w:val="13"/>
                <w:color w:val="auto"/>
                <w:w w:val="87"/>
              </w:rPr>
              <w:t>Common Stock, $0.01 par value</w:t>
            </w:r>
          </w:p>
        </w:tc>
        <w:tc>
          <w:tcPr>
            <w:tcW w:w="1880" w:type="dxa"/>
            <w:vAlign w:val="bottom"/>
            <w:gridSpan w:val="2"/>
          </w:tcPr>
          <w:p>
            <w:pPr>
              <w:jc w:val="center"/>
              <w:ind w:right="220"/>
              <w:spacing w:after="0"/>
              <w:rPr>
                <w:sz w:val="20"/>
                <w:szCs w:val="20"/>
                <w:color w:val="auto"/>
              </w:rPr>
            </w:pPr>
            <w:r>
              <w:rPr>
                <w:rFonts w:ascii="Arial" w:cs="Arial" w:eastAsia="Arial" w:hAnsi="Arial"/>
                <w:sz w:val="13"/>
                <w:szCs w:val="13"/>
                <w:color w:val="auto"/>
              </w:rPr>
              <w:t>UAL</w:t>
            </w:r>
          </w:p>
        </w:tc>
        <w:tc>
          <w:tcPr>
            <w:tcW w:w="3660" w:type="dxa"/>
            <w:vAlign w:val="bottom"/>
          </w:tcPr>
          <w:p>
            <w:pPr>
              <w:jc w:val="center"/>
              <w:spacing w:after="0"/>
              <w:rPr>
                <w:sz w:val="20"/>
                <w:szCs w:val="20"/>
                <w:color w:val="auto"/>
              </w:rPr>
            </w:pPr>
            <w:r>
              <w:rPr>
                <w:rFonts w:ascii="Arial" w:cs="Arial" w:eastAsia="Arial" w:hAnsi="Arial"/>
                <w:sz w:val="13"/>
                <w:szCs w:val="13"/>
                <w:color w:val="auto"/>
                <w:w w:val="88"/>
              </w:rPr>
              <w:t>The Nasdaq Stock Market LLC</w:t>
            </w:r>
          </w:p>
        </w:tc>
      </w:tr>
      <w:tr>
        <w:trPr>
          <w:trHeight w:val="270"/>
        </w:trPr>
        <w:tc>
          <w:tcPr>
            <w:tcW w:w="3240" w:type="dxa"/>
            <w:vAlign w:val="bottom"/>
            <w:gridSpan w:val="2"/>
          </w:tcPr>
          <w:p>
            <w:pPr>
              <w:ind w:left="40"/>
              <w:spacing w:after="0"/>
              <w:rPr>
                <w:sz w:val="20"/>
                <w:szCs w:val="20"/>
                <w:color w:val="auto"/>
              </w:rPr>
            </w:pPr>
            <w:r>
              <w:rPr>
                <w:rFonts w:ascii="Arial" w:cs="Arial" w:eastAsia="Arial" w:hAnsi="Arial"/>
                <w:sz w:val="13"/>
                <w:szCs w:val="13"/>
                <w:color w:val="auto"/>
              </w:rPr>
              <w:t>United Airlines, Inc.</w:t>
            </w:r>
          </w:p>
        </w:tc>
        <w:tc>
          <w:tcPr>
            <w:tcW w:w="2340" w:type="dxa"/>
            <w:vAlign w:val="bottom"/>
            <w:gridSpan w:val="2"/>
          </w:tcPr>
          <w:p>
            <w:pPr>
              <w:jc w:val="center"/>
              <w:ind w:right="200"/>
              <w:spacing w:after="0"/>
              <w:rPr>
                <w:sz w:val="20"/>
                <w:szCs w:val="20"/>
                <w:color w:val="auto"/>
              </w:rPr>
            </w:pPr>
            <w:r>
              <w:rPr>
                <w:rFonts w:ascii="Arial" w:cs="Arial" w:eastAsia="Arial" w:hAnsi="Arial"/>
                <w:sz w:val="13"/>
                <w:szCs w:val="13"/>
                <w:color w:val="auto"/>
                <w:w w:val="83"/>
              </w:rPr>
              <w:t>None</w:t>
            </w:r>
          </w:p>
        </w:tc>
        <w:tc>
          <w:tcPr>
            <w:tcW w:w="1880" w:type="dxa"/>
            <w:vAlign w:val="bottom"/>
            <w:gridSpan w:val="2"/>
          </w:tcPr>
          <w:p>
            <w:pPr>
              <w:jc w:val="center"/>
              <w:ind w:right="200"/>
              <w:spacing w:after="0"/>
              <w:rPr>
                <w:sz w:val="20"/>
                <w:szCs w:val="20"/>
                <w:color w:val="auto"/>
              </w:rPr>
            </w:pPr>
            <w:r>
              <w:rPr>
                <w:rFonts w:ascii="Arial" w:cs="Arial" w:eastAsia="Arial" w:hAnsi="Arial"/>
                <w:sz w:val="13"/>
                <w:szCs w:val="13"/>
                <w:color w:val="auto"/>
                <w:w w:val="89"/>
              </w:rPr>
              <w:t>None</w:t>
            </w:r>
          </w:p>
        </w:tc>
        <w:tc>
          <w:tcPr>
            <w:tcW w:w="3660" w:type="dxa"/>
            <w:vAlign w:val="bottom"/>
          </w:tcPr>
          <w:p>
            <w:pPr>
              <w:jc w:val="center"/>
              <w:spacing w:after="0"/>
              <w:rPr>
                <w:sz w:val="20"/>
                <w:szCs w:val="20"/>
                <w:color w:val="auto"/>
              </w:rPr>
            </w:pPr>
            <w:r>
              <w:rPr>
                <w:rFonts w:ascii="Arial" w:cs="Arial" w:eastAsia="Arial" w:hAnsi="Arial"/>
                <w:sz w:val="13"/>
                <w:szCs w:val="13"/>
                <w:color w:val="auto"/>
                <w:w w:val="83"/>
              </w:rPr>
              <w:t>None</w:t>
            </w:r>
          </w:p>
        </w:tc>
      </w:tr>
    </w:tbl>
    <w:p>
      <w:pPr>
        <w:spacing w:after="0" w:line="222" w:lineRule="exact"/>
        <w:rPr>
          <w:sz w:val="24"/>
          <w:szCs w:val="24"/>
          <w:color w:val="auto"/>
        </w:rPr>
      </w:pPr>
    </w:p>
    <w:p>
      <w:pPr>
        <w:ind w:right="4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55" w:lineRule="exact"/>
        <w:rPr>
          <w:sz w:val="24"/>
          <w:szCs w:val="24"/>
          <w:color w:val="auto"/>
        </w:rPr>
      </w:pPr>
    </w:p>
    <w:p>
      <w:pPr>
        <w:ind w:right="9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760" w:right="4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United Airlines, Inc. ("United"), a wholly-owned subsidiary of United Airlines Holdings, Inc. (together with United, the "Company") has continued to experience a material decline in demand for both international and domestic travel resulting from the spread of coronavirus ("COVID-19"). As of March 31, 2020, over 270 million people in the United States in at least 33 states, the District of Columbia and Puerto Rico were under instructions to stay home or "shelter in place," and to avoid any non-essential travel.</w:t>
      </w:r>
    </w:p>
    <w:p>
      <w:pPr>
        <w:spacing w:after="0" w:line="13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Company has cut approximately 80% of its capacity for April, with passenger load factors expected to fall into the teens or single digits during that time frame, and currently expects to make even larger capacity cuts in May 2020. The Company plans to proactively evaluate and cancel flights on a rolling 90-day basis until it sees signs of a recovery in demand.</w:t>
      </w:r>
    </w:p>
    <w:p>
      <w:pPr>
        <w:spacing w:after="0" w:line="23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As of the date of this report, the Company is estimating a loss of revenue of over $100 million per day in March 2020 compared to the prior period, and the Company is estimating for planning purposes a reduction in revenue of at least 30% for the fourth quarter of 2020 compared to the prior period.</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information in this Item 7.01, is being furnished and shall not be deemed to be "filed" for purposes of Section 18 of the Securities Exchange Act of 1934, as amended (the "Exchange Act"),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Cautionary Statement Regarding Forward-Looking Statements:</w:t>
      </w:r>
    </w:p>
    <w:p>
      <w:pPr>
        <w:spacing w:after="0" w:line="27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Certain statements in this Current Report on Form 8-K are forward-looking and thus reflect the Company's current expectations and beliefs with respect to certain current and future events and anticipated financial and operating performance. Such forward-looking statements are and will be subject to many risks and uncertainties relating to the Company's operations and business environment that may cause actual results to differ materially from any future results expressed or implied in such forward-looking statements. Words such as "expects," "will," "plans," "anticipates," "indicates," "remains," "believes," "estimates," "forecast," "guidance," "outlook," "goals," "targets" and similar expressions are intended to identify forward-looking statements. 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report are based upon information available to the Company on the date of this report. The Company undertakes no obligation to publicly update or revise any forward-looking statement, whether as a result of new information, future events, changed circumstances or otherwise, except as required by applicable law.</w:t>
      </w:r>
    </w:p>
    <w:p>
      <w:pPr>
        <w:spacing w:after="0" w:line="22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actual results could differ materially from these forward-looking statements due to numerous factors including, without limitation, the following: the existing global COVID-19 pandemic and the outbreak of any other disease or similar public health threat that affects travel demand or travel behavior; the Company's ability to execute its strategic operating plan, including its growth, revenue-generating and cost-control initiatives; general economic conditions (including interest rates, foreign currency exchange rates, investment or credit market conditions, crude oil prices, costs of aircraft fuel and energy refining capacity in relevant markets); risks of doing business globally, including instability and political developments that may impact its operations in certain countries; demand for travel and the impact that global economic and political conditions have on customer travel patterns; the Company's capacity decisions and the capacity decisions of its competitors; competitive pressures on pricing and on demand; changes in aircraft fuel prices; disruptions in the Company's supply of aircraft fuel; the Company's ability to cost-effectively hedge against increases in the price of aircraft fuel, if it decides to do so; the effects of any technology failures, cybersecurity or significant data breaches; disruptions to services provided by third-party service providers; potential reputational or other impact from adverse events involving the Company's aircraft or operations, the aircraft or operations of its regional carriers or its code share partners or the aircraft or operations of another airline; the Company's ability to attract and retain customers; the effects of any terrorist attacks, international hostilities or other security events, or the fear of such events; the mandatory grounding of aircraft in the Company's fleet; disruptions to the Company's regional network; the impact of regulatory, investigative and legal proceedings and legal compliance risks; the success of the Company's investments in other airlines, including in other parts of the world; industry consolidation or changes in airline alliances; the ability of other</w:t>
      </w:r>
    </w:p>
    <w:p>
      <w:pPr>
        <w:sectPr>
          <w:pgSz w:w="11900" w:h="16838" w:orient="portrait"/>
          <w:cols w:equalWidth="0" w:num="1">
            <w:col w:w="11240"/>
          </w:cols>
          <w:pgMar w:left="320" w:top="499" w:right="339" w:bottom="1440" w:gutter="0" w:footer="0" w:header="0"/>
        </w:sectPr>
      </w:pPr>
    </w:p>
    <w:bookmarkStart w:id="2" w:name="page3"/>
    <w:bookmarkEnd w:id="2"/>
    <w:p>
      <w:pPr>
        <w:spacing w:after="0" w:line="287" w:lineRule="auto"/>
        <w:rPr>
          <w:sz w:val="20"/>
          <w:szCs w:val="20"/>
          <w:color w:val="auto"/>
        </w:rPr>
      </w:pPr>
      <w:r>
        <w:rPr>
          <w:rFonts w:ascii="Arial" w:cs="Arial" w:eastAsia="Arial" w:hAnsi="Arial"/>
          <w:sz w:val="16"/>
          <w:szCs w:val="16"/>
          <w:color w:val="auto"/>
        </w:rPr>
        <w:t>air carriers with whom the Company has alliances or partnerships to provide the services contemplated by the respective arrangements with such carriers; costs associated with any modification or termination of the Company's aircraft orders; disruptions in the availability of aircraft, parts or support from its suppliers; the Company's ability to maintain satisfactory labor relations and the results of any collective bargaining agreement process with its union groups; any disruptions to operations due to any potential actions by the Company's labor groups; labor costs; the impact of any management changes; extended interruptions or disruptions in service at major airports where the Company operates; U.S. or foreign governmental legislation, regulation and other actions (including Open Skies agreements, environmental regulations and the United Kingdom's withdrawal from the European Union); the seasonality of the airline industry; weather conditions; the costs and availability of aviation and other insurance; the costs and availability of financing; the Company's ability to maintain adequate liquidity; the Company's ability to comply with the terms of its various financing arrangements; the Company's ability to realize the full value of its intangible assets and long-lived assets; any impact to the Company's reputation or brand image and other risks and uncertainties set forth under Part I, Item 1A., "Risk Factors," of the Company's Annual Report on Form 10-K for the fiscal year ended December 31, 2019 as well as other risks and uncertainties set forth from time to time in the reports it files with the SEC.</w:t>
      </w:r>
    </w:p>
    <w:p>
      <w:pPr>
        <w:sectPr>
          <w:pgSz w:w="11900" w:h="16838" w:orient="portrait"/>
          <w:cols w:equalWidth="0" w:num="1">
            <w:col w:w="11140"/>
          </w:cols>
          <w:pgMar w:left="320" w:top="503"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200" w:lineRule="exact"/>
        <w:rPr>
          <w:sz w:val="20"/>
          <w:szCs w:val="20"/>
          <w:color w:val="auto"/>
        </w:rPr>
      </w:pPr>
    </w:p>
    <w:p>
      <w:pPr>
        <w:spacing w:after="0" w:line="35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UNITED AIRLINES HOLDINGS, INC.</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UNITED AIRLINES, INC.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518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Pr>
          <w:p>
            <w:pPr>
              <w:ind w:left="40"/>
              <w:spacing w:after="0"/>
              <w:rPr>
                <w:sz w:val="20"/>
                <w:szCs w:val="20"/>
                <w:color w:val="auto"/>
              </w:rPr>
            </w:pPr>
            <w:r>
              <w:rPr>
                <w:rFonts w:ascii="Arial" w:cs="Arial" w:eastAsia="Arial" w:hAnsi="Arial"/>
                <w:sz w:val="18"/>
                <w:szCs w:val="18"/>
                <w:color w:val="auto"/>
              </w:rPr>
              <w:t>/s/ Jennifer L. Kraft</w:t>
            </w:r>
          </w:p>
        </w:tc>
      </w:tr>
      <w:tr>
        <w:trPr>
          <w:trHeight w:val="27"/>
        </w:trPr>
        <w:tc>
          <w:tcPr>
            <w:tcW w:w="8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Pr>
          <w:p>
            <w:pPr>
              <w:ind w:left="40"/>
              <w:spacing w:after="0"/>
              <w:rPr>
                <w:sz w:val="20"/>
                <w:szCs w:val="20"/>
                <w:color w:val="auto"/>
              </w:rPr>
            </w:pPr>
            <w:r>
              <w:rPr>
                <w:rFonts w:ascii="Arial" w:cs="Arial" w:eastAsia="Arial" w:hAnsi="Arial"/>
                <w:sz w:val="18"/>
                <w:szCs w:val="18"/>
                <w:color w:val="auto"/>
              </w:rPr>
              <w:t>Jennifer L. Kraft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ind w:left="40"/>
              <w:spacing w:after="0"/>
              <w:rPr>
                <w:sz w:val="20"/>
                <w:szCs w:val="20"/>
                <w:color w:val="auto"/>
              </w:rPr>
            </w:pPr>
            <w:r>
              <w:rPr>
                <w:rFonts w:ascii="Arial" w:cs="Arial" w:eastAsia="Arial" w:hAnsi="Arial"/>
                <w:sz w:val="18"/>
                <w:szCs w:val="18"/>
                <w:color w:val="auto"/>
              </w:rPr>
              <w:t>Vice President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2020</w:t>
      </w:r>
    </w:p>
    <w:sectPr>
      <w:pgSz w:w="11900" w:h="16838" w:orient="portrait"/>
      <w:cols w:equalWidth="0" w:num="1">
        <w:col w:w="11240"/>
      </w:cols>
      <w:pgMar w:left="320" w:top="13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872"/>
    </w:lvl>
  </w:abstractNum>
  <w:abstractNum w:abstractNumId="1">
    <w:nsid w:val="74B0DC51"/>
    <w:multiLevelType w:val="hybridMultilevel"/>
    <w:lvl w:ilvl="0">
      <w:lvlJc w:val="left"/>
      <w:lvlText w:val="(%1)"/>
      <w:numFmt w:val="decimal"/>
      <w:start w:val="87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2020-04-03T16:19:12Z</dcterms:created>
  <dcterms:modified xsi:type="dcterms:W3CDTF">2020-04-03T16:19:12Z</dcterms:modified>
</cp:coreProperties>
</file>