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18, 2023</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18, 2023, United Airlines Holdings, Inc. ("UAL"), the holding company whose subsidiary is United Airlines, Inc. ("United," and together with UAL, the "Company"), issued a press release (the "Earnings Press Release") announcing the financial results of the Company for the first quarter of 2023. A copy of the Earnings Press Release is furnished pursuant to this Item 2.02 as Exhibit 99.1 to this Current Report on Form 8-K and incorporated by reference herein in its entirety.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18, 2023,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spacing w:after="0" w:line="13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color w:val="auto"/>
              </w:rPr>
              <w:t>99.1</w:t>
            </w:r>
          </w:p>
        </w:tc>
        <w:tc>
          <w:tcPr>
            <w:tcW w:w="5780" w:type="dxa"/>
            <w:vAlign w:val="bottom"/>
            <w:gridSpan w:val="3"/>
          </w:tcPr>
          <w:p>
            <w:pPr>
              <w:spacing w:after="0"/>
              <w:rPr>
                <w:sz w:val="20"/>
                <w:szCs w:val="20"/>
                <w:color w:val="auto"/>
              </w:rPr>
            </w:pPr>
            <w:r>
              <w:rPr>
                <w:rFonts w:ascii="Arial" w:cs="Arial" w:eastAsia="Arial" w:hAnsi="Arial"/>
                <w:sz w:val="18"/>
                <w:szCs w:val="18"/>
                <w:color w:val="0000FF"/>
                <w:w w:val="96"/>
              </w:rPr>
              <w:t>Press Release issued by United Airlines Holdings, Inc. dated April 18, 2023</w:t>
            </w:r>
          </w:p>
        </w:tc>
      </w:tr>
      <w:tr>
        <w:trPr>
          <w:trHeight w:val="20"/>
        </w:trPr>
        <w:tc>
          <w:tcPr>
            <w:tcW w:w="238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380" w:type="dxa"/>
            <w:vAlign w:val="bottom"/>
          </w:tcPr>
          <w:p>
            <w:pPr>
              <w:spacing w:after="0"/>
              <w:rPr>
                <w:sz w:val="20"/>
                <w:szCs w:val="20"/>
                <w:color w:val="auto"/>
              </w:rPr>
            </w:pPr>
            <w:r>
              <w:rPr>
                <w:rFonts w:ascii="Arial" w:cs="Arial" w:eastAsia="Arial" w:hAnsi="Arial"/>
                <w:sz w:val="18"/>
                <w:szCs w:val="18"/>
                <w:color w:val="auto"/>
              </w:rPr>
              <w:t>99.2</w:t>
            </w:r>
          </w:p>
        </w:tc>
        <w:tc>
          <w:tcPr>
            <w:tcW w:w="5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Investor Update issued by United Airlines Holdings, Inc. dated April 18, 2023</w:t>
            </w:r>
          </w:p>
        </w:tc>
        <w:tc>
          <w:tcPr>
            <w:tcW w:w="140" w:type="dxa"/>
            <w:vAlign w:val="bottom"/>
          </w:tcPr>
          <w:p>
            <w:pPr>
              <w:spacing w:after="0"/>
              <w:rPr>
                <w:sz w:val="22"/>
                <w:szCs w:val="22"/>
                <w:color w:val="auto"/>
              </w:rPr>
            </w:pPr>
          </w:p>
        </w:tc>
      </w:tr>
      <w:tr>
        <w:trPr>
          <w:trHeight w:val="344"/>
        </w:trPr>
        <w:tc>
          <w:tcPr>
            <w:tcW w:w="2380" w:type="dxa"/>
            <w:vAlign w:val="bottom"/>
          </w:tcPr>
          <w:p>
            <w:pPr>
              <w:spacing w:after="0"/>
              <w:rPr>
                <w:sz w:val="20"/>
                <w:szCs w:val="20"/>
                <w:color w:val="auto"/>
              </w:rPr>
            </w:pPr>
            <w:r>
              <w:rPr>
                <w:rFonts w:ascii="Arial" w:cs="Arial" w:eastAsia="Arial" w:hAnsi="Arial"/>
                <w:sz w:val="18"/>
                <w:szCs w:val="18"/>
                <w:color w:val="auto"/>
              </w:rPr>
              <w:t>104</w:t>
            </w: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2" w:name="page3"/>
    <w:bookmarkEnd w:id="2"/>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April 18, 2023</w:t>
      </w:r>
    </w:p>
    <w:p>
      <w:pPr>
        <w:sectPr>
          <w:pgSz w:w="11900" w:h="16838" w:orient="portrait"/>
          <w:cols w:equalWidth="0" w:num="1">
            <w:col w:w="11240"/>
          </w:cols>
          <w:pgMar w:left="320" w:top="1440"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40" w:right="339" w:bottom="73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-139700</wp:posOffset>
            </wp:positionV>
            <wp:extent cx="183451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754380"/>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United Airlines</w:t>
      </w:r>
    </w:p>
    <w:p>
      <w:pPr>
        <w:ind w:left="20"/>
        <w:spacing w:after="0" w:line="211" w:lineRule="auto"/>
        <w:rPr>
          <w:sz w:val="20"/>
          <w:szCs w:val="20"/>
          <w:color w:val="auto"/>
        </w:rPr>
      </w:pPr>
      <w:r>
        <w:rPr>
          <w:rFonts w:ascii="Arial" w:cs="Arial" w:eastAsia="Arial" w:hAnsi="Arial"/>
          <w:sz w:val="20"/>
          <w:szCs w:val="20"/>
          <w:b w:val="1"/>
          <w:bCs w:val="1"/>
          <w:color w:val="auto"/>
        </w:rPr>
        <w:t>Worldwide Media Relations</w:t>
      </w:r>
    </w:p>
    <w:p>
      <w:pPr>
        <w:ind w:left="20"/>
        <w:spacing w:after="0" w:line="211" w:lineRule="auto"/>
        <w:rPr>
          <w:sz w:val="20"/>
          <w:szCs w:val="20"/>
          <w:color w:val="auto"/>
        </w:rPr>
      </w:pPr>
      <w:r>
        <w:rPr>
          <w:rFonts w:ascii="Arial" w:cs="Arial" w:eastAsia="Arial" w:hAnsi="Arial"/>
          <w:sz w:val="20"/>
          <w:szCs w:val="20"/>
          <w:color w:val="auto"/>
        </w:rPr>
        <w:t>872.825.8640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media.relations@united.com</w:t>
      </w:r>
    </w:p>
    <w:p>
      <w:pPr>
        <w:spacing w:after="0" w:line="275" w:lineRule="exact"/>
        <w:rPr>
          <w:sz w:val="20"/>
          <w:szCs w:val="20"/>
          <w:color w:val="auto"/>
        </w:rPr>
      </w:pPr>
    </w:p>
    <w:p>
      <w:pPr>
        <w:jc w:val="center"/>
        <w:ind w:left="340" w:right="240"/>
        <w:spacing w:after="0" w:line="286" w:lineRule="auto"/>
        <w:rPr>
          <w:sz w:val="20"/>
          <w:szCs w:val="20"/>
          <w:color w:val="auto"/>
        </w:rPr>
      </w:pPr>
      <w:r>
        <w:rPr>
          <w:rFonts w:ascii="Arial" w:cs="Arial" w:eastAsia="Arial" w:hAnsi="Arial"/>
          <w:sz w:val="32"/>
          <w:szCs w:val="32"/>
          <w:b w:val="1"/>
          <w:bCs w:val="1"/>
          <w:color w:val="auto"/>
        </w:rPr>
        <w:t>United Airlines Announces First-Quarter Financial Results: Continues to See Strong Demand for Air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-44450</wp:posOffset>
            </wp:positionV>
            <wp:extent cx="6866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Generated record high quarterly operating cash flow of over $3 billion</w:t>
      </w:r>
    </w:p>
    <w:p>
      <w:pPr>
        <w:spacing w:after="0" w:line="229"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i w:val="1"/>
          <w:iCs w:val="1"/>
          <w:color w:val="auto"/>
        </w:rPr>
        <w:t>Achieved the lowest mainline flight and seat cancellation rates of any U.S. airline despite having the most flights impacted by weather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Q2 adjusted diluted EPS</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target of $3.50 to $4.00; reiterating full-year adjusted diluted EPS</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target of $10 to $12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Seeing strong international demand in Q2; international expansion twice the rate of domestic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Cost trajectory on track for full-year flat CASM-ex</w:t>
      </w:r>
      <w:r>
        <w:rPr>
          <w:rFonts w:ascii="Arial" w:cs="Arial" w:eastAsia="Arial" w:hAnsi="Arial"/>
          <w:sz w:val="25"/>
          <w:szCs w:val="25"/>
          <w:i w:val="1"/>
          <w:iCs w:val="1"/>
          <w:color w:val="auto"/>
          <w:vertAlign w:val="superscript"/>
        </w:rPr>
        <w:t>2</w:t>
      </w:r>
      <w:r>
        <w:rPr>
          <w:rFonts w:ascii="Arial" w:cs="Arial" w:eastAsia="Arial" w:hAnsi="Arial"/>
          <w:sz w:val="20"/>
          <w:szCs w:val="20"/>
          <w:i w:val="1"/>
          <w:iCs w:val="1"/>
          <w:color w:val="auto"/>
        </w:rPr>
        <w:t xml:space="preserve"> target</w:t>
      </w:r>
    </w:p>
    <w:p>
      <w:pPr>
        <w:spacing w:after="0" w:line="235" w:lineRule="exact"/>
        <w:rPr>
          <w:sz w:val="20"/>
          <w:szCs w:val="20"/>
          <w:color w:val="auto"/>
        </w:rPr>
      </w:pPr>
    </w:p>
    <w:p>
      <w:pPr>
        <w:ind w:right="60" w:firstLine="648"/>
        <w:spacing w:after="0" w:line="335" w:lineRule="auto"/>
        <w:rPr>
          <w:sz w:val="20"/>
          <w:szCs w:val="20"/>
          <w:color w:val="auto"/>
        </w:rPr>
      </w:pPr>
      <w:r>
        <w:rPr>
          <w:rFonts w:ascii="Arial" w:cs="Arial" w:eastAsia="Arial" w:hAnsi="Arial"/>
          <w:sz w:val="20"/>
          <w:szCs w:val="20"/>
          <w:b w:val="1"/>
          <w:bCs w:val="1"/>
          <w:color w:val="auto"/>
        </w:rPr>
        <w:t xml:space="preserve">CHICAGO, April. 18, 2023 </w:t>
      </w:r>
      <w:r>
        <w:rPr>
          <w:rFonts w:ascii="Arial" w:cs="Arial" w:eastAsia="Arial" w:hAnsi="Arial"/>
          <w:sz w:val="20"/>
          <w:szCs w:val="20"/>
          <w:color w:val="auto"/>
        </w:rPr>
        <w:t>– United Airlines (UAL) today reported first-quarter 2023 financial results.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a $256 million pre-tax loss, consistent with expectations provided in March. The company grew total operating revenue by 51.1% compared to first quarter 2022 and total revenue per available seat mile (TRASM) by 22.5%. Cost per available seat mile (CASM) increased 4.0%, while CASM-ex</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came in at down 0.1%, better than guidance due to strong operational reliability that produced available seat miles (ASMs) 23.4% higher than the first quarter of 2022. The company remains confident in the 2023 United Next adjusted diluted earnings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target of $10 to $12.</w:t>
      </w:r>
    </w:p>
    <w:p>
      <w:pPr>
        <w:spacing w:after="0" w:line="3" w:lineRule="exact"/>
        <w:rPr>
          <w:sz w:val="20"/>
          <w:szCs w:val="20"/>
          <w:color w:val="auto"/>
        </w:rPr>
      </w:pPr>
    </w:p>
    <w:p>
      <w:pPr>
        <w:ind w:right="40" w:firstLine="648"/>
        <w:spacing w:after="0" w:line="364" w:lineRule="auto"/>
        <w:rPr>
          <w:sz w:val="20"/>
          <w:szCs w:val="20"/>
          <w:color w:val="auto"/>
        </w:rPr>
      </w:pPr>
      <w:r>
        <w:rPr>
          <w:rFonts w:ascii="Arial" w:cs="Arial" w:eastAsia="Arial" w:hAnsi="Arial"/>
          <w:sz w:val="20"/>
          <w:szCs w:val="20"/>
          <w:color w:val="auto"/>
        </w:rPr>
        <w:t>"I am extremely proud of the United team's performance during the first quarter of 2023. Our industry-leading operational performance contributed to an all-time high operating cash flow in the first quarter and keeps us on track to achieve our cost targets for the full year," said United Airlines CEO Scott Kirby. "We are watching the macroeconomic risks carefully, but demand remains strong, especially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97" w:lineRule="exact"/>
        <w:rPr>
          <w:sz w:val="20"/>
          <w:szCs w:val="20"/>
          <w:color w:val="auto"/>
        </w:rPr>
      </w:pPr>
    </w:p>
    <w:p>
      <w:pPr>
        <w:ind w:right="100" w:firstLine="8"/>
        <w:spacing w:after="0" w:line="223" w:lineRule="auto"/>
        <w:tabs>
          <w:tab w:leader="none" w:pos="10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Adjusted diluted earnings per share is a measure that is not calculated in accordance with accounting principles generally accepted in the United States of America ("GAAP") and excludes operating and non-operating special charges (credits) and unrealized (gains) losses on investments,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predict the probable significance of such items. For additional information about the non-GAAP measures used in this press release, see "Non-GAAP Financial Information" below.</w:t>
      </w:r>
    </w:p>
    <w:p>
      <w:pPr>
        <w:ind w:right="20"/>
        <w:spacing w:after="0" w:line="229"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CASM-ex (adjusted cost or operating expense per available seat mile) is a non-GAAP financial measure that is calculated as cost or operating expense per available seat mile ("CASM") excluding fuel expense, profit sharing, third-party business expenses and special charges (credits). We are not providing a target for or a reconciliation to CASM, the most directly comparable GAAP measure, because we are unable to predict the excluded items noted above contained in the GAAP measure without unreasonable efforts, and therefore we also are not able to determine the probable significance of such items. Please reference the investor update filed on April 18, 2023 for further details on this metric. For additional information about the non-GAAP measures used in this press release, see "Non-GAAP Financial Information" below.</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United Airlines Third Quarter Financial Results Solidly Beat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360" w:lineRule="auto"/>
        <w:rPr>
          <w:sz w:val="20"/>
          <w:szCs w:val="20"/>
          <w:color w:val="auto"/>
        </w:rPr>
      </w:pPr>
      <w:r>
        <w:rPr>
          <w:rFonts w:ascii="Arial" w:cs="Arial" w:eastAsia="Arial" w:hAnsi="Arial"/>
          <w:sz w:val="20"/>
          <w:szCs w:val="20"/>
          <w:color w:val="auto"/>
        </w:rPr>
        <w:t>internationally, where we are growing at twice the domestic rate. We expect all of these factors will keep us on track to achieve our full-year adjusted diluted EPS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target."</w:t>
      </w:r>
    </w:p>
    <w:p>
      <w:pPr>
        <w:sectPr>
          <w:pgSz w:w="11900" w:h="16838" w:orient="portrait"/>
          <w:cols w:equalWidth="0" w:num="1">
            <w:col w:w="11060"/>
          </w:cols>
          <w:pgMar w:left="320" w:top="140"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First-Quarter Financial Results</w:t>
      </w:r>
    </w:p>
    <w:p>
      <w:pPr>
        <w:spacing w:after="0" w:line="22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loss of $194 million, adjusted net loss</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$207 million.</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Capacity up 23.4% compared to first-quarter 2022.</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operating revenue of $11.4 billion, up 51.1% compared to first-quarter 2022.</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TRASM up 22.5% compared to first-quarter 2022.</w:t>
      </w:r>
    </w:p>
    <w:p>
      <w:pPr>
        <w:spacing w:after="0" w:line="10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CASM up 4.0%, and CASM-ex</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down 0.1%, compared to first-quarter 2022.</w:t>
      </w:r>
    </w:p>
    <w:p>
      <w:pPr>
        <w:spacing w:after="0" w:line="63"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Diluted loss per share of $0.59, adjusted diluted loss per share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$0.63.</w:t>
      </w:r>
    </w:p>
    <w:p>
      <w:pPr>
        <w:spacing w:after="0" w:line="54"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Average fuel price per gallon of $3.33.</w:t>
      </w:r>
    </w:p>
    <w:p>
      <w:pPr>
        <w:spacing w:after="0" w:line="11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Reduced adjusted total debt</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by $4.6 billion in the last 12 months.</w:t>
      </w:r>
    </w:p>
    <w:p>
      <w:pPr>
        <w:spacing w:after="0" w:line="193" w:lineRule="exact"/>
        <w:rPr>
          <w:sz w:val="20"/>
          <w:szCs w:val="20"/>
          <w:color w:val="auto"/>
        </w:rPr>
      </w:pPr>
    </w:p>
    <w:p>
      <w:pPr>
        <w:jc w:val="center"/>
        <w:ind w:right="-359"/>
        <w:spacing w:after="0"/>
        <w:rPr>
          <w:sz w:val="20"/>
          <w:szCs w:val="20"/>
          <w:color w:val="auto"/>
        </w:rPr>
      </w:pPr>
      <w:r>
        <w:rPr>
          <w:rFonts w:ascii="Arial" w:cs="Arial" w:eastAsia="Arial" w:hAnsi="Arial"/>
          <w:sz w:val="20"/>
          <w:szCs w:val="20"/>
          <w:b w:val="1"/>
          <w:bCs w:val="1"/>
          <w:color w:val="auto"/>
        </w:rPr>
        <w:t>Key Highlights</w:t>
      </w:r>
    </w:p>
    <w:p>
      <w:pPr>
        <w:spacing w:after="0" w:line="226" w:lineRule="exact"/>
        <w:rPr>
          <w:sz w:val="20"/>
          <w:szCs w:val="20"/>
          <w:color w:val="auto"/>
        </w:rPr>
      </w:pPr>
    </w:p>
    <w:p>
      <w:pPr>
        <w:ind w:left="660" w:right="40" w:hanging="328"/>
        <w:spacing w:after="0" w:line="36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United reached a tentative agreement with the International Association of Machinists &amp; Aerospace Workers (IAM) for a new, industry-leading contract for our nearly 30,000 IAM-represented employees. Voting is expected to complete in early May.</w:t>
      </w:r>
    </w:p>
    <w:p>
      <w:pPr>
        <w:spacing w:after="0" w:line="1" w:lineRule="exact"/>
        <w:rPr>
          <w:rFonts w:ascii="Arial" w:cs="Arial" w:eastAsia="Arial" w:hAnsi="Arial"/>
          <w:sz w:val="20"/>
          <w:szCs w:val="20"/>
          <w:color w:val="auto"/>
        </w:rPr>
      </w:pPr>
    </w:p>
    <w:p>
      <w:pPr>
        <w:ind w:left="660" w:hanging="328"/>
        <w:spacing w:after="0" w:line="36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Today announced the largest South Pacific network expansion ever to and from the continental U.S., including the first non-stop flight between San Francisco and Christchurch (subject to government approval). With 66 flights between the United States and Australia/New Zealand every week, United will operate nearly 40% more flights from the United States to Australia and New Zealand next northern winter versus last year.</w:t>
      </w:r>
    </w:p>
    <w:p>
      <w:pPr>
        <w:spacing w:after="0" w:line="11" w:lineRule="exact"/>
        <w:rPr>
          <w:rFonts w:ascii="Arial" w:cs="Arial" w:eastAsia="Arial" w:hAnsi="Arial"/>
          <w:sz w:val="20"/>
          <w:szCs w:val="20"/>
          <w:color w:val="auto"/>
        </w:rPr>
      </w:pPr>
    </w:p>
    <w:p>
      <w:pPr>
        <w:ind w:left="660" w:right="600" w:hanging="328"/>
        <w:spacing w:after="0" w:line="324"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Launched the United Airlines Ventures Sustainable Flight Fund</w:t>
      </w:r>
      <w:r>
        <w:rPr>
          <w:rFonts w:ascii="Arial" w:cs="Arial" w:eastAsia="Arial" w:hAnsi="Arial"/>
          <w:sz w:val="25"/>
          <w:szCs w:val="25"/>
          <w:color w:val="auto"/>
          <w:vertAlign w:val="superscript"/>
        </w:rPr>
        <w:t>SM</w:t>
      </w:r>
      <w:r>
        <w:rPr>
          <w:rFonts w:ascii="Arial" w:cs="Arial" w:eastAsia="Arial" w:hAnsi="Arial"/>
          <w:sz w:val="20"/>
          <w:szCs w:val="20"/>
          <w:color w:val="auto"/>
        </w:rPr>
        <w:t>, a first-of-its-kind investment vehicle designed to support start-ups focused on decarbonizing air travel by accelerating the research, production and technologies associated with sustainable aviation fuel.</w:t>
      </w:r>
    </w:p>
    <w:p>
      <w:pPr>
        <w:spacing w:after="0" w:line="35" w:lineRule="exact"/>
        <w:rPr>
          <w:rFonts w:ascii="Arial" w:cs="Arial" w:eastAsia="Arial" w:hAnsi="Arial"/>
          <w:sz w:val="22"/>
          <w:szCs w:val="22"/>
          <w:color w:val="auto"/>
        </w:rPr>
      </w:pPr>
    </w:p>
    <w:p>
      <w:pPr>
        <w:ind w:left="660" w:right="240" w:hanging="328"/>
        <w:spacing w:after="0" w:line="35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Opened expanded and newly renovated global Inflight Training Center in Houston, Texas – the $32 million expansion project more than doubles the available training space and supports the airline's plan to hire and train a total of 15,000 people in 2023, including 4,000 flight attendants.</w:t>
      </w:r>
    </w:p>
    <w:p>
      <w:pPr>
        <w:spacing w:after="0" w:line="2" w:lineRule="exact"/>
        <w:rPr>
          <w:rFonts w:ascii="Arial" w:cs="Arial" w:eastAsia="Arial" w:hAnsi="Arial"/>
          <w:sz w:val="20"/>
          <w:szCs w:val="20"/>
          <w:color w:val="auto"/>
        </w:rPr>
      </w:pPr>
    </w:p>
    <w:p>
      <w:pPr>
        <w:ind w:left="660" w:right="160" w:hanging="328"/>
        <w:spacing w:after="0" w:line="361"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United announced a new industry-leading family seating policy enabled by dynamic seat map technology that makes it easier for children under 12 to sit next to an adult – since launch United enabled almost 50,000 more families to sit with their children.</w:t>
      </w:r>
    </w:p>
    <w:p>
      <w:pPr>
        <w:spacing w:after="0" w:line="1" w:lineRule="exact"/>
        <w:rPr>
          <w:rFonts w:ascii="Arial" w:cs="Arial" w:eastAsia="Arial" w:hAnsi="Arial"/>
          <w:sz w:val="20"/>
          <w:szCs w:val="20"/>
          <w:color w:val="auto"/>
        </w:rPr>
      </w:pPr>
    </w:p>
    <w:p>
      <w:pPr>
        <w:jc w:val="both"/>
        <w:ind w:left="660" w:right="80" w:hanging="328"/>
        <w:spacing w:after="0" w:line="36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United collaborated with Sesame Workshop to announce Oscar the Grouch as its first Chief Trash Officer as he and the airline celebrate his love of rubbish. United's campaign is designed to promote the expected benefit of using sustainable aviation fuel more broadly.</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Operational Performance</w:t>
      </w:r>
    </w:p>
    <w:p>
      <w:pPr>
        <w:spacing w:after="0" w:line="226" w:lineRule="exact"/>
        <w:rPr>
          <w:sz w:val="20"/>
          <w:szCs w:val="20"/>
          <w:color w:val="auto"/>
        </w:rPr>
      </w:pPr>
    </w:p>
    <w:p>
      <w:pPr>
        <w:ind w:left="660" w:right="680" w:hanging="328"/>
        <w:spacing w:after="0" w:line="35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Achieved the lowest first quarter seat cancel rate (1.09%) since the first quarter of 2012, leading the U.S. industry despite the greater impact of weather on United than any other airline.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5"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For additional information about the non-GAAP measures used in this press release, see “Non-GAAP Financial Information" below.</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14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United flew the most mainline seats 413,000 in company history and most mainline flights 2,300 daily for the quarter.</w:t>
      </w:r>
    </w:p>
    <w:p>
      <w:pPr>
        <w:spacing w:after="0" w:line="121" w:lineRule="exact"/>
        <w:rPr>
          <w:rFonts w:ascii="Arial" w:cs="Arial" w:eastAsia="Arial" w:hAnsi="Arial"/>
          <w:sz w:val="20"/>
          <w:szCs w:val="20"/>
          <w:color w:val="auto"/>
        </w:rPr>
      </w:pPr>
    </w:p>
    <w:p>
      <w:pPr>
        <w:ind w:left="660" w:right="220" w:hanging="328"/>
        <w:spacing w:after="0" w:line="35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United finished first in on-time departures at O'Hare International Airport, Denver International Airport, Los Angeles International Airport, and George Bush Intercontinental Airport and second in on-time departures out of San Francisco International Airport and Dulles International Airport as well as at our international stations.</w:t>
      </w:r>
    </w:p>
    <w:p>
      <w:pPr>
        <w:spacing w:after="0" w:line="2" w:lineRule="exact"/>
        <w:rPr>
          <w:rFonts w:ascii="Arial" w:cs="Arial" w:eastAsia="Arial" w:hAnsi="Arial"/>
          <w:sz w:val="20"/>
          <w:szCs w:val="20"/>
          <w:color w:val="auto"/>
        </w:rPr>
      </w:pPr>
    </w:p>
    <w:p>
      <w:pPr>
        <w:ind w:left="660" w:right="160" w:hanging="328"/>
        <w:spacing w:after="0" w:line="37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Net Promoter Score (NPS) performance for clubs and inflight service satisfaction was at an all-time high for the quarter since the launch of the NPS survey in 2020.</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Network</w:t>
      </w:r>
    </w:p>
    <w:p>
      <w:pPr>
        <w:spacing w:after="0" w:line="226" w:lineRule="exact"/>
        <w:rPr>
          <w:sz w:val="20"/>
          <w:szCs w:val="20"/>
          <w:color w:val="auto"/>
        </w:rPr>
      </w:pPr>
    </w:p>
    <w:p>
      <w:pPr>
        <w:ind w:left="660" w:right="80" w:hanging="328"/>
        <w:spacing w:after="0" w:line="35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Through an enhanced cross-border joint business agreement with Air Canada announced industry-leading capacity and new routes between Canada and the U.S. for summer 2023.</w:t>
      </w:r>
    </w:p>
    <w:p>
      <w:pPr>
        <w:ind w:left="660" w:hanging="328"/>
        <w:spacing w:after="0" w:line="35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Launched four new international routes between Dubai, United Arab Emirates, and Newark/New York and between Tokyo-Haneda, Japan, and Newark/New York, Los Angeles, and Washington D.C. Reintroduced four international routes not flown since the beginning of the pandemic – service between Tokyo-Narita, Japan and Denver, Osaka, Japan and San Francisco, Hong Kong, and San Francisco, and Managua, Nicaragua, and Houston.</w:t>
      </w:r>
    </w:p>
    <w:p>
      <w:pPr>
        <w:ind w:left="660" w:right="700" w:hanging="328"/>
        <w:spacing w:after="0" w:line="35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Resumed non-stop service between Shanghai and San Francisco, becoming the first U.S. airline to not require a technical stop between the U.S. and Shanghai since November 2020.</w:t>
      </w: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Increased domestic premium seat capacity 25% versus first quarter 2019.</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Customer Enhancements</w:t>
      </w:r>
    </w:p>
    <w:p>
      <w:pPr>
        <w:spacing w:after="0" w:line="248" w:lineRule="exact"/>
        <w:rPr>
          <w:sz w:val="20"/>
          <w:szCs w:val="20"/>
          <w:color w:val="auto"/>
        </w:rPr>
      </w:pPr>
    </w:p>
    <w:p>
      <w:pPr>
        <w:ind w:left="660" w:right="780" w:hanging="328"/>
        <w:spacing w:after="0" w:line="31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The new United Club</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at O'Hare International Airport had a strong debut in January 2023 with stellar customer satisfaction scores.</w:t>
      </w:r>
    </w:p>
    <w:p>
      <w:pPr>
        <w:spacing w:after="0" w:line="7" w:lineRule="exact"/>
        <w:rPr>
          <w:rFonts w:ascii="Arial" w:cs="Arial" w:eastAsia="Arial" w:hAnsi="Arial"/>
          <w:sz w:val="22"/>
          <w:szCs w:val="22"/>
          <w:color w:val="auto"/>
        </w:rPr>
      </w:pPr>
    </w:p>
    <w:p>
      <w:pPr>
        <w:ind w:left="660" w:right="420" w:hanging="328"/>
        <w:spacing w:after="0" w:line="364"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During the first quarter, over 1 million customers used United's "bag drop shortcut" which streamlines the bag-check process and is active at 38 airports.</w:t>
      </w:r>
    </w:p>
    <w:p>
      <w:pPr>
        <w:spacing w:after="0" w:line="17" w:lineRule="exact"/>
        <w:rPr>
          <w:rFonts w:ascii="Arial" w:cs="Arial" w:eastAsia="Arial" w:hAnsi="Arial"/>
          <w:sz w:val="20"/>
          <w:szCs w:val="20"/>
          <w:color w:val="auto"/>
        </w:rPr>
      </w:pPr>
    </w:p>
    <w:p>
      <w:pPr>
        <w:ind w:left="660" w:right="340" w:hanging="328"/>
        <w:spacing w:after="0" w:line="349"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0"/>
          <w:szCs w:val="20"/>
          <w:color w:val="auto"/>
        </w:rPr>
        <w:t>With the opening of the new Terminal A at Newark Liberty International Airport, added 12 gates for its operations and expects to have 17 total gates by the end of 2023.</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Communities</w:t>
      </w:r>
    </w:p>
    <w:p>
      <w:pPr>
        <w:spacing w:after="0" w:line="226" w:lineRule="exact"/>
        <w:rPr>
          <w:sz w:val="20"/>
          <w:szCs w:val="20"/>
          <w:color w:val="auto"/>
        </w:rPr>
      </w:pPr>
    </w:p>
    <w:p>
      <w:pPr>
        <w:ind w:left="660" w:right="180" w:hanging="328"/>
        <w:spacing w:after="0" w:line="359"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President Joe Biden announced his intent to appoint United President Brett Hart to the President's Export Council - the principal national advisory committee on international trade.</w:t>
      </w:r>
    </w:p>
    <w:p>
      <w:pPr>
        <w:ind w:left="660" w:right="260" w:hanging="328"/>
        <w:spacing w:after="0" w:line="359"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Celebrated the graduation of United Aviate Academy's inaugural class of pilots, an important step towards training the next generation of talented, qualified, and motivated aviators.</w:t>
      </w:r>
    </w:p>
    <w:p>
      <w:pPr>
        <w:ind w:left="660" w:right="60" w:hanging="328"/>
        <w:spacing w:after="0" w:line="362"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Announced a $5 million investment in algae-based fuel producer Viridos to turn microalgae into sustainable aviation fuel through the first new investment of its recently announced United Airlines Ventures Sustainable Flight Fund since its launch.</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40"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Announced a $15 million investment by United Airlines Ventures Sustainable Flight Fund (UAV) in carbon capture</w:t>
      </w:r>
    </w:p>
    <w:p>
      <w:pPr>
        <w:spacing w:after="0" w:line="121" w:lineRule="exact"/>
        <w:rPr>
          <w:rFonts w:ascii="Arial" w:cs="Arial" w:eastAsia="Arial" w:hAnsi="Arial"/>
          <w:sz w:val="20"/>
          <w:szCs w:val="20"/>
          <w:color w:val="auto"/>
        </w:rPr>
      </w:pPr>
    </w:p>
    <w:p>
      <w:pPr>
        <w:ind w:left="660" w:right="200"/>
        <w:spacing w:after="0" w:line="293" w:lineRule="auto"/>
        <w:rPr>
          <w:rFonts w:ascii="Arial" w:cs="Arial" w:eastAsia="Arial" w:hAnsi="Arial"/>
          <w:sz w:val="20"/>
          <w:szCs w:val="20"/>
          <w:color w:val="auto"/>
        </w:rPr>
      </w:pPr>
      <w:r>
        <w:rPr>
          <w:rFonts w:ascii="Arial" w:cs="Arial" w:eastAsia="Arial" w:hAnsi="Arial"/>
          <w:sz w:val="20"/>
          <w:szCs w:val="20"/>
          <w:color w:val="auto"/>
        </w:rPr>
        <w:t>technology company Svante, that provides materials and technology as part of the value chain that has the potential to convert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removed from the atmosphere and from industrial emission sources into sustainable aviation fuel.</w:t>
      </w:r>
    </w:p>
    <w:p>
      <w:pPr>
        <w:spacing w:after="0" w:line="56" w:lineRule="exact"/>
        <w:rPr>
          <w:rFonts w:ascii="Arial" w:cs="Arial" w:eastAsia="Arial" w:hAnsi="Arial"/>
          <w:sz w:val="20"/>
          <w:szCs w:val="20"/>
          <w:color w:val="auto"/>
        </w:rPr>
      </w:pPr>
    </w:p>
    <w:p>
      <w:pPr>
        <w:ind w:left="660" w:right="260" w:hanging="328"/>
        <w:spacing w:after="0" w:line="359"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United Airlines, Tallgrass, and Green Plains Inc. announced a new joint venture – Blue Blade Energy – to develop and then commercialize a novel sustainable aviation fuel technology that uses ethanol as its feedstock.</w:t>
      </w:r>
    </w:p>
    <w:p>
      <w:pPr>
        <w:ind w:left="660" w:right="1220" w:hanging="328"/>
        <w:spacing w:after="0" w:line="359"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Nearly 4,000 hours were volunteered by more than 470 employees. More than 8.4 million miles donated by MileagePlus® members to more than 60 non-profit organizations.</w:t>
      </w:r>
    </w:p>
    <w:p>
      <w:pPr>
        <w:spacing w:after="0" w:line="9" w:lineRule="exact"/>
        <w:rPr>
          <w:rFonts w:ascii="Arial" w:cs="Arial" w:eastAsia="Arial" w:hAnsi="Arial"/>
          <w:sz w:val="20"/>
          <w:szCs w:val="20"/>
          <w:color w:val="auto"/>
        </w:rPr>
      </w:pPr>
    </w:p>
    <w:p>
      <w:pPr>
        <w:ind w:left="660" w:hanging="328"/>
        <w:spacing w:after="0" w:line="318"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20"/>
          <w:szCs w:val="20"/>
          <w:color w:val="auto"/>
        </w:rPr>
        <w:t>Launched our Miles on a Mission</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campaign to support Turkey and Syria earthquake relief, raising nearly 400,000 miles and $25,000 for Airlink, American Red Cross, and World Central Kitchen.</w:t>
      </w:r>
    </w:p>
    <w:p>
      <w:pPr>
        <w:spacing w:after="0" w:line="21" w:lineRule="exact"/>
        <w:rPr>
          <w:rFonts w:ascii="Arial" w:cs="Arial" w:eastAsia="Arial" w:hAnsi="Arial"/>
          <w:sz w:val="22"/>
          <w:szCs w:val="22"/>
          <w:color w:val="auto"/>
        </w:rPr>
      </w:pPr>
    </w:p>
    <w:p>
      <w:pPr>
        <w:ind w:left="660" w:right="180" w:hanging="328"/>
        <w:spacing w:after="0" w:line="359"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Nearly 300 employees participated in Martin Luther King Jr. Day parades and volunteer activities across the company's network.</w:t>
      </w:r>
    </w:p>
    <w:p>
      <w:pPr>
        <w:ind w:left="660" w:right="380" w:hanging="328"/>
        <w:spacing w:after="0" w:line="359"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Supported Sesame Workshop's Welcome Sesame initiative, delivering critically needed early childhood development opportunities to families affected by conflict and crisis.</w:t>
      </w:r>
    </w:p>
    <w:p>
      <w:pPr>
        <w:ind w:left="660" w:right="320" w:hanging="328"/>
        <w:spacing w:after="0" w:line="362"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Led a Black History Month fundraising campaign – alongside Chase and Visa – for our cardmembers, supporting The Thurgood Marshall College Fund, The Leadership Conference Education Fund, The Legal Defense Fund, and The United Negro College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Earnings Call</w:t>
      </w:r>
    </w:p>
    <w:p>
      <w:pPr>
        <w:spacing w:after="0" w:line="2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UAL will hold a conference call to discuss first quarter 2023 financial results, as well as its financial and operational outlook for second quarter 2023 and beyond, on Wednesday, April 19, at 9:30 a.m. CT/10:30 a.m. ET. A live, listen-only webcast of the conference call will be available at ir.united.com. The webcast will be available for replay within 24 hours of the conference call and then archived on the website for three months.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Outlook</w:t>
      </w:r>
    </w:p>
    <w:p>
      <w:pPr>
        <w:spacing w:after="0" w:line="24"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with the U.S. Securities and Exchange Commission on a Current Report on Form 8-K. The Investor Update is also available at ir.united.com. Management will also discuss certain business outlook items during the quarterly earnings conference call.</w:t>
      </w:r>
    </w:p>
    <w:p>
      <w:pPr>
        <w:spacing w:after="0" w:line="222"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The company's business outlook is subject to risks and uncertainties applicable to all forward-looking statements as described elsewhere in this press release. Please see the section entitled "Cautionary Statement Regarding Forward-Looking Statements."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United</w:t>
      </w:r>
    </w:p>
    <w:p>
      <w:pPr>
        <w:spacing w:after="0" w:line="24" w:lineRule="exact"/>
        <w:rPr>
          <w:sz w:val="20"/>
          <w:szCs w:val="20"/>
          <w:color w:val="auto"/>
        </w:rPr>
      </w:pPr>
    </w:p>
    <w:p>
      <w:pPr>
        <w:ind w:right="260"/>
        <w:spacing w:after="0" w:line="238" w:lineRule="auto"/>
        <w:rPr>
          <w:sz w:val="20"/>
          <w:szCs w:val="20"/>
          <w:color w:val="auto"/>
        </w:rPr>
      </w:pPr>
      <w:r>
        <w:rPr>
          <w:rFonts w:ascii="Arial" w:cs="Arial" w:eastAsia="Arial" w:hAnsi="Arial"/>
          <w:sz w:val="20"/>
          <w:szCs w:val="20"/>
          <w:color w:val="auto"/>
        </w:rPr>
        <w:t>United's shared purpose is "Connecting People. Uniting the World." From our U.S. hubs in Chicago, Denver, Houston, Los Angeles, New York/Newark, San Francisco and Washington, D.C., United operates the most comprehensive global route network among North American carriers. United is bringing back our customers' favorite destinations and adding new ones on its way to becoming the world's best airline. For more about how to join the United team, please visit www.united.com/careers and more information about the company is at www.united.com. United Airlines Holdings, Inc., the parent company of United Airlines, Inc., is traded on the Nasdaq under the symbol "UAL".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Website Information</w:t>
      </w:r>
    </w:p>
    <w:p>
      <w:pPr>
        <w:spacing w:after="0" w:line="24"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We routinely post important news and information regarding United on our corporate website, www.united.com, and our investor relations website, ir.united.com. We use our investor relations website as a primary channel for disclosing key information to our investors, including the timing of future investor conferences and earnings calls, press releases and other information about financial performance, reports filed or furnished with the U.S. Securities and Exchange Commission, information on corporate governance and details related to our annual meeting of shareholders. We may use our investor relations website as a means of disclosing material, non-public information and for complying with our disclosure obligations under Regulation FD. We may also use social media channels to communicate with our investors and the public about our company and other matters, and those communications could be deemed to be material information. The information contained on, or that may be accessed through, our website or social media channels are not incorporated by reference into, and are not a part of, this document.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4"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This press release and the related attachments and Investor Update (as well as the oral statements made with respect to information contained in this release and the attachments) contain certain "forward-looking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market position, capacity, fleet, product development, ESG targets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224" w:lineRule="exact"/>
        <w:rPr>
          <w:sz w:val="20"/>
          <w:szCs w:val="20"/>
          <w:color w:val="auto"/>
        </w:rPr>
      </w:pPr>
    </w:p>
    <w:p>
      <w:pPr>
        <w:ind w:right="400"/>
        <w:spacing w:after="0" w:line="238" w:lineRule="auto"/>
        <w:rPr>
          <w:sz w:val="20"/>
          <w:szCs w:val="20"/>
          <w:color w:val="auto"/>
        </w:rPr>
      </w:pPr>
      <w:r>
        <w:rPr>
          <w:rFonts w:ascii="Arial" w:cs="Arial" w:eastAsia="Arial" w:hAnsi="Arial"/>
          <w:sz w:val="20"/>
          <w:szCs w:val="20"/>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spacing w:after="0" w:line="238"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Our actual results could differ materially from these forward-looking statements due to numerous factors including, without limitation, the following: execution risks associated with our strategic operating plan; 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 any failure to effectively manage, and receive anticipated benefits and returns from, acquisitions, divestitures, investments, joint ventures and other portfolio actions, or related exposures to unknown liabilities or other issues or underperformance as compared to our expectations; the adverse impacts of the ongoing COVID-19 pandemic on our business, operating results, financial condition and liquidity; adverse publicity, harm to our brand, reduced travel demand, potential tort liability and voluntary or mandatory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(including inflationary pressures);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constrains at our hubs or other airports; geopolitical conflict, terrorist attacks or security events; any damage to our reputation or brand image; our reliance on technology and automated systems to operate our business and the impact of any significant failure or disruption of, or failure to effectively integrate and implement, the technology or systems; increasing privacy and data security obligations or a significant data breach; increased use of social media platforms by us, our employees and others; the impacts of union disputes, employee strikes or slowdowns, and other labor-related disruptions or regulatory compliance costs on our operations;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our climate goals; high and/or volatile fuel prices or significant disruptions in the supply of aircraft fuel (including as a result of the Russia-Ukraine military conflict); the impacts of our significant amount of financial leverage from fixed obligations and the impacts of insufficient liquidity on our financial condition and business; failure to comply with financial and other covenants governing our debt, including our MileagePlus® financing agreements; the impacts of the proposed phaseout of the London interbank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offer rate;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weather events, infrastructure and other factors associated with the airline industry; increases in insurance costs or inadequate insurance coverage and other risks and uncertainties set forth in Part I, Item 1A. Risk Factors, and under "Economic and Market Factors" in Part II, Item 7. Management's Discussion and Analysis of Financial Condition and Results of Operations, of our Annual Report on Form 10-K for the fiscal year ended December 31, 2022, as well as other risks and uncertainties set forth from time to time in the reports we file with the U.S. Securities and Exchange Commission.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2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Non-GAAP financial measures such as adjusted operating margin (which excludes special charges (credits)), CASM-ex (which excludes the impact of fuel expense, profit sharing, special charges and third-party expenses), adjusted pre-tax margin (which is calculated as pre-tax margin excluding operating and nonoperating special charges (credits) and unrealized (gains) losses on investments, net) and adjusted net income typically have exclusions or adjustments that include one or more of the following 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spacing w:after="0" w:line="22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spacing w:after="0" w:line="224"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Please refer to the tables accompanying this release for a description of the non-GAAP adjustments and reconciliations of the historical non-GAAP financial measures used to the most comparable GAAP financial measure and related disclosures.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-tables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STATEMENTS OF CONSOLIDATED OPERATIONS (UNAUDITED)</w:t>
      </w:r>
    </w:p>
    <w:p>
      <w:pPr>
        <w:spacing w:after="0" w:line="375"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59"/>
              <w:spacing w:after="0"/>
              <w:rPr>
                <w:sz w:val="20"/>
                <w:szCs w:val="20"/>
                <w:color w:val="auto"/>
              </w:rPr>
            </w:pPr>
            <w:r>
              <w:rPr>
                <w:rFonts w:ascii="Arial" w:cs="Arial" w:eastAsia="Arial" w:hAnsi="Arial"/>
                <w:sz w:val="16"/>
                <w:szCs w:val="16"/>
                <w:color w:val="auto"/>
              </w:rPr>
              <w:t>Three Months Ended</w:t>
            </w: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4"/>
            <w:vMerge w:val="restart"/>
          </w:tcPr>
          <w:p>
            <w:pPr>
              <w:jc w:val="right"/>
              <w:ind w:right="439"/>
              <w:spacing w:after="0"/>
              <w:rPr>
                <w:sz w:val="20"/>
                <w:szCs w:val="20"/>
                <w:color w:val="auto"/>
              </w:rPr>
            </w:pPr>
            <w:r>
              <w:rPr>
                <w:rFonts w:ascii="Arial" w:cs="Arial" w:eastAsia="Arial" w:hAnsi="Arial"/>
                <w:sz w:val="16"/>
                <w:szCs w:val="16"/>
                <w:color w:val="auto"/>
              </w:rPr>
              <w:t>March 31,</w:t>
            </w: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39"/>
        </w:trPr>
        <w:tc>
          <w:tcPr>
            <w:tcW w:w="7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00" w:type="dxa"/>
            <w:vAlign w:val="bottom"/>
          </w:tcPr>
          <w:p>
            <w:pPr>
              <w:spacing w:after="0"/>
              <w:rPr>
                <w:sz w:val="17"/>
                <w:szCs w:val="17"/>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revenue:</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Passenger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10,274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6,348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Cargo</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operating revenue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revenue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Salaries and related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fuel</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Landing fees and other rent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maintenance materials and outside repairs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Regional capacity purchase</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Distribution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Aircraft rent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Special charges (credits)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8,942</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28.3</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Operating loss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Nonoperating income (expense):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capitalized</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320"/>
              <w:spacing w:after="0"/>
              <w:rPr>
                <w:sz w:val="20"/>
                <w:szCs w:val="20"/>
                <w:color w:val="auto"/>
              </w:rPr>
            </w:pPr>
            <w:r>
              <w:rPr>
                <w:rFonts w:ascii="Arial" w:cs="Arial" w:eastAsia="Arial" w:hAnsi="Arial"/>
                <w:sz w:val="16"/>
                <w:szCs w:val="16"/>
                <w:color w:val="auto"/>
              </w:rPr>
              <w:t>Unrealized gains on investments,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Miscellaneous, net</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nonoperating expense, net</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(43.4)</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(1,752)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(83.5)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r>
              <w:rPr>
                <w:rFonts w:ascii="Arial" w:cs="Arial" w:eastAsia="Arial" w:hAnsi="Arial"/>
                <w:sz w:val="16"/>
                <w:szCs w:val="16"/>
                <w:u w:val="single" w:color="auto"/>
                <w:color w:val="auto"/>
              </w:rPr>
              <w:t>24)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80" w:type="dxa"/>
            <w:vAlign w:val="bottom"/>
          </w:tcPr>
          <w:p>
            <w:pPr>
              <w:spacing w:after="0"/>
              <w:rPr>
                <w:sz w:val="20"/>
                <w:szCs w:val="20"/>
                <w:color w:val="auto"/>
              </w:rPr>
            </w:pPr>
            <w:r>
              <w:rPr>
                <w:rFonts w:ascii="Arial" w:cs="Arial" w:eastAsia="Arial" w:hAnsi="Arial"/>
                <w:sz w:val="16"/>
                <w:szCs w:val="16"/>
                <w:color w:val="auto"/>
              </w:rPr>
              <w:t>Diluted weighted average shares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140" w:right="6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PASSENGER REVENUE INFORMATION AND STATISTICS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gridSpan w:val="7"/>
          </w:tcPr>
          <w:p>
            <w:pPr>
              <w:spacing w:after="0"/>
              <w:rPr>
                <w:sz w:val="20"/>
                <w:szCs w:val="20"/>
                <w:color w:val="auto"/>
              </w:rPr>
            </w:pPr>
            <w:r>
              <w:rPr>
                <w:rFonts w:ascii="Arial" w:cs="Arial" w:eastAsia="Arial" w:hAnsi="Arial"/>
                <w:sz w:val="16"/>
                <w:szCs w:val="16"/>
                <w:b w:val="1"/>
                <w:bCs w:val="1"/>
                <w:color w:val="auto"/>
              </w:rPr>
              <w:t>Information is as follows (in millions, except for percentage changes):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91"/>
        </w:trPr>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1Q 2023</w:t>
            </w: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20"/>
              <w:spacing w:after="0" w:line="162" w:lineRule="exact"/>
              <w:rPr>
                <w:sz w:val="20"/>
                <w:szCs w:val="20"/>
                <w:color w:val="auto"/>
              </w:rPr>
            </w:pPr>
            <w:r>
              <w:rPr>
                <w:rFonts w:ascii="Arial" w:cs="Arial" w:eastAsia="Arial" w:hAnsi="Arial"/>
                <w:sz w:val="16"/>
                <w:szCs w:val="16"/>
                <w:color w:val="auto"/>
              </w:rPr>
              <w:t>Passenger</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Available</w:t>
            </w: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rPr>
              <w:t>1Q 2023</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Revenue</w:t>
            </w: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1Q 2023</w:t>
            </w:r>
          </w:p>
        </w:tc>
        <w:tc>
          <w:tcPr>
            <w:tcW w:w="120" w:type="dxa"/>
            <w:vAlign w:val="bottom"/>
          </w:tcPr>
          <w:p>
            <w:pPr>
              <w:spacing w:after="0"/>
              <w:rPr>
                <w:sz w:val="14"/>
                <w:szCs w:val="14"/>
                <w:color w:val="auto"/>
              </w:rPr>
            </w:pPr>
          </w:p>
        </w:tc>
        <w:tc>
          <w:tcPr>
            <w:tcW w:w="1280" w:type="dxa"/>
            <w:vAlign w:val="bottom"/>
            <w:gridSpan w:val="3"/>
          </w:tcPr>
          <w:p>
            <w:pPr>
              <w:jc w:val="center"/>
              <w:ind w:right="220"/>
              <w:spacing w:after="0" w:line="162" w:lineRule="exact"/>
              <w:rPr>
                <w:sz w:val="20"/>
                <w:szCs w:val="20"/>
                <w:color w:val="auto"/>
              </w:rPr>
            </w:pPr>
            <w:r>
              <w:rPr>
                <w:rFonts w:ascii="Arial" w:cs="Arial" w:eastAsia="Arial" w:hAnsi="Arial"/>
                <w:sz w:val="16"/>
                <w:szCs w:val="16"/>
                <w:color w:val="auto"/>
              </w:rPr>
              <w:t>Revenue</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Seat Miles</w:t>
            </w: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Available Seat</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Passenger</w:t>
            </w:r>
          </w:p>
        </w:tc>
      </w:tr>
      <w:tr>
        <w:trPr>
          <w:trHeight w:val="162"/>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9"/>
              <w:spacing w:after="0" w:line="162" w:lineRule="exact"/>
              <w:rPr>
                <w:sz w:val="20"/>
                <w:szCs w:val="20"/>
                <w:color w:val="auto"/>
              </w:rPr>
            </w:pPr>
            <w:r>
              <w:rPr>
                <w:rFonts w:ascii="Arial" w:cs="Arial" w:eastAsia="Arial" w:hAnsi="Arial"/>
                <w:sz w:val="16"/>
                <w:szCs w:val="16"/>
                <w:color w:val="auto"/>
              </w:rPr>
              <w:t>Passenger</w:t>
            </w:r>
          </w:p>
        </w:tc>
        <w:tc>
          <w:tcPr>
            <w:tcW w:w="120" w:type="dxa"/>
            <w:vAlign w:val="bottom"/>
          </w:tcPr>
          <w:p>
            <w:pPr>
              <w:spacing w:after="0"/>
              <w:rPr>
                <w:sz w:val="14"/>
                <w:szCs w:val="14"/>
                <w:color w:val="auto"/>
              </w:rPr>
            </w:pPr>
          </w:p>
        </w:tc>
        <w:tc>
          <w:tcPr>
            <w:tcW w:w="1280" w:type="dxa"/>
            <w:vAlign w:val="bottom"/>
            <w:gridSpan w:val="3"/>
          </w:tcPr>
          <w:p>
            <w:pPr>
              <w:jc w:val="center"/>
              <w:ind w:right="220"/>
              <w:spacing w:after="0" w:line="162" w:lineRule="exact"/>
              <w:rPr>
                <w:sz w:val="20"/>
                <w:szCs w:val="20"/>
                <w:color w:val="auto"/>
              </w:rPr>
            </w:pPr>
            <w:r>
              <w:rPr>
                <w:rFonts w:ascii="Arial" w:cs="Arial" w:eastAsia="Arial" w:hAnsi="Arial"/>
                <w:sz w:val="16"/>
                <w:szCs w:val="16"/>
                <w:color w:val="auto"/>
              </w:rPr>
              <w:t>vs.</w:t>
            </w:r>
          </w:p>
        </w:tc>
        <w:tc>
          <w:tcPr>
            <w:tcW w:w="108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PRASM vs.</w:t>
            </w:r>
          </w:p>
        </w:tc>
        <w:tc>
          <w:tcPr>
            <w:tcW w:w="1200" w:type="dxa"/>
            <w:vAlign w:val="bottom"/>
            <w:gridSpan w:val="2"/>
          </w:tcPr>
          <w:p>
            <w:pPr>
              <w:ind w:left="260"/>
              <w:spacing w:after="0" w:line="162" w:lineRule="exact"/>
              <w:rPr>
                <w:sz w:val="20"/>
                <w:szCs w:val="20"/>
                <w:color w:val="auto"/>
              </w:rPr>
            </w:pPr>
            <w:r>
              <w:rPr>
                <w:rFonts w:ascii="Arial" w:cs="Arial" w:eastAsia="Arial" w:hAnsi="Arial"/>
                <w:sz w:val="16"/>
                <w:szCs w:val="16"/>
                <w:color w:val="auto"/>
              </w:rPr>
              <w:t>Yield vs.</w:t>
            </w:r>
          </w:p>
        </w:tc>
        <w:tc>
          <w:tcPr>
            <w:tcW w:w="122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7"/>
              </w:rPr>
              <w:t>vs.</w:t>
            </w: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rPr>
              <w:t>Miles</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Miles</w:t>
            </w:r>
          </w:p>
        </w:tc>
      </w:tr>
      <w:tr>
        <w:trPr>
          <w:trHeight w:val="198"/>
        </w:trPr>
        <w:tc>
          <w:tcPr>
            <w:tcW w:w="2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1Q 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1Q 2022</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1Q 2022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1Q 2022</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("ASMs")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("RPMs")</w:t>
            </w:r>
          </w:p>
        </w:tc>
      </w:tr>
      <w:tr>
        <w:trPr>
          <w:trHeight w:val="212"/>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24.2%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31,176</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129.1%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36.9%</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7,213</w:t>
            </w: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Latin America</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1,213</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63.3%</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7,101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6,196</w:t>
            </w: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Pacific</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323.8%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109.8%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w:t>
            </w:r>
          </w:p>
        </w:tc>
      </w:tr>
      <w:tr>
        <w:trPr>
          <w:trHeight w:val="21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Middle East/India/Africa</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2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rPr>
              <w:t>33.3%</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1.7%</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w:t>
            </w: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12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106.1%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51.6%</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21,356</w:t>
            </w:r>
          </w:p>
        </w:tc>
      </w:tr>
      <w:tr>
        <w:trPr>
          <w:trHeight w:val="216"/>
        </w:trPr>
        <w:tc>
          <w:tcPr>
            <w:tcW w:w="2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3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10,274</w:t>
            </w:r>
          </w:p>
        </w:tc>
        <w:tc>
          <w:tcPr>
            <w:tcW w:w="12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65,720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52,532</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Select operating statistics are as follows: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jc w:val="right"/>
              <w:ind w:right="159"/>
              <w:spacing w:after="0"/>
              <w:rPr>
                <w:sz w:val="20"/>
                <w:szCs w:val="20"/>
                <w:color w:val="auto"/>
              </w:rPr>
            </w:pPr>
            <w:r>
              <w:rPr>
                <w:rFonts w:ascii="Arial" w:cs="Arial" w:eastAsia="Arial" w:hAnsi="Arial"/>
                <w:sz w:val="16"/>
                <w:szCs w:val="16"/>
                <w:color w:val="auto"/>
              </w:rPr>
              <w:t>Three Months Ended</w:t>
            </w:r>
          </w:p>
        </w:tc>
        <w:tc>
          <w:tcPr>
            <w:tcW w:w="10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7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gridSpan w:val="4"/>
            <w:vMerge w:val="restart"/>
          </w:tcPr>
          <w:p>
            <w:pPr>
              <w:jc w:val="right"/>
              <w:ind w:right="559"/>
              <w:spacing w:after="0"/>
              <w:rPr>
                <w:sz w:val="20"/>
                <w:szCs w:val="20"/>
                <w:color w:val="auto"/>
              </w:rPr>
            </w:pPr>
            <w:r>
              <w:rPr>
                <w:rFonts w:ascii="Arial" w:cs="Arial" w:eastAsia="Arial" w:hAnsi="Arial"/>
                <w:sz w:val="16"/>
                <w:szCs w:val="16"/>
                <w:color w:val="auto"/>
              </w:rPr>
              <w:t>March 31,</w:t>
            </w:r>
          </w:p>
        </w:tc>
        <w:tc>
          <w:tcPr>
            <w:tcW w:w="10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jc w:val="center"/>
              <w:spacing w:after="0" w:line="127" w:lineRule="exact"/>
              <w:rPr>
                <w:sz w:val="20"/>
                <w:szCs w:val="20"/>
                <w:color w:val="auto"/>
              </w:rPr>
            </w:pPr>
            <w:r>
              <w:rPr>
                <w:rFonts w:ascii="Arial" w:cs="Arial" w:eastAsia="Arial" w:hAnsi="Arial"/>
                <w:sz w:val="14"/>
                <w:szCs w:val="14"/>
                <w:color w:val="auto"/>
              </w:rPr>
              <w:t>Increase/</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Passengers (thousands) (a)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36,822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29,333</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25.5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RPMs (millions) (b)</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52,532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38,644</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35.9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ASMs (millions) (c)</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65,720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53,264</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23.4</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Passenger load factor: (d)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72.6 %</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7.3</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Arial" w:cs="Arial" w:eastAsia="Arial" w:hAnsi="Arial"/>
                <w:sz w:val="16"/>
                <w:szCs w:val="16"/>
                <w:color w:val="auto"/>
              </w:rPr>
              <w:t>Domestic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77.5 %</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3.4</w:t>
            </w:r>
          </w:p>
        </w:tc>
        <w:tc>
          <w:tcPr>
            <w:tcW w:w="480" w:type="dxa"/>
            <w:vAlign w:val="bottom"/>
          </w:tcPr>
          <w:p>
            <w:pPr>
              <w:ind w:left="20"/>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International</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64.3 %</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14.2</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pts.</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Passenger revenue per available seat mile ("PRASM") (cents)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11.92</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31.1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 per available seat mile ("TRASM") (cents)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14.20</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22.5</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Average yield per revenue passenger mile (cents) (e)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19.56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16.43</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19.1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Cargo revenue ton miles (millions) (f)</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Aircraft in fleet at end of period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1,343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stage length (miles) (g)</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1,370</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4.5</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Employee headcount, as of March 31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87.4</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10.2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CASM (cents)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16.79</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4.0</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Pr>
          <w:p>
            <w:pPr>
              <w:ind w:left="220"/>
              <w:spacing w:after="0"/>
              <w:rPr>
                <w:sz w:val="20"/>
                <w:szCs w:val="20"/>
                <w:color w:val="auto"/>
              </w:rPr>
            </w:pPr>
            <w:r>
              <w:rPr>
                <w:rFonts w:ascii="Arial" w:cs="Arial" w:eastAsia="Arial" w:hAnsi="Arial"/>
                <w:sz w:val="16"/>
                <w:szCs w:val="16"/>
                <w:color w:val="auto"/>
              </w:rPr>
              <w:t>CASM-ex (cents) (h)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12.55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7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aircraft fuel price per gallon</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2.88</w:t>
            </w:r>
          </w:p>
        </w:tc>
        <w:tc>
          <w:tcPr>
            <w:tcW w:w="10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15.6</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Fuel gallons consumed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775</w:t>
            </w:r>
          </w:p>
        </w:tc>
        <w:tc>
          <w:tcPr>
            <w:tcW w:w="1040" w:type="dxa"/>
            <w:vAlign w:val="bottom"/>
            <w:gridSpan w:val="2"/>
          </w:tcPr>
          <w:p>
            <w:pPr>
              <w:jc w:val="right"/>
              <w:ind w:right="4"/>
              <w:spacing w:after="0"/>
              <w:rPr>
                <w:sz w:val="20"/>
                <w:szCs w:val="20"/>
                <w:color w:val="auto"/>
              </w:rPr>
            </w:pPr>
            <w:r>
              <w:rPr>
                <w:rFonts w:ascii="Arial" w:cs="Arial" w:eastAsia="Arial" w:hAnsi="Arial"/>
                <w:sz w:val="16"/>
                <w:szCs w:val="16"/>
                <w:color w:val="auto"/>
              </w:rPr>
              <w:t>22.8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revenue passengers measured by each flight segment flown.</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scheduled miles flown by revenue passengers.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seats available for passengers multiplied by the number of scheduled miles those seats are flown.</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RPMs divided by ASMs.</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average passenger revenue received for each RPM flown.</w:t>
      </w:r>
    </w:p>
    <w:p>
      <w:pPr>
        <w:spacing w:after="0" w:line="5" w:lineRule="exact"/>
        <w:rPr>
          <w:rFonts w:ascii="Arial" w:cs="Arial" w:eastAsia="Arial" w:hAnsi="Arial"/>
          <w:sz w:val="16"/>
          <w:szCs w:val="16"/>
          <w:color w:val="auto"/>
        </w:rPr>
      </w:pPr>
    </w:p>
    <w:p>
      <w:pPr>
        <w:ind w:left="200" w:hanging="192"/>
        <w:spacing w:after="0"/>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cargo revenue tons transported multiplied by the number of miles flown.</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stage length equals the average distance a flight travels weighted for size of aircraft.</w:t>
      </w:r>
    </w:p>
    <w:p>
      <w:pPr>
        <w:spacing w:after="0" w:line="5" w:lineRule="exact"/>
        <w:rPr>
          <w:rFonts w:ascii="Arial" w:cs="Arial" w:eastAsia="Arial" w:hAnsi="Arial"/>
          <w:sz w:val="16"/>
          <w:szCs w:val="16"/>
          <w:color w:val="auto"/>
        </w:rPr>
      </w:pPr>
    </w:p>
    <w:p>
      <w:pPr>
        <w:ind w:right="1100" w:firstLine="8"/>
        <w:spacing w:after="0" w:line="260"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CASM-ex is CASM less the impact of fuel expense, profit sharing, special charges and third-party expenses. See NON-GAAP FINANCIAL INFORMATION for a reconciliations of CASM-ex to CASM, the most comparable GAAP measure.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INFORMATION</w:t>
      </w:r>
    </w:p>
    <w:p>
      <w:pPr>
        <w:spacing w:after="0" w:line="1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UAL evaluates its financial performance utilizing various accounting principles generally accepted in the United States of America (GAAP) and non-GAAP financial measures, including adjusted earnings before interest, taxes, depreciation and amortization (adjusted EBITDA), adjusted EBITDA margin, adjusted operating income (loss), adjusted operating expenses, adjusted operating margin, adjusted pre-tax income (loss), adjusted pre-tax margin, adjusted net income (loss), adjusted diluted earnings (loss) per share, CASM-ex, operating expenses excluding special charges, adjusted capital expenditures, free cash flow, and free cash flow, net of financings, among others.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spacing w:after="0" w:line="22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See "Cautionary Statement Regarding Forward-Looking Statements" above.</w:t>
      </w:r>
    </w:p>
    <w:p>
      <w:pPr>
        <w:spacing w:after="0" w:line="159"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and earnings per share amounts presented are calculated from the underlying amounts.</w:t>
      </w:r>
    </w:p>
    <w:p>
      <w:pPr>
        <w:spacing w:after="0" w:line="130"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CASM is a common metric used in the airline industry to measure an airline's cost structure and efficiency. UAL reports CASM excluding special charges (credits), third-party business expenses, fuel expense and profit sharing. UAL believes that adjusting for special charges (credits) is useful to investors because special charges (credits)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 (due to losses, profit sharing was zero for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720" w:type="dxa"/>
            <w:vAlign w:val="bottom"/>
            <w:gridSpan w:val="3"/>
          </w:tcPr>
          <w:p>
            <w:pPr>
              <w:jc w:val="right"/>
              <w:ind w:right="19"/>
              <w:spacing w:after="0"/>
              <w:rPr>
                <w:sz w:val="20"/>
                <w:szCs w:val="20"/>
                <w:color w:val="auto"/>
              </w:rPr>
            </w:pPr>
            <w:r>
              <w:rPr>
                <w:rFonts w:ascii="Arial" w:cs="Arial" w:eastAsia="Arial" w:hAnsi="Arial"/>
                <w:sz w:val="16"/>
                <w:szCs w:val="16"/>
                <w:color w:val="auto"/>
              </w:rPr>
              <w:t>Three Months Ended</w:t>
            </w:r>
          </w:p>
        </w:tc>
        <w:tc>
          <w:tcPr>
            <w:tcW w:w="108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68"/>
        </w:trPr>
        <w:tc>
          <w:tcPr>
            <w:tcW w:w="8440" w:type="dxa"/>
            <w:vAlign w:val="bottom"/>
          </w:tcPr>
          <w:p>
            <w:pPr>
              <w:spacing w:after="0"/>
              <w:rPr>
                <w:sz w:val="5"/>
                <w:szCs w:val="5"/>
                <w:color w:val="auto"/>
              </w:rPr>
            </w:pPr>
          </w:p>
        </w:tc>
        <w:tc>
          <w:tcPr>
            <w:tcW w:w="1720" w:type="dxa"/>
            <w:vAlign w:val="bottom"/>
            <w:gridSpan w:val="3"/>
            <w:vMerge w:val="restart"/>
          </w:tcPr>
          <w:p>
            <w:pPr>
              <w:jc w:val="right"/>
              <w:ind w:right="419"/>
              <w:spacing w:after="0"/>
              <w:rPr>
                <w:sz w:val="20"/>
                <w:szCs w:val="20"/>
                <w:color w:val="auto"/>
              </w:rPr>
            </w:pPr>
            <w:r>
              <w:rPr>
                <w:rFonts w:ascii="Arial" w:cs="Arial" w:eastAsia="Arial" w:hAnsi="Arial"/>
                <w:sz w:val="16"/>
                <w:szCs w:val="16"/>
                <w:color w:val="auto"/>
              </w:rPr>
              <w:t>March 31,</w:t>
            </w: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8440" w:type="dxa"/>
            <w:vAlign w:val="bottom"/>
          </w:tcPr>
          <w:p>
            <w:pPr>
              <w:spacing w:after="0"/>
              <w:rPr>
                <w:sz w:val="11"/>
                <w:szCs w:val="11"/>
                <w:color w:val="auto"/>
              </w:rPr>
            </w:pPr>
          </w:p>
        </w:tc>
        <w:tc>
          <w:tcPr>
            <w:tcW w:w="172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jc w:val="center"/>
              <w:spacing w:after="0" w:line="127"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CASM (cents)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Cost per available seat mile (CASM) (GAAP)</w:t>
            </w:r>
          </w:p>
        </w:tc>
        <w:tc>
          <w:tcPr>
            <w:tcW w:w="800" w:type="dxa"/>
            <w:vAlign w:val="bottom"/>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16.79</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3"/>
        </w:trPr>
        <w:tc>
          <w:tcPr>
            <w:tcW w:w="8440" w:type="dxa"/>
            <w:vAlign w:val="bottom"/>
          </w:tcPr>
          <w:p>
            <w:pPr>
              <w:ind w:left="220"/>
              <w:spacing w:after="0"/>
              <w:rPr>
                <w:sz w:val="20"/>
                <w:szCs w:val="20"/>
                <w:color w:val="auto"/>
              </w:rPr>
            </w:pPr>
            <w:r>
              <w:rPr>
                <w:rFonts w:ascii="Arial" w:cs="Arial" w:eastAsia="Arial" w:hAnsi="Arial"/>
                <w:sz w:val="16"/>
                <w:szCs w:val="16"/>
                <w:color w:val="auto"/>
              </w:rPr>
              <w:t>Third-party business expenses</w:t>
            </w:r>
          </w:p>
        </w:tc>
        <w:tc>
          <w:tcPr>
            <w:tcW w:w="8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charges (credits)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6"/>
                <w:szCs w:val="16"/>
                <w:color w:val="auto"/>
              </w:rPr>
              <w:t>CASM-ex (Non-GAAP)</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NON-GAAP FINANCIAL INFORMATION (Continued)</w:t>
      </w:r>
    </w:p>
    <w:p>
      <w:pPr>
        <w:spacing w:after="0" w:line="86"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UAL also reports EBITDA excluding special charges (credits), nonoperating unrealized (gains) losses on investments, net, nonoperating debt extinguishment and modification fees and nonoperating special termination benefits. UAL believes that adjusting for these items is useful to investors because they are not indicative of UAL's ongoing performance.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EBITDA</w:t>
            </w:r>
          </w:p>
        </w:tc>
        <w:tc>
          <w:tcPr>
            <w:tcW w:w="2200" w:type="dxa"/>
            <w:vAlign w:val="bottom"/>
            <w:gridSpan w:val="5"/>
          </w:tcPr>
          <w:p>
            <w:pPr>
              <w:jc w:val="center"/>
              <w:spacing w:after="0"/>
              <w:rPr>
                <w:sz w:val="20"/>
                <w:szCs w:val="20"/>
                <w:color w:val="auto"/>
              </w:rPr>
            </w:pPr>
            <w:r>
              <w:rPr>
                <w:rFonts w:ascii="Arial" w:cs="Arial" w:eastAsia="Arial" w:hAnsi="Arial"/>
                <w:sz w:val="16"/>
                <w:szCs w:val="16"/>
                <w:color w:val="auto"/>
              </w:rPr>
              <w:t>Three Months Ended March</w:t>
            </w:r>
          </w:p>
        </w:tc>
        <w:tc>
          <w:tcPr>
            <w:tcW w:w="0" w:type="dxa"/>
            <w:vAlign w:val="bottom"/>
          </w:tcPr>
          <w:p>
            <w:pPr>
              <w:spacing w:after="0"/>
              <w:rPr>
                <w:sz w:val="1"/>
                <w:szCs w:val="1"/>
                <w:color w:val="auto"/>
              </w:rPr>
            </w:pPr>
          </w:p>
        </w:tc>
      </w:tr>
      <w:tr>
        <w:trPr>
          <w:trHeight w:val="198"/>
        </w:trPr>
        <w:tc>
          <w:tcPr>
            <w:tcW w:w="904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3"/>
        </w:trPr>
        <w:tc>
          <w:tcPr>
            <w:tcW w:w="9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(1,377)</w:t>
            </w:r>
          </w:p>
        </w:tc>
        <w:tc>
          <w:tcPr>
            <w:tcW w:w="0" w:type="dxa"/>
            <w:vAlign w:val="bottom"/>
          </w:tcPr>
          <w:p>
            <w:pPr>
              <w:spacing w:after="0"/>
              <w:rPr>
                <w:sz w:val="1"/>
                <w:szCs w:val="1"/>
                <w:color w:val="auto"/>
              </w:rPr>
            </w:pPr>
          </w:p>
        </w:tc>
      </w:tr>
      <w:tr>
        <w:trPr>
          <w:trHeight w:val="213"/>
        </w:trPr>
        <w:tc>
          <w:tcPr>
            <w:tcW w:w="9040" w:type="dxa"/>
            <w:vAlign w:val="bottom"/>
          </w:tcPr>
          <w:p>
            <w:pPr>
              <w:ind w:left="180"/>
              <w:spacing w:after="0"/>
              <w:rPr>
                <w:sz w:val="20"/>
                <w:szCs w:val="20"/>
                <w:color w:val="auto"/>
              </w:rPr>
            </w:pPr>
            <w:r>
              <w:rPr>
                <w:rFonts w:ascii="Arial" w:cs="Arial" w:eastAsia="Arial" w:hAnsi="Arial"/>
                <w:sz w:val="16"/>
                <w:szCs w:val="16"/>
                <w:color w:val="auto"/>
              </w:rPr>
              <w:t>Adjusted 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3"/>
        </w:trPr>
        <w:tc>
          <w:tcPr>
            <w:tcW w:w="9040" w:type="dxa"/>
            <w:vAlign w:val="bottom"/>
          </w:tcPr>
          <w:p>
            <w:pPr>
              <w:ind w:left="180"/>
              <w:spacing w:after="0"/>
              <w:rPr>
                <w:sz w:val="20"/>
                <w:szCs w:val="20"/>
                <w:color w:val="auto"/>
              </w:rPr>
            </w:pPr>
            <w:r>
              <w:rPr>
                <w:rFonts w:ascii="Arial" w:cs="Arial" w:eastAsia="Arial" w:hAnsi="Arial"/>
                <w:sz w:val="16"/>
                <w:szCs w:val="16"/>
                <w:color w:val="auto"/>
              </w:rPr>
              <w:t>Interest expense, net of capitalized interest and interest income</w:t>
            </w:r>
          </w:p>
        </w:tc>
        <w:tc>
          <w:tcPr>
            <w:tcW w:w="2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9040" w:type="dxa"/>
            <w:vAlign w:val="bottom"/>
          </w:tcPr>
          <w:p>
            <w:pPr>
              <w:ind w:left="140"/>
              <w:spacing w:after="0"/>
              <w:rPr>
                <w:sz w:val="20"/>
                <w:szCs w:val="20"/>
                <w:color w:val="auto"/>
              </w:rPr>
            </w:pPr>
            <w:r>
              <w:rPr>
                <w:rFonts w:ascii="Arial" w:cs="Arial" w:eastAsia="Arial" w:hAnsi="Arial"/>
                <w:sz w:val="16"/>
                <w:szCs w:val="16"/>
                <w:color w:val="auto"/>
              </w:rPr>
              <w:t>Special charges (credits)</w:t>
            </w:r>
          </w:p>
        </w:tc>
        <w:tc>
          <w:tcPr>
            <w:tcW w:w="20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Nonoperating unrealized gains on investments, net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Nonoperating debt extinguishment and modification fees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9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667</w:t>
            </w:r>
          </w:p>
        </w:tc>
        <w:tc>
          <w:tcPr>
            <w:tcW w:w="36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040" w:type="dxa"/>
            <w:vAlign w:val="bottom"/>
          </w:tcPr>
          <w:p>
            <w:pPr>
              <w:ind w:left="260"/>
              <w:spacing w:after="0"/>
              <w:rPr>
                <w:sz w:val="20"/>
                <w:szCs w:val="20"/>
                <w:color w:val="auto"/>
              </w:rPr>
            </w:pPr>
            <w:r>
              <w:rPr>
                <w:rFonts w:ascii="Arial" w:cs="Arial" w:eastAsia="Arial" w:hAnsi="Arial"/>
                <w:sz w:val="16"/>
                <w:szCs w:val="16"/>
                <w:color w:val="auto"/>
              </w:rPr>
              <w:t>Adjusted EBITDA margin</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UAL believes that adjusting capital expenditures for assets acquired through the issuance of debt, finance leases and other financial liabilities is useful to investors in order to appropriately reflect the total amounts spent on capital expenditures. UAL also believes that adjusting net cash provided by (used in) operating activities for capital expenditures, net of flight equipment purchase deposit returns, adjusted capital expenditures, and aircraft operating lease additions is useful to allow investors to evaluate the company's ability to generate cash that is available for debt service or general corporate initiatives.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Three Months Ended March 31,</w:t>
            </w:r>
          </w:p>
        </w:tc>
      </w:tr>
      <w:tr>
        <w:trPr>
          <w:trHeight w:val="212"/>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of flight equipment purchase deposit returns (GAAP)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Property and equipment acquired through the issuance of debt, finance leases, and other financial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capital expenditures (Non-GAAP)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(in millions)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3,142</w:t>
            </w:r>
          </w:p>
        </w:tc>
        <w:tc>
          <w:tcPr>
            <w:tcW w:w="16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1,476</w:t>
            </w:r>
          </w:p>
        </w:tc>
      </w:tr>
      <w:tr>
        <w:trPr>
          <w:trHeight w:val="216"/>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capital expenditures, net of flight equipment purchase deposit returns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Free cash flow, net of financings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5"/>
        </w:trPr>
        <w:tc>
          <w:tcPr>
            <w:tcW w:w="8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(GAAP)</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3,142</w:t>
            </w:r>
          </w:p>
        </w:tc>
        <w:tc>
          <w:tcPr>
            <w:tcW w:w="16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1,476</w:t>
            </w: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adjusted capital expenditures (Non-GAAP)</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Less aircraft operating lease additions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8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Adjusted total debt is a non-GAAP financial measure that includes current and long-term debt, operating lease obligations and finance lease obligations, current and noncurrent other financial liabilities and noncurrent pension and postretirement obligations. UAL provides adjusted total debt because we believe it provides useful supplemental information for assessing the company's debt and debt-like obligation profile.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color w:val="auto"/>
              </w:rPr>
              <w:t>March 31,</w:t>
            </w:r>
          </w:p>
        </w:tc>
        <w:tc>
          <w:tcPr>
            <w:tcW w:w="120" w:type="dxa"/>
            <w:vAlign w:val="bottom"/>
          </w:tcPr>
          <w:p>
            <w:pPr>
              <w:spacing w:after="0"/>
              <w:rPr>
                <w:sz w:val="16"/>
                <w:szCs w:val="16"/>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69"/>
        </w:trPr>
        <w:tc>
          <w:tcPr>
            <w:tcW w:w="8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Adjusted total debt </w:t>
            </w:r>
            <w:r>
              <w:rPr>
                <w:rFonts w:ascii="Arial" w:cs="Arial" w:eastAsia="Arial" w:hAnsi="Arial"/>
                <w:sz w:val="16"/>
                <w:szCs w:val="16"/>
                <w:color w:val="auto"/>
              </w:rPr>
              <w:t>(in millions)</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4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 current and noncurrent (GAAP)</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Operating lease obligations - current and noncurrent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Finance lease obligations - current and noncurrent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Pension and postretirement liabilities - noncurrent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financial liabilities - current and noncurrent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6"/>
        </w:trPr>
        <w:tc>
          <w:tcPr>
            <w:tcW w:w="8400" w:type="dxa"/>
            <w:vAlign w:val="bottom"/>
          </w:tcPr>
          <w:p>
            <w:pPr>
              <w:ind w:left="20"/>
              <w:spacing w:after="0"/>
              <w:rPr>
                <w:sz w:val="20"/>
                <w:szCs w:val="20"/>
                <w:color w:val="auto"/>
              </w:rPr>
            </w:pPr>
            <w:r>
              <w:rPr>
                <w:rFonts w:ascii="Arial" w:cs="Arial" w:eastAsia="Arial" w:hAnsi="Arial"/>
                <w:sz w:val="16"/>
                <w:szCs w:val="16"/>
                <w:color w:val="auto"/>
              </w:rPr>
              <w:t>Adjusted total debt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43,213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(4,593)</w:t>
            </w:r>
          </w:p>
        </w:tc>
        <w:tc>
          <w:tcPr>
            <w:tcW w:w="0" w:type="dxa"/>
            <w:vAlign w:val="bottom"/>
          </w:tcPr>
          <w:p>
            <w:pPr>
              <w:spacing w:after="0"/>
              <w:rPr>
                <w:sz w:val="1"/>
                <w:szCs w:val="1"/>
                <w:color w:val="auto"/>
              </w:rPr>
            </w:pPr>
          </w:p>
        </w:tc>
      </w:tr>
      <w:tr>
        <w:trPr>
          <w:trHeight w:val="24"/>
        </w:trPr>
        <w:tc>
          <w:tcPr>
            <w:tcW w:w="8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NON-GAAP FINANCIAL INFORMATION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400" w:type="dxa"/>
            <w:vAlign w:val="bottom"/>
            <w:gridSpan w:val="5"/>
            <w:vMerge w:val="restart"/>
          </w:tcPr>
          <w:p>
            <w:pPr>
              <w:jc w:val="right"/>
              <w:spacing w:after="0"/>
              <w:rPr>
                <w:sz w:val="20"/>
                <w:szCs w:val="20"/>
                <w:color w:val="auto"/>
              </w:rPr>
            </w:pPr>
            <w:r>
              <w:rPr>
                <w:rFonts w:ascii="Arial" w:cs="Arial" w:eastAsia="Arial" w:hAnsi="Arial"/>
                <w:sz w:val="16"/>
                <w:szCs w:val="16"/>
                <w:color w:val="auto"/>
              </w:rPr>
              <w:t>Three Months Ended March 31,</w:t>
            </w:r>
          </w:p>
        </w:tc>
        <w:tc>
          <w:tcPr>
            <w:tcW w:w="10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480" w:type="dxa"/>
            <w:vAlign w:val="bottom"/>
          </w:tcPr>
          <w:p>
            <w:pPr>
              <w:spacing w:after="0"/>
              <w:rPr>
                <w:sz w:val="11"/>
                <w:szCs w:val="11"/>
                <w:color w:val="auto"/>
              </w:rPr>
            </w:pPr>
          </w:p>
        </w:tc>
        <w:tc>
          <w:tcPr>
            <w:tcW w:w="2400" w:type="dxa"/>
            <w:vAlign w:val="bottom"/>
            <w:tcBorders>
              <w:bottom w:val="single" w:sz="8" w:color="auto"/>
            </w:tcBorders>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80"/>
              <w:spacing w:after="0" w:line="127"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(Decrease)</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excluding special charges (credits)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11,458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Third-party business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Fuel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3,174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2,230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expenses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8,243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6,686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#DIV/0!</w:t>
            </w:r>
          </w:p>
        </w:tc>
        <w:tc>
          <w:tcPr>
            <w:tcW w:w="0" w:type="dxa"/>
            <w:vAlign w:val="bottom"/>
          </w:tcPr>
          <w:p>
            <w:pPr>
              <w:spacing w:after="0" w:line="20" w:lineRule="exact"/>
              <w:rPr>
                <w:sz w:val="1"/>
                <w:szCs w:val="1"/>
                <w:color w:val="auto"/>
              </w:rPr>
            </w:pPr>
          </w:p>
        </w:tc>
      </w:tr>
      <w:tr>
        <w:trPr>
          <w:trHeight w:val="157"/>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0"/>
              <w:spacing w:after="0"/>
              <w:rPr>
                <w:sz w:val="20"/>
                <w:szCs w:val="20"/>
                <w:color w:val="auto"/>
              </w:rPr>
            </w:pPr>
            <w:r>
              <w:rPr>
                <w:rFonts w:ascii="Arial" w:cs="Arial" w:eastAsia="Arial" w:hAnsi="Arial"/>
                <w:sz w:val="16"/>
                <w:szCs w:val="16"/>
                <w:color w:val="auto"/>
              </w:rPr>
              <w:t>Operating loss (GAAP)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Adjusted operating loss (Non-GAAP)</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17.8 pts</w:t>
            </w:r>
          </w:p>
        </w:tc>
        <w:tc>
          <w:tcPr>
            <w:tcW w:w="0" w:type="dxa"/>
            <w:vAlign w:val="bottom"/>
          </w:tcPr>
          <w:p>
            <w:pPr>
              <w:spacing w:after="0"/>
              <w:rPr>
                <w:sz w:val="1"/>
                <w:szCs w:val="1"/>
                <w:color w:val="auto"/>
              </w:rPr>
            </w:pPr>
          </w:p>
        </w:tc>
      </w:tr>
      <w:tr>
        <w:trPr>
          <w:trHeight w:val="211"/>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Adjusted operating margin (Non-GAAP)</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(18.3)%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18.0 pts</w:t>
            </w:r>
          </w:p>
        </w:tc>
        <w:tc>
          <w:tcPr>
            <w:tcW w:w="0" w:type="dxa"/>
            <w:vAlign w:val="bottom"/>
          </w:tcPr>
          <w:p>
            <w:pPr>
              <w:spacing w:after="0"/>
              <w:rPr>
                <w:sz w:val="1"/>
                <w:szCs w:val="1"/>
                <w:color w:val="auto"/>
              </w:rPr>
            </w:pPr>
          </w:p>
        </w:tc>
      </w:tr>
      <w:tr>
        <w:trPr>
          <w:trHeight w:val="59"/>
        </w:trPr>
        <w:tc>
          <w:tcPr>
            <w:tcW w:w="7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loss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Unrealized gains on investments, net</w:t>
            </w: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7480" w:type="dxa"/>
            <w:vAlign w:val="bottom"/>
          </w:tcPr>
          <w:p>
            <w:pPr>
              <w:ind w:left="20"/>
              <w:spacing w:after="0"/>
              <w:rPr>
                <w:sz w:val="20"/>
                <w:szCs w:val="20"/>
                <w:color w:val="auto"/>
              </w:rPr>
            </w:pPr>
            <w:r>
              <w:rPr>
                <w:rFonts w:ascii="Arial" w:cs="Arial" w:eastAsia="Arial" w:hAnsi="Arial"/>
                <w:sz w:val="16"/>
                <w:szCs w:val="16"/>
                <w:color w:val="auto"/>
              </w:rPr>
              <w:t>Adjusted pre-tax loss (Non-GAAP)</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(266)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(1,753)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Pre-tax margin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21.0 pts.</w:t>
            </w:r>
          </w:p>
        </w:tc>
        <w:tc>
          <w:tcPr>
            <w:tcW w:w="0" w:type="dxa"/>
            <w:vAlign w:val="bottom"/>
          </w:tcPr>
          <w:p>
            <w:pPr>
              <w:spacing w:after="0"/>
              <w:rPr>
                <w:sz w:val="1"/>
                <w:szCs w:val="1"/>
                <w:color w:val="auto"/>
              </w:rPr>
            </w:pPr>
          </w:p>
        </w:tc>
      </w:tr>
      <w:tr>
        <w:trPr>
          <w:trHeight w:val="211"/>
        </w:trPr>
        <w:tc>
          <w:tcPr>
            <w:tcW w:w="7480" w:type="dxa"/>
            <w:vAlign w:val="bottom"/>
          </w:tcPr>
          <w:p>
            <w:pPr>
              <w:ind w:left="20"/>
              <w:spacing w:after="0"/>
              <w:rPr>
                <w:sz w:val="20"/>
                <w:szCs w:val="20"/>
                <w:color w:val="auto"/>
              </w:rPr>
            </w:pPr>
            <w:r>
              <w:rPr>
                <w:rFonts w:ascii="Arial" w:cs="Arial" w:eastAsia="Arial" w:hAnsi="Arial"/>
                <w:sz w:val="16"/>
                <w:szCs w:val="16"/>
                <w:i w:val="1"/>
                <w:iCs w:val="1"/>
                <w:color w:val="auto"/>
              </w:rPr>
              <w:t>Adjusted pre-tax margin (Non-GAAP)</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(23.2)%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20.9 pts.</w:t>
            </w:r>
          </w:p>
        </w:tc>
        <w:tc>
          <w:tcPr>
            <w:tcW w:w="0" w:type="dxa"/>
            <w:vAlign w:val="bottom"/>
          </w:tcPr>
          <w:p>
            <w:pPr>
              <w:spacing w:after="0"/>
              <w:rPr>
                <w:sz w:val="1"/>
                <w:szCs w:val="1"/>
                <w:color w:val="auto"/>
              </w:rPr>
            </w:pPr>
          </w:p>
        </w:tc>
      </w:tr>
      <w:tr>
        <w:trPr>
          <w:trHeight w:val="59"/>
        </w:trPr>
        <w:tc>
          <w:tcPr>
            <w:tcW w:w="7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loss (GAAP)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20"/>
              <w:spacing w:after="0"/>
              <w:rPr>
                <w:sz w:val="20"/>
                <w:szCs w:val="20"/>
                <w:color w:val="auto"/>
              </w:rPr>
            </w:pPr>
            <w:r>
              <w:rPr>
                <w:rFonts w:ascii="Arial" w:cs="Arial" w:eastAsia="Arial" w:hAnsi="Arial"/>
                <w:sz w:val="16"/>
                <w:szCs w:val="16"/>
                <w:color w:val="auto"/>
              </w:rPr>
              <w:t>Adjusted to exclude: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Unrealized gains on investments, net</w:t>
            </w: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benefit on adjustments,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loss (Non-GAAP)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480" w:type="dxa"/>
            <w:vAlign w:val="bottom"/>
          </w:tcPr>
          <w:p>
            <w:pPr>
              <w:ind w:left="80"/>
              <w:spacing w:after="0"/>
              <w:rPr>
                <w:sz w:val="20"/>
                <w:szCs w:val="20"/>
                <w:color w:val="auto"/>
              </w:rPr>
            </w:pPr>
            <w:r>
              <w:rPr>
                <w:rFonts w:ascii="Arial" w:cs="Arial" w:eastAsia="Arial" w:hAnsi="Arial"/>
                <w:sz w:val="16"/>
                <w:szCs w:val="16"/>
                <w:color w:val="auto"/>
              </w:rPr>
              <w:t>Diluted loss per share (GAAP)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2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(4.24)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Adjusted to exclude: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Special charges (credits)</w:t>
            </w: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on investments,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Debt extinguishment and modification fees</w:t>
            </w:r>
          </w:p>
        </w:tc>
        <w:tc>
          <w:tcPr>
            <w:tcW w:w="2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adjustments,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Adjusted diluted loss per share (Non-GAAP)</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00" w:lineRule="exact"/>
        <w:rPr>
          <w:sz w:val="20"/>
          <w:szCs w:val="20"/>
          <w:color w:val="auto"/>
        </w:rPr>
      </w:pP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140" w:right="5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BALANCE SHEETS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20" w:type="dxa"/>
            <w:vAlign w:val="bottom"/>
          </w:tcPr>
          <w:p>
            <w:pPr>
              <w:ind w:left="8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color w:val="auto"/>
              </w:rPr>
              <w:t>March 31, 2023</w:t>
            </w:r>
          </w:p>
        </w:tc>
        <w:tc>
          <w:tcPr>
            <w:tcW w:w="140" w:type="dxa"/>
            <w:vAlign w:val="bottom"/>
          </w:tcPr>
          <w:p>
            <w:pPr>
              <w:spacing w:after="0"/>
              <w:rPr>
                <w:sz w:val="16"/>
                <w:szCs w:val="16"/>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December 31, 2022</w:t>
            </w:r>
          </w:p>
        </w:tc>
        <w:tc>
          <w:tcPr>
            <w:tcW w:w="0" w:type="dxa"/>
            <w:vAlign w:val="bottom"/>
          </w:tcPr>
          <w:p>
            <w:pPr>
              <w:spacing w:after="0"/>
              <w:rPr>
                <w:sz w:val="1"/>
                <w:szCs w:val="1"/>
                <w:color w:val="auto"/>
              </w:rPr>
            </w:pPr>
          </w:p>
        </w:tc>
      </w:tr>
      <w:tr>
        <w:trPr>
          <w:trHeight w:val="199"/>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7,634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7,166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9,248</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less allowance for credit losses (2023 — $12; 2022 — $11)</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less obsolescence allowance (2023 — $629; 2022 — $610)</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1,196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21,586</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199"/>
        </w:trPr>
        <w:tc>
          <w:tcPr>
            <w:tcW w:w="7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480"/>
              <w:spacing w:after="0"/>
              <w:rPr>
                <w:sz w:val="20"/>
                <w:szCs w:val="20"/>
                <w:color w:val="auto"/>
              </w:rPr>
            </w:pPr>
            <w:r>
              <w:rPr>
                <w:rFonts w:ascii="Arial" w:cs="Arial" w:eastAsia="Arial" w:hAnsi="Arial"/>
                <w:sz w:val="16"/>
                <w:szCs w:val="16"/>
                <w:color w:val="auto"/>
              </w:rPr>
              <w:t>Total operating property and equipment, net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35,837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34,448</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Intangibles, less accumulated amortization (2023 — $1,468; 2022 — $1,472)</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affiliates and other, less allowance for credit losses (2023 — $17; 2022 — $21)</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3"/>
        </w:trPr>
        <w:tc>
          <w:tcPr>
            <w:tcW w:w="7520" w:type="dxa"/>
            <w:vAlign w:val="bottom"/>
          </w:tcPr>
          <w:p>
            <w:pPr>
              <w:ind w:left="48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8,975</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8,963</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70,417</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67,358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3,858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3,395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salaries and benefits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Advance ticket sales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10,158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7,555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Frequent flyer deferred revenue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operating leases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Current maturities of finance leases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maturities of other financial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193"/>
        </w:trPr>
        <w:tc>
          <w:tcPr>
            <w:tcW w:w="7520" w:type="dxa"/>
            <w:vAlign w:val="bottom"/>
          </w:tcPr>
          <w:p>
            <w:pPr>
              <w:ind w:left="20"/>
              <w:spacing w:after="0"/>
              <w:rPr>
                <w:sz w:val="20"/>
                <w:szCs w:val="20"/>
                <w:color w:val="auto"/>
              </w:rPr>
            </w:pPr>
            <w:r>
              <w:rPr>
                <w:rFonts w:ascii="Arial" w:cs="Arial" w:eastAsia="Arial" w:hAnsi="Arial"/>
                <w:sz w:val="16"/>
                <w:szCs w:val="16"/>
                <w:color w:val="auto"/>
              </w:rPr>
              <w:t>Long-term liabilities and deferred credits: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28,283</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Long-term obligations under operating leases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obligations under finance leases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Frequent flyer deferred revenue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3,982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liability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Arial" w:cs="Arial" w:eastAsia="Arial" w:hAnsi="Arial"/>
                <w:sz w:val="16"/>
                <w:szCs w:val="16"/>
                <w:color w:val="auto"/>
              </w:rPr>
              <w:t>Postretirement benefit liability</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financial liabilities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long-term liabilities and deferred credits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40,114</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40,470</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w:t>
            </w:r>
          </w:p>
        </w:tc>
        <w:tc>
          <w:tcPr>
            <w:tcW w:w="0" w:type="dxa"/>
            <w:vAlign w:val="bottom"/>
          </w:tcPr>
          <w:p>
            <w:pPr>
              <w:spacing w:after="0"/>
              <w:rPr>
                <w:sz w:val="1"/>
                <w:szCs w:val="1"/>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70,417</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67,358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STATEMENTS OF CONSOLIDATED CASH FLOWS (UNAUDITED)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8240" w:type="dxa"/>
            <w:vAlign w:val="bottom"/>
          </w:tcPr>
          <w:p>
            <w:pPr>
              <w:ind w:left="60"/>
              <w:spacing w:after="0"/>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color w:val="auto"/>
              </w:rPr>
              <w:t>Three Months Ended March 31,</w:t>
            </w:r>
          </w:p>
        </w:tc>
      </w:tr>
      <w:tr>
        <w:trPr>
          <w:trHeight w:val="207"/>
        </w:trPr>
        <w:tc>
          <w:tcPr>
            <w:tcW w:w="8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r>
      <w:tr>
        <w:trPr>
          <w:trHeight w:val="199"/>
        </w:trPr>
        <w:tc>
          <w:tcPr>
            <w:tcW w:w="82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w:t>
            </w:r>
          </w:p>
        </w:tc>
      </w:tr>
      <w:tr>
        <w:trPr>
          <w:trHeight w:val="216"/>
        </w:trPr>
        <w:tc>
          <w:tcPr>
            <w:tcW w:w="8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Capital expenditures, net of flight equipment purchase deposit returns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short-term and other investments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Proceeds from sale of short-term and other investments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57"/>
        </w:trPr>
        <w:tc>
          <w:tcPr>
            <w:tcW w:w="8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Proceeds from issuance of debt and other financing liabilities, net of discounts and fees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long-term debt, finance leases and other financing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r>
      <w:tr>
        <w:trPr>
          <w:trHeight w:val="213"/>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18,533</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8,032</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6"/>
        </w:trPr>
        <w:tc>
          <w:tcPr>
            <w:tcW w:w="8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Investing and Financing Activities Not Affecting Cash:</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acquired through the issuance of debt, finance leases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120"/>
              <w:spacing w:after="0"/>
              <w:rPr>
                <w:sz w:val="20"/>
                <w:szCs w:val="20"/>
                <w:color w:val="auto"/>
              </w:rPr>
            </w:pPr>
            <w:r>
              <w:rPr>
                <w:rFonts w:ascii="Arial" w:cs="Arial" w:eastAsia="Arial" w:hAnsi="Arial"/>
                <w:sz w:val="16"/>
                <w:szCs w:val="16"/>
                <w:color w:val="auto"/>
              </w:rPr>
              <w:t>Right-of-use assets acquired through operating leases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8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modifications and lease conversions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8240" w:type="dxa"/>
            <w:vAlign w:val="bottom"/>
          </w:tcPr>
          <w:p>
            <w:pPr>
              <w:ind w:left="120"/>
              <w:spacing w:after="0"/>
              <w:rPr>
                <w:sz w:val="20"/>
                <w:szCs w:val="20"/>
                <w:color w:val="auto"/>
              </w:rPr>
            </w:pPr>
            <w:r>
              <w:rPr>
                <w:rFonts w:ascii="Arial" w:cs="Arial" w:eastAsia="Arial" w:hAnsi="Arial"/>
                <w:sz w:val="16"/>
                <w:szCs w:val="16"/>
                <w:color w:val="auto"/>
              </w:rPr>
              <w:t>Investment interests received in exchange for goods and services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United Airlines Reports First-Quarter 2023 Results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UNITED AIRLINES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NOTES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20" w:type="dxa"/>
            <w:vAlign w:val="bottom"/>
            <w:gridSpan w:val="4"/>
          </w:tcPr>
          <w:p>
            <w:pPr>
              <w:spacing w:after="0"/>
              <w:rPr>
                <w:sz w:val="20"/>
                <w:szCs w:val="20"/>
                <w:color w:val="auto"/>
              </w:rPr>
            </w:pPr>
            <w:r>
              <w:rPr>
                <w:rFonts w:ascii="Arial" w:cs="Arial" w:eastAsia="Arial" w:hAnsi="Arial"/>
                <w:sz w:val="16"/>
                <w:szCs w:val="16"/>
                <w:b w:val="1"/>
                <w:bCs w:val="1"/>
                <w:color w:val="auto"/>
              </w:rPr>
              <w:t>Special charges (credits) and unrealized gains on investments, net include the following: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tcPr>
          <w:p>
            <w:pPr>
              <w:jc w:val="right"/>
              <w:ind w:right="79"/>
              <w:spacing w:after="0"/>
              <w:rPr>
                <w:sz w:val="20"/>
                <w:szCs w:val="20"/>
                <w:color w:val="auto"/>
              </w:rPr>
            </w:pPr>
            <w:r>
              <w:rPr>
                <w:rFonts w:ascii="Arial" w:cs="Arial" w:eastAsia="Arial" w:hAnsi="Arial"/>
                <w:sz w:val="16"/>
                <w:szCs w:val="16"/>
                <w:color w:val="auto"/>
              </w:rPr>
              <w:t>Three Months Ended</w:t>
            </w:r>
          </w:p>
        </w:tc>
      </w:t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color w:val="auto"/>
              </w:rPr>
              <w:t>March 31,</w:t>
            </w:r>
          </w:p>
        </w:tc>
      </w:tr>
      <w:tr>
        <w:trPr>
          <w:trHeight w:val="206"/>
        </w:trPr>
        <w:tc>
          <w:tcPr>
            <w:tcW w:w="20" w:type="dxa"/>
            <w:vAlign w:val="bottom"/>
          </w:tcPr>
          <w:p>
            <w:pPr>
              <w:spacing w:after="0"/>
              <w:rPr>
                <w:sz w:val="17"/>
                <w:szCs w:val="17"/>
                <w:color w:val="auto"/>
              </w:rPr>
            </w:pPr>
          </w:p>
        </w:tc>
        <w:tc>
          <w:tcPr>
            <w:tcW w:w="9400" w:type="dxa"/>
            <w:vAlign w:val="bottom"/>
            <w:gridSpan w:val="3"/>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2022</w:t>
            </w:r>
          </w:p>
        </w:tc>
      </w:tr>
      <w:tr>
        <w:trPr>
          <w:trHeight w:val="162"/>
        </w:trPr>
        <w:tc>
          <w:tcPr>
            <w:tcW w:w="20" w:type="dxa"/>
            <w:vAlign w:val="bottom"/>
          </w:tcPr>
          <w:p>
            <w:pPr>
              <w:spacing w:after="0"/>
              <w:rPr>
                <w:sz w:val="14"/>
                <w:szCs w:val="14"/>
                <w:color w:val="auto"/>
              </w:rPr>
            </w:pPr>
          </w:p>
        </w:tc>
        <w:tc>
          <w:tcPr>
            <w:tcW w:w="9400" w:type="dxa"/>
            <w:vAlign w:val="bottom"/>
            <w:gridSpan w:val="3"/>
          </w:tcPr>
          <w:p>
            <w:pPr>
              <w:spacing w:after="0" w:line="161"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(Gains) losses on sale of assets and other special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20" w:type="dxa"/>
            <w:vAlign w:val="bottom"/>
          </w:tcPr>
          <w:p>
            <w:pPr>
              <w:spacing w:after="0"/>
              <w:rPr>
                <w:sz w:val="18"/>
                <w:szCs w:val="18"/>
                <w:color w:val="auto"/>
              </w:rPr>
            </w:pPr>
          </w:p>
        </w:tc>
        <w:tc>
          <w:tcPr>
            <w:tcW w:w="9400" w:type="dxa"/>
            <w:vAlign w:val="bottom"/>
            <w:gridSpan w:val="3"/>
          </w:tcPr>
          <w:p>
            <w:pPr>
              <w:ind w:left="220"/>
              <w:spacing w:after="0"/>
              <w:rPr>
                <w:sz w:val="20"/>
                <w:szCs w:val="20"/>
                <w:color w:val="auto"/>
              </w:rPr>
            </w:pPr>
            <w:r>
              <w:rPr>
                <w:rFonts w:ascii="Arial" w:cs="Arial" w:eastAsia="Arial" w:hAnsi="Arial"/>
                <w:sz w:val="16"/>
                <w:szCs w:val="16"/>
                <w:color w:val="auto"/>
              </w:rPr>
              <w:t>Total operating special charges (credits)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0"/>
        </w:trPr>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9400" w:type="dxa"/>
            <w:vAlign w:val="bottom"/>
            <w:gridSpan w:val="3"/>
          </w:tcPr>
          <w:p>
            <w:pPr>
              <w:spacing w:after="0" w:line="175" w:lineRule="exact"/>
              <w:rPr>
                <w:sz w:val="20"/>
                <w:szCs w:val="20"/>
                <w:color w:val="auto"/>
              </w:rPr>
            </w:pPr>
            <w:r>
              <w:rPr>
                <w:rFonts w:ascii="Arial" w:cs="Arial" w:eastAsia="Arial" w:hAnsi="Arial"/>
                <w:sz w:val="16"/>
                <w:szCs w:val="16"/>
                <w:color w:val="auto"/>
              </w:rPr>
              <w:t>Nonoperating:</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Nonoperating unrealized gains on investments,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6"/>
                <w:szCs w:val="16"/>
                <w:color w:val="auto"/>
              </w:rPr>
              <w:t>Nonoperating debt extinguishment and modification fees</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940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Total nonoperating special charges and unrealized gains on investments,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20" w:type="dxa"/>
            <w:vAlign w:val="bottom"/>
          </w:tcPr>
          <w:p>
            <w:pPr>
              <w:spacing w:after="0"/>
              <w:rPr>
                <w:sz w:val="18"/>
                <w:szCs w:val="18"/>
                <w:color w:val="auto"/>
              </w:rPr>
            </w:pPr>
          </w:p>
        </w:tc>
        <w:tc>
          <w:tcPr>
            <w:tcW w:w="9400" w:type="dxa"/>
            <w:vAlign w:val="bottom"/>
            <w:gridSpan w:val="3"/>
          </w:tcPr>
          <w:p>
            <w:pPr>
              <w:spacing w:after="0"/>
              <w:rPr>
                <w:sz w:val="20"/>
                <w:szCs w:val="20"/>
                <w:color w:val="auto"/>
              </w:rPr>
            </w:pPr>
            <w:r>
              <w:rPr>
                <w:rFonts w:ascii="Arial" w:cs="Arial" w:eastAsia="Arial" w:hAnsi="Arial"/>
                <w:sz w:val="16"/>
                <w:szCs w:val="16"/>
                <w:color w:val="auto"/>
              </w:rPr>
              <w:t>Total operating and nonoperating special charges (credits) and unrealized gains on investments, net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shd w:val="clear" w:color="auto" w:fill="CCEEFF"/>
          </w:tcPr>
          <w:p>
            <w:pPr>
              <w:spacing w:after="0"/>
              <w:rPr>
                <w:sz w:val="18"/>
                <w:szCs w:val="18"/>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 benefit, net of valuation allowance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9400" w:type="dxa"/>
            <w:vAlign w:val="bottom"/>
            <w:gridSpan w:val="3"/>
          </w:tcPr>
          <w:p>
            <w:pPr>
              <w:ind w:left="180"/>
              <w:spacing w:after="0"/>
              <w:rPr>
                <w:sz w:val="20"/>
                <w:szCs w:val="20"/>
                <w:color w:val="auto"/>
              </w:rPr>
            </w:pPr>
            <w:r>
              <w:rPr>
                <w:rFonts w:ascii="Arial" w:cs="Arial" w:eastAsia="Arial" w:hAnsi="Arial"/>
                <w:sz w:val="16"/>
                <w:szCs w:val="16"/>
                <w:color w:val="auto"/>
              </w:rPr>
              <w:t>Total operating and non-operating special charges (credits) and unrealized gains on investments, net of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u w:val="single" w:color="auto"/>
          <w:color w:val="auto"/>
        </w:rPr>
        <w:t>(Gains) losses on sale of assets and other special charges:</w:t>
      </w:r>
      <w:r>
        <w:rPr>
          <w:rFonts w:ascii="Arial" w:cs="Arial" w:eastAsia="Arial" w:hAnsi="Arial"/>
          <w:sz w:val="16"/>
          <w:szCs w:val="16"/>
          <w:color w:val="auto"/>
        </w:rPr>
        <w:t xml:space="preserve"> During the three months ended March 31, 2023, the company recorded $14 million of net charges primarily comprised of accelerated depreciation related to certain of the company's assets that will be retired early and other gains and losses on the sale of assets.</w:t>
      </w:r>
    </w:p>
    <w:p>
      <w:pPr>
        <w:spacing w:after="0" w:line="147" w:lineRule="exact"/>
        <w:rPr>
          <w:sz w:val="20"/>
          <w:szCs w:val="20"/>
          <w:color w:val="auto"/>
        </w:rPr>
      </w:pPr>
    </w:p>
    <w:p>
      <w:pPr>
        <w:ind w:right="160"/>
        <w:spacing w:after="0" w:line="242" w:lineRule="auto"/>
        <w:rPr>
          <w:sz w:val="20"/>
          <w:szCs w:val="20"/>
          <w:color w:val="auto"/>
        </w:rPr>
      </w:pPr>
      <w:r>
        <w:rPr>
          <w:rFonts w:ascii="Arial" w:cs="Arial" w:eastAsia="Arial" w:hAnsi="Arial"/>
          <w:sz w:val="16"/>
          <w:szCs w:val="16"/>
          <w:color w:val="auto"/>
        </w:rPr>
        <w:t>During the three months ended March 31, 2022, the company recorded net gains of $8 million primarily related to sale-leaseback transactions and the sale of aircraft.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Nonoperating unrealized gains on investments, net:</w:t>
      </w:r>
      <w:r>
        <w:rPr>
          <w:rFonts w:ascii="Arial" w:cs="Arial" w:eastAsia="Arial" w:hAnsi="Arial"/>
          <w:sz w:val="16"/>
          <w:szCs w:val="16"/>
          <w:color w:val="auto"/>
        </w:rPr>
        <w:t xml:space="preserve"> All amounts represent changes to the market value of equity investments.</w:t>
      </w:r>
    </w:p>
    <w:p>
      <w:pPr>
        <w:spacing w:after="0" w:line="167"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u w:val="single" w:color="auto"/>
          <w:color w:val="auto"/>
        </w:rPr>
        <w:t>Nonoperating debt extinguishment and modification fees:</w:t>
      </w:r>
      <w:r>
        <w:rPr>
          <w:rFonts w:ascii="Arial" w:cs="Arial" w:eastAsia="Arial" w:hAnsi="Arial"/>
          <w:sz w:val="16"/>
          <w:szCs w:val="16"/>
          <w:color w:val="auto"/>
        </w:rPr>
        <w:t xml:space="preserve"> During the three months ended March 31, 2022, the company recorded $7 million of charges primarily related to the early redemption of $400 million of its outstanding principal amount of the 4.25% senior notes due 2022.</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tax rates were as follows:</w:t>
      </w:r>
    </w:p>
    <w:p>
      <w:pPr>
        <w:spacing w:after="0" w:line="140" w:lineRule="exact"/>
        <w:rPr>
          <w:sz w:val="20"/>
          <w:szCs w:val="20"/>
          <w:color w:val="auto"/>
        </w:rPr>
      </w:pPr>
    </w:p>
    <w:p>
      <w:pPr>
        <w:ind w:left="8740"/>
        <w:spacing w:after="0"/>
        <w:rPr>
          <w:sz w:val="20"/>
          <w:szCs w:val="20"/>
          <w:color w:val="auto"/>
        </w:rPr>
      </w:pPr>
      <w:r>
        <w:rPr>
          <w:rFonts w:ascii="Arial" w:cs="Arial" w:eastAsia="Arial" w:hAnsi="Arial"/>
          <w:sz w:val="16"/>
          <w:szCs w:val="16"/>
          <w:color w:val="auto"/>
        </w:rPr>
        <w:t>Three Months Ended 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r>
    </w:tbl>
    <w:p>
      <w:pPr>
        <w:spacing w:after="0" w:line="24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provision for income taxes for the three months ended March 31, 2023 is based on the estimated annual effective tax rate, which represents a blend of federal, state and foreign taxes and includes the impact of certain nondeductible items. The provision for income taxes for the three months ended March 31, 2022 is calculated using a discrete effective tax rate method. We determined that applying an estimate of the annual effective tax rate to income or loss for the interim reporting period would not provide a reliable estimate for the three months ended March 31, 2022, since small changes in estimated income would have resulted in significant changes in the estimated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174879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9240" w:val="left"/>
        </w:tabs>
        <w:rPr>
          <w:sz w:val="20"/>
          <w:szCs w:val="20"/>
          <w:color w:val="auto"/>
        </w:rPr>
      </w:pPr>
      <w:r>
        <w:rPr>
          <w:rFonts w:ascii="Arial" w:cs="Arial" w:eastAsia="Arial" w:hAnsi="Arial"/>
          <w:sz w:val="16"/>
          <w:szCs w:val="16"/>
          <w:b w:val="1"/>
          <w:bCs w:val="1"/>
          <w:color w:val="auto"/>
        </w:rPr>
        <w:t>Investor Update</w:t>
      </w:r>
      <w:r>
        <w:rPr>
          <w:rFonts w:ascii="Arial" w:cs="Arial" w:eastAsia="Arial" w:hAnsi="Arial"/>
          <w:sz w:val="21"/>
          <w:szCs w:val="21"/>
          <w:b w:val="1"/>
          <w:bCs w:val="1"/>
          <w:color w:val="auto"/>
          <w:vertAlign w:val="superscript"/>
        </w:rPr>
        <w:t>1</w:t>
      </w:r>
      <w:r>
        <w:rPr>
          <w:sz w:val="20"/>
          <w:szCs w:val="20"/>
          <w:color w:val="auto"/>
        </w:rPr>
        <w:tab/>
      </w:r>
      <w:r>
        <w:rPr>
          <w:rFonts w:ascii="Arial" w:cs="Arial" w:eastAsia="Arial" w:hAnsi="Arial"/>
          <w:sz w:val="16"/>
          <w:szCs w:val="16"/>
          <w:b w:val="1"/>
          <w:bCs w:val="1"/>
          <w:color w:val="auto"/>
        </w:rPr>
        <w:t>Issue Date: April 18, 2023</w:t>
      </w:r>
    </w:p>
    <w:p>
      <w:pPr>
        <w:spacing w:after="0" w:line="25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This Investor Update provides guidance and certain other forward-looking statements about United Airlines Holdings, Inc. (the "Company" or "UAL"). The information in this Investor Update contains the preliminary financial and operational outlook for the Company for second-quarter and full-year 2023, among other items.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Estimated</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9"/>
              </w:rPr>
              <w:t>Estimated</w:t>
            </w:r>
          </w:p>
        </w:tc>
      </w:tr>
      <w:tr>
        <w:trPr>
          <w:trHeight w:val="215"/>
        </w:trPr>
        <w:tc>
          <w:tcPr>
            <w:tcW w:w="740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2Q 2023</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9"/>
              </w:rPr>
              <w:t>FY 2023</w:t>
            </w:r>
          </w:p>
        </w:tc>
      </w:tr>
      <w:tr>
        <w:trPr>
          <w:trHeight w:val="210"/>
        </w:trPr>
        <w:tc>
          <w:tcPr>
            <w:tcW w:w="7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Capacity YOY</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~18.5%</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High teens</w:t>
            </w:r>
          </w:p>
        </w:tc>
      </w:tr>
      <w:tr>
        <w:trPr>
          <w:trHeight w:val="264"/>
        </w:trPr>
        <w:tc>
          <w:tcPr>
            <w:tcW w:w="7400" w:type="dxa"/>
            <w:vAlign w:val="bottom"/>
          </w:tcPr>
          <w:p>
            <w:pPr>
              <w:ind w:left="40"/>
              <w:spacing w:after="0"/>
              <w:rPr>
                <w:sz w:val="20"/>
                <w:szCs w:val="20"/>
                <w:color w:val="auto"/>
              </w:rPr>
            </w:pPr>
            <w:r>
              <w:rPr>
                <w:rFonts w:ascii="Arial" w:cs="Arial" w:eastAsia="Arial" w:hAnsi="Arial"/>
                <w:sz w:val="16"/>
                <w:szCs w:val="16"/>
                <w:color w:val="auto"/>
              </w:rPr>
              <w:t>Total operating revenue YOY</w:t>
            </w:r>
          </w:p>
        </w:tc>
        <w:tc>
          <w:tcPr>
            <w:tcW w:w="1780" w:type="dxa"/>
            <w:vAlign w:val="bottom"/>
          </w:tcPr>
          <w:p>
            <w:pPr>
              <w:jc w:val="center"/>
              <w:spacing w:after="0"/>
              <w:rPr>
                <w:sz w:val="20"/>
                <w:szCs w:val="20"/>
                <w:color w:val="auto"/>
              </w:rPr>
            </w:pPr>
            <w:r>
              <w:rPr>
                <w:rFonts w:ascii="Arial" w:cs="Arial" w:eastAsia="Arial" w:hAnsi="Arial"/>
                <w:sz w:val="16"/>
                <w:szCs w:val="16"/>
                <w:color w:val="auto"/>
              </w:rPr>
              <w:t>14%-16%</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60"/>
        </w:trPr>
        <w:tc>
          <w:tcPr>
            <w:tcW w:w="74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tcPr>
          <w:p>
            <w:pPr>
              <w:spacing w:after="0"/>
              <w:rPr>
                <w:sz w:val="5"/>
                <w:szCs w:val="5"/>
                <w:color w:val="auto"/>
              </w:rPr>
            </w:pPr>
          </w:p>
        </w:tc>
      </w:tr>
      <w:tr>
        <w:trPr>
          <w:trHeight w:val="324"/>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cost or operating expense per available seat mile (CASM-ex) YOY</w:t>
            </w:r>
            <w:r>
              <w:rPr>
                <w:rFonts w:ascii="Arial" w:cs="Arial" w:eastAsia="Arial" w:hAnsi="Arial"/>
                <w:sz w:val="21"/>
                <w:szCs w:val="21"/>
                <w:color w:val="auto"/>
                <w:vertAlign w:val="superscript"/>
              </w:rPr>
              <w:t>2</w:t>
            </w:r>
          </w:p>
        </w:tc>
        <w:tc>
          <w:tcPr>
            <w:tcW w:w="200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Flat-2%</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~Flat</w:t>
            </w:r>
          </w:p>
        </w:tc>
      </w:tr>
      <w:tr>
        <w:trPr>
          <w:trHeight w:val="243"/>
        </w:trPr>
        <w:tc>
          <w:tcPr>
            <w:tcW w:w="7400" w:type="dxa"/>
            <w:vAlign w:val="bottom"/>
          </w:tcPr>
          <w:p>
            <w:pPr>
              <w:ind w:left="40"/>
              <w:spacing w:after="0"/>
              <w:rPr>
                <w:sz w:val="20"/>
                <w:szCs w:val="20"/>
                <w:color w:val="auto"/>
              </w:rPr>
            </w:pPr>
            <w:r>
              <w:rPr>
                <w:rFonts w:ascii="Arial" w:cs="Arial" w:eastAsia="Arial" w:hAnsi="Arial"/>
                <w:sz w:val="16"/>
                <w:szCs w:val="16"/>
                <w:color w:val="auto"/>
              </w:rPr>
              <w:t>Average aircraft fuel price per gallon</w:t>
            </w:r>
            <w:r>
              <w:rPr>
                <w:rFonts w:ascii="Arial" w:cs="Arial" w:eastAsia="Arial" w:hAnsi="Arial"/>
                <w:sz w:val="21"/>
                <w:szCs w:val="21"/>
                <w:color w:val="auto"/>
                <w:vertAlign w:val="superscript"/>
              </w:rPr>
              <w:t>3</w:t>
            </w:r>
          </w:p>
        </w:tc>
        <w:tc>
          <w:tcPr>
            <w:tcW w:w="1780" w:type="dxa"/>
            <w:vAlign w:val="bottom"/>
          </w:tcPr>
          <w:p>
            <w:pPr>
              <w:jc w:val="center"/>
              <w:spacing w:after="0"/>
              <w:rPr>
                <w:sz w:val="20"/>
                <w:szCs w:val="20"/>
                <w:color w:val="auto"/>
              </w:rPr>
            </w:pPr>
            <w:r>
              <w:rPr>
                <w:rFonts w:ascii="Arial" w:cs="Arial" w:eastAsia="Arial" w:hAnsi="Arial"/>
                <w:sz w:val="16"/>
                <w:szCs w:val="16"/>
                <w:color w:val="auto"/>
              </w:rPr>
              <w:t>$2.80-$3.00</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4</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$3.50-$4.00</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$10.00-$12.00</w:t>
            </w:r>
          </w:p>
        </w:tc>
      </w:tr>
      <w:tr>
        <w:trPr>
          <w:trHeight w:val="324"/>
        </w:trPr>
        <w:tc>
          <w:tcPr>
            <w:tcW w:w="7400" w:type="dxa"/>
            <w:vAlign w:val="bottom"/>
          </w:tcPr>
          <w:p>
            <w:pPr>
              <w:ind w:left="20"/>
              <w:spacing w:after="0"/>
              <w:rPr>
                <w:sz w:val="20"/>
                <w:szCs w:val="20"/>
                <w:color w:val="auto"/>
              </w:rPr>
            </w:pPr>
            <w:r>
              <w:rPr>
                <w:rFonts w:ascii="Arial" w:cs="Arial" w:eastAsia="Arial" w:hAnsi="Arial"/>
                <w:sz w:val="16"/>
                <w:szCs w:val="16"/>
                <w:color w:val="auto"/>
              </w:rPr>
              <w:t>Adjusted capital expenditures (in billions)</w:t>
            </w:r>
            <w:r>
              <w:rPr>
                <w:rFonts w:ascii="Arial" w:cs="Arial" w:eastAsia="Arial" w:hAnsi="Arial"/>
                <w:sz w:val="21"/>
                <w:szCs w:val="21"/>
                <w:color w:val="auto"/>
                <w:vertAlign w:val="superscript"/>
              </w:rPr>
              <w:t>5</w:t>
            </w: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w w:val="98"/>
              </w:rPr>
              <w:t>~$8.5</w:t>
            </w:r>
          </w:p>
        </w:tc>
      </w:tr>
      <w:tr>
        <w:trPr>
          <w:trHeight w:val="24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net debt to adjusted EBITDAR</w:t>
            </w:r>
            <w:r>
              <w:rPr>
                <w:rFonts w:ascii="Arial" w:cs="Arial" w:eastAsia="Arial" w:hAnsi="Arial"/>
                <w:sz w:val="21"/>
                <w:szCs w:val="21"/>
                <w:color w:val="auto"/>
                <w:vertAlign w:val="superscript"/>
              </w:rPr>
              <w:t>6,7</w:t>
            </w:r>
          </w:p>
        </w:tc>
        <w:tc>
          <w:tcPr>
            <w:tcW w:w="1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&lt;3.0x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8"/>
        <w:spacing w:after="0"/>
        <w:tabs>
          <w:tab w:leader="none" w:pos="9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guidance provided in this Investor Update reflects our current expectations and our actual results and timing may vary materially based on various factors that include, but are not limited to, those discussed below under "Cautionary Statement Regarding Forward-Looking Statements," in Part I, Item 1A. Risk Factors, of the Company's Annual Report on Form 10-K for the fiscal year ended December 31, 2022. The guidance is only effective as of the date given and should not be considered updated or affirmed unless and until we publicly announce updated or affirmed guidance. Management will also discuss certain business outlook items during its regularly scheduled quarterly earnings conference call on April 19, 2023. This Investor Update should be read in conjunction with the Company's earnings release issued in connection with this Investor Update and its filings with the U.S. Securities and Exchange Commission (the "SEC").</w:t>
      </w:r>
    </w:p>
    <w:p>
      <w:pPr>
        <w:spacing w:after="0" w:line="2" w:lineRule="exact"/>
        <w:rPr>
          <w:rFonts w:ascii="Arial" w:cs="Arial" w:eastAsia="Arial" w:hAnsi="Arial"/>
          <w:sz w:val="19"/>
          <w:szCs w:val="19"/>
          <w:color w:val="auto"/>
          <w:vertAlign w:val="superscript"/>
        </w:rPr>
      </w:pPr>
    </w:p>
    <w:p>
      <w:pPr>
        <w:ind w:right="100"/>
        <w:spacing w:after="0" w:line="231"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CASM-ex (adjusted cost or operating expense per available seat mile) is a measure that is not calculated in accordance with accounting principles generally accepted in the United States of America ("GAAP"). CASM-ex is calculated as cost or operating expense per available seat mile ("CASM") excluding fuel expense, profit sharing, third-party business expenses and special charges (credits). We are not providing a target for or a reconciliation to CASM, the most directly comparable GAAP measure, because we are unable to predict the excluded items noted above contained in the GAAP measure without unreasonable efforts, and therefore we also are not able to determine the probable significance of such items. The Company's estimations include ~4.5 points in full-year 2023 for the estimated CASM-ex impact and timing of expected new labor contracts. The company has achieved a recently ratified contract with IBT (technicians), and has achieved a tentative agreement with IAM (airport and public contact employees). The company is in active negotiations with ALPA (pilots), and AFA (flight attendants). Any impact associated with any potential signing bonus is not included.</w:t>
      </w:r>
    </w:p>
    <w:p>
      <w:pPr>
        <w:spacing w:after="0" w:line="5"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Fuel guidance is based on fuel prices as of April 12, 2023.</w:t>
      </w:r>
    </w:p>
    <w:p>
      <w:pPr>
        <w:spacing w:after="0" w:line="11" w:lineRule="exact"/>
        <w:rPr>
          <w:rFonts w:ascii="Arial" w:cs="Arial" w:eastAsia="Arial" w:hAnsi="Arial"/>
          <w:sz w:val="19"/>
          <w:szCs w:val="19"/>
          <w:color w:val="auto"/>
          <w:vertAlign w:val="superscript"/>
        </w:rPr>
      </w:pPr>
    </w:p>
    <w:p>
      <w:pPr>
        <w:ind w:right="10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Adjusted diluted earnings per share is a non-GAAP financial measure that excludes operating and nonoperating special charges (credits) and unrealized (gains) losses on investments,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predict the probable significance of such items.</w:t>
      </w:r>
    </w:p>
    <w:p>
      <w:pPr>
        <w:spacing w:after="0" w:line="162" w:lineRule="exact"/>
        <w:rPr>
          <w:rFonts w:ascii="Arial" w:cs="Arial" w:eastAsia="Arial" w:hAnsi="Arial"/>
          <w:sz w:val="19"/>
          <w:szCs w:val="19"/>
          <w:color w:val="auto"/>
          <w:vertAlign w:val="superscript"/>
        </w:rPr>
      </w:pPr>
    </w:p>
    <w:p>
      <w:pPr>
        <w:ind w:right="40"/>
        <w:spacing w:after="0" w:line="260" w:lineRule="auto"/>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Adjusted capital expenditures is a non-GAAP financial measure calculated as capital expenditures, net of flight equipment purchase deposit returns, plus property and</w:t>
      </w:r>
      <w:r>
        <w:rPr>
          <w:rFonts w:ascii="Arial" w:cs="Arial" w:eastAsia="Arial" w:hAnsi="Arial"/>
          <w:sz w:val="9"/>
          <w:szCs w:val="9"/>
          <w:color w:val="auto"/>
        </w:rPr>
        <w:t xml:space="preserve"> </w:t>
      </w:r>
      <w:r>
        <w:rPr>
          <w:rFonts w:ascii="Arial" w:cs="Arial" w:eastAsia="Arial" w:hAnsi="Arial"/>
          <w:sz w:val="14"/>
          <w:szCs w:val="14"/>
          <w:color w:val="auto"/>
        </w:rPr>
        <w:t>equipment acquired through the issuance of debt, finance leases, and other financial liabilities.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w:t>
      </w:r>
    </w:p>
    <w:p>
      <w:pPr>
        <w:spacing w:after="0" w:line="1" w:lineRule="exact"/>
        <w:rPr>
          <w:rFonts w:ascii="Arial" w:cs="Arial" w:eastAsia="Arial" w:hAnsi="Arial"/>
          <w:sz w:val="19"/>
          <w:szCs w:val="19"/>
          <w:color w:val="auto"/>
          <w:vertAlign w:val="superscript"/>
        </w:rPr>
      </w:pPr>
    </w:p>
    <w:p>
      <w:pPr>
        <w:ind w:right="60"/>
        <w:spacing w:after="0" w:line="243"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Adjusted net debt is a non-GAAP financial measure defined as adjusted total debt less cash and cash equivalents and short term investments; adjusted total debt is a non-GAAP financial measure that includes current and long-term debt, operating lease obligations and finance lease obligations, current and noncurrent other financial liabilities and noncurrent pension and postretirement obligations. We are not providing a target for or a reconciliation to net debt, the most directly comparable GAAP measure, because we are not able to predict the excluded items noted above contained in the GAAP measure without unreasonable efforts, and therefore we also are not able to predict the probable significance of such items.</w:t>
      </w:r>
    </w:p>
    <w:p>
      <w:pPr>
        <w:spacing w:after="0" w:line="2" w:lineRule="exact"/>
        <w:rPr>
          <w:rFonts w:ascii="Arial" w:cs="Arial" w:eastAsia="Arial" w:hAnsi="Arial"/>
          <w:sz w:val="19"/>
          <w:szCs w:val="19"/>
          <w:color w:val="auto"/>
          <w:vertAlign w:val="superscript"/>
        </w:rPr>
      </w:pPr>
    </w:p>
    <w:p>
      <w:pPr>
        <w:ind w:right="140"/>
        <w:spacing w:after="0" w:line="24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Adjusted EBITDAR is a non-GAAP financial measure defined as adjusted earnings before interest, income taxes, depreciation, amortization, aircraft rent and excluding operating and nonoperating special charges (credits), and unrealized (gains) losses on investments, net. We are not providing a target for or a reconciliation to net income, the most directly comparable GAAP measure, because we are unable to predict special charges (credits) and unrealized (gains) losses on investments contained in the GAAP measure without unreasonable efforts, and therefore we also are not able to predict the probable significance of such items. For the reasons described above, the Company is similarly not able to provide a target for or a reconciliation to the ratio of net debt to net income, the most directly comparable GAAP measure, without unreasonable efforts.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8" w:right="339" w:bottom="1440" w:gutter="0" w:footer="0" w:header="0"/>
        </w:sectPr>
      </w:pPr>
    </w:p>
    <w:bookmarkStart w:id="20" w:name="page21"/>
    <w:bookmarkEnd w:id="20"/>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gridSpan w:val="4"/>
          </w:tcPr>
          <w:p>
            <w:pPr>
              <w:spacing w:after="0"/>
              <w:rPr>
                <w:sz w:val="20"/>
                <w:szCs w:val="20"/>
                <w:color w:val="auto"/>
              </w:rPr>
            </w:pPr>
            <w:r>
              <w:rPr>
                <w:rFonts w:ascii="Arial" w:cs="Arial" w:eastAsia="Arial" w:hAnsi="Arial"/>
                <w:sz w:val="16"/>
                <w:szCs w:val="16"/>
                <w:b w:val="1"/>
                <w:bCs w:val="1"/>
                <w:color w:val="auto"/>
              </w:rPr>
              <w:t xml:space="preserve">Fleet Plan: </w:t>
            </w:r>
            <w:r>
              <w:rPr>
                <w:rFonts w:ascii="Arial" w:cs="Arial" w:eastAsia="Arial" w:hAnsi="Arial"/>
                <w:sz w:val="16"/>
                <w:szCs w:val="16"/>
                <w:color w:val="auto"/>
              </w:rPr>
              <w:t>As of April 18, 2023, the Company's fleet plan was as follows:</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90"/>
        </w:trPr>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bottom w:val="single" w:sz="8" w:color="CCEEFF"/>
            </w:tcBorders>
          </w:tcPr>
          <w:p>
            <w:pPr>
              <w:spacing w:after="0"/>
              <w:rPr>
                <w:sz w:val="24"/>
                <w:szCs w:val="24"/>
                <w:color w:val="auto"/>
              </w:rPr>
            </w:pPr>
          </w:p>
        </w:tc>
        <w:tc>
          <w:tcPr>
            <w:tcW w:w="43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1Q 2023</w:t>
            </w: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2Q 2023</w:t>
            </w: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3Q 2023</w:t>
            </w:r>
          </w:p>
        </w:tc>
        <w:tc>
          <w:tcPr>
            <w:tcW w:w="16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YE 2023</w:t>
            </w:r>
          </w:p>
        </w:tc>
      </w:tr>
      <w:tr>
        <w:trPr>
          <w:trHeight w:val="213"/>
        </w:trPr>
        <w:tc>
          <w:tcPr>
            <w:tcW w:w="60" w:type="dxa"/>
            <w:vAlign w:val="bottom"/>
          </w:tcPr>
          <w:p>
            <w:pPr>
              <w:spacing w:after="0"/>
              <w:rPr>
                <w:sz w:val="18"/>
                <w:szCs w:val="18"/>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B777-200/300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rPr>
              <w:t>96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96</w:t>
            </w:r>
          </w:p>
        </w:tc>
      </w:tr>
      <w:tr>
        <w:trPr>
          <w:trHeight w:val="213"/>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B787-8/9/10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71</w:t>
            </w:r>
          </w:p>
        </w:tc>
      </w:tr>
      <w:tr>
        <w:trPr>
          <w:trHeight w:val="219"/>
        </w:trPr>
        <w:tc>
          <w:tcPr>
            <w:tcW w:w="60" w:type="dxa"/>
            <w:vAlign w:val="bottom"/>
          </w:tcPr>
          <w:p>
            <w:pPr>
              <w:spacing w:after="0"/>
              <w:rPr>
                <w:sz w:val="19"/>
                <w:szCs w:val="19"/>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B767-300/400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r>
      <w:tr>
        <w:trPr>
          <w:trHeight w:val="213"/>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B757-200/300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61</w:t>
            </w:r>
          </w:p>
        </w:tc>
      </w:tr>
      <w:tr>
        <w:trPr>
          <w:trHeight w:val="307"/>
        </w:trPr>
        <w:tc>
          <w:tcPr>
            <w:tcW w:w="60" w:type="dxa"/>
            <w:vAlign w:val="bottom"/>
          </w:tcPr>
          <w:p>
            <w:pPr>
              <w:spacing w:after="0"/>
              <w:rPr>
                <w:sz w:val="24"/>
                <w:szCs w:val="24"/>
                <w:color w:val="auto"/>
              </w:rPr>
            </w:pPr>
          </w:p>
        </w:tc>
        <w:tc>
          <w:tcPr>
            <w:tcW w:w="5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B737 MAX</w:t>
            </w:r>
          </w:p>
        </w:tc>
        <w:tc>
          <w:tcPr>
            <w:tcW w:w="1100" w:type="dxa"/>
            <w:vAlign w:val="bottom"/>
            <w:tcBorders>
              <w:bottom w:val="single" w:sz="8" w:color="CCEEFF"/>
            </w:tcBorders>
            <w:shd w:val="clear" w:color="auto" w:fill="CCEEFF"/>
          </w:tcPr>
          <w:p>
            <w:pPr>
              <w:jc w:val="center"/>
              <w:ind w:right="159"/>
              <w:spacing w:after="0"/>
              <w:rPr>
                <w:sz w:val="20"/>
                <w:szCs w:val="20"/>
                <w:color w:val="auto"/>
              </w:rPr>
            </w:pPr>
            <w:r>
              <w:rPr>
                <w:rFonts w:ascii="Arial" w:cs="Arial" w:eastAsia="Arial" w:hAnsi="Arial"/>
                <w:sz w:val="16"/>
                <w:szCs w:val="16"/>
                <w:color w:val="auto"/>
                <w:w w:val="97"/>
              </w:rPr>
              <w:t>101</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121</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171</w:t>
            </w:r>
          </w:p>
        </w:tc>
      </w:tr>
      <w:tr>
        <w:trPr>
          <w:trHeight w:val="213"/>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B737-700/800/900</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7"/>
              </w:rPr>
              <w:t>329</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329</w:t>
            </w:r>
          </w:p>
        </w:tc>
      </w:tr>
      <w:tr>
        <w:trPr>
          <w:trHeight w:val="219"/>
        </w:trPr>
        <w:tc>
          <w:tcPr>
            <w:tcW w:w="60" w:type="dxa"/>
            <w:vAlign w:val="bottom"/>
          </w:tcPr>
          <w:p>
            <w:pPr>
              <w:spacing w:after="0"/>
              <w:rPr>
                <w:sz w:val="19"/>
                <w:szCs w:val="19"/>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A319/A320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7"/>
              </w:rPr>
              <w:t>180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178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172</w:t>
            </w:r>
          </w:p>
        </w:tc>
      </w:tr>
      <w:tr>
        <w:trPr>
          <w:trHeight w:val="213"/>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A321NEO/XLR</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12"/>
        </w:trPr>
        <w:tc>
          <w:tcPr>
            <w:tcW w:w="6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Mainline Aircraft</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7"/>
              </w:rPr>
              <w:t>891</w:t>
            </w:r>
          </w:p>
        </w:tc>
        <w:tc>
          <w:tcPr>
            <w:tcW w:w="1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909</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932</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957</w:t>
            </w:r>
          </w:p>
        </w:tc>
      </w:tr>
      <w:tr>
        <w:trPr>
          <w:trHeight w:val="251"/>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6"/>
        </w:trPr>
        <w:tc>
          <w:tcPr>
            <w:tcW w:w="60" w:type="dxa"/>
            <w:vAlign w:val="bottom"/>
          </w:tcPr>
          <w:p>
            <w:pPr>
              <w:spacing w:after="0"/>
              <w:rPr>
                <w:sz w:val="18"/>
                <w:szCs w:val="18"/>
                <w:color w:val="auto"/>
              </w:rPr>
            </w:pPr>
          </w:p>
        </w:tc>
        <w:tc>
          <w:tcPr>
            <w:tcW w:w="5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50-seat (ERJ-145, CRJ-200, CRJ-550)</w:t>
            </w:r>
          </w:p>
        </w:tc>
        <w:tc>
          <w:tcPr>
            <w:tcW w:w="1100" w:type="dxa"/>
            <w:vAlign w:val="bottom"/>
            <w:shd w:val="clear" w:color="auto" w:fill="CCEEFF"/>
          </w:tcPr>
          <w:p>
            <w:pPr>
              <w:jc w:val="center"/>
              <w:ind w:right="159"/>
              <w:spacing w:after="0"/>
              <w:rPr>
                <w:sz w:val="20"/>
                <w:szCs w:val="20"/>
                <w:color w:val="auto"/>
              </w:rPr>
            </w:pPr>
            <w:r>
              <w:rPr>
                <w:rFonts w:ascii="Arial" w:cs="Arial" w:eastAsia="Arial" w:hAnsi="Arial"/>
                <w:sz w:val="16"/>
                <w:szCs w:val="16"/>
                <w:color w:val="auto"/>
                <w:w w:val="97"/>
              </w:rPr>
              <w:t>198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165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165</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165</w:t>
            </w:r>
          </w:p>
        </w:tc>
      </w:tr>
      <w:tr>
        <w:trPr>
          <w:trHeight w:val="213"/>
        </w:trPr>
        <w:tc>
          <w:tcPr>
            <w:tcW w:w="60" w:type="dxa"/>
            <w:vAlign w:val="bottom"/>
          </w:tcPr>
          <w:p>
            <w:pPr>
              <w:spacing w:after="0"/>
              <w:rPr>
                <w:sz w:val="18"/>
                <w:szCs w:val="18"/>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rPr>
              <w:t>70/76-seat (CRJ-700, CRJ-900, EMB-170, EMB-175, EMB-175LL)</w:t>
            </w:r>
          </w:p>
        </w:tc>
        <w:tc>
          <w:tcPr>
            <w:tcW w:w="1100" w:type="dxa"/>
            <w:vAlign w:val="bottom"/>
          </w:tcPr>
          <w:p>
            <w:pPr>
              <w:jc w:val="center"/>
              <w:ind w:right="159"/>
              <w:spacing w:after="0"/>
              <w:rPr>
                <w:sz w:val="20"/>
                <w:szCs w:val="20"/>
                <w:color w:val="auto"/>
              </w:rPr>
            </w:pPr>
            <w:r>
              <w:rPr>
                <w:rFonts w:ascii="Arial" w:cs="Arial" w:eastAsia="Arial" w:hAnsi="Arial"/>
                <w:sz w:val="16"/>
                <w:szCs w:val="16"/>
                <w:color w:val="auto"/>
                <w:w w:val="97"/>
              </w:rPr>
              <w:t>248</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7"/>
              </w:rPr>
              <w:t>255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255</w:t>
            </w:r>
          </w:p>
        </w:tc>
      </w:tr>
      <w:tr>
        <w:trPr>
          <w:trHeight w:val="212"/>
        </w:trPr>
        <w:tc>
          <w:tcPr>
            <w:tcW w:w="6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Regional Aircraft</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7"/>
              </w:rPr>
              <w:t>446</w:t>
            </w:r>
          </w:p>
        </w:tc>
        <w:tc>
          <w:tcPr>
            <w:tcW w:w="1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420</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420</w:t>
            </w:r>
          </w:p>
        </w:tc>
        <w:tc>
          <w:tcPr>
            <w:tcW w:w="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420</w:t>
            </w:r>
          </w:p>
        </w:tc>
      </w:tr>
    </w:tbl>
    <w:p>
      <w:pPr>
        <w:spacing w:after="0" w:line="342"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Note: Above figures correspond with current expectations for future delivery dates, but they do not reflect the impact from Boeing’s recent announcement regarding MAX 8 production and are subject to further change.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20"/>
          </w:cols>
          <w:pgMar w:left="320" w:top="1440" w:right="5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spacing w:after="0" w:line="7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execution risks associated with our strategic operating plan; 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 any failure to effectively manage, and receive anticipated benefits and returns from, acquisitions, divestitures, investments, joint ventures and other portfolio actions, or related exposures to unknown liabilities or other issues or underperformance as compared to our expectations; the adverse impacts of the ongoing COVID-19 global pandemic on our business, operating results, financial condition and liquidity; adverse publicity, harm to our brand, reduced travel demand, potential tort liability and voluntary or mandatory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(including inflationary pressures);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constrains at our hubs or other airports; geopolitical conflict, terrorist attacks or security events; any damage to our reputation or brand image; our reliance on technology and automated systems to operate our business and the impact of any significant failure or disruption of, or failure to effectively integrate and implement, the technology or systems; increasing privacy and data security obligations or a significant data breach; increased use of social media platforms by us, our employees and others; the impacts of union disputes, employee strikes or slowdowns, and other labor-related disruptions or regulatory compliance costs on our operations;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our climate goals; high and/or volatile fuel prices or significant disruptions in the supply of</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aircraft fuel (including as a result of the Russia-Ukraine military conflict); the impacts of our significant amount of financial leverage from fixed obligations and</w:t>
      </w:r>
    </w:p>
    <w:p>
      <w:pPr>
        <w:spacing w:after="0" w:line="3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impacts of insufficient liquidity on our financial condition and business; failure to comply with financial and other covenants governing our debt, including our MileagePlus® financing agreements; the impacts of the proposed phaseout of the London interbank offer rate;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weather events, infrastructure and other factors associated with the airline industry; increases in insurance costs or inadequate insurance coverage; and other risks and uncertainties set forth in Part I, Item 1A. Risk Factors, and under "Economic and Market Factors" in Part II, Item 7. Management's Discussion and Analysis of Financial Condition and Results of Operations, of our Annual Report on Form 10-K for the fiscal year ended December 31, 2022, as well as other risks and uncertainties set forth from time to time in the reports we file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Information and Financial Guidance</w:t>
      </w:r>
    </w:p>
    <w:p>
      <w:pPr>
        <w:spacing w:after="0" w:line="3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refers to financial measures that are not in accordance with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20"/>
          </w:cols>
          <w:pgMar w:left="320" w:top="918"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sectPr>
      <w:pgSz w:w="11900" w:h="16838" w:orient="portrait"/>
      <w:cols w:equalWidth="0" w:num="1">
        <w:col w:w="11220"/>
      </w:cols>
      <w:pgMar w:left="320" w:top="9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872"/>
    </w:lvl>
  </w:abstractNum>
  <w:abstractNum w:abstractNumId="1">
    <w:nsid w:val="515F007C"/>
    <w:multiLevelType w:val="hybridMultilevel"/>
    <w:lvl w:ilvl="0">
      <w:lvlJc w:val="left"/>
      <w:lvlText w:val="(%1)"/>
      <w:numFmt w:val="decimal"/>
      <w:start w:val="872"/>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3"/>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2023-04-18T15:11:16Z</dcterms:created>
  <dcterms:modified xsi:type="dcterms:W3CDTF">2023-04-18T15:11:16Z</dcterms:modified>
</cp:coreProperties>
</file>