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January 24,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UNITED CONTINENTAL HOLDINGS, INC.</w:t>
      </w:r>
    </w:p>
    <w:p>
      <w:pPr>
        <w:spacing w:after="0" w:line="5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UNITED AIR LINES, INC.</w:t>
      </w:r>
    </w:p>
    <w:p>
      <w:pPr>
        <w:spacing w:after="0" w:line="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CONTINENTAL AIRLINES, INC.</w:t>
      </w:r>
    </w:p>
    <w:p>
      <w:pPr>
        <w:spacing w:after="0" w:line="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6"/>
        </w:trPr>
        <w:tc>
          <w:tcPr>
            <w:tcW w:w="4080" w:type="dxa"/>
            <w:vAlign w:val="bottom"/>
          </w:tcPr>
          <w:p>
            <w:pPr>
              <w:jc w:val="center"/>
              <w:ind w:right="2459"/>
              <w:spacing w:after="0"/>
              <w:rPr>
                <w:sz w:val="20"/>
                <w:szCs w:val="20"/>
                <w:color w:val="auto"/>
              </w:rPr>
            </w:pPr>
            <w:r>
              <w:rPr>
                <w:rFonts w:ascii="Arial" w:cs="Arial" w:eastAsia="Arial" w:hAnsi="Arial"/>
                <w:sz w:val="18"/>
                <w:szCs w:val="18"/>
                <w:b w:val="1"/>
                <w:bCs w:val="1"/>
                <w:color w:val="auto"/>
                <w:w w:val="88"/>
              </w:rPr>
              <w:t>Delaware</w:t>
            </w:r>
          </w:p>
        </w:tc>
        <w:tc>
          <w:tcPr>
            <w:tcW w:w="2320" w:type="dxa"/>
            <w:vAlign w:val="bottom"/>
          </w:tcPr>
          <w:p>
            <w:pPr>
              <w:ind w:left="200"/>
              <w:spacing w:after="0"/>
              <w:rPr>
                <w:sz w:val="20"/>
                <w:szCs w:val="20"/>
                <w:color w:val="auto"/>
              </w:rPr>
            </w:pPr>
            <w:r>
              <w:rPr>
                <w:rFonts w:ascii="Arial" w:cs="Arial" w:eastAsia="Arial" w:hAnsi="Arial"/>
                <w:sz w:val="18"/>
                <w:szCs w:val="18"/>
                <w:b w:val="1"/>
                <w:bCs w:val="1"/>
                <w:color w:val="auto"/>
              </w:rPr>
              <w:t>001-06033</w:t>
            </w:r>
          </w:p>
        </w:tc>
        <w:tc>
          <w:tcPr>
            <w:tcW w:w="2680" w:type="dxa"/>
            <w:vAlign w:val="bottom"/>
          </w:tcPr>
          <w:p>
            <w:pPr>
              <w:jc w:val="center"/>
              <w:ind w:left="1279"/>
              <w:spacing w:after="0"/>
              <w:rPr>
                <w:sz w:val="20"/>
                <w:szCs w:val="20"/>
                <w:color w:val="auto"/>
              </w:rPr>
            </w:pPr>
            <w:r>
              <w:rPr>
                <w:rFonts w:ascii="Arial" w:cs="Arial" w:eastAsia="Arial" w:hAnsi="Arial"/>
                <w:sz w:val="18"/>
                <w:szCs w:val="18"/>
                <w:b w:val="1"/>
                <w:bCs w:val="1"/>
                <w:color w:val="auto"/>
                <w:w w:val="87"/>
              </w:rPr>
              <w:t>36-2675207</w:t>
            </w:r>
          </w:p>
        </w:tc>
      </w:tr>
      <w:tr>
        <w:trPr>
          <w:trHeight w:val="216"/>
        </w:trPr>
        <w:tc>
          <w:tcPr>
            <w:tcW w:w="4080" w:type="dxa"/>
            <w:vAlign w:val="bottom"/>
          </w:tcPr>
          <w:p>
            <w:pPr>
              <w:jc w:val="center"/>
              <w:ind w:right="2459"/>
              <w:spacing w:after="0"/>
              <w:rPr>
                <w:sz w:val="20"/>
                <w:szCs w:val="20"/>
                <w:color w:val="auto"/>
              </w:rPr>
            </w:pPr>
            <w:r>
              <w:rPr>
                <w:rFonts w:ascii="Arial" w:cs="Arial" w:eastAsia="Arial" w:hAnsi="Arial"/>
                <w:sz w:val="18"/>
                <w:szCs w:val="18"/>
                <w:b w:val="1"/>
                <w:bCs w:val="1"/>
                <w:color w:val="auto"/>
                <w:w w:val="88"/>
              </w:rPr>
              <w:t>Delaware</w:t>
            </w:r>
          </w:p>
        </w:tc>
        <w:tc>
          <w:tcPr>
            <w:tcW w:w="2320" w:type="dxa"/>
            <w:vAlign w:val="bottom"/>
          </w:tcPr>
          <w:p>
            <w:pPr>
              <w:ind w:left="200"/>
              <w:spacing w:after="0"/>
              <w:rPr>
                <w:sz w:val="20"/>
                <w:szCs w:val="20"/>
                <w:color w:val="auto"/>
              </w:rPr>
            </w:pPr>
            <w:r>
              <w:rPr>
                <w:rFonts w:ascii="Arial" w:cs="Arial" w:eastAsia="Arial" w:hAnsi="Arial"/>
                <w:sz w:val="18"/>
                <w:szCs w:val="18"/>
                <w:b w:val="1"/>
                <w:bCs w:val="1"/>
                <w:color w:val="auto"/>
              </w:rPr>
              <w:t>001-11355</w:t>
            </w:r>
          </w:p>
        </w:tc>
        <w:tc>
          <w:tcPr>
            <w:tcW w:w="2680" w:type="dxa"/>
            <w:vAlign w:val="bottom"/>
          </w:tcPr>
          <w:p>
            <w:pPr>
              <w:jc w:val="center"/>
              <w:ind w:left="1279"/>
              <w:spacing w:after="0"/>
              <w:rPr>
                <w:sz w:val="20"/>
                <w:szCs w:val="20"/>
                <w:color w:val="auto"/>
              </w:rPr>
            </w:pPr>
            <w:r>
              <w:rPr>
                <w:rFonts w:ascii="Arial" w:cs="Arial" w:eastAsia="Arial" w:hAnsi="Arial"/>
                <w:sz w:val="18"/>
                <w:szCs w:val="18"/>
                <w:b w:val="1"/>
                <w:bCs w:val="1"/>
                <w:color w:val="auto"/>
                <w:w w:val="87"/>
              </w:rPr>
              <w:t>36-2675206</w:t>
            </w:r>
          </w:p>
        </w:tc>
      </w:tr>
      <w:tr>
        <w:trPr>
          <w:trHeight w:val="218"/>
        </w:trPr>
        <w:tc>
          <w:tcPr>
            <w:tcW w:w="4080" w:type="dxa"/>
            <w:vAlign w:val="bottom"/>
          </w:tcPr>
          <w:p>
            <w:pPr>
              <w:jc w:val="center"/>
              <w:ind w:right="2459"/>
              <w:spacing w:after="0"/>
              <w:rPr>
                <w:sz w:val="20"/>
                <w:szCs w:val="20"/>
                <w:color w:val="auto"/>
              </w:rPr>
            </w:pPr>
            <w:r>
              <w:rPr>
                <w:rFonts w:ascii="Arial" w:cs="Arial" w:eastAsia="Arial" w:hAnsi="Arial"/>
                <w:sz w:val="18"/>
                <w:szCs w:val="18"/>
                <w:b w:val="1"/>
                <w:bCs w:val="1"/>
                <w:color w:val="auto"/>
                <w:w w:val="88"/>
              </w:rPr>
              <w:t>Delaware</w:t>
            </w:r>
          </w:p>
        </w:tc>
        <w:tc>
          <w:tcPr>
            <w:tcW w:w="2320" w:type="dxa"/>
            <w:vAlign w:val="bottom"/>
          </w:tcPr>
          <w:p>
            <w:pPr>
              <w:ind w:left="200"/>
              <w:spacing w:after="0"/>
              <w:rPr>
                <w:sz w:val="20"/>
                <w:szCs w:val="20"/>
                <w:color w:val="auto"/>
              </w:rPr>
            </w:pPr>
            <w:r>
              <w:rPr>
                <w:rFonts w:ascii="Arial" w:cs="Arial" w:eastAsia="Arial" w:hAnsi="Arial"/>
                <w:sz w:val="18"/>
                <w:szCs w:val="18"/>
                <w:b w:val="1"/>
                <w:bCs w:val="1"/>
                <w:color w:val="auto"/>
              </w:rPr>
              <w:t>001-10323</w:t>
            </w:r>
          </w:p>
        </w:tc>
        <w:tc>
          <w:tcPr>
            <w:tcW w:w="2680" w:type="dxa"/>
            <w:vAlign w:val="bottom"/>
          </w:tcPr>
          <w:p>
            <w:pPr>
              <w:jc w:val="center"/>
              <w:ind w:left="1279"/>
              <w:spacing w:after="0"/>
              <w:rPr>
                <w:sz w:val="20"/>
                <w:szCs w:val="20"/>
                <w:color w:val="auto"/>
              </w:rPr>
            </w:pPr>
            <w:r>
              <w:rPr>
                <w:rFonts w:ascii="Arial" w:cs="Arial" w:eastAsia="Arial" w:hAnsi="Arial"/>
                <w:sz w:val="18"/>
                <w:szCs w:val="18"/>
                <w:b w:val="1"/>
                <w:bCs w:val="1"/>
                <w:color w:val="auto"/>
                <w:w w:val="87"/>
              </w:rPr>
              <w:t>74-2099724</w:t>
            </w:r>
          </w:p>
        </w:tc>
      </w:tr>
      <w:tr>
        <w:trPr>
          <w:trHeight w:val="149"/>
        </w:trPr>
        <w:tc>
          <w:tcPr>
            <w:tcW w:w="4080" w:type="dxa"/>
            <w:vAlign w:val="bottom"/>
          </w:tcPr>
          <w:p>
            <w:pPr>
              <w:jc w:val="center"/>
              <w:ind w:right="2459"/>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680" w:type="dxa"/>
            <w:vAlign w:val="bottom"/>
          </w:tcPr>
          <w:p>
            <w:pPr>
              <w:jc w:val="center"/>
              <w:ind w:left="1279"/>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80" w:type="dxa"/>
            <w:vAlign w:val="bottom"/>
          </w:tcPr>
          <w:p>
            <w:pPr>
              <w:jc w:val="center"/>
              <w:ind w:right="2459"/>
              <w:spacing w:after="0"/>
              <w:rPr>
                <w:sz w:val="20"/>
                <w:szCs w:val="20"/>
                <w:color w:val="auto"/>
              </w:rPr>
            </w:pPr>
            <w:r>
              <w:rPr>
                <w:rFonts w:ascii="Arial" w:cs="Arial" w:eastAsia="Arial" w:hAnsi="Arial"/>
                <w:sz w:val="14"/>
                <w:szCs w:val="14"/>
                <w:b w:val="1"/>
                <w:bCs w:val="1"/>
                <w:color w:val="auto"/>
                <w:w w:val="87"/>
              </w:rPr>
              <w:t>of incorporation)</w:t>
            </w:r>
          </w:p>
        </w:tc>
        <w:tc>
          <w:tcPr>
            <w:tcW w:w="23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680" w:type="dxa"/>
            <w:vAlign w:val="bottom"/>
          </w:tcPr>
          <w:p>
            <w:pPr>
              <w:jc w:val="center"/>
              <w:ind w:left="1259"/>
              <w:spacing w:after="0"/>
              <w:rPr>
                <w:sz w:val="20"/>
                <w:szCs w:val="20"/>
                <w:color w:val="auto"/>
              </w:rPr>
            </w:pPr>
            <w:r>
              <w:rPr>
                <w:rFonts w:ascii="Arial" w:cs="Arial" w:eastAsia="Arial" w:hAnsi="Arial"/>
                <w:sz w:val="14"/>
                <w:szCs w:val="14"/>
                <w:b w:val="1"/>
                <w:bCs w:val="1"/>
                <w:color w:val="auto"/>
                <w:w w:val="90"/>
              </w:rPr>
              <w:t>Identification Number)</w:t>
            </w:r>
          </w:p>
        </w:tc>
      </w:tr>
      <w:tr>
        <w:trPr>
          <w:trHeight w:val="405"/>
        </w:trPr>
        <w:tc>
          <w:tcPr>
            <w:tcW w:w="4080" w:type="dxa"/>
            <w:vAlign w:val="bottom"/>
          </w:tcPr>
          <w:p>
            <w:pPr>
              <w:jc w:val="center"/>
              <w:ind w:left="1159"/>
              <w:spacing w:after="0"/>
              <w:rPr>
                <w:sz w:val="20"/>
                <w:szCs w:val="20"/>
                <w:color w:val="auto"/>
              </w:rPr>
            </w:pPr>
            <w:r>
              <w:rPr>
                <w:rFonts w:ascii="Arial" w:cs="Arial" w:eastAsia="Arial" w:hAnsi="Arial"/>
                <w:sz w:val="18"/>
                <w:szCs w:val="18"/>
                <w:b w:val="1"/>
                <w:bCs w:val="1"/>
                <w:color w:val="auto"/>
                <w:w w:val="90"/>
              </w:rPr>
              <w:t>77 W. Wacker Drive, Chicago, IL</w:t>
            </w:r>
          </w:p>
        </w:tc>
        <w:tc>
          <w:tcPr>
            <w:tcW w:w="2320" w:type="dxa"/>
            <w:vAlign w:val="bottom"/>
          </w:tcPr>
          <w:p>
            <w:pPr>
              <w:spacing w:after="0"/>
              <w:rPr>
                <w:sz w:val="24"/>
                <w:szCs w:val="24"/>
                <w:color w:val="auto"/>
              </w:rPr>
            </w:pPr>
          </w:p>
        </w:tc>
        <w:tc>
          <w:tcPr>
            <w:tcW w:w="2680" w:type="dxa"/>
            <w:vAlign w:val="bottom"/>
          </w:tcPr>
          <w:p>
            <w:pPr>
              <w:jc w:val="center"/>
              <w:ind w:left="1279"/>
              <w:spacing w:after="0"/>
              <w:rPr>
                <w:sz w:val="20"/>
                <w:szCs w:val="20"/>
                <w:color w:val="auto"/>
              </w:rPr>
            </w:pPr>
            <w:r>
              <w:rPr>
                <w:rFonts w:ascii="Arial" w:cs="Arial" w:eastAsia="Arial" w:hAnsi="Arial"/>
                <w:sz w:val="18"/>
                <w:szCs w:val="18"/>
                <w:b w:val="1"/>
                <w:bCs w:val="1"/>
                <w:color w:val="auto"/>
                <w:w w:val="87"/>
              </w:rPr>
              <w:t>60601</w:t>
            </w:r>
          </w:p>
        </w:tc>
      </w:tr>
      <w:tr>
        <w:trPr>
          <w:trHeight w:val="216"/>
        </w:trPr>
        <w:tc>
          <w:tcPr>
            <w:tcW w:w="4080" w:type="dxa"/>
            <w:vAlign w:val="bottom"/>
          </w:tcPr>
          <w:p>
            <w:pPr>
              <w:jc w:val="center"/>
              <w:ind w:left="1159"/>
              <w:spacing w:after="0"/>
              <w:rPr>
                <w:sz w:val="20"/>
                <w:szCs w:val="20"/>
                <w:color w:val="auto"/>
              </w:rPr>
            </w:pPr>
            <w:r>
              <w:rPr>
                <w:rFonts w:ascii="Arial" w:cs="Arial" w:eastAsia="Arial" w:hAnsi="Arial"/>
                <w:sz w:val="18"/>
                <w:szCs w:val="18"/>
                <w:b w:val="1"/>
                <w:bCs w:val="1"/>
                <w:color w:val="auto"/>
                <w:w w:val="90"/>
              </w:rPr>
              <w:t>77 W. Wacker Drive, Chicago, IL</w:t>
            </w:r>
          </w:p>
        </w:tc>
        <w:tc>
          <w:tcPr>
            <w:tcW w:w="2320" w:type="dxa"/>
            <w:vAlign w:val="bottom"/>
          </w:tcPr>
          <w:p>
            <w:pPr>
              <w:spacing w:after="0"/>
              <w:rPr>
                <w:sz w:val="18"/>
                <w:szCs w:val="18"/>
                <w:color w:val="auto"/>
              </w:rPr>
            </w:pPr>
          </w:p>
        </w:tc>
        <w:tc>
          <w:tcPr>
            <w:tcW w:w="2680" w:type="dxa"/>
            <w:vAlign w:val="bottom"/>
          </w:tcPr>
          <w:p>
            <w:pPr>
              <w:jc w:val="center"/>
              <w:ind w:left="1279"/>
              <w:spacing w:after="0"/>
              <w:rPr>
                <w:sz w:val="20"/>
                <w:szCs w:val="20"/>
                <w:color w:val="auto"/>
              </w:rPr>
            </w:pPr>
            <w:r>
              <w:rPr>
                <w:rFonts w:ascii="Arial" w:cs="Arial" w:eastAsia="Arial" w:hAnsi="Arial"/>
                <w:sz w:val="18"/>
                <w:szCs w:val="18"/>
                <w:b w:val="1"/>
                <w:bCs w:val="1"/>
                <w:color w:val="auto"/>
                <w:w w:val="87"/>
              </w:rPr>
              <w:t>60601</w:t>
            </w:r>
          </w:p>
        </w:tc>
      </w:tr>
      <w:tr>
        <w:trPr>
          <w:trHeight w:val="218"/>
        </w:trPr>
        <w:tc>
          <w:tcPr>
            <w:tcW w:w="640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88"/>
              </w:rPr>
              <w:t>1600 Smith Street, Dept. HQSEO, Houston, Texas</w:t>
            </w:r>
          </w:p>
        </w:tc>
        <w:tc>
          <w:tcPr>
            <w:tcW w:w="2680" w:type="dxa"/>
            <w:vAlign w:val="bottom"/>
          </w:tcPr>
          <w:p>
            <w:pPr>
              <w:jc w:val="center"/>
              <w:ind w:left="1279"/>
              <w:spacing w:after="0"/>
              <w:rPr>
                <w:sz w:val="20"/>
                <w:szCs w:val="20"/>
                <w:color w:val="auto"/>
              </w:rPr>
            </w:pPr>
            <w:r>
              <w:rPr>
                <w:rFonts w:ascii="Arial" w:cs="Arial" w:eastAsia="Arial" w:hAnsi="Arial"/>
                <w:sz w:val="18"/>
                <w:szCs w:val="18"/>
                <w:b w:val="1"/>
                <w:bCs w:val="1"/>
                <w:color w:val="auto"/>
                <w:w w:val="87"/>
              </w:rPr>
              <w:t>77002</w:t>
            </w:r>
          </w:p>
        </w:tc>
      </w:tr>
      <w:tr>
        <w:trPr>
          <w:trHeight w:val="174"/>
        </w:trPr>
        <w:tc>
          <w:tcPr>
            <w:tcW w:w="4080" w:type="dxa"/>
            <w:vAlign w:val="bottom"/>
          </w:tcPr>
          <w:p>
            <w:pPr>
              <w:jc w:val="center"/>
              <w:ind w:left="1159"/>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20" w:type="dxa"/>
            <w:vAlign w:val="bottom"/>
          </w:tcPr>
          <w:p>
            <w:pPr>
              <w:spacing w:after="0"/>
              <w:rPr>
                <w:sz w:val="15"/>
                <w:szCs w:val="15"/>
                <w:color w:val="auto"/>
              </w:rPr>
            </w:pPr>
          </w:p>
        </w:tc>
        <w:tc>
          <w:tcPr>
            <w:tcW w:w="2680" w:type="dxa"/>
            <w:vAlign w:val="bottom"/>
          </w:tcPr>
          <w:p>
            <w:pPr>
              <w:jc w:val="center"/>
              <w:ind w:left="1259"/>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5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312) 997-8000</w:t>
      </w:r>
    </w:p>
    <w:p>
      <w:pPr>
        <w:spacing w:after="0" w:line="21" w:lineRule="exact"/>
        <w:rPr>
          <w:sz w:val="24"/>
          <w:szCs w:val="24"/>
          <w:color w:val="auto"/>
        </w:rPr>
      </w:pPr>
    </w:p>
    <w:p>
      <w:pPr>
        <w:ind w:left="5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312) 997-8000</w:t>
      </w:r>
    </w:p>
    <w:p>
      <w:pPr>
        <w:spacing w:after="0" w:line="9"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(713) 324-2950</w:t>
      </w:r>
    </w:p>
    <w:p>
      <w:pPr>
        <w:spacing w:after="0" w:line="9" w:lineRule="exact"/>
        <w:rPr>
          <w:sz w:val="24"/>
          <w:szCs w:val="24"/>
          <w:color w:val="auto"/>
        </w:rPr>
      </w:pPr>
    </w:p>
    <w:p>
      <w:pPr>
        <w:jc w:val="center"/>
        <w:ind w:right="-3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On January 24, 2013, United Continental Holdings, Inc. (“UAL”), the holding company whose primary subsidiaries are United Air Lines, Inc. (“United”) and Continental Airlines, Inc. (“Continental”), and together with UAL and United, the “Company”), issued a press release announcing the financial results of the Company for fourth quarter and full year 2012. The press release is attached as Exhibit 99.1 and is incorporated herein by reference.</w:t>
      </w:r>
    </w:p>
    <w:p>
      <w:pPr>
        <w:spacing w:after="0" w:line="107"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The information in this Item 2.02, including Exhibit 99.1,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 January 24, 2013, UAL will provide an investor update related to the financial and operational outlook for the Company for first quarter and full year 2013. A copy of the investor update is attached as Exhibit 99.2 and is incorporated herein by reference.</w:t>
      </w:r>
    </w:p>
    <w:p>
      <w:pPr>
        <w:spacing w:after="0" w:line="132"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The information in this Item 7.01, including Exhibit 99.2,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540" w:type="dxa"/>
            <w:vAlign w:val="bottom"/>
          </w:tcPr>
          <w:p>
            <w:pPr>
              <w:spacing w:after="0"/>
              <w:rPr>
                <w:sz w:val="14"/>
                <w:szCs w:val="14"/>
                <w:color w:val="auto"/>
              </w:rPr>
            </w:pPr>
          </w:p>
        </w:tc>
        <w:tc>
          <w:tcPr>
            <w:tcW w:w="10160" w:type="dxa"/>
            <w:vAlign w:val="bottom"/>
            <w:tcBorders>
              <w:bottom w:val="single" w:sz="8" w:color="auto"/>
            </w:tcBorders>
          </w:tcPr>
          <w:p>
            <w:pPr>
              <w:ind w:left="4740"/>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Press Release issued by United Continental Holdings, Inc. dated January 24, 2013</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54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United Continental Holdings, Inc. Investor Update dated January 24, 2013</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 electronically.</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UNITED CONTINENTAL HOLDINGS, INC.</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UNITED AIR LINES, INC.</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CONTINENTAL AIRLINES, INC.</w:t>
      </w:r>
    </w:p>
    <w:p>
      <w:pPr>
        <w:spacing w:after="0" w:line="219" w:lineRule="exact"/>
        <w:rPr>
          <w:sz w:val="20"/>
          <w:szCs w:val="20"/>
          <w:color w:val="auto"/>
        </w:rPr>
      </w:pPr>
    </w:p>
    <w:tbl>
      <w:tblPr>
        <w:tblLayout w:type="fixed"/>
        <w:tblInd w:w="594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Chris Kenny</w:t>
            </w:r>
          </w:p>
        </w:tc>
      </w:tr>
      <w:tr>
        <w:trPr>
          <w:trHeight w:val="203"/>
        </w:trPr>
        <w:tc>
          <w:tcPr>
            <w:tcW w:w="460" w:type="dxa"/>
            <w:vAlign w:val="bottom"/>
          </w:tcPr>
          <w:p>
            <w:pPr>
              <w:spacing w:after="0" w:line="203" w:lineRule="exact"/>
              <w:rPr>
                <w:sz w:val="20"/>
                <w:szCs w:val="20"/>
                <w:color w:val="auto"/>
              </w:rPr>
            </w:pPr>
            <w:r>
              <w:rPr>
                <w:rFonts w:ascii="Arial" w:cs="Arial" w:eastAsia="Arial" w:hAnsi="Arial"/>
                <w:sz w:val="18"/>
                <w:szCs w:val="18"/>
                <w:color w:val="auto"/>
                <w:w w:val="82"/>
              </w:rPr>
              <w:t>Name:</w:t>
            </w:r>
          </w:p>
        </w:tc>
        <w:tc>
          <w:tcPr>
            <w:tcW w:w="5020" w:type="dxa"/>
            <w:vAlign w:val="bottom"/>
          </w:tcPr>
          <w:p>
            <w:pPr>
              <w:ind w:left="120"/>
              <w:spacing w:after="0" w:line="203" w:lineRule="exact"/>
              <w:rPr>
                <w:sz w:val="20"/>
                <w:szCs w:val="20"/>
                <w:color w:val="auto"/>
              </w:rPr>
            </w:pPr>
            <w:r>
              <w:rPr>
                <w:rFonts w:ascii="Arial" w:cs="Arial" w:eastAsia="Arial" w:hAnsi="Arial"/>
                <w:sz w:val="18"/>
                <w:szCs w:val="18"/>
                <w:color w:val="auto"/>
              </w:rPr>
              <w:t>Chris Kenny</w:t>
            </w: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ind w:left="120"/>
              <w:spacing w:after="0"/>
              <w:rPr>
                <w:sz w:val="20"/>
                <w:szCs w:val="20"/>
                <w:color w:val="auto"/>
              </w:rPr>
            </w:pPr>
            <w:r>
              <w:rPr>
                <w:rFonts w:ascii="Arial" w:cs="Arial" w:eastAsia="Arial" w:hAnsi="Arial"/>
                <w:sz w:val="18"/>
                <w:szCs w:val="18"/>
                <w:color w:val="auto"/>
              </w:rPr>
              <w:t>Vice President and Controller</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24, 2013</w:t>
      </w:r>
    </w:p>
    <w:p>
      <w:pPr>
        <w:sectPr>
          <w:pgSz w:w="11900" w:h="16838" w:orient="portrait"/>
          <w:cols w:equalWidth="0" w:num="1">
            <w:col w:w="11420"/>
          </w:cols>
          <w:pgMar w:left="240" w:top="27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60" w:type="dxa"/>
            <w:vAlign w:val="bottom"/>
          </w:tcPr>
          <w:p>
            <w:pPr>
              <w:ind w:left="378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540" w:type="dxa"/>
            <w:vAlign w:val="bottom"/>
          </w:tcPr>
          <w:p>
            <w:pPr>
              <w:spacing w:after="0"/>
              <w:rPr>
                <w:sz w:val="24"/>
                <w:szCs w:val="24"/>
                <w:color w:val="auto"/>
              </w:rPr>
            </w:pPr>
          </w:p>
        </w:tc>
        <w:tc>
          <w:tcPr>
            <w:tcW w:w="10160" w:type="dxa"/>
            <w:vAlign w:val="bottom"/>
            <w:tcBorders>
              <w:bottom w:val="single" w:sz="8" w:color="auto"/>
            </w:tcBorders>
          </w:tcPr>
          <w:p>
            <w:pPr>
              <w:ind w:left="4740"/>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Press Release issued by United Continental Holdings, Inc. dated January 24, 2013</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54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Investor Update issued by United Continental Holdings, Inc. dated January 24, 2013</w:t>
            </w: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Furnished herewith electronically.</w:t>
      </w:r>
    </w:p>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143510</wp:posOffset>
            </wp:positionV>
            <wp:extent cx="6089015" cy="1183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89015" cy="118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ANNOUNCES FULL-YEAR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FOURTH-QUARTER 2012 RESULTS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UAL REPORTS $589 MILLION FULL-YEAR 2012 PROFIT EXCLUDING SPECIAL CHARGES;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$723 MILLION LOSS INCLUDING SPECIAL CHARGES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UAL REPORTS $190 MILLION FOURTH-QUARTER 2012 LOSS EXCLUDING SPECIAL</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CHARGES; $620 MILLION LOSS INCLUDING SPECIAL CHARGES</w:t>
      </w:r>
    </w:p>
    <w:p>
      <w:pPr>
        <w:spacing w:after="0" w:line="159" w:lineRule="exact"/>
        <w:rPr>
          <w:sz w:val="20"/>
          <w:szCs w:val="20"/>
          <w:color w:val="auto"/>
        </w:rPr>
      </w:pPr>
    </w:p>
    <w:p>
      <w:pPr>
        <w:ind w:right="360" w:firstLine="456"/>
        <w:spacing w:after="0" w:line="258" w:lineRule="auto"/>
        <w:rPr>
          <w:sz w:val="20"/>
          <w:szCs w:val="20"/>
          <w:color w:val="auto"/>
        </w:rPr>
      </w:pPr>
      <w:r>
        <w:rPr>
          <w:rFonts w:ascii="Arial" w:cs="Arial" w:eastAsia="Arial" w:hAnsi="Arial"/>
          <w:sz w:val="18"/>
          <w:szCs w:val="18"/>
          <w:b w:val="1"/>
          <w:bCs w:val="1"/>
          <w:color w:val="auto"/>
        </w:rPr>
        <w:t xml:space="preserve">CHICAGO, Jan. 24, 2013 </w:t>
      </w:r>
      <w:r>
        <w:rPr>
          <w:rFonts w:ascii="Arial" w:cs="Arial" w:eastAsia="Arial" w:hAnsi="Arial"/>
          <w:sz w:val="18"/>
          <w:szCs w:val="18"/>
          <w:color w:val="auto"/>
        </w:rPr>
        <w:t>– United Continental Holdings, Inc. (NYSE: UAL) today reported full-year 2012 net income of $589 million, or $1.59 per</w:t>
      </w:r>
      <w:r>
        <w:rPr>
          <w:rFonts w:ascii="Arial" w:cs="Arial" w:eastAsia="Arial" w:hAnsi="Arial"/>
          <w:sz w:val="18"/>
          <w:szCs w:val="18"/>
          <w:b w:val="1"/>
          <w:bCs w:val="1"/>
          <w:color w:val="auto"/>
        </w:rPr>
        <w:t xml:space="preserve"> </w:t>
      </w:r>
      <w:r>
        <w:rPr>
          <w:rFonts w:ascii="Arial" w:cs="Arial" w:eastAsia="Arial" w:hAnsi="Arial"/>
          <w:sz w:val="18"/>
          <w:szCs w:val="18"/>
          <w:color w:val="auto"/>
        </w:rPr>
        <w:t>diluted share, excluding $1.3 billion of special charges. Including special charges, UAL reported a full-year 2012 net loss of $723 million, or $2.18 per share. UAL reported a fourth-quarter 2012 net loss of $190 million, or $0.58 per share, excluding $430 million of special charges. Including special charges, UAL reported a fourth-quarter 2012 net loss of $620 million, or $1.87 per share.</w:t>
      </w:r>
    </w:p>
    <w:p>
      <w:pPr>
        <w:spacing w:after="0" w:line="61" w:lineRule="exact"/>
        <w:rPr>
          <w:sz w:val="20"/>
          <w:szCs w:val="20"/>
          <w:color w:val="auto"/>
        </w:rPr>
      </w:pPr>
    </w:p>
    <w:p>
      <w:pPr>
        <w:ind w:left="900" w:right="28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UAL full-year 2012 consolidated passenger revenue increased 0.2 percent year-over-year. Consolidated passenger revenue per available seat mile (PRASM) increased 1.7 percent in 2012 compared to 2011.</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Superstorm Sandy reduced fourth-quarter revenue by approximately $140 million and profit by approximately $85 million.</w:t>
      </w:r>
    </w:p>
    <w:p>
      <w:pPr>
        <w:spacing w:after="0" w:line="90" w:lineRule="exact"/>
        <w:rPr>
          <w:rFonts w:ascii="Arial" w:cs="Arial" w:eastAsia="Arial" w:hAnsi="Arial"/>
          <w:sz w:val="18"/>
          <w:szCs w:val="18"/>
          <w:color w:val="auto"/>
        </w:rPr>
      </w:pPr>
    </w:p>
    <w:p>
      <w:pPr>
        <w:jc w:val="both"/>
        <w:ind w:left="900" w:right="12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Full-year 2012 consolidated unit costs (CASM), holding fuel rate and profit sharing constant and excluding special charges and third-party business expense, increased 2.5 percent year-over-year on a consolidated capacity reduction of 1.5 percent. Full-year 2012 consolidated CASM increased 6.7 percent year-over-year.</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UAL ended 2012 with $7.0 billion in unrestricted liquidity.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Co-workers earned $119 million in profit sharing for full-year 2012, which will be distributed on Feb. 14, 2013.</w:t>
      </w:r>
    </w:p>
    <w:p>
      <w:pPr>
        <w:spacing w:after="0" w:line="171"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“I want to thank my co-workers for working together in 2012 as we completed the most difficult aspects of our merger integration,” said Jeff Smisek, UAL’s chairman, president and chief executive officer. “With much of our integration behind us, our significantly improved operational performance and our increasing customer satisfaction, we can now go forward as one company. This year we will continue on our path to becoming the world’s leading airline.”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98425</wp:posOffset>
            </wp:positionV>
            <wp:extent cx="1895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95475"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UAL ANNOUNCES FULL-YEAR AND FOURTH-QUARTER 2012 RESULTS / PAGE 2</w:t>
      </w:r>
    </w:p>
    <w:p>
      <w:pPr>
        <w:spacing w:after="0" w:line="152"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Fourth-Quarter Revenue and Capacity</w:t>
      </w:r>
    </w:p>
    <w:p>
      <w:pPr>
        <w:spacing w:after="0" w:line="17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For the fourth quarter of 2012, total revenue was $8.7 billion, a decrease of 2.5 percent year-over-year. Fourth-quarter consolidated passenger revenue decreased 3.6 percent to $7.5 billion, compared to the same period in 2011.</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Consolidated revenue passenger miles (RPMs) decreased 3.2 percent on a consolidated capacity (available seat miles) decrease of 4.2 percent year-over-year for the fourth quarter, resulting in a fourth-quarter consolidated load factor of 82.3 percent.</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Fourth-quarter 2012 consolidated PRASM increased 0.6 percent compared to the same period in 2011. Consolidated yield for the fourth quarter of 2012 decreased 0.4 percent year-over-year.</w:t>
      </w:r>
    </w:p>
    <w:p>
      <w:pPr>
        <w:spacing w:after="0" w:line="132"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Mainline RPMs in the fourth quarter of 2012 decreased 3.7 percent on a mainline capacity decrease of 4.3 percent year-over-year, resulting in a fourth-quarter mainline load factor of 82.5 percent. Mainline yield for the fourth quarter of 2012 decreased 0.9 percent compared to the same period in 2011. Fourth-quarter 2012 mainline PRASM decreased 0.3 percent year-over-year.</w:t>
      </w:r>
    </w:p>
    <w:p>
      <w:pPr>
        <w:spacing w:after="0" w:line="14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“While we didn’t meet our revenue goals in 2012, we have addressed the integration issues that drove our underperformance,” said Jim Compton, UAL’s vice chairman and chief revenue officer. “We’re now positioned to capitalize on market opportunities across our network, and to earn back our share of revenue, based on solid operations and great customer service.”</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Passenger revenue for the fourth quarter of 2012 and period-to-period comparisons of related statistics for UAL’s mainline and regional operations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40" w:type="dxa"/>
            <w:vAlign w:val="bottom"/>
            <w:gridSpan w:val="2"/>
          </w:tcPr>
          <w:p>
            <w:pPr>
              <w:jc w:val="center"/>
              <w:ind w:right="500"/>
              <w:spacing w:after="0"/>
              <w:rPr>
                <w:sz w:val="20"/>
                <w:szCs w:val="20"/>
                <w:color w:val="auto"/>
              </w:rPr>
            </w:pPr>
            <w:r>
              <w:rPr>
                <w:rFonts w:ascii="Arial" w:cs="Arial" w:eastAsia="Arial" w:hAnsi="Arial"/>
                <w:sz w:val="14"/>
                <w:szCs w:val="14"/>
                <w:color w:val="auto"/>
                <w:w w:val="85"/>
              </w:rPr>
              <w:t>4Q 2012</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0"/>
              </w:rPr>
              <w:t>Passenger</w:t>
            </w:r>
          </w:p>
        </w:tc>
        <w:tc>
          <w:tcPr>
            <w:tcW w:w="132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0"/>
              </w:rPr>
              <w:t>Passenger</w:t>
            </w: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8"/>
              </w:rPr>
              <w:t>Seat Miles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2"/>
              </w:rPr>
              <w:t>Revenue</w:t>
            </w:r>
          </w:p>
        </w:tc>
        <w:tc>
          <w:tcPr>
            <w:tcW w:w="132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4"/>
              </w:rPr>
              <w:t>Revenue vs.</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9"/>
              </w:rPr>
              <w:t>PRASM vs.</w:t>
            </w:r>
          </w:p>
        </w:tc>
        <w:tc>
          <w:tcPr>
            <w:tcW w:w="1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Yield vs.</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77"/>
              </w:rPr>
              <w:t>vs.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6"/>
              </w:rPr>
              <w:t>(millions)</w:t>
            </w:r>
          </w:p>
        </w:tc>
        <w:tc>
          <w:tcPr>
            <w:tcW w:w="5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5"/>
              </w:rPr>
              <w:t>4Q 2011</w:t>
            </w:r>
          </w:p>
        </w:tc>
        <w:tc>
          <w:tcPr>
            <w:tcW w:w="6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5"/>
              </w:rPr>
              <w:t>4Q 2011</w:t>
            </w:r>
          </w:p>
        </w:tc>
        <w:tc>
          <w:tcPr>
            <w:tcW w:w="64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w w:val="85"/>
              </w:rPr>
              <w:t>4Q 2011</w:t>
            </w:r>
          </w:p>
        </w:tc>
        <w:tc>
          <w:tcPr>
            <w:tcW w:w="64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5"/>
              </w:rPr>
              <w:t>4Q 2011</w:t>
            </w:r>
          </w:p>
        </w:tc>
        <w:tc>
          <w:tcPr>
            <w:tcW w:w="2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Domestic</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$ 2,953</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(6.2%)</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Atlantic</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1,214</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(7.5%)</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(0.3%)</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(0.3%)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Pacific</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1,156</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5.9%</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Latin America</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590</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(5.4%)</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(4.2%)</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(6.5%)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International</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2,960</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b w:val="1"/>
                <w:bCs w:val="1"/>
                <w:color w:val="auto"/>
              </w:rPr>
              <w:t>Mainline</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5,913</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(4.6%)</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(0.3%)</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(0.9%)</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Regional</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1,620</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2"/>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Consolidated</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$ 7,533</w:t>
            </w:r>
          </w:p>
        </w:tc>
        <w:tc>
          <w:tcPr>
            <w:tcW w:w="500" w:type="dxa"/>
            <w:vAlign w:val="bottom"/>
          </w:tcPr>
          <w:p>
            <w:pPr>
              <w:spacing w:after="0"/>
              <w:rPr>
                <w:sz w:val="19"/>
                <w:szCs w:val="19"/>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(3.6%)</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0.6%</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(0.4%)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Year-over-year cargo and other revenue in the fourth quarter of 2012 increased 5.0 percent, or $56 million, to $1.2 billion.</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UAL ANNOUNCES FULL-YEAR AND FOURTH-QUARTER 2012 RESULTS / PAGE 3</w:t>
      </w:r>
    </w:p>
    <w:p>
      <w:pPr>
        <w:spacing w:after="0" w:line="152"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Fourth-Quarter Costs</w:t>
      </w:r>
    </w:p>
    <w:p>
      <w:pPr>
        <w:spacing w:after="0" w:line="17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Total operating expenses, excluding special charges, increased $94 million, or 1.1 percent, in the fourth quarter versus the same period in 2011. Including special charges, fourth-quarter total operating expenses increased $284 million, or 3.2 percent, year-over-year. Third-party business expense was $118 million in the fourth quarter.</w:t>
      </w:r>
    </w:p>
    <w:p>
      <w:pPr>
        <w:spacing w:after="0" w:line="14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Consolidated and mainline CASM, excluding special charges and third-party business expense, increased 4.8 percent and 5.0 percent, respectively, in the fourth quarter of 2012 compared to the same period of 2011. Fourth-quarter consolidated and mainline CASM, including special charges, increased 7.7 and 8.5 percent year-over-year, respectively.</w:t>
      </w:r>
    </w:p>
    <w:p>
      <w:pPr>
        <w:spacing w:after="0" w:line="14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In the fourth quarter, consolidated and mainline CASM, excluding special charges and third-party business expense and holding fuel rate and profit sharing constant, increased 4.8 percent and 4.7 percent, respectively, compared to the results for the same period of 2011.</w:t>
      </w:r>
    </w:p>
    <w:p>
      <w:pPr>
        <w:spacing w:after="0" w:line="13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“While we reported a full-year profit in 2012, these results clearly fell short of our expectations and the return goals we have set,” said John Rainey, UAL’s executive vice president and chief financial officer. “2013 will be an important year for us as we take the necessary steps to create economic value and achieve a sufficient level of profitability.”</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Cash Flow and Return on Invested Capital</w:t>
      </w:r>
    </w:p>
    <w:p>
      <w:pPr>
        <w:spacing w:after="0" w:line="17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UAL ended the year with $7.0 billion in unrestricted liquidity, including $500 million of undrawn commitments under a revolving credit facility. During the fourth quarter, the company generated $31 million of operating cash flow and had gross capital expenditures and purchase deposits of $1.0 billion, which included the delivery of 11 aircraft. The company made debt and capital lease principal payments of $270 million in the fourth quarter. For the full year, the company made debt and capital lease principal payments of $1.5 billion, including prepayments. The company’s return on invested capital for the year ended Dec. 31, 2012, was 8.0 percent, below the company’s goal of a 10 percent return over the business cycle.</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2012 Events</w:t>
      </w:r>
    </w:p>
    <w:p>
      <w:pPr>
        <w:spacing w:after="0" w:line="218" w:lineRule="exact"/>
        <w:rPr>
          <w:sz w:val="20"/>
          <w:szCs w:val="20"/>
          <w:color w:val="auto"/>
        </w:rPr>
      </w:pPr>
    </w:p>
    <w:p>
      <w:pPr>
        <w:ind w:left="440" w:hanging="324"/>
        <w:spacing w:after="0" w:line="335" w:lineRule="auto"/>
        <w:tabs>
          <w:tab w:leader="none" w:pos="440" w:val="left"/>
        </w:tabs>
        <w:numPr>
          <w:ilvl w:val="0"/>
          <w:numId w:val="3"/>
        </w:numPr>
        <w:rPr>
          <w:rFonts w:ascii="Arial" w:cs="Arial" w:eastAsia="Arial" w:hAnsi="Arial"/>
          <w:sz w:val="15"/>
          <w:szCs w:val="15"/>
          <w:color w:val="auto"/>
        </w:rPr>
      </w:pPr>
      <w:r>
        <w:rPr>
          <w:rFonts w:ascii="Arial" w:cs="Arial" w:eastAsia="Arial" w:hAnsi="Arial"/>
          <w:sz w:val="15"/>
          <w:szCs w:val="15"/>
          <w:color w:val="auto"/>
        </w:rPr>
        <w:t>For the fourth quarter, United recorded a U.S. Department of Transportation domestic on-time arrival rate of 80.1 percent, exceeding its goal for the quarter. For the full year, United recorded a domestic on-time arrival rate of 77.3 percent and a system completion factor of 98.6 percent. For international flights, United recorded an on-time arrival rate of 73.7 percent. The on-time arrival rates are based on flights arriving within 14 minutes of scheduled arrival time.</w:t>
      </w:r>
    </w:p>
    <w:p>
      <w:pPr>
        <w:spacing w:after="0" w:line="7" w:lineRule="exact"/>
        <w:rPr>
          <w:rFonts w:ascii="Arial" w:cs="Arial" w:eastAsia="Arial" w:hAnsi="Arial"/>
          <w:sz w:val="15"/>
          <w:szCs w:val="15"/>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United co-workers earned cash incentive payments for on-time performance totaling $26 million during 2012.</w:t>
      </w:r>
    </w:p>
    <w:p>
      <w:pPr>
        <w:spacing w:after="0" w:line="90" w:lineRule="exact"/>
        <w:rPr>
          <w:rFonts w:ascii="Arial" w:cs="Arial" w:eastAsia="Arial" w:hAnsi="Arial"/>
          <w:sz w:val="18"/>
          <w:szCs w:val="18"/>
          <w:color w:val="auto"/>
        </w:rPr>
      </w:pPr>
    </w:p>
    <w:p>
      <w:pPr>
        <w:ind w:left="440" w:right="420" w:hanging="324"/>
        <w:spacing w:after="0" w:line="26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Pilots ratified a new joint labor agreement for all United Airlines pilots, and flight attendants from the company’s United, Continental and Continental Micronesia (CMI)</w:t>
      </w:r>
    </w:p>
    <w:p>
      <w:pPr>
        <w:sectPr>
          <w:pgSz w:w="11900" w:h="16838" w:orient="portrait"/>
          <w:cols w:equalWidth="0" w:num="1">
            <w:col w:w="11400"/>
          </w:cols>
          <w:pgMar w:left="240" w:top="2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UAL ANNOUNCES FULL-YEAR AND FOURTH-QUARTER 2012 RESULTS / PAGE 4</w:t>
      </w:r>
    </w:p>
    <w:p>
      <w:pPr>
        <w:spacing w:after="0" w:line="158" w:lineRule="exact"/>
        <w:rPr>
          <w:sz w:val="20"/>
          <w:szCs w:val="20"/>
          <w:color w:val="auto"/>
        </w:rPr>
      </w:pPr>
    </w:p>
    <w:p>
      <w:pPr>
        <w:ind w:left="460" w:right="440"/>
        <w:spacing w:after="0" w:line="332" w:lineRule="auto"/>
        <w:rPr>
          <w:sz w:val="20"/>
          <w:szCs w:val="20"/>
          <w:color w:val="auto"/>
        </w:rPr>
      </w:pPr>
      <w:r>
        <w:rPr>
          <w:rFonts w:ascii="Arial" w:cs="Arial" w:eastAsia="Arial" w:hAnsi="Arial"/>
          <w:sz w:val="16"/>
          <w:szCs w:val="16"/>
          <w:color w:val="auto"/>
        </w:rPr>
        <w:t>subsidiaries ratified new labor agreements. United also reached an agreement with technicians from the CMI subsidiary. The company began the joint collective bargaining process with its flight attendants, technicians, dispatchers and airport and reservation agents.</w:t>
      </w:r>
    </w:p>
    <w:p>
      <w:pPr>
        <w:spacing w:after="0" w:line="4" w:lineRule="exact"/>
        <w:rPr>
          <w:sz w:val="20"/>
          <w:szCs w:val="20"/>
          <w:color w:val="auto"/>
        </w:rPr>
      </w:pPr>
    </w:p>
    <w:p>
      <w:pPr>
        <w:ind w:left="440" w:hanging="324"/>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United introduced its Outperform Recognition Program, awarding cash prizes each quarter to employees for excellence in customer service.</w:t>
      </w:r>
    </w:p>
    <w:p>
      <w:pPr>
        <w:spacing w:after="0" w:line="113" w:lineRule="exact"/>
        <w:rPr>
          <w:rFonts w:ascii="Arial" w:cs="Arial" w:eastAsia="Arial" w:hAnsi="Arial"/>
          <w:sz w:val="16"/>
          <w:szCs w:val="16"/>
          <w:color w:val="auto"/>
        </w:rPr>
      </w:pPr>
    </w:p>
    <w:p>
      <w:pPr>
        <w:ind w:left="440" w:right="400" w:hanging="324"/>
        <w:spacing w:after="0" w:line="259"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took delivery of six Boeing 787-8 Dreamliners in 2012 and launched its first commercial 787 flight in early November. United also took delivery of 19 Boeing 737-900ERs, and removed from service 19 Boeing 737-500s, one Boeing 757-200 and three Boeing 767-200s. In addition, the company sold or returned to lessors 37 aircraft that had been parked in long-term storage.</w:t>
      </w:r>
    </w:p>
    <w:p>
      <w:pPr>
        <w:spacing w:after="0" w:line="59" w:lineRule="exact"/>
        <w:rPr>
          <w:rFonts w:ascii="Arial" w:cs="Arial" w:eastAsia="Arial" w:hAnsi="Arial"/>
          <w:sz w:val="18"/>
          <w:szCs w:val="18"/>
          <w:color w:val="auto"/>
        </w:rPr>
      </w:pPr>
    </w:p>
    <w:p>
      <w:pPr>
        <w:ind w:left="440" w:right="60" w:hanging="324"/>
        <w:spacing w:after="0" w:line="259"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United announced an order to purchase 100 Boeing 737 MAX 9 aircraft and 50 Boeing 737-900ER aircraft for delivery beginning in 2013. These new aircraft will allow United to replace older, less-efficient aircraft to reduce fuel and operating costs, enhance the customer experience and maximize network opportunities.</w:t>
      </w:r>
    </w:p>
    <w:p>
      <w:pPr>
        <w:spacing w:after="0" w:line="59"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UAL raised $2.2 billion of debt financing through multiple issuances of enhanced equipment trust certificates at an average interest rate of approximately</w:t>
      </w:r>
    </w:p>
    <w:p>
      <w:pPr>
        <w:spacing w:after="0" w:line="38" w:lineRule="exact"/>
        <w:rPr>
          <w:rFonts w:ascii="Arial" w:cs="Arial" w:eastAsia="Arial" w:hAnsi="Arial"/>
          <w:sz w:val="16"/>
          <w:szCs w:val="16"/>
          <w:color w:val="auto"/>
        </w:rPr>
      </w:pPr>
    </w:p>
    <w:p>
      <w:pPr>
        <w:ind w:left="440"/>
        <w:spacing w:after="0" w:line="323" w:lineRule="auto"/>
        <w:rPr>
          <w:rFonts w:ascii="Arial" w:cs="Arial" w:eastAsia="Arial" w:hAnsi="Arial"/>
          <w:sz w:val="16"/>
          <w:szCs w:val="16"/>
          <w:color w:val="auto"/>
        </w:rPr>
      </w:pPr>
      <w:r>
        <w:rPr>
          <w:rFonts w:ascii="Arial" w:cs="Arial" w:eastAsia="Arial" w:hAnsi="Arial"/>
          <w:sz w:val="16"/>
          <w:szCs w:val="16"/>
          <w:color w:val="auto"/>
        </w:rPr>
        <w:t>4.5 percent, with each issuance setting new average interest rate lows for this type of security. The debt proceeds are being used to finance the acquisition of seven new Boeing 787-8 and 32 new Boeing 737-900ER aircraft and to refinance the debt relating to three Boeing 737-900ER aircraft delivered in 2009.</w:t>
      </w:r>
    </w:p>
    <w:p>
      <w:pPr>
        <w:spacing w:after="0" w:line="11" w:lineRule="exact"/>
        <w:rPr>
          <w:rFonts w:ascii="Arial" w:cs="Arial" w:eastAsia="Arial" w:hAnsi="Arial"/>
          <w:sz w:val="16"/>
          <w:szCs w:val="16"/>
          <w:color w:val="auto"/>
        </w:rPr>
      </w:pPr>
    </w:p>
    <w:p>
      <w:pPr>
        <w:ind w:left="440" w:right="160" w:hanging="324"/>
        <w:spacing w:after="0" w:line="291" w:lineRule="auto"/>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expanded its industry-leading global route network, launching nonstop flights to numerous international destinations including Istanbul; Manchester, England; Dublin; Buenos Aires, Argentina; Monterrey, Mexico; San Salvador, El Salvador; Kelowna, British Columbia, Canada; and Doha, Qatar, via Dubai, United Arab Emirates. United also announced new nonstop international flights beginning in 2013 to Taipei, Taiwan; Shannon, Ireland; Paris; Edmonton, Alberta, Fort McMurray, Alberta, and Thunder Bay, Ontario, Canada; and Denver’s first service to Asia with non-stop service to Tokyo. The company started 18 new domestic routes in 2012, including the company’s first service to Fairbanks, Alaska; Grand Forks, N.D.; Williston, N.D; and Sarasota, Fla. United also announced eight new domestic markets for 2013 including the company’s first service to Fayetteville, N.C. and Santa Fe, N.M.</w:t>
      </w:r>
    </w:p>
    <w:p>
      <w:pPr>
        <w:spacing w:after="0" w:line="39" w:lineRule="exact"/>
        <w:rPr>
          <w:rFonts w:ascii="Arial" w:cs="Arial" w:eastAsia="Arial" w:hAnsi="Arial"/>
          <w:sz w:val="16"/>
          <w:szCs w:val="16"/>
          <w:color w:val="auto"/>
        </w:rPr>
      </w:pPr>
    </w:p>
    <w:p>
      <w:pPr>
        <w:ind w:left="440" w:right="320" w:hanging="324"/>
        <w:spacing w:after="0" w:line="268"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United opened its new Network Operations Center in downtown Chicago with leading technology and tools for employees who manage the 24/7 global operation.</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UAL ANNOUNCES FULL-YEAR AND FOURTH-QUARTER 2012 RESULTS / PAGE 5</w:t>
      </w:r>
    </w:p>
    <w:p>
      <w:pPr>
        <w:spacing w:after="0" w:line="158" w:lineRule="exact"/>
        <w:rPr>
          <w:sz w:val="20"/>
          <w:szCs w:val="20"/>
          <w:color w:val="auto"/>
        </w:rPr>
      </w:pPr>
    </w:p>
    <w:p>
      <w:pPr>
        <w:ind w:left="440" w:right="120" w:hanging="324"/>
        <w:spacing w:after="0" w:line="268"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United converted to a single passenger service system, launched a single website, united.com, and a single loyalty program, MileagePlus, and made policy and procedure changes to become a single airline for its customers.</w:t>
      </w:r>
    </w:p>
    <w:p>
      <w:pPr>
        <w:spacing w:after="0" w:line="50" w:lineRule="exact"/>
        <w:rPr>
          <w:rFonts w:ascii="Arial" w:cs="Arial" w:eastAsia="Arial" w:hAnsi="Arial"/>
          <w:sz w:val="18"/>
          <w:szCs w:val="18"/>
          <w:color w:val="auto"/>
        </w:rPr>
      </w:pPr>
    </w:p>
    <w:p>
      <w:pPr>
        <w:ind w:left="440" w:right="120" w:hanging="324"/>
        <w:spacing w:after="0" w:line="268"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continued to install flat-bed seats in premium cabins on its international fleet and now has the new seats on 176 aircraft, more than any other U.S. carrier.</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United continued to install Economy Plus seating, and it is now on 91 percent of the mainline fleet.</w:t>
      </w:r>
    </w:p>
    <w:p>
      <w:pPr>
        <w:spacing w:after="0" w:line="90" w:lineRule="exact"/>
        <w:rPr>
          <w:rFonts w:ascii="Arial" w:cs="Arial" w:eastAsia="Arial" w:hAnsi="Arial"/>
          <w:sz w:val="18"/>
          <w:szCs w:val="18"/>
          <w:color w:val="auto"/>
        </w:rPr>
      </w:pPr>
    </w:p>
    <w:p>
      <w:pPr>
        <w:ind w:left="440" w:right="120" w:hanging="324"/>
        <w:spacing w:after="0" w:line="268"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began installing global satellite-based Wi-Fi on its mainline fleet and expects to have more than 300 aircraft equipped with Wi-Fi by the end of 2013.</w:t>
      </w:r>
    </w:p>
    <w:p>
      <w:pPr>
        <w:spacing w:after="0" w:line="5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United and Chase launched the premium MileagePlus Club co-brand card, building on the strong performance of the MileagePlus Explorer card launched in 2011.</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United</w:t>
      </w:r>
    </w:p>
    <w:p>
      <w:pPr>
        <w:spacing w:after="0" w:line="1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United Airlines and United Express operate an average of 5,472 flights a day to 381 airports across six continents. In 2012, United and United Express carried more passenger traffic than any other airline in the world and operated nearly two million flights carrying 140 million customers. United is investing in upgrading its onboard products and now offers more flat-bed seats in its premium cabins and more extra-legroom economy-class seating than any airline in North America. In 2013, United became the first U.S.-based international carrier to offer satellite-based Wi-Fi on long-haul overseas routes. The airline also features DIRECTV</w:t>
      </w:r>
      <w:r>
        <w:rPr>
          <w:rFonts w:ascii="Arial" w:cs="Arial" w:eastAsia="Arial" w:hAnsi="Arial"/>
          <w:sz w:val="10"/>
          <w:szCs w:val="10"/>
          <w:color w:val="auto"/>
        </w:rPr>
        <w:t>®</w:t>
      </w:r>
      <w:r>
        <w:rPr>
          <w:rFonts w:ascii="Arial" w:cs="Arial" w:eastAsia="Arial" w:hAnsi="Arial"/>
          <w:sz w:val="16"/>
          <w:szCs w:val="16"/>
          <w:color w:val="auto"/>
        </w:rPr>
        <w:t xml:space="preserve"> on nearly 200 aircraft, offering customers more live television access than any other airline in the world. United operates more than 700 mainline aircraft and has made large-scale investments in its fleet. In 2013, United will continue to modernize its fleet by taking delivery of more than two dozen new Boeing aircraft. The company expanded its industry-leading global route network in 2012, launching nine new international and 18 new domestic routes. Readers of </w:t>
      </w:r>
      <w:r>
        <w:rPr>
          <w:rFonts w:ascii="Arial" w:cs="Arial" w:eastAsia="Arial" w:hAnsi="Arial"/>
          <w:sz w:val="16"/>
          <w:szCs w:val="16"/>
          <w:i w:val="1"/>
          <w:iCs w:val="1"/>
          <w:color w:val="auto"/>
        </w:rPr>
        <w:t>Global Traveler</w:t>
      </w:r>
      <w:r>
        <w:rPr>
          <w:rFonts w:ascii="Arial" w:cs="Arial" w:eastAsia="Arial" w:hAnsi="Arial"/>
          <w:sz w:val="16"/>
          <w:szCs w:val="16"/>
          <w:color w:val="auto"/>
        </w:rPr>
        <w:t xml:space="preserve"> magazine have voted United’s MileagePlus program the best frequent flyer program for nine consecutive years. United is a founding member of Star Alliance, which provides service to 194 countries via 27 member airlines. More than 85,000 United employees reside in every U.S. state and in countries around the world. For more information, visit </w:t>
      </w:r>
      <w:r>
        <w:rPr>
          <w:rFonts w:ascii="Arial" w:cs="Arial" w:eastAsia="Arial" w:hAnsi="Arial"/>
          <w:sz w:val="16"/>
          <w:szCs w:val="16"/>
          <w:u w:val="single" w:color="auto"/>
          <w:color w:val="auto"/>
        </w:rPr>
        <w:t>united.com</w:t>
      </w:r>
      <w:r>
        <w:rPr>
          <w:rFonts w:ascii="Arial" w:cs="Arial" w:eastAsia="Arial" w:hAnsi="Arial"/>
          <w:sz w:val="16"/>
          <w:szCs w:val="16"/>
          <w:color w:val="auto"/>
        </w:rPr>
        <w:t xml:space="preserve"> or follow United on </w:t>
      </w:r>
      <w:r>
        <w:rPr>
          <w:rFonts w:ascii="Arial" w:cs="Arial" w:eastAsia="Arial" w:hAnsi="Arial"/>
          <w:sz w:val="16"/>
          <w:szCs w:val="16"/>
          <w:u w:val="single" w:color="auto"/>
          <w:color w:val="auto"/>
        </w:rPr>
        <w:t>Twitter</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Facebook</w:t>
      </w:r>
      <w:r>
        <w:rPr>
          <w:rFonts w:ascii="Arial" w:cs="Arial" w:eastAsia="Arial" w:hAnsi="Arial"/>
          <w:sz w:val="16"/>
          <w:szCs w:val="16"/>
          <w:color w:val="auto"/>
        </w:rPr>
        <w:t>. The common stock of United’s parent, United Continental Holdings, Inc., is traded on the NYSE under the symbol UAL.</w:t>
      </w:r>
    </w:p>
    <w:p>
      <w:pPr>
        <w:spacing w:after="0" w:line="121" w:lineRule="exact"/>
        <w:rPr>
          <w:sz w:val="20"/>
          <w:szCs w:val="20"/>
          <w:color w:val="auto"/>
        </w:rPr>
      </w:pPr>
    </w:p>
    <w:p>
      <w:pPr>
        <w:ind w:right="80" w:firstLine="456"/>
        <w:spacing w:after="0" w:line="301" w:lineRule="auto"/>
        <w:rPr>
          <w:sz w:val="20"/>
          <w:szCs w:val="20"/>
          <w:color w:val="auto"/>
        </w:rPr>
      </w:pPr>
      <w:r>
        <w:rPr>
          <w:rFonts w:ascii="Arial" w:cs="Arial" w:eastAsia="Arial" w:hAnsi="Arial"/>
          <w:sz w:val="16"/>
          <w:szCs w:val="16"/>
          <w:b w:val="1"/>
          <w:bCs w:val="1"/>
          <w:color w:val="auto"/>
        </w:rPr>
        <w:t>Safe Harbor Statement under the Private Securities Litigation Reform Act of 1995</w:t>
      </w:r>
      <w:r>
        <w:rPr>
          <w:rFonts w:ascii="Arial" w:cs="Arial" w:eastAsia="Arial" w:hAnsi="Arial"/>
          <w:sz w:val="16"/>
          <w:szCs w:val="16"/>
          <w:color w:val="auto"/>
        </w:rPr>
        <w:t>: Certain statements included in this release are forward-looking</w:t>
      </w:r>
      <w:r>
        <w:rPr>
          <w:rFonts w:ascii="Arial" w:cs="Arial" w:eastAsia="Arial" w:hAnsi="Arial"/>
          <w:sz w:val="16"/>
          <w:szCs w:val="16"/>
          <w:b w:val="1"/>
          <w:bCs w:val="1"/>
          <w:color w:val="auto"/>
        </w:rPr>
        <w:t xml:space="preserve"> </w:t>
      </w:r>
      <w:r>
        <w:rPr>
          <w:rFonts w:ascii="Arial" w:cs="Arial" w:eastAsia="Arial" w:hAnsi="Arial"/>
          <w:sz w:val="16"/>
          <w:szCs w:val="16"/>
          <w:color w:val="auto"/>
        </w:rPr>
        <w:t>and thus reflect our current expectations and beliefs with respect to certain current and future events and financial performance. Such forward-looking statements are and will be subject to many risks and uncertainties relating to our operations and business environment that may cause actual results to differ materially from any future results expressed or implied in such forward-looking statements. Words such as</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UAL ANNOUNCES FULL-YEAR AND FOURTH-QUARTER 2012 RESULTS / PAGE 6</w:t>
      </w:r>
    </w:p>
    <w:p>
      <w:pPr>
        <w:spacing w:after="0" w:line="15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“expects,” “will,” “plans,” “anticipates,” “indicates,” “believes,” “forecast,” “guidance,” “outlook” and similar expressions are intended to identify forward-looking statements. Additionally, forward-looking statements include statements which do not relate solely to historical facts, such as statements which identify uncertainties or trends, discuss the possible future effects of current known trends or uncertainties, or which indicate that the future effects of known trends or uncertainties cannot be predicted, guaranteed or assured. All forward-looking statements in this release are based upon information available to us on the date of this release. We undertake no obligation to publicly update or revise any forward-looking statement, whether as a result of new information, future events, changed circumstances or otherwise, except as required by applicable law. Our actual results could differ materially from these forward-looking statements due to numerous factors including, without limitation, the following: our ability to comply with the terms of our various financing arrangements; the costs and availability of financing; our ability to maintain adequate liquidity; our ability to execute our operational plans; our ability to control our costs, including realizing benefits from our resource optimization efforts, cost reduction initiatives and fleet replacement programs; our ability to utilize our net operating losses; our ability to attract and retain customers; demand for transportation in the markets in which we operate; an outbreak of a disease that affects travel demand or travel behavior; demand for travel and the impact that global economic conditions have on customer travel patterns; excessive taxation and the inability to offset future taxable income; general economic conditions (including interest rates, foreign currency exchange rates, investment or credit market conditions, crude oil prices, costs of aviation fuel and energy refining capacity in relevant markets); our ability to cost-effectively hedge against increases in the price of aviation fuel; any potential realized or unrealized gains or losses related to fuel or currency hedging programs; the effects of any hostilities, act of war or terrorist attack; the ability of other air carriers with whom we have alliances or partnerships to provide the services contemplated by the respective arrangements with such carriers; the costs and availability of aviation and other insurance; the costs associated with security measures and practices; industry consolidation or changes in airline alliances; competitive pressures on pricing and on demand; our capacity decisions and the capacity decisions of our competitors; U.S. or foreign governmental legislation, regulation and other actions (including open skies agreements and environmental regulations); labor costs; our ability to maintain satisfactory labor relations and the results of the collective bargaining agreement process with our union groups; any disruptions to operations due to any potential actions by our labor groups; weather conditions; the possibility that expected merger synergies will not be realized or will not be realized within the expected time period; and other risks and uncertainties set forth under Item 1A., Risk Factors of our Annual Report on Form 10-K, as well as other risks and uncertainties set forth from time to time in the reports we file with the SEC. Consequently, forward-looking statements should not be regarded as representations or warranties by us that such matters will be realized.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-tables attached-</w:t>
      </w:r>
    </w:p>
    <w:p>
      <w:pPr>
        <w:sectPr>
          <w:pgSz w:w="11900" w:h="16838" w:orient="portrait"/>
          <w:cols w:equalWidth="0" w:num="1">
            <w:col w:w="11400"/>
          </w:cols>
          <w:pgMar w:left="240" w:top="280"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UAL ANNOUNCES FULL-YEAR AND FOURTH-QUARTER 2012 RESULTS / PAGE 7</w:t>
      </w:r>
    </w:p>
    <w:p>
      <w:pPr>
        <w:spacing w:after="0" w:line="152"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UNITED CONTINENTAL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CONSOLIDATED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AND YEAR ENDED DECEMBER 31, 2012 AND 2011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gridSpan w:val="7"/>
          </w:tcPr>
          <w:p>
            <w:pPr>
              <w:jc w:val="right"/>
              <w:ind w:right="380"/>
              <w:spacing w:after="0"/>
              <w:rPr>
                <w:sz w:val="20"/>
                <w:szCs w:val="20"/>
                <w:color w:val="auto"/>
              </w:rPr>
            </w:pPr>
            <w:r>
              <w:rPr>
                <w:rFonts w:ascii="Arial" w:cs="Arial" w:eastAsia="Arial" w:hAnsi="Arial"/>
                <w:sz w:val="14"/>
                <w:szCs w:val="14"/>
                <w:color w:val="auto"/>
                <w:w w:val="91"/>
              </w:rPr>
              <w:t>Three Months Ended</w:t>
            </w:r>
          </w:p>
        </w:tc>
        <w:tc>
          <w:tcPr>
            <w:tcW w:w="580" w:type="dxa"/>
            <w:vAlign w:val="bottom"/>
          </w:tcPr>
          <w:p>
            <w:pPr>
              <w:jc w:val="right"/>
              <w:ind w:right="154"/>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720"/>
              <w:spacing w:after="0"/>
              <w:rPr>
                <w:sz w:val="20"/>
                <w:szCs w:val="20"/>
                <w:color w:val="auto"/>
              </w:rPr>
            </w:pPr>
            <w:r>
              <w:rPr>
                <w:rFonts w:ascii="Arial" w:cs="Arial" w:eastAsia="Arial" w:hAnsi="Arial"/>
                <w:sz w:val="14"/>
                <w:szCs w:val="14"/>
                <w:color w:val="auto"/>
              </w:rPr>
              <w:t>Year Ended</w:t>
            </w:r>
          </w:p>
        </w:tc>
        <w:tc>
          <w:tcPr>
            <w:tcW w:w="600" w:type="dxa"/>
            <w:vAlign w:val="bottom"/>
          </w:tcPr>
          <w:p>
            <w:pPr>
              <w:jc w:val="right"/>
              <w:ind w:right="154"/>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6"/>
          </w:tcPr>
          <w:p>
            <w:pPr>
              <w:jc w:val="right"/>
              <w:ind w:right="560"/>
              <w:spacing w:after="0" w:line="159" w:lineRule="exact"/>
              <w:rPr>
                <w:sz w:val="20"/>
                <w:szCs w:val="20"/>
                <w:color w:val="auto"/>
              </w:rPr>
            </w:pPr>
            <w:r>
              <w:rPr>
                <w:rFonts w:ascii="Arial" w:cs="Arial" w:eastAsia="Arial" w:hAnsi="Arial"/>
                <w:sz w:val="14"/>
                <w:szCs w:val="14"/>
                <w:color w:val="auto"/>
              </w:rPr>
              <w:t>December 31,</w:t>
            </w:r>
          </w:p>
        </w:tc>
        <w:tc>
          <w:tcPr>
            <w:tcW w:w="7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90"/>
              </w:rPr>
              <w:t>Increase/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6"/>
          </w:tcPr>
          <w:p>
            <w:pPr>
              <w:jc w:val="right"/>
              <w:ind w:right="640"/>
              <w:spacing w:after="0" w:line="159" w:lineRule="exact"/>
              <w:rPr>
                <w:sz w:val="20"/>
                <w:szCs w:val="20"/>
                <w:color w:val="auto"/>
              </w:rPr>
            </w:pPr>
            <w:r>
              <w:rPr>
                <w:rFonts w:ascii="Arial" w:cs="Arial" w:eastAsia="Arial" w:hAnsi="Arial"/>
                <w:sz w:val="14"/>
                <w:szCs w:val="14"/>
                <w:color w:val="auto"/>
              </w:rPr>
              <w:t>December 31,</w:t>
            </w: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0"/>
              </w:rPr>
              <w:t>Increase/</w:t>
            </w:r>
          </w:p>
        </w:tc>
        <w:tc>
          <w:tcPr>
            <w:tcW w:w="0" w:type="dxa"/>
            <w:vAlign w:val="bottom"/>
          </w:tcPr>
          <w:p>
            <w:pPr>
              <w:spacing w:after="0"/>
              <w:rPr>
                <w:sz w:val="1"/>
                <w:szCs w:val="1"/>
                <w:color w:val="auto"/>
              </w:rPr>
            </w:pPr>
          </w:p>
        </w:tc>
      </w:tr>
      <w:tr>
        <w:trPr>
          <w:trHeight w:val="142"/>
        </w:trPr>
        <w:tc>
          <w:tcPr>
            <w:tcW w:w="5240" w:type="dxa"/>
            <w:vAlign w:val="bottom"/>
            <w:gridSpan w:val="2"/>
          </w:tcPr>
          <w:p>
            <w:pPr>
              <w:spacing w:after="0" w:line="142" w:lineRule="exact"/>
              <w:rPr>
                <w:sz w:val="20"/>
                <w:szCs w:val="20"/>
                <w:color w:val="auto"/>
              </w:rPr>
            </w:pPr>
            <w:r>
              <w:rPr>
                <w:rFonts w:ascii="Arial" w:cs="Arial" w:eastAsia="Arial" w:hAnsi="Arial"/>
                <w:sz w:val="14"/>
                <w:szCs w:val="14"/>
                <w:color w:val="auto"/>
              </w:rPr>
              <w:t>(In millions, except per share data)</w:t>
            </w:r>
          </w:p>
        </w:tc>
        <w:tc>
          <w:tcPr>
            <w:tcW w:w="1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83"/>
              </w:rPr>
              <w:t>2012</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83"/>
              </w:rPr>
              <w:t>2011</w:t>
            </w:r>
          </w:p>
        </w:tc>
        <w:tc>
          <w:tcPr>
            <w:tcW w:w="300" w:type="dxa"/>
            <w:vAlign w:val="bottom"/>
          </w:tcPr>
          <w:p>
            <w:pPr>
              <w:spacing w:after="0"/>
              <w:rPr>
                <w:sz w:val="12"/>
                <w:szCs w:val="12"/>
                <w:color w:val="auto"/>
              </w:rPr>
            </w:pPr>
          </w:p>
        </w:tc>
        <w:tc>
          <w:tcPr>
            <w:tcW w:w="76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w w:val="80"/>
              </w:rPr>
              <w:t>(Decrease)</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w w:val="96"/>
              </w:rPr>
              <w:t>2012</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w w:val="96"/>
              </w:rPr>
              <w:t>2011</w:t>
            </w:r>
          </w:p>
        </w:tc>
        <w:tc>
          <w:tcPr>
            <w:tcW w:w="300" w:type="dxa"/>
            <w:vAlign w:val="bottom"/>
          </w:tcPr>
          <w:p>
            <w:pPr>
              <w:spacing w:after="0"/>
              <w:rPr>
                <w:sz w:val="12"/>
                <w:szCs w:val="12"/>
                <w:color w:val="auto"/>
              </w:rPr>
            </w:pPr>
          </w:p>
        </w:tc>
        <w:tc>
          <w:tcPr>
            <w:tcW w:w="70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w w:val="80"/>
              </w:rPr>
              <w:t>(Decrease)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revenue:</w:t>
            </w: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Passenger: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Mainline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5,913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6,195</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25,804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25,975</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rPr>
              <w:t>Regional</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1,620</w:t>
            </w:r>
          </w:p>
        </w:tc>
        <w:tc>
          <w:tcPr>
            <w:tcW w:w="3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6,779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6,536</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passenger revenue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7,533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7,815</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32,583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32,511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Cargo</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285</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1,167</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Special revenue item (C)</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828</w:t>
            </w:r>
          </w:p>
        </w:tc>
        <w:tc>
          <w:tcPr>
            <w:tcW w:w="3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3,551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3,325</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revenue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8,702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8,928</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37,152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37,110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2"/>
        </w:trPr>
        <w:tc>
          <w:tcPr>
            <w:tcW w:w="5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Aircraft fuel (A)</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3,095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3,105</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13,138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12,375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Salaries and related costs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1,986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1,910</w:t>
            </w: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7,945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7,652</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Regional capacity purchase (B)</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596</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2,403</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Landing fees and other rent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477</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1,929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1,928</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Aircraft maintenance materials and outside repairs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390</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1,522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1,547</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 expenses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333</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1,435</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Aircraft rent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249</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1,009</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Special charges (C)</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249</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592</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Other operating expenses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1,160</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4,681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4,603</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9,167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8,883</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37,113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35,288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line="20" w:lineRule="exact"/>
              <w:rPr>
                <w:sz w:val="1"/>
                <w:szCs w:val="1"/>
                <w:color w:val="auto"/>
              </w:rPr>
            </w:pPr>
          </w:p>
        </w:tc>
      </w:tr>
      <w:tr>
        <w:trPr>
          <w:trHeight w:val="221"/>
        </w:trPr>
        <w:tc>
          <w:tcPr>
            <w:tcW w:w="5240" w:type="dxa"/>
            <w:vAlign w:val="bottom"/>
            <w:gridSpan w:val="2"/>
            <w:vMerge w:val="continue"/>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7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1,822</w:t>
            </w:r>
          </w:p>
        </w:tc>
        <w:tc>
          <w:tcPr>
            <w:tcW w:w="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(218)</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(949)</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capitalized</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580" w:type="dxa"/>
            <w:vAlign w:val="bottom"/>
          </w:tcPr>
          <w:p>
            <w:pPr>
              <w:jc w:val="right"/>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Miscellaneous, net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ind w:left="860"/>
              <w:spacing w:after="0"/>
              <w:rPr>
                <w:sz w:val="20"/>
                <w:szCs w:val="20"/>
                <w:color w:val="auto"/>
              </w:rPr>
            </w:pPr>
            <w:r>
              <w:rPr>
                <w:rFonts w:ascii="Arial" w:cs="Arial" w:eastAsia="Arial" w:hAnsi="Arial"/>
                <w:sz w:val="18"/>
                <w:szCs w:val="18"/>
                <w:color w:val="auto"/>
              </w:rPr>
              <w:t>Total nonoperating expense</w:t>
            </w: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(191)</w:t>
            </w:r>
          </w:p>
        </w:tc>
        <w:tc>
          <w:tcPr>
            <w:tcW w:w="7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(977)</w:t>
            </w:r>
          </w:p>
        </w:tc>
        <w:tc>
          <w:tcPr>
            <w:tcW w:w="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Income tax expense (benefit) (D)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580" w:type="dxa"/>
            <w:vAlign w:val="bottom"/>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share, basic</w:t>
            </w: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345.2</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09"/>
        </w:trPr>
        <w:tc>
          <w:tcPr>
            <w:tcW w:w="5240" w:type="dxa"/>
            <w:vAlign w:val="bottom"/>
            <w:gridSpan w:val="2"/>
            <w:vMerge w:val="continue"/>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(1.87)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(0.42)</w:t>
            </w:r>
          </w:p>
        </w:tc>
        <w:tc>
          <w:tcPr>
            <w:tcW w:w="5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2.54</w:t>
            </w:r>
          </w:p>
        </w:tc>
        <w:tc>
          <w:tcPr>
            <w:tcW w:w="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diluted</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(1.87)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(0.42)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basic</w:t>
            </w: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line="20" w:lineRule="exact"/>
              <w:rPr>
                <w:sz w:val="1"/>
                <w:szCs w:val="1"/>
                <w:color w:val="auto"/>
              </w:rPr>
            </w:pPr>
          </w:p>
        </w:tc>
      </w:tr>
      <w:tr>
        <w:trPr>
          <w:trHeight w:val="208"/>
        </w:trPr>
        <w:tc>
          <w:tcPr>
            <w:tcW w:w="5240" w:type="dxa"/>
            <w:vAlign w:val="bottom"/>
            <w:gridSpan w:val="2"/>
            <w:vMerge w:val="continue"/>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330</w:t>
            </w:r>
          </w:p>
        </w:tc>
        <w:tc>
          <w:tcPr>
            <w:tcW w:w="5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329</w:t>
            </w:r>
          </w:p>
        </w:tc>
        <w:tc>
          <w:tcPr>
            <w:tcW w:w="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diluted</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383</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UAL ANNOUNCES FULL-YEAR AND FOURTH-QUARTER 2012 RESULTS / PAGE 8</w:t>
      </w:r>
    </w:p>
    <w:p>
      <w:pPr>
        <w:spacing w:after="0" w:line="152"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UNITED CONTINENTAL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NOTES (UNAUDITED)</w:t>
      </w:r>
    </w:p>
    <w:p>
      <w:pPr>
        <w:spacing w:after="0" w:line="20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UAL’s results of operations include fuel expense for both mainline and regional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640" w:type="dxa"/>
            <w:vAlign w:val="bottom"/>
            <w:gridSpan w:val="5"/>
          </w:tcPr>
          <w:p>
            <w:pPr>
              <w:ind w:left="100"/>
              <w:spacing w:after="0"/>
              <w:rPr>
                <w:sz w:val="20"/>
                <w:szCs w:val="20"/>
                <w:color w:val="auto"/>
              </w:rPr>
            </w:pPr>
            <w:r>
              <w:rPr>
                <w:rFonts w:ascii="Arial" w:cs="Arial" w:eastAsia="Arial" w:hAnsi="Arial"/>
                <w:sz w:val="14"/>
                <w:szCs w:val="14"/>
                <w:color w:val="auto"/>
              </w:rPr>
              <w:t>Three Months Ended</w:t>
            </w:r>
          </w:p>
        </w:tc>
        <w:tc>
          <w:tcPr>
            <w:tcW w:w="580" w:type="dxa"/>
            <w:vAlign w:val="bottom"/>
          </w:tcPr>
          <w:p>
            <w:pPr>
              <w:jc w:val="right"/>
              <w:ind w:right="155"/>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780" w:type="dxa"/>
            <w:vAlign w:val="bottom"/>
            <w:gridSpan w:val="4"/>
          </w:tcPr>
          <w:p>
            <w:pPr>
              <w:jc w:val="center"/>
              <w:ind w:right="320"/>
              <w:spacing w:after="0"/>
              <w:rPr>
                <w:sz w:val="20"/>
                <w:szCs w:val="20"/>
                <w:color w:val="auto"/>
              </w:rPr>
            </w:pPr>
            <w:r>
              <w:rPr>
                <w:rFonts w:ascii="Arial" w:cs="Arial" w:eastAsia="Arial" w:hAnsi="Arial"/>
                <w:sz w:val="14"/>
                <w:szCs w:val="14"/>
                <w:color w:val="auto"/>
                <w:w w:val="83"/>
              </w:rPr>
              <w:t>Year Ended</w:t>
            </w:r>
          </w:p>
        </w:tc>
        <w:tc>
          <w:tcPr>
            <w:tcW w:w="600" w:type="dxa"/>
            <w:vAlign w:val="bottom"/>
          </w:tcPr>
          <w:p>
            <w:pPr>
              <w:jc w:val="right"/>
              <w:ind w:right="155"/>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1640" w:type="dxa"/>
            <w:vAlign w:val="bottom"/>
            <w:gridSpan w:val="5"/>
          </w:tcPr>
          <w:p>
            <w:pPr>
              <w:ind w:left="280"/>
              <w:spacing w:after="0" w:line="159" w:lineRule="exact"/>
              <w:rPr>
                <w:sz w:val="20"/>
                <w:szCs w:val="20"/>
                <w:color w:val="auto"/>
              </w:rPr>
            </w:pPr>
            <w:r>
              <w:rPr>
                <w:rFonts w:ascii="Arial" w:cs="Arial" w:eastAsia="Arial" w:hAnsi="Arial"/>
                <w:sz w:val="14"/>
                <w:szCs w:val="14"/>
                <w:color w:val="auto"/>
              </w:rPr>
              <w:t>December 31,</w:t>
            </w:r>
          </w:p>
        </w:tc>
        <w:tc>
          <w:tcPr>
            <w:tcW w:w="90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w w:val="90"/>
              </w:rPr>
              <w:t>Increase/</w:t>
            </w:r>
          </w:p>
        </w:tc>
        <w:tc>
          <w:tcPr>
            <w:tcW w:w="1780" w:type="dxa"/>
            <w:vAlign w:val="bottom"/>
            <w:gridSpan w:val="4"/>
          </w:tcPr>
          <w:p>
            <w:pPr>
              <w:jc w:val="center"/>
              <w:ind w:right="320"/>
              <w:spacing w:after="0" w:line="159" w:lineRule="exact"/>
              <w:rPr>
                <w:sz w:val="20"/>
                <w:szCs w:val="20"/>
                <w:color w:val="auto"/>
              </w:rPr>
            </w:pPr>
            <w:r>
              <w:rPr>
                <w:rFonts w:ascii="Arial" w:cs="Arial" w:eastAsia="Arial" w:hAnsi="Arial"/>
                <w:sz w:val="14"/>
                <w:szCs w:val="14"/>
                <w:color w:val="auto"/>
                <w:w w:val="84"/>
              </w:rPr>
              <w:t>December 31,</w:t>
            </w: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0"/>
              </w:rPr>
              <w:t>Increase/</w:t>
            </w:r>
          </w:p>
        </w:tc>
        <w:tc>
          <w:tcPr>
            <w:tcW w:w="0" w:type="dxa"/>
            <w:vAlign w:val="bottom"/>
          </w:tcPr>
          <w:p>
            <w:pPr>
              <w:spacing w:after="0"/>
              <w:rPr>
                <w:sz w:val="1"/>
                <w:szCs w:val="1"/>
                <w:color w:val="auto"/>
              </w:rPr>
            </w:pPr>
          </w:p>
        </w:tc>
      </w:tr>
      <w:tr>
        <w:trPr>
          <w:trHeight w:val="142"/>
        </w:trPr>
        <w:tc>
          <w:tcPr>
            <w:tcW w:w="6400" w:type="dxa"/>
            <w:vAlign w:val="bottom"/>
            <w:gridSpan w:val="2"/>
          </w:tcPr>
          <w:p>
            <w:pPr>
              <w:spacing w:after="0" w:line="142" w:lineRule="exact"/>
              <w:rPr>
                <w:sz w:val="20"/>
                <w:szCs w:val="20"/>
                <w:color w:val="auto"/>
              </w:rPr>
            </w:pPr>
            <w:r>
              <w:rPr>
                <w:rFonts w:ascii="Arial" w:cs="Arial" w:eastAsia="Arial" w:hAnsi="Arial"/>
                <w:sz w:val="14"/>
                <w:szCs w:val="14"/>
                <w:color w:val="auto"/>
              </w:rPr>
              <w:t>(In millions, except per gallon)</w:t>
            </w:r>
          </w:p>
        </w:tc>
        <w:tc>
          <w:tcPr>
            <w:tcW w:w="50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color w:val="auto"/>
              </w:rPr>
              <w:t>2012</w:t>
            </w: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color w:val="auto"/>
              </w:rPr>
              <w:t>2011</w:t>
            </w:r>
          </w:p>
        </w:tc>
        <w:tc>
          <w:tcPr>
            <w:tcW w:w="320" w:type="dxa"/>
            <w:vAlign w:val="bottom"/>
          </w:tcPr>
          <w:p>
            <w:pPr>
              <w:spacing w:after="0"/>
              <w:rPr>
                <w:sz w:val="12"/>
                <w:szCs w:val="12"/>
                <w:color w:val="auto"/>
              </w:rPr>
            </w:pPr>
          </w:p>
        </w:tc>
        <w:tc>
          <w:tcPr>
            <w:tcW w:w="90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w w:val="80"/>
              </w:rPr>
              <w:t>(Decrease)</w:t>
            </w:r>
          </w:p>
        </w:tc>
        <w:tc>
          <w:tcPr>
            <w:tcW w:w="58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rPr>
              <w:t>2012</w:t>
            </w: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2011</w:t>
            </w:r>
          </w:p>
        </w:tc>
        <w:tc>
          <w:tcPr>
            <w:tcW w:w="320" w:type="dxa"/>
            <w:vAlign w:val="bottom"/>
          </w:tcPr>
          <w:p>
            <w:pPr>
              <w:spacing w:after="0"/>
              <w:rPr>
                <w:sz w:val="12"/>
                <w:szCs w:val="12"/>
                <w:color w:val="auto"/>
              </w:rPr>
            </w:pPr>
          </w:p>
        </w:tc>
        <w:tc>
          <w:tcPr>
            <w:tcW w:w="70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w w:val="80"/>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mainline fuel expense excluding hedge impacts</w:t>
            </w: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$2,481</w:t>
            </w:r>
          </w:p>
        </w:tc>
        <w:tc>
          <w:tcPr>
            <w:tcW w:w="2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$2,490</w:t>
            </w:r>
          </w:p>
        </w:tc>
        <w:tc>
          <w:tcPr>
            <w:tcW w:w="32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$10,572</w:t>
            </w:r>
          </w:p>
        </w:tc>
        <w:tc>
          <w:tcPr>
            <w:tcW w:w="30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$10,439</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Hedge gains (losses) reported in fuel expense (a)</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(34)</w:t>
            </w: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(23)</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NM</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(141)</w:t>
            </w:r>
          </w:p>
        </w:tc>
        <w:tc>
          <w:tcPr>
            <w:tcW w:w="580" w:type="dxa"/>
            <w:vAlign w:val="bottom"/>
          </w:tcPr>
          <w:p>
            <w:pPr>
              <w:jc w:val="right"/>
              <w:spacing w:after="0"/>
              <w:rPr>
                <w:sz w:val="20"/>
                <w:szCs w:val="20"/>
                <w:color w:val="auto"/>
              </w:rPr>
            </w:pPr>
            <w:r>
              <w:rPr>
                <w:rFonts w:ascii="Arial" w:cs="Arial" w:eastAsia="Arial" w:hAnsi="Arial"/>
                <w:sz w:val="18"/>
                <w:szCs w:val="18"/>
                <w:color w:val="auto"/>
              </w:rPr>
              <w:t>503</w:t>
            </w:r>
          </w:p>
        </w:tc>
        <w:tc>
          <w:tcPr>
            <w:tcW w:w="3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mainline fuel expense</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10,713</w:t>
            </w:r>
          </w:p>
        </w:tc>
        <w:tc>
          <w:tcPr>
            <w:tcW w:w="3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9,936</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Regional fuel expense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3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w:t>
            </w:r>
          </w:p>
        </w:tc>
        <w:tc>
          <w:tcPr>
            <w:tcW w:w="3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w:t>
            </w:r>
          </w:p>
        </w:tc>
        <w:tc>
          <w:tcPr>
            <w:tcW w:w="3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Consolidated fuel expense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3,105</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13,138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12,375</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Settled hedge gains (losses) not recorded in fuel expense (b)</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NM</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Fuel expense including all gains (losses) from settled hedges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13,139</w:t>
            </w:r>
          </w:p>
        </w:tc>
        <w:tc>
          <w:tcPr>
            <w:tcW w:w="3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12,435</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Hedge non-cash mark-to-market gains (c)</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NM</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Fuel expense including all hedge impacts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3,066</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3,077</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13,101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12,434</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Mainline fuel consumption (gallons)</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(3.2)</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line="20" w:lineRule="exact"/>
              <w:rPr>
                <w:sz w:val="1"/>
                <w:szCs w:val="1"/>
                <w:color w:val="auto"/>
              </w:rPr>
            </w:pPr>
          </w:p>
        </w:tc>
      </w:tr>
      <w:tr>
        <w:trPr>
          <w:trHeight w:val="208"/>
        </w:trPr>
        <w:tc>
          <w:tcPr>
            <w:tcW w:w="6400" w:type="dxa"/>
            <w:vAlign w:val="bottom"/>
            <w:gridSpan w:val="2"/>
            <w:vMerge w:val="continue"/>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764</w:t>
            </w:r>
          </w:p>
        </w:tc>
        <w:tc>
          <w:tcPr>
            <w:tcW w:w="20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789</w:t>
            </w:r>
          </w:p>
        </w:tc>
        <w:tc>
          <w:tcPr>
            <w:tcW w:w="900" w:type="dxa"/>
            <w:vAlign w:val="bottom"/>
            <w:gridSpan w:val="2"/>
            <w:vMerge w:val="continue"/>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3,275</w:t>
            </w:r>
          </w:p>
        </w:tc>
        <w:tc>
          <w:tcPr>
            <w:tcW w:w="580" w:type="dxa"/>
            <w:vAlign w:val="bottom"/>
          </w:tcPr>
          <w:p>
            <w:pPr>
              <w:jc w:val="right"/>
              <w:spacing w:after="0"/>
              <w:rPr>
                <w:sz w:val="20"/>
                <w:szCs w:val="20"/>
                <w:color w:val="auto"/>
              </w:rPr>
            </w:pPr>
            <w:r>
              <w:rPr>
                <w:rFonts w:ascii="Arial" w:cs="Arial" w:eastAsia="Arial" w:hAnsi="Arial"/>
                <w:sz w:val="18"/>
                <w:szCs w:val="18"/>
                <w:color w:val="auto"/>
              </w:rPr>
              <w:t>3,303</w:t>
            </w:r>
          </w:p>
        </w:tc>
        <w:tc>
          <w:tcPr>
            <w:tcW w:w="3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Mainline average aircraft fuel price per gallon excluding hedge impacts (cents)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315.6</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322.8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Mainline average aircraft fuel price per gallon (cents)</w:t>
            </w:r>
          </w:p>
        </w:tc>
        <w:tc>
          <w:tcPr>
            <w:tcW w:w="500" w:type="dxa"/>
            <w:vAlign w:val="bottom"/>
          </w:tcPr>
          <w:p>
            <w:pPr>
              <w:jc w:val="right"/>
              <w:spacing w:after="0"/>
              <w:rPr>
                <w:sz w:val="20"/>
                <w:szCs w:val="20"/>
                <w:color w:val="auto"/>
              </w:rPr>
            </w:pPr>
            <w:r>
              <w:rPr>
                <w:rFonts w:ascii="Arial" w:cs="Arial" w:eastAsia="Arial" w:hAnsi="Arial"/>
                <w:sz w:val="18"/>
                <w:szCs w:val="18"/>
                <w:color w:val="auto"/>
              </w:rPr>
              <w:t>329.2</w:t>
            </w:r>
          </w:p>
        </w:tc>
        <w:tc>
          <w:tcPr>
            <w:tcW w:w="20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318.5</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3.4</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327.1</w:t>
            </w:r>
          </w:p>
        </w:tc>
        <w:tc>
          <w:tcPr>
            <w:tcW w:w="580" w:type="dxa"/>
            <w:vAlign w:val="bottom"/>
          </w:tcPr>
          <w:p>
            <w:pPr>
              <w:jc w:val="right"/>
              <w:spacing w:after="0"/>
              <w:rPr>
                <w:sz w:val="20"/>
                <w:szCs w:val="20"/>
                <w:color w:val="auto"/>
              </w:rPr>
            </w:pPr>
            <w:r>
              <w:rPr>
                <w:rFonts w:ascii="Arial" w:cs="Arial" w:eastAsia="Arial" w:hAnsi="Arial"/>
                <w:sz w:val="18"/>
                <w:szCs w:val="18"/>
                <w:color w:val="auto"/>
              </w:rPr>
              <w:t>300.8</w:t>
            </w: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w w:val="94"/>
              </w:rPr>
              <w:t>Mainline average aircraft fuel price per gallon including all gains (losses) from settled</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hedges (cents)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2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316.0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327.1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3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9"/>
              </w:rPr>
              <w:t>Mainline average aircraft fuel price per gallon including all hedge impacts (cents)</w:t>
            </w:r>
          </w:p>
        </w:tc>
        <w:tc>
          <w:tcPr>
            <w:tcW w:w="500" w:type="dxa"/>
            <w:vAlign w:val="bottom"/>
          </w:tcPr>
          <w:p>
            <w:pPr>
              <w:jc w:val="right"/>
              <w:spacing w:after="0"/>
              <w:rPr>
                <w:sz w:val="20"/>
                <w:szCs w:val="20"/>
                <w:color w:val="auto"/>
              </w:rPr>
            </w:pPr>
            <w:r>
              <w:rPr>
                <w:rFonts w:ascii="Arial" w:cs="Arial" w:eastAsia="Arial" w:hAnsi="Arial"/>
                <w:sz w:val="18"/>
                <w:szCs w:val="18"/>
                <w:color w:val="auto"/>
              </w:rPr>
              <w:t>325.4</w:t>
            </w:r>
          </w:p>
        </w:tc>
        <w:tc>
          <w:tcPr>
            <w:tcW w:w="20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315.0</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326.0</w:t>
            </w:r>
          </w:p>
        </w:tc>
        <w:tc>
          <w:tcPr>
            <w:tcW w:w="580" w:type="dxa"/>
            <w:vAlign w:val="bottom"/>
          </w:tcPr>
          <w:p>
            <w:pPr>
              <w:jc w:val="right"/>
              <w:spacing w:after="0"/>
              <w:rPr>
                <w:sz w:val="20"/>
                <w:szCs w:val="20"/>
                <w:color w:val="auto"/>
              </w:rPr>
            </w:pPr>
            <w:r>
              <w:rPr>
                <w:rFonts w:ascii="Arial" w:cs="Arial" w:eastAsia="Arial" w:hAnsi="Arial"/>
                <w:sz w:val="18"/>
                <w:szCs w:val="18"/>
                <w:color w:val="auto"/>
              </w:rPr>
              <w:t>302.6</w:t>
            </w: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Regional fuel consumption (gallons)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Regional average aircraft fuel price per gallon (cents)</w:t>
            </w:r>
          </w:p>
        </w:tc>
        <w:tc>
          <w:tcPr>
            <w:tcW w:w="500" w:type="dxa"/>
            <w:vAlign w:val="bottom"/>
          </w:tcPr>
          <w:p>
            <w:pPr>
              <w:jc w:val="right"/>
              <w:spacing w:after="0"/>
              <w:rPr>
                <w:sz w:val="20"/>
                <w:szCs w:val="20"/>
                <w:color w:val="auto"/>
              </w:rPr>
            </w:pPr>
            <w:r>
              <w:rPr>
                <w:rFonts w:ascii="Arial" w:cs="Arial" w:eastAsia="Arial" w:hAnsi="Arial"/>
                <w:sz w:val="18"/>
                <w:szCs w:val="18"/>
                <w:color w:val="auto"/>
              </w:rPr>
              <w:t>320.4</w:t>
            </w:r>
          </w:p>
        </w:tc>
        <w:tc>
          <w:tcPr>
            <w:tcW w:w="200" w:type="dxa"/>
            <w:vAlign w:val="bottom"/>
          </w:tcPr>
          <w:p>
            <w:pPr>
              <w:spacing w:after="0"/>
              <w:rPr>
                <w:sz w:val="19"/>
                <w:szCs w:val="19"/>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328.9</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327.3</w:t>
            </w:r>
          </w:p>
        </w:tc>
        <w:tc>
          <w:tcPr>
            <w:tcW w:w="580" w:type="dxa"/>
            <w:vAlign w:val="bottom"/>
          </w:tcPr>
          <w:p>
            <w:pPr>
              <w:jc w:val="right"/>
              <w:spacing w:after="0"/>
              <w:rPr>
                <w:sz w:val="20"/>
                <w:szCs w:val="20"/>
                <w:color w:val="auto"/>
              </w:rPr>
            </w:pPr>
            <w:r>
              <w:rPr>
                <w:rFonts w:ascii="Arial" w:cs="Arial" w:eastAsia="Arial" w:hAnsi="Arial"/>
                <w:sz w:val="18"/>
                <w:szCs w:val="18"/>
                <w:color w:val="auto"/>
              </w:rPr>
              <w:t>331.8</w:t>
            </w:r>
          </w:p>
        </w:tc>
        <w:tc>
          <w:tcPr>
            <w:tcW w:w="3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Consolidated consumption (gallons)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969</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6"/>
              </w:rPr>
              <w:t>Consolidated average aircraft fuel price per gallon excluding hedge impacts (cents)</w:t>
            </w:r>
          </w:p>
        </w:tc>
        <w:tc>
          <w:tcPr>
            <w:tcW w:w="500" w:type="dxa"/>
            <w:vAlign w:val="bottom"/>
          </w:tcPr>
          <w:p>
            <w:pPr>
              <w:jc w:val="right"/>
              <w:spacing w:after="0"/>
              <w:rPr>
                <w:sz w:val="20"/>
                <w:szCs w:val="20"/>
                <w:color w:val="auto"/>
              </w:rPr>
            </w:pPr>
            <w:r>
              <w:rPr>
                <w:rFonts w:ascii="Arial" w:cs="Arial" w:eastAsia="Arial" w:hAnsi="Arial"/>
                <w:sz w:val="18"/>
                <w:szCs w:val="18"/>
                <w:color w:val="auto"/>
              </w:rPr>
              <w:t>323.9</w:t>
            </w:r>
          </w:p>
        </w:tc>
        <w:tc>
          <w:tcPr>
            <w:tcW w:w="20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318.1</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323.6</w:t>
            </w:r>
          </w:p>
        </w:tc>
        <w:tc>
          <w:tcPr>
            <w:tcW w:w="580" w:type="dxa"/>
            <w:vAlign w:val="bottom"/>
          </w:tcPr>
          <w:p>
            <w:pPr>
              <w:jc w:val="right"/>
              <w:spacing w:after="0"/>
              <w:rPr>
                <w:sz w:val="20"/>
                <w:szCs w:val="20"/>
                <w:color w:val="auto"/>
              </w:rPr>
            </w:pPr>
            <w:r>
              <w:rPr>
                <w:rFonts w:ascii="Arial" w:cs="Arial" w:eastAsia="Arial" w:hAnsi="Arial"/>
                <w:sz w:val="18"/>
                <w:szCs w:val="18"/>
                <w:color w:val="auto"/>
              </w:rPr>
              <w:t>318.9</w:t>
            </w: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Consolidated average aircraft fuel price per gallon (cents)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320.4</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327.1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7"/>
              </w:rPr>
              <w:t>Consolidated average aircraft fuel price per gallon including all gains (losses) from</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settled hedges (cents)</w:t>
            </w:r>
          </w:p>
        </w:tc>
        <w:tc>
          <w:tcPr>
            <w:tcW w:w="500" w:type="dxa"/>
            <w:vAlign w:val="bottom"/>
          </w:tcPr>
          <w:p>
            <w:pPr>
              <w:jc w:val="right"/>
              <w:spacing w:after="0"/>
              <w:rPr>
                <w:sz w:val="20"/>
                <w:szCs w:val="20"/>
                <w:color w:val="auto"/>
              </w:rPr>
            </w:pPr>
            <w:r>
              <w:rPr>
                <w:rFonts w:ascii="Arial" w:cs="Arial" w:eastAsia="Arial" w:hAnsi="Arial"/>
                <w:sz w:val="18"/>
                <w:szCs w:val="18"/>
                <w:color w:val="auto"/>
              </w:rPr>
              <w:t>327.5</w:t>
            </w:r>
          </w:p>
        </w:tc>
        <w:tc>
          <w:tcPr>
            <w:tcW w:w="200" w:type="dxa"/>
            <w:vAlign w:val="bottom"/>
          </w:tcPr>
          <w:p>
            <w:pPr>
              <w:spacing w:after="0"/>
              <w:rPr>
                <w:sz w:val="19"/>
                <w:szCs w:val="19"/>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318.4</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2.9</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327.2</w:t>
            </w:r>
          </w:p>
        </w:tc>
        <w:tc>
          <w:tcPr>
            <w:tcW w:w="580" w:type="dxa"/>
            <w:vAlign w:val="bottom"/>
          </w:tcPr>
          <w:p>
            <w:pPr>
              <w:jc w:val="right"/>
              <w:spacing w:after="0"/>
              <w:rPr>
                <w:sz w:val="20"/>
                <w:szCs w:val="20"/>
                <w:color w:val="auto"/>
              </w:rPr>
            </w:pPr>
            <w:r>
              <w:rPr>
                <w:rFonts w:ascii="Arial" w:cs="Arial" w:eastAsia="Arial" w:hAnsi="Arial"/>
                <w:sz w:val="18"/>
                <w:szCs w:val="18"/>
                <w:color w:val="auto"/>
              </w:rPr>
              <w:t>307.9</w:t>
            </w:r>
          </w:p>
        </w:tc>
        <w:tc>
          <w:tcPr>
            <w:tcW w:w="3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w w:val="93"/>
              </w:rPr>
              <w:t>Consolidated average aircraft fuel price per gallon including all hedge impacts (cents)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317.5</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326.2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8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gains (losses) from settled hedges that were designated for hedge accounting. UAL allocates 100% of hedge accounting gains (losses) to mainline fuel expense.</w:t>
      </w:r>
    </w:p>
    <w:p>
      <w:pPr>
        <w:ind w:left="460" w:right="12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ineffectiveness gains (losses) and gains (losses) on derivatives not designated for hedge accounting. These amounts are recorded in Nonoperating income (expense): Miscellaneous, net.</w:t>
      </w:r>
    </w:p>
    <w:p>
      <w:pPr>
        <w:ind w:left="460" w:right="96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ineffectiveness gains (losses) and non-cash mark-to-market gains (losses) on all open hedge positions. These amounts are recorded in Nonoperating income (expense): Miscellaneous, net.</w:t>
      </w:r>
    </w:p>
    <w:p>
      <w:pPr>
        <w:spacing w:after="0" w:line="57" w:lineRule="exact"/>
        <w:rPr>
          <w:sz w:val="20"/>
          <w:szCs w:val="20"/>
          <w:color w:val="auto"/>
        </w:rPr>
      </w:pPr>
    </w:p>
    <w:p>
      <w:pPr>
        <w:ind w:left="460" w:right="100" w:hanging="452"/>
        <w:spacing w:after="0" w:line="29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UAL has contractual relationships with various regional carriers to provide regional aircraft and turboprop service branded as United Express. Under these agreements, UAL pays the regional carriers contractually agreed fees for crew expenses, maintenance expenses and other costs of operating these flights. These costs include aircraft rent of $163 million and $669 million for the three months and year ended December 31, 2012, respectively, of which $111 million and $52 million is included in regional capacity purchase expense and aircraft rentals, respectively, for the three months ended December 31, 2012 and $461 million and $208 million is included in regional capacity purchase expense and aircraft rentals, respectively, for the year ended December 31, 2012 in our Statements of Consolidated Operations.</w:t>
      </w:r>
    </w:p>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UAL ANNOUNCES FULL-YEAR AND FOURTH-QUARTER 2012 RESULTS / PAGE 9</w:t>
      </w:r>
    </w:p>
    <w:p>
      <w:pPr>
        <w:spacing w:after="0" w:line="152"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UNITED CONTINENTAL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NOTES (UNAUDITED)</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w:t>
        <w:tab/>
        <w:t>Special items include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540"/>
              <w:spacing w:after="0"/>
              <w:rPr>
                <w:sz w:val="20"/>
                <w:szCs w:val="20"/>
                <w:color w:val="auto"/>
              </w:rPr>
            </w:pPr>
            <w:r>
              <w:rPr>
                <w:rFonts w:ascii="Arial" w:cs="Arial" w:eastAsia="Arial" w:hAnsi="Arial"/>
                <w:sz w:val="14"/>
                <w:szCs w:val="14"/>
                <w:color w:val="auto"/>
                <w:w w:val="88"/>
              </w:rPr>
              <w:t>Three Months Ended</w:t>
            </w:r>
          </w:p>
        </w:tc>
        <w:tc>
          <w:tcPr>
            <w:tcW w:w="100" w:type="dxa"/>
            <w:vAlign w:val="bottom"/>
          </w:tcPr>
          <w:p>
            <w:pPr>
              <w:spacing w:after="0"/>
              <w:rPr>
                <w:sz w:val="14"/>
                <w:szCs w:val="14"/>
                <w:color w:val="auto"/>
              </w:rPr>
            </w:pPr>
          </w:p>
        </w:tc>
        <w:tc>
          <w:tcPr>
            <w:tcW w:w="1300" w:type="dxa"/>
            <w:vAlign w:val="bottom"/>
            <w:gridSpan w:val="5"/>
          </w:tcPr>
          <w:p>
            <w:pPr>
              <w:ind w:left="240"/>
              <w:spacing w:after="0"/>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59"/>
        </w:trPr>
        <w:tc>
          <w:tcPr>
            <w:tcW w:w="82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3"/>
                <w:szCs w:val="13"/>
                <w:color w:val="auto"/>
              </w:rPr>
            </w:pPr>
          </w:p>
        </w:tc>
        <w:tc>
          <w:tcPr>
            <w:tcW w:w="1720" w:type="dxa"/>
            <w:vAlign w:val="bottom"/>
            <w:gridSpan w:val="6"/>
          </w:tcPr>
          <w:p>
            <w:pPr>
              <w:jc w:val="right"/>
              <w:ind w:right="740"/>
              <w:spacing w:after="0" w:line="159" w:lineRule="exact"/>
              <w:rPr>
                <w:sz w:val="20"/>
                <w:szCs w:val="20"/>
                <w:color w:val="auto"/>
              </w:rPr>
            </w:pPr>
            <w:r>
              <w:rPr>
                <w:rFonts w:ascii="Arial" w:cs="Arial" w:eastAsia="Arial" w:hAnsi="Arial"/>
                <w:sz w:val="14"/>
                <w:szCs w:val="14"/>
                <w:color w:val="auto"/>
              </w:rPr>
              <w:t>December 31,</w:t>
            </w:r>
          </w:p>
        </w:tc>
        <w:tc>
          <w:tcPr>
            <w:tcW w:w="100" w:type="dxa"/>
            <w:vAlign w:val="bottom"/>
          </w:tcPr>
          <w:p>
            <w:pPr>
              <w:spacing w:after="0"/>
              <w:rPr>
                <w:sz w:val="13"/>
                <w:szCs w:val="13"/>
                <w:color w:val="auto"/>
              </w:rPr>
            </w:pPr>
          </w:p>
        </w:tc>
        <w:tc>
          <w:tcPr>
            <w:tcW w:w="1300" w:type="dxa"/>
            <w:vAlign w:val="bottom"/>
            <w:gridSpan w:val="5"/>
          </w:tcPr>
          <w:p>
            <w:pPr>
              <w:ind w:left="180"/>
              <w:spacing w:after="0" w:line="159"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2"/>
        </w:trPr>
        <w:tc>
          <w:tcPr>
            <w:tcW w:w="820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color w:val="auto"/>
                <w:w w:val="83"/>
              </w:rPr>
              <w:t>2012</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w w:val="83"/>
              </w:rPr>
              <w:t>2011</w:t>
            </w: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color w:val="auto"/>
                <w:w w:val="89"/>
              </w:rPr>
              <w:t>2012</w:t>
            </w: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 - Chase co-branded marketing agreement modification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00" w:type="dxa"/>
            <w:vAlign w:val="bottom"/>
            <w:gridSpan w:val="2"/>
          </w:tcPr>
          <w:p>
            <w:pPr>
              <w:spacing w:after="0"/>
              <w:rPr>
                <w:sz w:val="20"/>
                <w:szCs w:val="20"/>
                <w:color w:val="auto"/>
              </w:rPr>
            </w:pPr>
            <w:r>
              <w:rPr>
                <w:rFonts w:ascii="Arial" w:cs="Arial" w:eastAsia="Arial" w:hAnsi="Arial"/>
                <w:sz w:val="18"/>
                <w:szCs w:val="18"/>
                <w:color w:val="auto"/>
              </w:rPr>
              <w:t>Integration-related costs</w:t>
            </w:r>
          </w:p>
        </w:tc>
        <w:tc>
          <w:tcPr>
            <w:tcW w:w="10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408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739</w:t>
            </w:r>
          </w:p>
        </w:tc>
        <w:tc>
          <w:tcPr>
            <w:tcW w:w="240" w:type="dxa"/>
            <w:vAlign w:val="bottom"/>
          </w:tcPr>
          <w:p>
            <w:pPr>
              <w:spacing w:after="0"/>
              <w:rPr>
                <w:sz w:val="19"/>
                <w:szCs w:val="19"/>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impairment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Labor agreement costs</w:t>
            </w: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Voluntary severance and benefits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Termination of a maintenance service contract</w:t>
            </w:r>
          </w:p>
        </w:tc>
        <w:tc>
          <w:tcPr>
            <w:tcW w:w="100" w:type="dxa"/>
            <w:vAlign w:val="bottom"/>
          </w:tcPr>
          <w:p>
            <w:pPr>
              <w:spacing w:after="0"/>
              <w:rPr>
                <w:sz w:val="18"/>
                <w:szCs w:val="18"/>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Gains on sales of assets and other special charges, net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(46)</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1"/>
        </w:trPr>
        <w:tc>
          <w:tcPr>
            <w:tcW w:w="8200" w:type="dxa"/>
            <w:vAlign w:val="bottom"/>
            <w:gridSpan w:val="2"/>
          </w:tcPr>
          <w:p>
            <w:pPr>
              <w:spacing w:after="0"/>
              <w:rPr>
                <w:sz w:val="20"/>
                <w:szCs w:val="20"/>
                <w:color w:val="auto"/>
              </w:rPr>
            </w:pPr>
            <w:r>
              <w:rPr>
                <w:rFonts w:ascii="Arial" w:cs="Arial" w:eastAsia="Arial" w:hAnsi="Arial"/>
                <w:sz w:val="18"/>
                <w:szCs w:val="18"/>
                <w:color w:val="auto"/>
              </w:rPr>
              <w:t>Total special charges</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1,323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Total special items</w:t>
            </w: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1,323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(11)</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Special items, net of tax</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2012 - Special items</w:t>
      </w:r>
    </w:p>
    <w:p>
      <w:pPr>
        <w:spacing w:after="0" w:line="96" w:lineRule="exact"/>
        <w:rPr>
          <w:sz w:val="20"/>
          <w:szCs w:val="20"/>
          <w:color w:val="auto"/>
        </w:rPr>
      </w:pPr>
    </w:p>
    <w:p>
      <w:pPr>
        <w:ind w:left="460" w:right="20"/>
        <w:spacing w:after="0" w:line="285" w:lineRule="auto"/>
        <w:rPr>
          <w:sz w:val="20"/>
          <w:szCs w:val="20"/>
          <w:color w:val="auto"/>
        </w:rPr>
      </w:pPr>
      <w:r>
        <w:rPr>
          <w:rFonts w:ascii="Arial" w:cs="Arial" w:eastAsia="Arial" w:hAnsi="Arial"/>
          <w:sz w:val="16"/>
          <w:szCs w:val="16"/>
          <w:u w:val="single" w:color="auto"/>
          <w:color w:val="auto"/>
        </w:rPr>
        <w:t>Integration-related costs</w:t>
      </w:r>
      <w:r>
        <w:rPr>
          <w:rFonts w:ascii="Arial" w:cs="Arial" w:eastAsia="Arial" w:hAnsi="Arial"/>
          <w:sz w:val="16"/>
          <w:szCs w:val="16"/>
          <w:color w:val="auto"/>
        </w:rPr>
        <w:t>: Includes compensation costs related to systems integration and training, costs to repaint aircraft and other branding activities, costs to write-off or accelerate depreciation on systems and facilities that are no longer used or planned to be used for significantly shorter periods, relocation costs for employees and severance primarily associated with administrative headcount reductions. In addition, on June 30, 2012 UAL became obligated under an indenture to issue to the Pension Benefit Guaranty Corporation (“PBGC”), no later than Feb. 14, 2013, $62.5 million aggregate principal amount of 8% Contingent Senior Unsecured Notes. UAL recorded a liability of approximately $48 million for the fair value of that obligation. The company classified the liability as an integration-related cost since the financial results of UAL, excluding Continental’s results, would not have resulted in a financial triggering event under the 8% Notes indenture. In addition, on Dec. 31, 2012, the company entered into an agreement with the PBGC providing for, among other things, the replacement of (i) the company’s contingent obligation to issue up to $500 million principal amount of 8% Contingent Senior Notes if certain financial triggers were met, of which $188 million had been incurred as of Dec. 31, 2012, with $400 million principal amount of new 8% Notes due 2024 and (ii) the $652 million outstanding of the company’s 6% Senior Notes due 2031 with $326 million principal amount of new 6% Notes due 2026 and $326 million principal amount of new 6% Notes due 2028. The company is treating the substitution of the obligations outstanding on Dec. 31, 2012 as an extinguishment of such debt. The resulting charge of $309 million represents the fair value of the additional $212 million of 8% Notes that we agreed to issue and the change in the fair value of the other new 6% Notes and 8% Notes versus their previous carrying values. The company categorized the expense as an integration-related charge because the note restructuring would not have occurred if it were not for the merger.</w:t>
      </w:r>
    </w:p>
    <w:p>
      <w:pPr>
        <w:spacing w:after="0" w:line="47" w:lineRule="exact"/>
        <w:rPr>
          <w:sz w:val="20"/>
          <w:szCs w:val="20"/>
          <w:color w:val="auto"/>
        </w:rPr>
      </w:pPr>
    </w:p>
    <w:p>
      <w:pPr>
        <w:ind w:left="460" w:right="160"/>
        <w:spacing w:after="0" w:line="255" w:lineRule="auto"/>
        <w:rPr>
          <w:sz w:val="20"/>
          <w:szCs w:val="20"/>
          <w:color w:val="auto"/>
        </w:rPr>
      </w:pPr>
      <w:r>
        <w:rPr>
          <w:rFonts w:ascii="Arial" w:cs="Arial" w:eastAsia="Arial" w:hAnsi="Arial"/>
          <w:sz w:val="18"/>
          <w:szCs w:val="18"/>
          <w:u w:val="single" w:color="auto"/>
          <w:color w:val="auto"/>
        </w:rPr>
        <w:t>Intangible Asset Impairment:</w:t>
      </w:r>
      <w:r>
        <w:rPr>
          <w:rFonts w:ascii="Arial" w:cs="Arial" w:eastAsia="Arial" w:hAnsi="Arial"/>
          <w:sz w:val="18"/>
          <w:szCs w:val="18"/>
          <w:color w:val="auto"/>
        </w:rPr>
        <w:t xml:space="preserve"> In the first quarter of 2012, the company recorded a $6 million impairment charge on an intangible asset related to certain take-off and landing slots to reflect the discontinuance of one of the frequencies on an international route. In the fourth quarter of 2012, the company recorded an impairment charge of $24 million related to foreign take-off and landing slots to reflect the estimated fair value of these assets as part of our annual impairment test of indefinite-lived intangible assets. Reductions of frequencies and weakening of the U.S. dollar against certain foreign currencies attributed to the charge.</w:t>
      </w:r>
    </w:p>
    <w:p>
      <w:pPr>
        <w:spacing w:after="0" w:line="62" w:lineRule="exact"/>
        <w:rPr>
          <w:sz w:val="20"/>
          <w:szCs w:val="20"/>
          <w:color w:val="auto"/>
        </w:rPr>
      </w:pPr>
    </w:p>
    <w:p>
      <w:pPr>
        <w:ind w:left="460" w:right="20"/>
        <w:spacing w:after="0" w:line="290" w:lineRule="auto"/>
        <w:rPr>
          <w:sz w:val="20"/>
          <w:szCs w:val="20"/>
          <w:color w:val="auto"/>
        </w:rPr>
      </w:pPr>
      <w:r>
        <w:rPr>
          <w:rFonts w:ascii="Arial" w:cs="Arial" w:eastAsia="Arial" w:hAnsi="Arial"/>
          <w:sz w:val="16"/>
          <w:szCs w:val="16"/>
          <w:u w:val="single" w:color="auto"/>
          <w:color w:val="auto"/>
        </w:rPr>
        <w:t>Labor Agreement Costs:</w:t>
      </w:r>
      <w:r>
        <w:rPr>
          <w:rFonts w:ascii="Arial" w:cs="Arial" w:eastAsia="Arial" w:hAnsi="Arial"/>
          <w:sz w:val="16"/>
          <w:szCs w:val="16"/>
          <w:color w:val="auto"/>
        </w:rPr>
        <w:t xml:space="preserve"> On Aug. 3, 2012, the company announced it had reached an agreement in principle with respect to a new joint collective bargaining agreement with the Air Line Pilots Association (“ALPA”), representing pilots at United and Continental. The company recorded $454 million of expense in the third quarter associated with lump sum cash payments that would be made in conjunction with the ratification of the contract and the completion of the integrated pilot seniority list. This charge also includes costs associated with changes to existing pilot disability plans negotiated in connection with the agreement in principle. The lump sum payments are not in lieu of future pay increases and were accrued in the third quarter as a result of the payments becoming probable, primarily due to reaching the agreement in principle. The agreement was ratified in the fourth quarter of 2012. In the fourth quarter of 2012, the company accrued an additional $21 million associated with the agreement.</w:t>
      </w:r>
    </w:p>
    <w:p>
      <w:pPr>
        <w:spacing w:after="0" w:line="37"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u w:val="single" w:color="auto"/>
          <w:color w:val="auto"/>
        </w:rPr>
        <w:t>Voluntary severance and benefits:</w:t>
      </w:r>
      <w:r>
        <w:rPr>
          <w:rFonts w:ascii="Arial" w:cs="Arial" w:eastAsia="Arial" w:hAnsi="Arial"/>
          <w:sz w:val="16"/>
          <w:szCs w:val="16"/>
          <w:color w:val="auto"/>
        </w:rPr>
        <w:t xml:space="preserve"> In the first quarter of 2012, the company recorded $49 million associated with two voluntary employee programs. In one program, approximately 400 mechanics offered to retire early in exchange for a cash severance payment that was based on the number of years of service the employee had accumulated. The other program is a voluntary company-offered leave of absence that approximately 1,800 flight attendants accepted, which allows for continued medical coverage during the leave of absence period. In the second quarter of 2012, the company recorded $76 million associated with a voluntary severance program. Approximately 1,300 flight attendants volunteered to retire early in exchange for a cash severance payment that was based on the number of years of service each employee had accumulated.</w:t>
      </w:r>
    </w:p>
    <w:p>
      <w:pPr>
        <w:spacing w:after="0" w:line="39" w:lineRule="exact"/>
        <w:rPr>
          <w:sz w:val="20"/>
          <w:szCs w:val="20"/>
          <w:color w:val="auto"/>
        </w:rPr>
      </w:pPr>
    </w:p>
    <w:p>
      <w:pPr>
        <w:jc w:val="both"/>
        <w:ind w:left="460" w:right="140"/>
        <w:spacing w:after="0" w:line="259" w:lineRule="auto"/>
        <w:rPr>
          <w:sz w:val="20"/>
          <w:szCs w:val="20"/>
          <w:color w:val="auto"/>
        </w:rPr>
      </w:pPr>
      <w:r>
        <w:rPr>
          <w:rFonts w:ascii="Arial" w:cs="Arial" w:eastAsia="Arial" w:hAnsi="Arial"/>
          <w:sz w:val="18"/>
          <w:szCs w:val="18"/>
          <w:u w:val="single" w:color="auto"/>
          <w:color w:val="auto"/>
        </w:rPr>
        <w:t>Gains on sales of assets and other special charges, net:</w:t>
      </w:r>
      <w:r>
        <w:rPr>
          <w:rFonts w:ascii="Arial" w:cs="Arial" w:eastAsia="Arial" w:hAnsi="Arial"/>
          <w:sz w:val="18"/>
          <w:szCs w:val="18"/>
          <w:color w:val="auto"/>
        </w:rPr>
        <w:t xml:space="preserve"> In the first quarter of 2012, the company sold six aircraft and its interest in a crew hotel in Hawaii. The company also made adjustments to legal reserves. In the second quarter of 2012, the company sold three aircraft, realizing a net gain of $7 million. In the fourth quarter of 2012, the company sold three aircraft realizing a net gain of $14 million.</w:t>
      </w:r>
    </w:p>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UAL ANNOUNCES FULL-YEAR AND FOURTH-QUARTER 2012 RESULTS / PAGE 10</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2011 - Special items</w:t>
      </w:r>
    </w:p>
    <w:p>
      <w:pPr>
        <w:spacing w:after="0" w:line="96"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u w:val="single" w:color="auto"/>
          <w:color w:val="auto"/>
        </w:rPr>
        <w:t>Special Revenue Item:</w:t>
      </w:r>
      <w:r>
        <w:rPr>
          <w:rFonts w:ascii="Arial" w:cs="Arial" w:eastAsia="Arial" w:hAnsi="Arial"/>
          <w:sz w:val="16"/>
          <w:szCs w:val="16"/>
          <w:color w:val="auto"/>
        </w:rPr>
        <w:t xml:space="preserve"> UAL, United, Continental and Mileage Plus Holdings, LLC, a wholly owned subsidiary of United, executed an Amended and Restated Co-Branded Card Marketing Services Agreement (the Co-Brand Agreement) with Chase Bank USA, N.A. (Chase) in June 2011, through which the company sells mileage credits to Chase and the company’s loyalty program members accrue frequent flyer miles for making purchases using credit cards issued by Chase. The Co-Brand Agreement modifies and combines the previously existing co-branded agreements between Chase and each of United and Continental, respectively. As a result of the execution of the Co-Brand Agreement, revenues received as part of this agreement are subject to Accounting Standards Update 2009-13, “Multiple-Deliverable Revenue Arrangements – a consensus of the FASB Emerging Issues Task Force” (ASU 2009-13), adopted by the company on Jan. 1, 2011, which is applied to all contracts entered into or materially modified after the adoption date of the accounting standard. The application of the new accounting standard to the Co-Brand Agreement, which was determined to be a material modification of the previously existing co-branded agreements, decreases the value of the air transportation deliverables related to the agreement that the company records as deferred revenue (and ultimately Passenger Revenue when redeemed awards are flown) and increases the value of the marketing-related deliverables recorded in Other Revenue at the time these marketing-related deliverables are provided. The provisions of ASU 2009-13 require that existing deferred revenue be adjusted retroactively to reflect the value of the undelivered air transportation deliverables at the date of the contract modification. As a result, the company recorded a retroactive, one-time non-cash income adjustment to revenue of $107 million in the second quarter of 2011.</w:t>
      </w:r>
    </w:p>
    <w:p>
      <w:pPr>
        <w:spacing w:after="0" w:line="40" w:lineRule="exact"/>
        <w:rPr>
          <w:sz w:val="20"/>
          <w:szCs w:val="20"/>
          <w:color w:val="auto"/>
        </w:rPr>
      </w:pPr>
    </w:p>
    <w:p>
      <w:pPr>
        <w:ind w:left="460" w:right="60"/>
        <w:spacing w:after="0" w:line="290" w:lineRule="auto"/>
        <w:rPr>
          <w:sz w:val="20"/>
          <w:szCs w:val="20"/>
          <w:color w:val="auto"/>
        </w:rPr>
      </w:pPr>
      <w:r>
        <w:rPr>
          <w:rFonts w:ascii="Arial" w:cs="Arial" w:eastAsia="Arial" w:hAnsi="Arial"/>
          <w:sz w:val="16"/>
          <w:szCs w:val="16"/>
          <w:u w:val="single" w:color="auto"/>
          <w:color w:val="auto"/>
        </w:rPr>
        <w:t>Integration-related costs</w:t>
      </w:r>
      <w:r>
        <w:rPr>
          <w:rFonts w:ascii="Arial" w:cs="Arial" w:eastAsia="Arial" w:hAnsi="Arial"/>
          <w:sz w:val="16"/>
          <w:szCs w:val="16"/>
          <w:color w:val="auto"/>
        </w:rPr>
        <w:t>: Integration-related costs include compensation costs related to systems integration and training, costs to repaint aircraft and other branding activities, costs to write-off or accelerate depreciation on systems and facilities that are no longer used or planned to be used for significantly shorter periods, and severance primarily associated with administrative headcount reductions. In addition, the company recorded a liability of $49 million in the second quarter for the cost of one tranche of PBGC Contingent Senior Unsecured Notes. In addition, UAL recorded a liability of approximately $39 million in the fourth quarter for the cost of an additional tranche of PBGC Contingent Senior Unsecured Notes. The company classified the PBGC liabilities as integration-related costs since the financial results of UAL, excluding Continental’s results, would not have resulted in a triggering events under the 8% Notes indenture.</w:t>
      </w:r>
    </w:p>
    <w:p>
      <w:pPr>
        <w:spacing w:after="0" w:line="37" w:lineRule="exact"/>
        <w:rPr>
          <w:sz w:val="20"/>
          <w:szCs w:val="20"/>
          <w:color w:val="auto"/>
        </w:rPr>
      </w:pPr>
    </w:p>
    <w:p>
      <w:pPr>
        <w:ind w:left="460" w:right="440"/>
        <w:spacing w:after="0" w:line="357" w:lineRule="auto"/>
        <w:rPr>
          <w:sz w:val="20"/>
          <w:szCs w:val="20"/>
          <w:color w:val="auto"/>
        </w:rPr>
      </w:pPr>
      <w:r>
        <w:rPr>
          <w:rFonts w:ascii="Arial" w:cs="Arial" w:eastAsia="Arial" w:hAnsi="Arial"/>
          <w:sz w:val="15"/>
          <w:szCs w:val="15"/>
          <w:u w:val="single" w:color="auto"/>
          <w:color w:val="auto"/>
        </w:rPr>
        <w:t>Gains on sales of assets and other special charges, net:</w:t>
      </w:r>
      <w:r>
        <w:rPr>
          <w:rFonts w:ascii="Arial" w:cs="Arial" w:eastAsia="Arial" w:hAnsi="Arial"/>
          <w:sz w:val="15"/>
          <w:szCs w:val="15"/>
          <w:color w:val="auto"/>
        </w:rPr>
        <w:t xml:space="preserve"> Other special charges for the three months and year ended December 31, 2011 include costs to terminate a maintenance service contract early, adjustments to reserves for certain legal matters and gains and losses on the disposal of aircraft.</w:t>
      </w:r>
    </w:p>
    <w:p>
      <w:pPr>
        <w:ind w:left="460" w:right="20" w:hanging="452"/>
        <w:spacing w:after="0" w:line="255"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federal income tax expense was recognized related to our pretax income for the year ended December 31, 2011 due to the utilization of book net operating loss carry forwards for which no benefit has previously been recognized. We are required to provide a valuation allowance for our deferred tax assets in excess of deferred tax liabilities because UAL concluded that it is more likely than not that such deferred tax assets will ultimately not be realized. As a result, pre-tax losses for the three months ended December 31, 2012 and 2011 and the year ended December 31, 2012 were not reduced by any tax benefits.</w:t>
      </w:r>
    </w:p>
    <w:p>
      <w:pPr>
        <w:sectPr>
          <w:pgSz w:w="11900" w:h="16838" w:orient="portrait"/>
          <w:cols w:equalWidth="0" w:num="1">
            <w:col w:w="11400"/>
          </w:cols>
          <w:pgMar w:left="240" w:top="280"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UAL ANNOUNCES FULL-YEAR AND FOURTH-QUARTER 2012 RESULTS / PAGE 11</w:t>
      </w:r>
    </w:p>
    <w:p>
      <w:pPr>
        <w:spacing w:after="0" w:line="152"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UNITED CONTINENTAL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STATISTICS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560"/>
              <w:spacing w:after="0"/>
              <w:rPr>
                <w:sz w:val="20"/>
                <w:szCs w:val="20"/>
                <w:color w:val="auto"/>
              </w:rPr>
            </w:pPr>
            <w:r>
              <w:rPr>
                <w:rFonts w:ascii="Arial" w:cs="Arial" w:eastAsia="Arial" w:hAnsi="Arial"/>
                <w:sz w:val="14"/>
                <w:szCs w:val="14"/>
                <w:color w:val="auto"/>
                <w:w w:val="99"/>
              </w:rPr>
              <w:t>Three Months Ended</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6"/>
              </w:rPr>
              <w:t>%</w:t>
            </w:r>
          </w:p>
        </w:tc>
        <w:tc>
          <w:tcPr>
            <w:tcW w:w="460" w:type="dxa"/>
            <w:vAlign w:val="bottom"/>
          </w:tcPr>
          <w:p>
            <w:pPr>
              <w:spacing w:after="0"/>
              <w:rPr>
                <w:sz w:val="14"/>
                <w:szCs w:val="14"/>
                <w:color w:val="auto"/>
              </w:rPr>
            </w:pPr>
          </w:p>
        </w:tc>
        <w:tc>
          <w:tcPr>
            <w:tcW w:w="2080" w:type="dxa"/>
            <w:vAlign w:val="bottom"/>
            <w:gridSpan w:val="5"/>
          </w:tcPr>
          <w:p>
            <w:pPr>
              <w:jc w:val="right"/>
              <w:ind w:right="920"/>
              <w:spacing w:after="0"/>
              <w:rPr>
                <w:sz w:val="20"/>
                <w:szCs w:val="20"/>
                <w:color w:val="auto"/>
              </w:rPr>
            </w:pPr>
            <w:r>
              <w:rPr>
                <w:rFonts w:ascii="Arial" w:cs="Arial" w:eastAsia="Arial" w:hAnsi="Arial"/>
                <w:sz w:val="14"/>
                <w:szCs w:val="14"/>
                <w:color w:val="auto"/>
              </w:rPr>
              <w:t>Year Ended</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79"/>
              </w:rPr>
              <w:t>%</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gridSpan w:val="5"/>
            <w:vMerge w:val="restart"/>
          </w:tcPr>
          <w:p>
            <w:pPr>
              <w:jc w:val="right"/>
              <w:ind w:right="740"/>
              <w:spacing w:after="0" w:line="159" w:lineRule="exact"/>
              <w:rPr>
                <w:sz w:val="20"/>
                <w:szCs w:val="20"/>
                <w:color w:val="auto"/>
              </w:rPr>
            </w:pPr>
            <w:r>
              <w:rPr>
                <w:rFonts w:ascii="Arial" w:cs="Arial" w:eastAsia="Arial" w:hAnsi="Arial"/>
                <w:sz w:val="14"/>
                <w:szCs w:val="14"/>
                <w:color w:val="auto"/>
              </w:rPr>
              <w:t>December 31,</w:t>
            </w:r>
          </w:p>
        </w:tc>
        <w:tc>
          <w:tcPr>
            <w:tcW w:w="60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2080" w:type="dxa"/>
            <w:vAlign w:val="bottom"/>
            <w:gridSpan w:val="5"/>
            <w:vMerge w:val="restart"/>
          </w:tcPr>
          <w:p>
            <w:pPr>
              <w:jc w:val="right"/>
              <w:ind w:right="840"/>
              <w:spacing w:after="0" w:line="159" w:lineRule="exact"/>
              <w:rPr>
                <w:sz w:val="20"/>
                <w:szCs w:val="20"/>
                <w:color w:val="auto"/>
              </w:rPr>
            </w:pPr>
            <w:r>
              <w:rPr>
                <w:rFonts w:ascii="Arial" w:cs="Arial" w:eastAsia="Arial" w:hAnsi="Arial"/>
                <w:sz w:val="14"/>
                <w:szCs w:val="14"/>
                <w:color w:val="auto"/>
              </w:rPr>
              <w:t>December 31,</w:t>
            </w:r>
          </w:p>
        </w:tc>
        <w:tc>
          <w:tcPr>
            <w:tcW w:w="58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5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80" w:type="dxa"/>
            <w:vAlign w:val="bottom"/>
            <w:gridSpan w:val="5"/>
            <w:vMerge w:val="continue"/>
          </w:tcPr>
          <w:p>
            <w:pPr>
              <w:spacing w:after="0"/>
              <w:rPr>
                <w:sz w:val="5"/>
                <w:szCs w:val="5"/>
                <w:color w:val="auto"/>
              </w:rPr>
            </w:pPr>
          </w:p>
        </w:tc>
        <w:tc>
          <w:tcPr>
            <w:tcW w:w="1060" w:type="dxa"/>
            <w:vAlign w:val="bottom"/>
            <w:gridSpan w:val="2"/>
            <w:vMerge w:val="restart"/>
          </w:tcPr>
          <w:p>
            <w:pPr>
              <w:jc w:val="center"/>
              <w:ind w:right="460"/>
              <w:spacing w:after="0" w:line="149" w:lineRule="exact"/>
              <w:rPr>
                <w:sz w:val="20"/>
                <w:szCs w:val="20"/>
                <w:color w:val="auto"/>
              </w:rPr>
            </w:pPr>
            <w:r>
              <w:rPr>
                <w:rFonts w:ascii="Arial" w:cs="Arial" w:eastAsia="Arial" w:hAnsi="Arial"/>
                <w:sz w:val="14"/>
                <w:szCs w:val="14"/>
                <w:color w:val="auto"/>
                <w:w w:val="83"/>
              </w:rPr>
              <w:t>Increase/</w:t>
            </w:r>
          </w:p>
        </w:tc>
        <w:tc>
          <w:tcPr>
            <w:tcW w:w="2080" w:type="dxa"/>
            <w:vAlign w:val="bottom"/>
            <w:gridSpan w:val="5"/>
            <w:vMerge w:val="continue"/>
          </w:tcPr>
          <w:p>
            <w:pPr>
              <w:spacing w:after="0"/>
              <w:rPr>
                <w:sz w:val="5"/>
                <w:szCs w:val="5"/>
                <w:color w:val="auto"/>
              </w:rPr>
            </w:pPr>
          </w:p>
        </w:tc>
        <w:tc>
          <w:tcPr>
            <w:tcW w:w="94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color w:val="auto"/>
                <w:w w:val="86"/>
              </w:rPr>
              <w:t>Increase/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5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680" w:type="dxa"/>
            <w:vAlign w:val="bottom"/>
            <w:gridSpan w:val="2"/>
          </w:tcPr>
          <w:p>
            <w:pPr>
              <w:jc w:val="right"/>
              <w:ind w:right="92"/>
              <w:spacing w:after="0" w:line="159" w:lineRule="exact"/>
              <w:rPr>
                <w:sz w:val="20"/>
                <w:szCs w:val="20"/>
                <w:color w:val="auto"/>
              </w:rPr>
            </w:pPr>
            <w:r>
              <w:rPr>
                <w:rFonts w:ascii="Arial" w:cs="Arial" w:eastAsia="Arial" w:hAnsi="Arial"/>
                <w:sz w:val="14"/>
                <w:szCs w:val="14"/>
                <w:color w:val="auto"/>
              </w:rPr>
              <w:t>2012</w:t>
            </w:r>
          </w:p>
        </w:tc>
        <w:tc>
          <w:tcPr>
            <w:tcW w:w="240" w:type="dxa"/>
            <w:vAlign w:val="bottom"/>
          </w:tcPr>
          <w:p>
            <w:pPr>
              <w:spacing w:after="0"/>
              <w:rPr>
                <w:sz w:val="13"/>
                <w:szCs w:val="13"/>
                <w:color w:val="auto"/>
              </w:rPr>
            </w:pP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2011</w:t>
            </w:r>
          </w:p>
        </w:tc>
        <w:tc>
          <w:tcPr>
            <w:tcW w:w="360" w:type="dxa"/>
            <w:vAlign w:val="bottom"/>
          </w:tcPr>
          <w:p>
            <w:pPr>
              <w:spacing w:after="0"/>
              <w:rPr>
                <w:sz w:val="13"/>
                <w:szCs w:val="13"/>
                <w:color w:val="auto"/>
              </w:rPr>
            </w:pPr>
          </w:p>
        </w:tc>
        <w:tc>
          <w:tcPr>
            <w:tcW w:w="1060" w:type="dxa"/>
            <w:vAlign w:val="bottom"/>
            <w:gridSpan w:val="2"/>
          </w:tcPr>
          <w:p>
            <w:pPr>
              <w:jc w:val="center"/>
              <w:ind w:right="460"/>
              <w:spacing w:after="0" w:line="159" w:lineRule="exact"/>
              <w:rPr>
                <w:sz w:val="20"/>
                <w:szCs w:val="20"/>
                <w:color w:val="auto"/>
              </w:rPr>
            </w:pPr>
            <w:r>
              <w:rPr>
                <w:rFonts w:ascii="Arial" w:cs="Arial" w:eastAsia="Arial" w:hAnsi="Arial"/>
                <w:sz w:val="14"/>
                <w:szCs w:val="14"/>
                <w:color w:val="auto"/>
                <w:w w:val="86"/>
              </w:rPr>
              <w:t>(Decrease)</w:t>
            </w:r>
          </w:p>
        </w:tc>
        <w:tc>
          <w:tcPr>
            <w:tcW w:w="680" w:type="dxa"/>
            <w:vAlign w:val="bottom"/>
          </w:tcPr>
          <w:p>
            <w:pPr>
              <w:jc w:val="right"/>
              <w:ind w:right="134"/>
              <w:spacing w:after="0" w:line="159" w:lineRule="exact"/>
              <w:rPr>
                <w:sz w:val="20"/>
                <w:szCs w:val="20"/>
                <w:color w:val="auto"/>
              </w:rPr>
            </w:pPr>
            <w:r>
              <w:rPr>
                <w:rFonts w:ascii="Arial" w:cs="Arial" w:eastAsia="Arial" w:hAnsi="Arial"/>
                <w:sz w:val="14"/>
                <w:szCs w:val="14"/>
                <w:color w:val="auto"/>
              </w:rPr>
              <w:t>2012</w:t>
            </w:r>
          </w:p>
        </w:tc>
        <w:tc>
          <w:tcPr>
            <w:tcW w:w="240" w:type="dxa"/>
            <w:vAlign w:val="bottom"/>
          </w:tcPr>
          <w:p>
            <w:pPr>
              <w:spacing w:after="0"/>
              <w:rPr>
                <w:sz w:val="13"/>
                <w:szCs w:val="13"/>
                <w:color w:val="auto"/>
              </w:rPr>
            </w:pPr>
          </w:p>
        </w:tc>
        <w:tc>
          <w:tcPr>
            <w:tcW w:w="7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2011</w:t>
            </w:r>
          </w:p>
        </w:tc>
        <w:tc>
          <w:tcPr>
            <w:tcW w:w="380" w:type="dxa"/>
            <w:vAlign w:val="bottom"/>
          </w:tcPr>
          <w:p>
            <w:pPr>
              <w:spacing w:after="0"/>
              <w:rPr>
                <w:sz w:val="13"/>
                <w:szCs w:val="13"/>
                <w:color w:val="auto"/>
              </w:rPr>
            </w:pPr>
          </w:p>
        </w:tc>
        <w:tc>
          <w:tcPr>
            <w:tcW w:w="940" w:type="dxa"/>
            <w:vAlign w:val="bottom"/>
            <w:gridSpan w:val="2"/>
          </w:tcPr>
          <w:p>
            <w:pPr>
              <w:jc w:val="center"/>
              <w:ind w:right="360"/>
              <w:spacing w:after="0" w:line="159" w:lineRule="exact"/>
              <w:rPr>
                <w:sz w:val="20"/>
                <w:szCs w:val="20"/>
                <w:color w:val="auto"/>
              </w:rPr>
            </w:pPr>
            <w:r>
              <w:rPr>
                <w:rFonts w:ascii="Arial" w:cs="Arial" w:eastAsia="Arial" w:hAnsi="Arial"/>
                <w:sz w:val="14"/>
                <w:szCs w:val="14"/>
                <w:color w:val="auto"/>
                <w:w w:val="83"/>
              </w:rPr>
              <w:t>(Decrease)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Mainline:</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Passengers (thousands)</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21,811</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22,960</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(5.0)</w:t>
            </w:r>
          </w:p>
        </w:tc>
        <w:tc>
          <w:tcPr>
            <w:tcW w:w="680" w:type="dxa"/>
            <w:vAlign w:val="bottom"/>
          </w:tcPr>
          <w:p>
            <w:pPr>
              <w:jc w:val="right"/>
              <w:spacing w:after="0"/>
              <w:rPr>
                <w:sz w:val="20"/>
                <w:szCs w:val="20"/>
                <w:color w:val="auto"/>
              </w:rPr>
            </w:pPr>
            <w:r>
              <w:rPr>
                <w:rFonts w:ascii="Arial" w:cs="Arial" w:eastAsia="Arial" w:hAnsi="Arial"/>
                <w:sz w:val="18"/>
                <w:szCs w:val="18"/>
                <w:color w:val="auto"/>
              </w:rPr>
              <w:t>93,595</w:t>
            </w:r>
          </w:p>
        </w:tc>
        <w:tc>
          <w:tcPr>
            <w:tcW w:w="24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96,360</w:t>
            </w: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 passenger miles (millions)</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41,555</w:t>
            </w: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43,130</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179,416</w:t>
            </w:r>
          </w:p>
        </w:tc>
        <w:tc>
          <w:tcPr>
            <w:tcW w:w="2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181,763</w:t>
            </w: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Available seat miles (millions)</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50,376</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52,636</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(4.3)</w:t>
            </w:r>
          </w:p>
        </w:tc>
        <w:tc>
          <w:tcPr>
            <w:tcW w:w="680" w:type="dxa"/>
            <w:vAlign w:val="bottom"/>
          </w:tcPr>
          <w:p>
            <w:pPr>
              <w:jc w:val="right"/>
              <w:spacing w:after="0"/>
              <w:rPr>
                <w:sz w:val="20"/>
                <w:szCs w:val="20"/>
                <w:color w:val="auto"/>
              </w:rPr>
            </w:pPr>
            <w:r>
              <w:rPr>
                <w:rFonts w:ascii="Arial" w:cs="Arial" w:eastAsia="Arial" w:hAnsi="Arial"/>
                <w:sz w:val="18"/>
                <w:szCs w:val="18"/>
                <w:color w:val="auto"/>
              </w:rPr>
              <w:t>216,330</w:t>
            </w:r>
          </w:p>
        </w:tc>
        <w:tc>
          <w:tcPr>
            <w:tcW w:w="24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219,437</w:t>
            </w: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Cargo ton miles (millions)</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601</w:t>
            </w: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661</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2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2,646</w:t>
            </w: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Passenger load factor:</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Mainline</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82.5%</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81.9%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0.6pts.</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82.8%</w:t>
            </w: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0.1pts.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Domestic</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84.3%</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84.2%</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0.1pts.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84.9%</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85.1%</w:t>
            </w:r>
          </w:p>
        </w:tc>
        <w:tc>
          <w:tcPr>
            <w:tcW w:w="940" w:type="dxa"/>
            <w:vAlign w:val="bottom"/>
            <w:gridSpan w:val="2"/>
          </w:tcPr>
          <w:p>
            <w:pPr>
              <w:ind w:left="320"/>
              <w:spacing w:after="0"/>
              <w:rPr>
                <w:sz w:val="20"/>
                <w:szCs w:val="20"/>
                <w:color w:val="auto"/>
              </w:rPr>
            </w:pPr>
            <w:r>
              <w:rPr>
                <w:rFonts w:ascii="Arial" w:cs="Arial" w:eastAsia="Arial" w:hAnsi="Arial"/>
                <w:sz w:val="18"/>
                <w:szCs w:val="18"/>
                <w:color w:val="auto"/>
                <w:w w:val="90"/>
              </w:rPr>
              <w:t>(0.2)pts.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80.6%</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79.5%</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1.1pts.</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80.5%</w:t>
            </w: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0.4pts.</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Passenger revenue per available seat mile (cents)</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11.74</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11.77</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(0.3)</w:t>
            </w:r>
          </w:p>
        </w:tc>
        <w:tc>
          <w:tcPr>
            <w:tcW w:w="680" w:type="dxa"/>
            <w:vAlign w:val="bottom"/>
          </w:tcPr>
          <w:p>
            <w:pPr>
              <w:jc w:val="right"/>
              <w:spacing w:after="0"/>
              <w:rPr>
                <w:sz w:val="20"/>
                <w:szCs w:val="20"/>
                <w:color w:val="auto"/>
              </w:rPr>
            </w:pPr>
            <w:r>
              <w:rPr>
                <w:rFonts w:ascii="Arial" w:cs="Arial" w:eastAsia="Arial" w:hAnsi="Arial"/>
                <w:sz w:val="18"/>
                <w:szCs w:val="18"/>
                <w:color w:val="auto"/>
              </w:rPr>
              <w:t>11.93</w:t>
            </w:r>
          </w:p>
        </w:tc>
        <w:tc>
          <w:tcPr>
            <w:tcW w:w="240" w:type="dxa"/>
            <w:vAlign w:val="bottom"/>
          </w:tcPr>
          <w:p>
            <w:pPr>
              <w:spacing w:after="0"/>
              <w:rPr>
                <w:sz w:val="24"/>
                <w:szCs w:val="24"/>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11.84</w:t>
            </w:r>
          </w:p>
        </w:tc>
        <w:tc>
          <w:tcPr>
            <w:tcW w:w="580" w:type="dxa"/>
            <w:vAlign w:val="bottom"/>
          </w:tcPr>
          <w:p>
            <w:pPr>
              <w:ind w:left="360"/>
              <w:spacing w:after="0"/>
              <w:rPr>
                <w:sz w:val="20"/>
                <w:szCs w:val="20"/>
                <w:color w:val="auto"/>
              </w:rPr>
            </w:pPr>
            <w:r>
              <w:rPr>
                <w:rFonts w:ascii="Arial" w:cs="Arial" w:eastAsia="Arial" w:hAnsi="Arial"/>
                <w:sz w:val="18"/>
                <w:szCs w:val="18"/>
                <w:color w:val="auto"/>
                <w:w w:val="79"/>
              </w:rPr>
              <w:t>0.8</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yield per revenue passenger mile (cents)</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14.23</w:t>
            </w: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14.36</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2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14.29</w:t>
            </w:r>
          </w:p>
        </w:tc>
        <w:tc>
          <w:tcPr>
            <w:tcW w:w="5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0.6</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Average fare per passenger</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$271.10</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$269.82</w:t>
            </w: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4"/>
              </w:rPr>
              <w:t>$ 275.70</w:t>
            </w:r>
          </w:p>
        </w:tc>
        <w:tc>
          <w:tcPr>
            <w:tcW w:w="240" w:type="dxa"/>
            <w:vAlign w:val="bottom"/>
          </w:tcPr>
          <w:p>
            <w:pPr>
              <w:spacing w:after="0"/>
              <w:rPr>
                <w:sz w:val="19"/>
                <w:szCs w:val="19"/>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$ 269.56</w:t>
            </w:r>
          </w:p>
        </w:tc>
        <w:tc>
          <w:tcPr>
            <w:tcW w:w="580" w:type="dxa"/>
            <w:vAlign w:val="bottom"/>
          </w:tcPr>
          <w:p>
            <w:pPr>
              <w:ind w:left="360"/>
              <w:spacing w:after="0"/>
              <w:rPr>
                <w:sz w:val="20"/>
                <w:szCs w:val="20"/>
                <w:color w:val="auto"/>
              </w:rPr>
            </w:pPr>
            <w:r>
              <w:rPr>
                <w:rFonts w:ascii="Arial" w:cs="Arial" w:eastAsia="Arial" w:hAnsi="Arial"/>
                <w:sz w:val="18"/>
                <w:szCs w:val="18"/>
                <w:color w:val="auto"/>
                <w:w w:val="79"/>
              </w:rPr>
              <w:t>2.3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per available seat mile (CASM) (cents):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CASM (a)</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15.06</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13.88</w:t>
            </w:r>
          </w:p>
        </w:tc>
        <w:tc>
          <w:tcPr>
            <w:tcW w:w="600" w:type="dxa"/>
            <w:vAlign w:val="bottom"/>
          </w:tcPr>
          <w:p>
            <w:pPr>
              <w:jc w:val="right"/>
              <w:spacing w:after="0"/>
              <w:rPr>
                <w:sz w:val="20"/>
                <w:szCs w:val="20"/>
                <w:color w:val="auto"/>
              </w:rPr>
            </w:pPr>
            <w:r>
              <w:rPr>
                <w:rFonts w:ascii="Arial" w:cs="Arial" w:eastAsia="Arial" w:hAnsi="Arial"/>
                <w:sz w:val="18"/>
                <w:szCs w:val="18"/>
                <w:color w:val="auto"/>
              </w:rPr>
              <w:t>8.5</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14.12</w:t>
            </w:r>
          </w:p>
        </w:tc>
        <w:tc>
          <w:tcPr>
            <w:tcW w:w="24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13.15</w:t>
            </w:r>
          </w:p>
        </w:tc>
        <w:tc>
          <w:tcPr>
            <w:tcW w:w="580" w:type="dxa"/>
            <w:vAlign w:val="bottom"/>
          </w:tcPr>
          <w:p>
            <w:pPr>
              <w:ind w:left="360"/>
              <w:spacing w:after="0"/>
              <w:rPr>
                <w:sz w:val="20"/>
                <w:szCs w:val="20"/>
                <w:color w:val="auto"/>
              </w:rPr>
            </w:pPr>
            <w:r>
              <w:rPr>
                <w:rFonts w:ascii="Arial" w:cs="Arial" w:eastAsia="Arial" w:hAnsi="Arial"/>
                <w:sz w:val="18"/>
                <w:szCs w:val="18"/>
                <w:color w:val="auto"/>
                <w:w w:val="79"/>
              </w:rPr>
              <w:t>7.4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CASM, excluding special charges (b)</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14.19</w:t>
            </w: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13.41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2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12.88</w:t>
            </w:r>
          </w:p>
        </w:tc>
        <w:tc>
          <w:tcPr>
            <w:tcW w:w="5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4.9</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w w:val="89"/>
              </w:rPr>
              <w:t>CASM, excluding special charges and third-party business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640"/>
              <w:spacing w:after="0"/>
              <w:rPr>
                <w:sz w:val="20"/>
                <w:szCs w:val="20"/>
                <w:color w:val="auto"/>
              </w:rPr>
            </w:pPr>
            <w:r>
              <w:rPr>
                <w:rFonts w:ascii="Arial" w:cs="Arial" w:eastAsia="Arial" w:hAnsi="Arial"/>
                <w:sz w:val="18"/>
                <w:szCs w:val="18"/>
                <w:color w:val="auto"/>
              </w:rPr>
              <w:t>(b)</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13.95</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13.29</w:t>
            </w: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13.37</w:t>
            </w:r>
          </w:p>
        </w:tc>
        <w:tc>
          <w:tcPr>
            <w:tcW w:w="240" w:type="dxa"/>
            <w:vAlign w:val="bottom"/>
          </w:tcPr>
          <w:p>
            <w:pPr>
              <w:spacing w:after="0"/>
              <w:rPr>
                <w:sz w:val="19"/>
                <w:szCs w:val="19"/>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12.77</w:t>
            </w:r>
          </w:p>
        </w:tc>
        <w:tc>
          <w:tcPr>
            <w:tcW w:w="580" w:type="dxa"/>
            <w:vAlign w:val="bottom"/>
          </w:tcPr>
          <w:p>
            <w:pPr>
              <w:ind w:left="360"/>
              <w:spacing w:after="0"/>
              <w:rPr>
                <w:sz w:val="20"/>
                <w:szCs w:val="20"/>
                <w:color w:val="auto"/>
              </w:rPr>
            </w:pPr>
            <w:r>
              <w:rPr>
                <w:rFonts w:ascii="Arial" w:cs="Arial" w:eastAsia="Arial" w:hAnsi="Arial"/>
                <w:sz w:val="18"/>
                <w:szCs w:val="18"/>
                <w:color w:val="auto"/>
                <w:w w:val="79"/>
              </w:rPr>
              <w:t>4.7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CASM, excluding special charges, third-party business expenses and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fuel (b)</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8.96</w:t>
            </w: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8.52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2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8.24</w:t>
            </w:r>
          </w:p>
        </w:tc>
        <w:tc>
          <w:tcPr>
            <w:tcW w:w="5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2.2</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w w:val="99"/>
              </w:rPr>
              <w:t>CASM, holding fuel rate and profit sharing constant, excluding</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640"/>
              <w:spacing w:after="0"/>
              <w:rPr>
                <w:sz w:val="20"/>
                <w:szCs w:val="20"/>
                <w:color w:val="auto"/>
              </w:rPr>
            </w:pPr>
            <w:r>
              <w:rPr>
                <w:rFonts w:ascii="Arial" w:cs="Arial" w:eastAsia="Arial" w:hAnsi="Arial"/>
                <w:sz w:val="18"/>
                <w:szCs w:val="18"/>
                <w:color w:val="auto"/>
              </w:rPr>
              <w:t>special charges and third-party business expenses (b)</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13.92</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13.29</w:t>
            </w: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13.03</w:t>
            </w:r>
          </w:p>
        </w:tc>
        <w:tc>
          <w:tcPr>
            <w:tcW w:w="240" w:type="dxa"/>
            <w:vAlign w:val="bottom"/>
          </w:tcPr>
          <w:p>
            <w:pPr>
              <w:spacing w:after="0"/>
              <w:rPr>
                <w:sz w:val="19"/>
                <w:szCs w:val="19"/>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12.77</w:t>
            </w:r>
          </w:p>
        </w:tc>
        <w:tc>
          <w:tcPr>
            <w:tcW w:w="580" w:type="dxa"/>
            <w:vAlign w:val="bottom"/>
          </w:tcPr>
          <w:p>
            <w:pPr>
              <w:ind w:left="360"/>
              <w:spacing w:after="0"/>
              <w:rPr>
                <w:sz w:val="20"/>
                <w:szCs w:val="20"/>
                <w:color w:val="auto"/>
              </w:rPr>
            </w:pPr>
            <w:r>
              <w:rPr>
                <w:rFonts w:ascii="Arial" w:cs="Arial" w:eastAsia="Arial" w:hAnsi="Arial"/>
                <w:sz w:val="18"/>
                <w:szCs w:val="18"/>
                <w:color w:val="auto"/>
                <w:w w:val="79"/>
              </w:rPr>
              <w:t>2.0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Mainline average aircraft fuel price per gallon excluding hedge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impacts (cents) (c)</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324.7</w:t>
            </w: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315.6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2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316.0</w:t>
            </w:r>
          </w:p>
        </w:tc>
        <w:tc>
          <w:tcPr>
            <w:tcW w:w="5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2.2</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Mainline average aircraft fuel price per gallon (cents) (c)</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329.2</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318.5</w:t>
            </w: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327.1</w:t>
            </w:r>
          </w:p>
        </w:tc>
        <w:tc>
          <w:tcPr>
            <w:tcW w:w="24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300.8</w:t>
            </w:r>
          </w:p>
        </w:tc>
        <w:tc>
          <w:tcPr>
            <w:tcW w:w="580" w:type="dxa"/>
            <w:vAlign w:val="bottom"/>
          </w:tcPr>
          <w:p>
            <w:pPr>
              <w:ind w:left="360"/>
              <w:spacing w:after="0"/>
              <w:rPr>
                <w:sz w:val="20"/>
                <w:szCs w:val="20"/>
                <w:color w:val="auto"/>
              </w:rPr>
            </w:pPr>
            <w:r>
              <w:rPr>
                <w:rFonts w:ascii="Arial" w:cs="Arial" w:eastAsia="Arial" w:hAnsi="Arial"/>
                <w:sz w:val="18"/>
                <w:szCs w:val="18"/>
                <w:color w:val="auto"/>
                <w:w w:val="79"/>
              </w:rPr>
              <w:t>8.7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Mainline average aircraft fuel price per gallon including all gains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(losses) from settled hedges (cents) (c)</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329.2</w:t>
            </w: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316.0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2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302.6</w:t>
            </w:r>
          </w:p>
        </w:tc>
        <w:tc>
          <w:tcPr>
            <w:tcW w:w="5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8.1</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w w:val="95"/>
              </w:rPr>
              <w:t>Mainline average aircraft fuel price per gallon including all hedge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640"/>
              <w:spacing w:after="0"/>
              <w:rPr>
                <w:sz w:val="20"/>
                <w:szCs w:val="20"/>
                <w:color w:val="auto"/>
              </w:rPr>
            </w:pPr>
            <w:r>
              <w:rPr>
                <w:rFonts w:ascii="Arial" w:cs="Arial" w:eastAsia="Arial" w:hAnsi="Arial"/>
                <w:sz w:val="18"/>
                <w:szCs w:val="18"/>
                <w:color w:val="auto"/>
              </w:rPr>
              <w:t>impacts (cents) (c)</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325.4</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315.0</w:t>
            </w: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326.0</w:t>
            </w:r>
          </w:p>
        </w:tc>
        <w:tc>
          <w:tcPr>
            <w:tcW w:w="240" w:type="dxa"/>
            <w:vAlign w:val="bottom"/>
          </w:tcPr>
          <w:p>
            <w:pPr>
              <w:spacing w:after="0"/>
              <w:rPr>
                <w:sz w:val="19"/>
                <w:szCs w:val="19"/>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302.6</w:t>
            </w:r>
          </w:p>
        </w:tc>
        <w:tc>
          <w:tcPr>
            <w:tcW w:w="580" w:type="dxa"/>
            <w:vAlign w:val="bottom"/>
          </w:tcPr>
          <w:p>
            <w:pPr>
              <w:ind w:left="360"/>
              <w:spacing w:after="0"/>
              <w:rPr>
                <w:sz w:val="20"/>
                <w:szCs w:val="20"/>
                <w:color w:val="auto"/>
              </w:rPr>
            </w:pPr>
            <w:r>
              <w:rPr>
                <w:rFonts w:ascii="Arial" w:cs="Arial" w:eastAsia="Arial" w:hAnsi="Arial"/>
                <w:sz w:val="18"/>
                <w:szCs w:val="18"/>
                <w:color w:val="auto"/>
                <w:w w:val="79"/>
              </w:rPr>
              <w:t>7.7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Fuel gallons consumed (millions)</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764</w:t>
            </w: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789</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2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3,303</w:t>
            </w: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Aircraft in fleet at end of period</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702</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701</w:t>
            </w: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4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702</w:t>
            </w:r>
          </w:p>
        </w:tc>
        <w:tc>
          <w:tcPr>
            <w:tcW w:w="240" w:type="dxa"/>
            <w:vAlign w:val="bottom"/>
          </w:tcPr>
          <w:p>
            <w:pPr>
              <w:spacing w:after="0"/>
              <w:rPr>
                <w:sz w:val="24"/>
                <w:szCs w:val="24"/>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701</w:t>
            </w:r>
          </w:p>
        </w:tc>
        <w:tc>
          <w:tcPr>
            <w:tcW w:w="580" w:type="dxa"/>
            <w:vAlign w:val="bottom"/>
          </w:tcPr>
          <w:p>
            <w:pPr>
              <w:ind w:left="360"/>
              <w:spacing w:after="0"/>
              <w:rPr>
                <w:sz w:val="20"/>
                <w:szCs w:val="20"/>
                <w:color w:val="auto"/>
              </w:rPr>
            </w:pPr>
            <w:r>
              <w:rPr>
                <w:rFonts w:ascii="Arial" w:cs="Arial" w:eastAsia="Arial" w:hAnsi="Arial"/>
                <w:sz w:val="18"/>
                <w:szCs w:val="18"/>
                <w:color w:val="auto"/>
                <w:w w:val="79"/>
              </w:rPr>
              <w:t>0.1</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stage length (miles) (d)</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1,884</w:t>
            </w: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1,850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2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1,844</w:t>
            </w:r>
          </w:p>
        </w:tc>
        <w:tc>
          <w:tcPr>
            <w:tcW w:w="5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2.8</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Average daily utilization of each aircraft (hours)</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9:52</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10:14</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(3.6)</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10:38</w:t>
            </w: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10:42</w:t>
            </w: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Regional: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Passengers (thousands)</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11,444</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11,231</w:t>
            </w: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46,846</w:t>
            </w:r>
          </w:p>
        </w:tc>
        <w:tc>
          <w:tcPr>
            <w:tcW w:w="24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45,439</w:t>
            </w:r>
          </w:p>
        </w:tc>
        <w:tc>
          <w:tcPr>
            <w:tcW w:w="580" w:type="dxa"/>
            <w:vAlign w:val="bottom"/>
          </w:tcPr>
          <w:p>
            <w:pPr>
              <w:ind w:left="360"/>
              <w:spacing w:after="0"/>
              <w:rPr>
                <w:sz w:val="20"/>
                <w:szCs w:val="20"/>
                <w:color w:val="auto"/>
              </w:rPr>
            </w:pPr>
            <w:r>
              <w:rPr>
                <w:rFonts w:ascii="Arial" w:cs="Arial" w:eastAsia="Arial" w:hAnsi="Arial"/>
                <w:sz w:val="18"/>
                <w:szCs w:val="18"/>
                <w:color w:val="auto"/>
                <w:w w:val="79"/>
              </w:rPr>
              <w:t>3.1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 passenger miles (millions)</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6,311</w:t>
            </w: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6,339</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26,069</w:t>
            </w:r>
          </w:p>
        </w:tc>
        <w:tc>
          <w:tcPr>
            <w:tcW w:w="2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25,768</w:t>
            </w:r>
          </w:p>
        </w:tc>
        <w:tc>
          <w:tcPr>
            <w:tcW w:w="5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1.2</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Available seat miles (millions)</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7,790</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8,078</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(3.6)</w:t>
            </w:r>
          </w:p>
        </w:tc>
        <w:tc>
          <w:tcPr>
            <w:tcW w:w="680" w:type="dxa"/>
            <w:vAlign w:val="bottom"/>
          </w:tcPr>
          <w:p>
            <w:pPr>
              <w:jc w:val="right"/>
              <w:spacing w:after="0"/>
              <w:rPr>
                <w:sz w:val="20"/>
                <w:szCs w:val="20"/>
                <w:color w:val="auto"/>
              </w:rPr>
            </w:pPr>
            <w:r>
              <w:rPr>
                <w:rFonts w:ascii="Arial" w:cs="Arial" w:eastAsia="Arial" w:hAnsi="Arial"/>
                <w:sz w:val="18"/>
                <w:szCs w:val="18"/>
                <w:color w:val="auto"/>
              </w:rPr>
              <w:t>32,530</w:t>
            </w:r>
          </w:p>
        </w:tc>
        <w:tc>
          <w:tcPr>
            <w:tcW w:w="24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33,091</w:t>
            </w: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Passenger load factor</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81.0%</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78.5%</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2.5pts.</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77.9%</w:t>
            </w: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2.2pts.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Passenger revenue per available seat mile (cents)</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20.80</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20.05</w:t>
            </w: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20.84</w:t>
            </w:r>
          </w:p>
        </w:tc>
        <w:tc>
          <w:tcPr>
            <w:tcW w:w="24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19.75</w:t>
            </w:r>
          </w:p>
        </w:tc>
        <w:tc>
          <w:tcPr>
            <w:tcW w:w="580" w:type="dxa"/>
            <w:vAlign w:val="bottom"/>
          </w:tcPr>
          <w:p>
            <w:pPr>
              <w:ind w:left="360"/>
              <w:spacing w:after="0"/>
              <w:rPr>
                <w:sz w:val="20"/>
                <w:szCs w:val="20"/>
                <w:color w:val="auto"/>
              </w:rPr>
            </w:pPr>
            <w:r>
              <w:rPr>
                <w:rFonts w:ascii="Arial" w:cs="Arial" w:eastAsia="Arial" w:hAnsi="Arial"/>
                <w:sz w:val="18"/>
                <w:szCs w:val="18"/>
                <w:color w:val="auto"/>
                <w:w w:val="79"/>
              </w:rPr>
              <w:t>5.5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yield per revenue passenger mile (cents)</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25.67</w:t>
            </w: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25.56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2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25.36</w:t>
            </w:r>
          </w:p>
        </w:tc>
        <w:tc>
          <w:tcPr>
            <w:tcW w:w="5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2.5</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Aircraft in fleet at end of period</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551</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555</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(0.7)</w:t>
            </w:r>
          </w:p>
        </w:tc>
        <w:tc>
          <w:tcPr>
            <w:tcW w:w="680" w:type="dxa"/>
            <w:vAlign w:val="bottom"/>
          </w:tcPr>
          <w:p>
            <w:pPr>
              <w:jc w:val="right"/>
              <w:spacing w:after="0"/>
              <w:rPr>
                <w:sz w:val="20"/>
                <w:szCs w:val="20"/>
                <w:color w:val="auto"/>
              </w:rPr>
            </w:pPr>
            <w:r>
              <w:rPr>
                <w:rFonts w:ascii="Arial" w:cs="Arial" w:eastAsia="Arial" w:hAnsi="Arial"/>
                <w:sz w:val="18"/>
                <w:szCs w:val="18"/>
                <w:color w:val="auto"/>
              </w:rPr>
              <w:t>551</w:t>
            </w:r>
          </w:p>
        </w:tc>
        <w:tc>
          <w:tcPr>
            <w:tcW w:w="24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555</w:t>
            </w: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stage length (miles) (d)</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540</w:t>
            </w: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552</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555</w:t>
            </w: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UAL ANNOUNCES FULL-YEAR AND FOURTH-QUARTER 2012 RESULTS / PAGE 12</w:t>
      </w:r>
    </w:p>
    <w:p>
      <w:pPr>
        <w:spacing w:after="0" w:line="16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UNITED CONTINENTAL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STATISTICS (Continued)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840" w:type="dxa"/>
            <w:vAlign w:val="bottom"/>
            <w:gridSpan w:val="4"/>
          </w:tcPr>
          <w:p>
            <w:pPr>
              <w:jc w:val="right"/>
              <w:ind w:right="540"/>
              <w:spacing w:after="0"/>
              <w:rPr>
                <w:sz w:val="20"/>
                <w:szCs w:val="20"/>
                <w:color w:val="auto"/>
              </w:rPr>
            </w:pPr>
            <w:r>
              <w:rPr>
                <w:rFonts w:ascii="Arial" w:cs="Arial" w:eastAsia="Arial" w:hAnsi="Arial"/>
                <w:sz w:val="14"/>
                <w:szCs w:val="14"/>
                <w:color w:val="auto"/>
                <w:w w:val="97"/>
              </w:rPr>
              <w:t>Three Months Ended</w:t>
            </w:r>
          </w:p>
        </w:tc>
        <w:tc>
          <w:tcPr>
            <w:tcW w:w="600" w:type="dxa"/>
            <w:vAlign w:val="bottom"/>
          </w:tcPr>
          <w:p>
            <w:pPr>
              <w:jc w:val="center"/>
              <w:spacing w:after="0"/>
              <w:rPr>
                <w:sz w:val="20"/>
                <w:szCs w:val="20"/>
                <w:color w:val="auto"/>
              </w:rPr>
            </w:pPr>
            <w:r>
              <w:rPr>
                <w:rFonts w:ascii="Arial" w:cs="Arial" w:eastAsia="Arial" w:hAnsi="Arial"/>
                <w:sz w:val="14"/>
                <w:szCs w:val="14"/>
                <w:color w:val="auto"/>
                <w:w w:val="79"/>
              </w:rPr>
              <w:t>%</w:t>
            </w:r>
          </w:p>
        </w:tc>
        <w:tc>
          <w:tcPr>
            <w:tcW w:w="460" w:type="dxa"/>
            <w:vAlign w:val="bottom"/>
          </w:tcPr>
          <w:p>
            <w:pPr>
              <w:spacing w:after="0"/>
              <w:rPr>
                <w:sz w:val="14"/>
                <w:szCs w:val="14"/>
                <w:color w:val="auto"/>
              </w:rPr>
            </w:pPr>
          </w:p>
        </w:tc>
        <w:tc>
          <w:tcPr>
            <w:tcW w:w="2020" w:type="dxa"/>
            <w:vAlign w:val="bottom"/>
            <w:gridSpan w:val="4"/>
          </w:tcPr>
          <w:p>
            <w:pPr>
              <w:jc w:val="right"/>
              <w:ind w:right="880"/>
              <w:spacing w:after="0"/>
              <w:rPr>
                <w:sz w:val="20"/>
                <w:szCs w:val="20"/>
                <w:color w:val="auto"/>
              </w:rPr>
            </w:pPr>
            <w:r>
              <w:rPr>
                <w:rFonts w:ascii="Arial" w:cs="Arial" w:eastAsia="Arial" w:hAnsi="Arial"/>
                <w:sz w:val="14"/>
                <w:szCs w:val="14"/>
                <w:color w:val="auto"/>
              </w:rPr>
              <w:t>Year Ended</w:t>
            </w:r>
          </w:p>
        </w:tc>
        <w:tc>
          <w:tcPr>
            <w:tcW w:w="60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300" w:type="dxa"/>
            <w:vAlign w:val="bottom"/>
          </w:tcPr>
          <w:p>
            <w:pPr>
              <w:spacing w:after="0"/>
              <w:rPr>
                <w:sz w:val="14"/>
                <w:szCs w:val="14"/>
                <w:color w:val="auto"/>
              </w:rPr>
            </w:pPr>
          </w:p>
        </w:tc>
      </w:tr>
      <w:tr>
        <w:trPr>
          <w:trHeight w:val="159"/>
        </w:trPr>
        <w:tc>
          <w:tcPr>
            <w:tcW w:w="5600" w:type="dxa"/>
            <w:vAlign w:val="bottom"/>
          </w:tcPr>
          <w:p>
            <w:pPr>
              <w:spacing w:after="0"/>
              <w:rPr>
                <w:sz w:val="13"/>
                <w:szCs w:val="13"/>
                <w:color w:val="auto"/>
              </w:rPr>
            </w:pPr>
          </w:p>
        </w:tc>
        <w:tc>
          <w:tcPr>
            <w:tcW w:w="1840" w:type="dxa"/>
            <w:vAlign w:val="bottom"/>
            <w:gridSpan w:val="4"/>
          </w:tcPr>
          <w:p>
            <w:pPr>
              <w:jc w:val="right"/>
              <w:ind w:right="740"/>
              <w:spacing w:after="0" w:line="159" w:lineRule="exact"/>
              <w:rPr>
                <w:sz w:val="20"/>
                <w:szCs w:val="20"/>
                <w:color w:val="auto"/>
              </w:rPr>
            </w:pPr>
            <w:r>
              <w:rPr>
                <w:rFonts w:ascii="Arial" w:cs="Arial" w:eastAsia="Arial" w:hAnsi="Arial"/>
                <w:sz w:val="14"/>
                <w:szCs w:val="14"/>
                <w:color w:val="auto"/>
              </w:rPr>
              <w:t>December 31,</w:t>
            </w:r>
          </w:p>
        </w:tc>
        <w:tc>
          <w:tcPr>
            <w:tcW w:w="1060" w:type="dxa"/>
            <w:vAlign w:val="bottom"/>
            <w:gridSpan w:val="2"/>
          </w:tcPr>
          <w:p>
            <w:pPr>
              <w:jc w:val="center"/>
              <w:ind w:right="480"/>
              <w:spacing w:after="0" w:line="159" w:lineRule="exact"/>
              <w:rPr>
                <w:sz w:val="20"/>
                <w:szCs w:val="20"/>
                <w:color w:val="auto"/>
              </w:rPr>
            </w:pPr>
            <w:r>
              <w:rPr>
                <w:rFonts w:ascii="Arial" w:cs="Arial" w:eastAsia="Arial" w:hAnsi="Arial"/>
                <w:sz w:val="14"/>
                <w:szCs w:val="14"/>
                <w:color w:val="auto"/>
                <w:w w:val="86"/>
              </w:rPr>
              <w:t>Increase/</w:t>
            </w:r>
          </w:p>
        </w:tc>
        <w:tc>
          <w:tcPr>
            <w:tcW w:w="2020" w:type="dxa"/>
            <w:vAlign w:val="bottom"/>
            <w:gridSpan w:val="4"/>
          </w:tcPr>
          <w:p>
            <w:pPr>
              <w:jc w:val="right"/>
              <w:ind w:right="820"/>
              <w:spacing w:after="0" w:line="159" w:lineRule="exact"/>
              <w:rPr>
                <w:sz w:val="20"/>
                <w:szCs w:val="20"/>
                <w:color w:val="auto"/>
              </w:rPr>
            </w:pPr>
            <w:r>
              <w:rPr>
                <w:rFonts w:ascii="Arial" w:cs="Arial" w:eastAsia="Arial" w:hAnsi="Arial"/>
                <w:sz w:val="14"/>
                <w:szCs w:val="14"/>
                <w:color w:val="auto"/>
              </w:rPr>
              <w:t>December 31,</w:t>
            </w:r>
          </w:p>
        </w:tc>
        <w:tc>
          <w:tcPr>
            <w:tcW w:w="90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83"/>
              </w:rPr>
              <w:t>Increase/</w:t>
            </w:r>
          </w:p>
        </w:tc>
      </w:tr>
      <w:tr>
        <w:trPr>
          <w:trHeight w:val="142"/>
        </w:trPr>
        <w:tc>
          <w:tcPr>
            <w:tcW w:w="5600" w:type="dxa"/>
            <w:vAlign w:val="bottom"/>
          </w:tcPr>
          <w:p>
            <w:pPr>
              <w:spacing w:after="0"/>
              <w:rPr>
                <w:sz w:val="12"/>
                <w:szCs w:val="12"/>
                <w:color w:val="auto"/>
              </w:rPr>
            </w:pPr>
          </w:p>
        </w:tc>
        <w:tc>
          <w:tcPr>
            <w:tcW w:w="54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color w:val="auto"/>
              </w:rPr>
              <w:t>2012</w:t>
            </w:r>
          </w:p>
        </w:tc>
        <w:tc>
          <w:tcPr>
            <w:tcW w:w="3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2011</w:t>
            </w:r>
          </w:p>
        </w:tc>
        <w:tc>
          <w:tcPr>
            <w:tcW w:w="380" w:type="dxa"/>
            <w:vAlign w:val="bottom"/>
          </w:tcPr>
          <w:p>
            <w:pPr>
              <w:spacing w:after="0"/>
              <w:rPr>
                <w:sz w:val="12"/>
                <w:szCs w:val="12"/>
                <w:color w:val="auto"/>
              </w:rPr>
            </w:pPr>
          </w:p>
        </w:tc>
        <w:tc>
          <w:tcPr>
            <w:tcW w:w="1060" w:type="dxa"/>
            <w:vAlign w:val="bottom"/>
            <w:gridSpan w:val="2"/>
          </w:tcPr>
          <w:p>
            <w:pPr>
              <w:jc w:val="center"/>
              <w:ind w:right="480"/>
              <w:spacing w:after="0" w:line="142" w:lineRule="exact"/>
              <w:rPr>
                <w:sz w:val="20"/>
                <w:szCs w:val="20"/>
                <w:color w:val="auto"/>
              </w:rPr>
            </w:pPr>
            <w:r>
              <w:rPr>
                <w:rFonts w:ascii="Arial" w:cs="Arial" w:eastAsia="Arial" w:hAnsi="Arial"/>
                <w:sz w:val="14"/>
                <w:szCs w:val="14"/>
                <w:color w:val="auto"/>
                <w:w w:val="83"/>
              </w:rPr>
              <w:t>(Decrease)</w:t>
            </w:r>
          </w:p>
        </w:tc>
        <w:tc>
          <w:tcPr>
            <w:tcW w:w="64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color w:val="auto"/>
              </w:rPr>
              <w:t>2012</w:t>
            </w:r>
          </w:p>
        </w:tc>
        <w:tc>
          <w:tcPr>
            <w:tcW w:w="3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2011</w:t>
            </w:r>
          </w:p>
        </w:tc>
        <w:tc>
          <w:tcPr>
            <w:tcW w:w="360" w:type="dxa"/>
            <w:vAlign w:val="bottom"/>
          </w:tcPr>
          <w:p>
            <w:pPr>
              <w:spacing w:after="0"/>
              <w:rPr>
                <w:sz w:val="12"/>
                <w:szCs w:val="12"/>
                <w:color w:val="auto"/>
              </w:rPr>
            </w:pPr>
          </w:p>
        </w:tc>
        <w:tc>
          <w:tcPr>
            <w:tcW w:w="900" w:type="dxa"/>
            <w:vAlign w:val="bottom"/>
            <w:gridSpan w:val="2"/>
          </w:tcPr>
          <w:p>
            <w:pPr>
              <w:jc w:val="center"/>
              <w:ind w:right="280"/>
              <w:spacing w:after="0" w:line="142" w:lineRule="exact"/>
              <w:rPr>
                <w:sz w:val="20"/>
                <w:szCs w:val="20"/>
                <w:color w:val="auto"/>
              </w:rPr>
            </w:pPr>
            <w:r>
              <w:rPr>
                <w:rFonts w:ascii="Arial" w:cs="Arial" w:eastAsia="Arial" w:hAnsi="Arial"/>
                <w:sz w:val="14"/>
                <w:szCs w:val="14"/>
                <w:color w:val="auto"/>
                <w:w w:val="83"/>
              </w:rPr>
              <w:t>(Decrease)</w:t>
            </w:r>
          </w:p>
        </w:tc>
      </w:tr>
      <w:tr>
        <w:trPr>
          <w:trHeight w:val="196"/>
        </w:trPr>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(Mainline and Regional):</w:t>
            </w: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r>
      <w:tr>
        <w:trPr>
          <w:trHeight w:val="216"/>
        </w:trPr>
        <w:tc>
          <w:tcPr>
            <w:tcW w:w="5600" w:type="dxa"/>
            <w:vAlign w:val="bottom"/>
          </w:tcPr>
          <w:p>
            <w:pPr>
              <w:ind w:left="440"/>
              <w:spacing w:after="0"/>
              <w:rPr>
                <w:sz w:val="20"/>
                <w:szCs w:val="20"/>
                <w:color w:val="auto"/>
              </w:rPr>
            </w:pPr>
            <w:r>
              <w:rPr>
                <w:rFonts w:ascii="Arial" w:cs="Arial" w:eastAsia="Arial" w:hAnsi="Arial"/>
                <w:sz w:val="18"/>
                <w:szCs w:val="18"/>
                <w:color w:val="auto"/>
              </w:rPr>
              <w:t>Passengers (thousands)</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33,255</w:t>
            </w:r>
          </w:p>
        </w:tc>
        <w:tc>
          <w:tcPr>
            <w:tcW w:w="3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34,191</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(2.7)</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140,441</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141,799</w:t>
            </w:r>
          </w:p>
        </w:tc>
        <w:tc>
          <w:tcPr>
            <w:tcW w:w="3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Revenue passenger miles (millions)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47,866</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49,469</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205,485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207,531</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r>
      <w:tr>
        <w:trPr>
          <w:trHeight w:val="216"/>
        </w:trPr>
        <w:tc>
          <w:tcPr>
            <w:tcW w:w="5600" w:type="dxa"/>
            <w:vAlign w:val="bottom"/>
          </w:tcPr>
          <w:p>
            <w:pPr>
              <w:ind w:left="440"/>
              <w:spacing w:after="0"/>
              <w:rPr>
                <w:sz w:val="20"/>
                <w:szCs w:val="20"/>
                <w:color w:val="auto"/>
              </w:rPr>
            </w:pPr>
            <w:r>
              <w:rPr>
                <w:rFonts w:ascii="Arial" w:cs="Arial" w:eastAsia="Arial" w:hAnsi="Arial"/>
                <w:sz w:val="18"/>
                <w:szCs w:val="18"/>
                <w:color w:val="auto"/>
              </w:rPr>
              <w:t>Available seat miles (millions)</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58,166</w:t>
            </w:r>
          </w:p>
        </w:tc>
        <w:tc>
          <w:tcPr>
            <w:tcW w:w="3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60,714</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(4.2)</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248,860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252,528</w:t>
            </w:r>
          </w:p>
        </w:tc>
        <w:tc>
          <w:tcPr>
            <w:tcW w:w="3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Passenger load factor</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82.3%</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81.5%</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0.8pts.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0.4pts.</w:t>
            </w:r>
          </w:p>
        </w:tc>
      </w:tr>
      <w:tr>
        <w:trPr>
          <w:trHeight w:val="323"/>
        </w:trPr>
        <w:tc>
          <w:tcPr>
            <w:tcW w:w="5600" w:type="dxa"/>
            <w:vAlign w:val="bottom"/>
          </w:tcPr>
          <w:p>
            <w:pPr>
              <w:ind w:left="440"/>
              <w:spacing w:after="0"/>
              <w:rPr>
                <w:sz w:val="20"/>
                <w:szCs w:val="20"/>
                <w:color w:val="auto"/>
              </w:rPr>
            </w:pPr>
            <w:r>
              <w:rPr>
                <w:rFonts w:ascii="Arial" w:cs="Arial" w:eastAsia="Arial" w:hAnsi="Arial"/>
                <w:sz w:val="18"/>
                <w:szCs w:val="18"/>
                <w:color w:val="auto"/>
              </w:rPr>
              <w:t>Passenger revenue per available seat mile (cents)</w:t>
            </w:r>
          </w:p>
        </w:tc>
        <w:tc>
          <w:tcPr>
            <w:tcW w:w="540" w:type="dxa"/>
            <w:vAlign w:val="bottom"/>
          </w:tcPr>
          <w:p>
            <w:pPr>
              <w:jc w:val="right"/>
              <w:spacing w:after="0"/>
              <w:rPr>
                <w:sz w:val="20"/>
                <w:szCs w:val="20"/>
                <w:color w:val="auto"/>
              </w:rPr>
            </w:pPr>
            <w:r>
              <w:rPr>
                <w:rFonts w:ascii="Arial" w:cs="Arial" w:eastAsia="Arial" w:hAnsi="Arial"/>
                <w:sz w:val="18"/>
                <w:szCs w:val="18"/>
                <w:color w:val="auto"/>
              </w:rPr>
              <w:t>12.95</w:t>
            </w:r>
          </w:p>
        </w:tc>
        <w:tc>
          <w:tcPr>
            <w:tcW w:w="38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12.87</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0.6</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13.09</w:t>
            </w:r>
          </w:p>
        </w:tc>
        <w:tc>
          <w:tcPr>
            <w:tcW w:w="640" w:type="dxa"/>
            <w:vAlign w:val="bottom"/>
          </w:tcPr>
          <w:p>
            <w:pPr>
              <w:jc w:val="right"/>
              <w:spacing w:after="0"/>
              <w:rPr>
                <w:sz w:val="20"/>
                <w:szCs w:val="20"/>
                <w:color w:val="auto"/>
              </w:rPr>
            </w:pPr>
            <w:r>
              <w:rPr>
                <w:rFonts w:ascii="Arial" w:cs="Arial" w:eastAsia="Arial" w:hAnsi="Arial"/>
                <w:sz w:val="18"/>
                <w:szCs w:val="18"/>
                <w:color w:val="auto"/>
              </w:rPr>
              <w:t>12.87</w:t>
            </w: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4"/>
                <w:szCs w:val="24"/>
                <w:color w:val="auto"/>
              </w:rPr>
            </w:pPr>
          </w:p>
        </w:tc>
      </w:tr>
      <w:tr>
        <w:trPr>
          <w:trHeight w:val="217"/>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 per available seat miles (cents)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14.71</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14.93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r>
      <w:tr>
        <w:trPr>
          <w:trHeight w:val="222"/>
        </w:trPr>
        <w:tc>
          <w:tcPr>
            <w:tcW w:w="5600" w:type="dxa"/>
            <w:vAlign w:val="bottom"/>
          </w:tcPr>
          <w:p>
            <w:pPr>
              <w:ind w:left="440"/>
              <w:spacing w:after="0"/>
              <w:rPr>
                <w:sz w:val="20"/>
                <w:szCs w:val="20"/>
                <w:color w:val="auto"/>
              </w:rPr>
            </w:pPr>
            <w:r>
              <w:rPr>
                <w:rFonts w:ascii="Arial" w:cs="Arial" w:eastAsia="Arial" w:hAnsi="Arial"/>
                <w:sz w:val="18"/>
                <w:szCs w:val="18"/>
                <w:color w:val="auto"/>
              </w:rPr>
              <w:t>Average yield per revenue passenger mile (cents)</w:t>
            </w:r>
          </w:p>
        </w:tc>
        <w:tc>
          <w:tcPr>
            <w:tcW w:w="540" w:type="dxa"/>
            <w:vAlign w:val="bottom"/>
          </w:tcPr>
          <w:p>
            <w:pPr>
              <w:jc w:val="right"/>
              <w:spacing w:after="0"/>
              <w:rPr>
                <w:sz w:val="20"/>
                <w:szCs w:val="20"/>
                <w:color w:val="auto"/>
              </w:rPr>
            </w:pPr>
            <w:r>
              <w:rPr>
                <w:rFonts w:ascii="Arial" w:cs="Arial" w:eastAsia="Arial" w:hAnsi="Arial"/>
                <w:sz w:val="18"/>
                <w:szCs w:val="18"/>
                <w:color w:val="auto"/>
              </w:rPr>
              <w:t>15.74</w:t>
            </w:r>
          </w:p>
        </w:tc>
        <w:tc>
          <w:tcPr>
            <w:tcW w:w="38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15.80</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(0.4)</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15.86</w:t>
            </w:r>
          </w:p>
        </w:tc>
        <w:tc>
          <w:tcPr>
            <w:tcW w:w="640" w:type="dxa"/>
            <w:vAlign w:val="bottom"/>
          </w:tcPr>
          <w:p>
            <w:pPr>
              <w:jc w:val="right"/>
              <w:spacing w:after="0"/>
              <w:rPr>
                <w:sz w:val="20"/>
                <w:szCs w:val="20"/>
                <w:color w:val="auto"/>
              </w:rPr>
            </w:pPr>
            <w:r>
              <w:rPr>
                <w:rFonts w:ascii="Arial" w:cs="Arial" w:eastAsia="Arial" w:hAnsi="Arial"/>
                <w:sz w:val="18"/>
                <w:szCs w:val="18"/>
                <w:color w:val="auto"/>
              </w:rPr>
              <w:t>15.67</w:t>
            </w: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r>
      <w:tr>
        <w:trPr>
          <w:trHeight w:val="102"/>
        </w:trPr>
        <w:tc>
          <w:tcPr>
            <w:tcW w:w="5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CASM (a)</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14.63</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7.7</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14.91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spacing w:after="0"/>
              <w:rPr>
                <w:sz w:val="18"/>
                <w:szCs w:val="18"/>
                <w:color w:val="auto"/>
              </w:rPr>
            </w:pPr>
          </w:p>
        </w:tc>
      </w:tr>
      <w:tr>
        <w:trPr>
          <w:trHeight w:val="216"/>
        </w:trPr>
        <w:tc>
          <w:tcPr>
            <w:tcW w:w="5600" w:type="dxa"/>
            <w:vAlign w:val="bottom"/>
          </w:tcPr>
          <w:p>
            <w:pPr>
              <w:ind w:left="440"/>
              <w:spacing w:after="0"/>
              <w:rPr>
                <w:sz w:val="20"/>
                <w:szCs w:val="20"/>
                <w:color w:val="auto"/>
              </w:rPr>
            </w:pPr>
            <w:r>
              <w:rPr>
                <w:rFonts w:ascii="Arial" w:cs="Arial" w:eastAsia="Arial" w:hAnsi="Arial"/>
                <w:sz w:val="18"/>
                <w:szCs w:val="18"/>
                <w:color w:val="auto"/>
              </w:rPr>
              <w:t>CASM, excluding special charges (b)</w:t>
            </w:r>
          </w:p>
        </w:tc>
        <w:tc>
          <w:tcPr>
            <w:tcW w:w="540" w:type="dxa"/>
            <w:vAlign w:val="bottom"/>
          </w:tcPr>
          <w:p>
            <w:pPr>
              <w:jc w:val="right"/>
              <w:spacing w:after="0"/>
              <w:rPr>
                <w:sz w:val="20"/>
                <w:szCs w:val="20"/>
                <w:color w:val="auto"/>
              </w:rPr>
            </w:pPr>
            <w:r>
              <w:rPr>
                <w:rFonts w:ascii="Arial" w:cs="Arial" w:eastAsia="Arial" w:hAnsi="Arial"/>
                <w:sz w:val="18"/>
                <w:szCs w:val="18"/>
                <w:color w:val="auto"/>
              </w:rPr>
              <w:t>15.01</w:t>
            </w:r>
          </w:p>
        </w:tc>
        <w:tc>
          <w:tcPr>
            <w:tcW w:w="3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14.22</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5.6</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14.38</w:t>
            </w:r>
          </w:p>
        </w:tc>
        <w:tc>
          <w:tcPr>
            <w:tcW w:w="640" w:type="dxa"/>
            <w:vAlign w:val="bottom"/>
          </w:tcPr>
          <w:p>
            <w:pPr>
              <w:jc w:val="right"/>
              <w:spacing w:after="0"/>
              <w:rPr>
                <w:sz w:val="20"/>
                <w:szCs w:val="20"/>
                <w:color w:val="auto"/>
              </w:rPr>
            </w:pPr>
            <w:r>
              <w:rPr>
                <w:rFonts w:ascii="Arial" w:cs="Arial" w:eastAsia="Arial" w:hAnsi="Arial"/>
                <w:sz w:val="18"/>
                <w:szCs w:val="18"/>
                <w:color w:val="auto"/>
              </w:rPr>
              <w:t>13.74</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r>
      <w:tr>
        <w:trPr>
          <w:trHeight w:val="208"/>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CASM, excluding special charges and third-party business expenses</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24"/>
        </w:trPr>
        <w:tc>
          <w:tcPr>
            <w:tcW w:w="5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14.12</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14.26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9"/>
                <w:szCs w:val="19"/>
                <w:color w:val="auto"/>
              </w:rPr>
            </w:pPr>
          </w:p>
        </w:tc>
      </w:tr>
      <w:tr>
        <w:trPr>
          <w:trHeight w:val="208"/>
        </w:trPr>
        <w:tc>
          <w:tcPr>
            <w:tcW w:w="5600" w:type="dxa"/>
            <w:vAlign w:val="bottom"/>
          </w:tcPr>
          <w:p>
            <w:pPr>
              <w:ind w:left="440"/>
              <w:spacing w:after="0"/>
              <w:rPr>
                <w:sz w:val="20"/>
                <w:szCs w:val="20"/>
                <w:color w:val="auto"/>
              </w:rPr>
            </w:pPr>
            <w:r>
              <w:rPr>
                <w:rFonts w:ascii="Arial" w:cs="Arial" w:eastAsia="Arial" w:hAnsi="Arial"/>
                <w:sz w:val="18"/>
                <w:szCs w:val="18"/>
                <w:color w:val="auto"/>
                <w:w w:val="93"/>
              </w:rPr>
              <w:t>CASM, excluding special charges, third-party business expenses and</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23"/>
        </w:trPr>
        <w:tc>
          <w:tcPr>
            <w:tcW w:w="5600" w:type="dxa"/>
            <w:vAlign w:val="bottom"/>
          </w:tcPr>
          <w:p>
            <w:pPr>
              <w:ind w:left="660"/>
              <w:spacing w:after="0"/>
              <w:rPr>
                <w:sz w:val="20"/>
                <w:szCs w:val="20"/>
                <w:color w:val="auto"/>
              </w:rPr>
            </w:pPr>
            <w:r>
              <w:rPr>
                <w:rFonts w:ascii="Arial" w:cs="Arial" w:eastAsia="Arial" w:hAnsi="Arial"/>
                <w:sz w:val="18"/>
                <w:szCs w:val="18"/>
                <w:color w:val="auto"/>
              </w:rPr>
              <w:t>fuel (b)</w:t>
            </w:r>
          </w:p>
        </w:tc>
        <w:tc>
          <w:tcPr>
            <w:tcW w:w="540" w:type="dxa"/>
            <w:vAlign w:val="bottom"/>
          </w:tcPr>
          <w:p>
            <w:pPr>
              <w:jc w:val="right"/>
              <w:spacing w:after="0"/>
              <w:rPr>
                <w:sz w:val="20"/>
                <w:szCs w:val="20"/>
                <w:color w:val="auto"/>
              </w:rPr>
            </w:pPr>
            <w:r>
              <w:rPr>
                <w:rFonts w:ascii="Arial" w:cs="Arial" w:eastAsia="Arial" w:hAnsi="Arial"/>
                <w:sz w:val="18"/>
                <w:szCs w:val="18"/>
                <w:color w:val="auto"/>
              </w:rPr>
              <w:t>9.48</w:t>
            </w:r>
          </w:p>
        </w:tc>
        <w:tc>
          <w:tcPr>
            <w:tcW w:w="38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9.01</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5.2</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8.98</w:t>
            </w:r>
          </w:p>
        </w:tc>
        <w:tc>
          <w:tcPr>
            <w:tcW w:w="640" w:type="dxa"/>
            <w:vAlign w:val="bottom"/>
          </w:tcPr>
          <w:p>
            <w:pPr>
              <w:jc w:val="right"/>
              <w:spacing w:after="0"/>
              <w:rPr>
                <w:sz w:val="20"/>
                <w:szCs w:val="20"/>
                <w:color w:val="auto"/>
              </w:rPr>
            </w:pPr>
            <w:r>
              <w:rPr>
                <w:rFonts w:ascii="Arial" w:cs="Arial" w:eastAsia="Arial" w:hAnsi="Arial"/>
                <w:sz w:val="18"/>
                <w:szCs w:val="18"/>
                <w:color w:val="auto"/>
              </w:rPr>
              <w:t>8.75</w:t>
            </w: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9"/>
                <w:szCs w:val="19"/>
                <w:color w:val="auto"/>
              </w:rPr>
            </w:pPr>
          </w:p>
        </w:tc>
      </w:tr>
      <w:tr>
        <w:trPr>
          <w:trHeight w:val="209"/>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CASM, holding fuel rate and profit sharing constant, excluding special</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24"/>
        </w:trPr>
        <w:tc>
          <w:tcPr>
            <w:tcW w:w="5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charges and third-party business expenses (b)</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14.12</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13.99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9"/>
                <w:szCs w:val="19"/>
                <w:color w:val="auto"/>
              </w:rPr>
            </w:pPr>
          </w:p>
        </w:tc>
      </w:tr>
      <w:tr>
        <w:trPr>
          <w:trHeight w:val="316"/>
        </w:trPr>
        <w:tc>
          <w:tcPr>
            <w:tcW w:w="5600" w:type="dxa"/>
            <w:vAlign w:val="bottom"/>
          </w:tcPr>
          <w:p>
            <w:pPr>
              <w:ind w:left="440"/>
              <w:spacing w:after="0"/>
              <w:rPr>
                <w:sz w:val="20"/>
                <w:szCs w:val="20"/>
                <w:color w:val="auto"/>
              </w:rPr>
            </w:pPr>
            <w:r>
              <w:rPr>
                <w:rFonts w:ascii="Arial" w:cs="Arial" w:eastAsia="Arial" w:hAnsi="Arial"/>
                <w:sz w:val="18"/>
                <w:szCs w:val="18"/>
                <w:color w:val="auto"/>
                <w:w w:val="96"/>
              </w:rPr>
              <w:t>Consolidated average aircraft fuel price per gallon excluding hedge</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23"/>
        </w:trPr>
        <w:tc>
          <w:tcPr>
            <w:tcW w:w="5600" w:type="dxa"/>
            <w:vAlign w:val="bottom"/>
          </w:tcPr>
          <w:p>
            <w:pPr>
              <w:ind w:left="660"/>
              <w:spacing w:after="0"/>
              <w:rPr>
                <w:sz w:val="20"/>
                <w:szCs w:val="20"/>
                <w:color w:val="auto"/>
              </w:rPr>
            </w:pPr>
            <w:r>
              <w:rPr>
                <w:rFonts w:ascii="Arial" w:cs="Arial" w:eastAsia="Arial" w:hAnsi="Arial"/>
                <w:sz w:val="18"/>
                <w:szCs w:val="18"/>
                <w:color w:val="auto"/>
              </w:rPr>
              <w:t>impacts (cents) (c)</w:t>
            </w:r>
          </w:p>
        </w:tc>
        <w:tc>
          <w:tcPr>
            <w:tcW w:w="540" w:type="dxa"/>
            <w:vAlign w:val="bottom"/>
          </w:tcPr>
          <w:p>
            <w:pPr>
              <w:jc w:val="right"/>
              <w:spacing w:after="0"/>
              <w:rPr>
                <w:sz w:val="20"/>
                <w:szCs w:val="20"/>
                <w:color w:val="auto"/>
              </w:rPr>
            </w:pPr>
            <w:r>
              <w:rPr>
                <w:rFonts w:ascii="Arial" w:cs="Arial" w:eastAsia="Arial" w:hAnsi="Arial"/>
                <w:sz w:val="18"/>
                <w:szCs w:val="18"/>
                <w:color w:val="auto"/>
              </w:rPr>
              <w:t>323.9</w:t>
            </w:r>
          </w:p>
        </w:tc>
        <w:tc>
          <w:tcPr>
            <w:tcW w:w="38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318.1</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1.8</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323.6</w:t>
            </w:r>
          </w:p>
        </w:tc>
        <w:tc>
          <w:tcPr>
            <w:tcW w:w="640" w:type="dxa"/>
            <w:vAlign w:val="bottom"/>
          </w:tcPr>
          <w:p>
            <w:pPr>
              <w:jc w:val="right"/>
              <w:spacing w:after="0"/>
              <w:rPr>
                <w:sz w:val="20"/>
                <w:szCs w:val="20"/>
                <w:color w:val="auto"/>
              </w:rPr>
            </w:pPr>
            <w:r>
              <w:rPr>
                <w:rFonts w:ascii="Arial" w:cs="Arial" w:eastAsia="Arial" w:hAnsi="Arial"/>
                <w:sz w:val="18"/>
                <w:szCs w:val="18"/>
                <w:color w:val="auto"/>
              </w:rPr>
              <w:t>318.9</w:t>
            </w: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r>
      <w:tr>
        <w:trPr>
          <w:trHeight w:val="217"/>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Consolidated average aircraft fuel price per gallon (cents) (c)</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320.4</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327.1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spacing w:after="0"/>
              <w:rPr>
                <w:sz w:val="18"/>
                <w:szCs w:val="18"/>
                <w:color w:val="auto"/>
              </w:rPr>
            </w:pPr>
          </w:p>
        </w:tc>
      </w:tr>
      <w:tr>
        <w:trPr>
          <w:trHeight w:val="208"/>
        </w:trPr>
        <w:tc>
          <w:tcPr>
            <w:tcW w:w="5600" w:type="dxa"/>
            <w:vAlign w:val="bottom"/>
          </w:tcPr>
          <w:p>
            <w:pPr>
              <w:ind w:left="440"/>
              <w:spacing w:after="0"/>
              <w:rPr>
                <w:sz w:val="20"/>
                <w:szCs w:val="20"/>
                <w:color w:val="auto"/>
              </w:rPr>
            </w:pPr>
            <w:r>
              <w:rPr>
                <w:rFonts w:ascii="Arial" w:cs="Arial" w:eastAsia="Arial" w:hAnsi="Arial"/>
                <w:sz w:val="18"/>
                <w:szCs w:val="18"/>
                <w:color w:val="auto"/>
                <w:w w:val="94"/>
              </w:rPr>
              <w:t>Consolidated average aircraft fuel price per gallon including all gains</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23"/>
        </w:trPr>
        <w:tc>
          <w:tcPr>
            <w:tcW w:w="5600" w:type="dxa"/>
            <w:vAlign w:val="bottom"/>
          </w:tcPr>
          <w:p>
            <w:pPr>
              <w:ind w:left="660"/>
              <w:spacing w:after="0"/>
              <w:rPr>
                <w:sz w:val="20"/>
                <w:szCs w:val="20"/>
                <w:color w:val="auto"/>
              </w:rPr>
            </w:pPr>
            <w:r>
              <w:rPr>
                <w:rFonts w:ascii="Arial" w:cs="Arial" w:eastAsia="Arial" w:hAnsi="Arial"/>
                <w:sz w:val="18"/>
                <w:szCs w:val="18"/>
                <w:color w:val="auto"/>
              </w:rPr>
              <w:t>(losses) from settled hedges (cents) (c)</w:t>
            </w:r>
          </w:p>
        </w:tc>
        <w:tc>
          <w:tcPr>
            <w:tcW w:w="540" w:type="dxa"/>
            <w:vAlign w:val="bottom"/>
          </w:tcPr>
          <w:p>
            <w:pPr>
              <w:jc w:val="right"/>
              <w:spacing w:after="0"/>
              <w:rPr>
                <w:sz w:val="20"/>
                <w:szCs w:val="20"/>
                <w:color w:val="auto"/>
              </w:rPr>
            </w:pPr>
            <w:r>
              <w:rPr>
                <w:rFonts w:ascii="Arial" w:cs="Arial" w:eastAsia="Arial" w:hAnsi="Arial"/>
                <w:sz w:val="18"/>
                <w:szCs w:val="18"/>
                <w:color w:val="auto"/>
              </w:rPr>
              <w:t>327.5</w:t>
            </w:r>
          </w:p>
        </w:tc>
        <w:tc>
          <w:tcPr>
            <w:tcW w:w="38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318.4</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2.9</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327.2</w:t>
            </w:r>
          </w:p>
        </w:tc>
        <w:tc>
          <w:tcPr>
            <w:tcW w:w="640" w:type="dxa"/>
            <w:vAlign w:val="bottom"/>
          </w:tcPr>
          <w:p>
            <w:pPr>
              <w:jc w:val="right"/>
              <w:spacing w:after="0"/>
              <w:rPr>
                <w:sz w:val="20"/>
                <w:szCs w:val="20"/>
                <w:color w:val="auto"/>
              </w:rPr>
            </w:pPr>
            <w:r>
              <w:rPr>
                <w:rFonts w:ascii="Arial" w:cs="Arial" w:eastAsia="Arial" w:hAnsi="Arial"/>
                <w:sz w:val="18"/>
                <w:szCs w:val="18"/>
                <w:color w:val="auto"/>
              </w:rPr>
              <w:t>307.9</w:t>
            </w: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9"/>
                <w:szCs w:val="19"/>
                <w:color w:val="auto"/>
              </w:rPr>
            </w:pPr>
          </w:p>
        </w:tc>
      </w:tr>
      <w:tr>
        <w:trPr>
          <w:trHeight w:val="209"/>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Consolidated average aircraft fuel price per gallon including all hedge</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24"/>
        </w:trPr>
        <w:tc>
          <w:tcPr>
            <w:tcW w:w="5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impacts (cents) (c)</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317.5</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326.2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9"/>
                <w:szCs w:val="19"/>
                <w:color w:val="auto"/>
              </w:rPr>
            </w:pPr>
          </w:p>
        </w:tc>
      </w:tr>
      <w:tr>
        <w:trPr>
          <w:trHeight w:val="216"/>
        </w:trPr>
        <w:tc>
          <w:tcPr>
            <w:tcW w:w="5600" w:type="dxa"/>
            <w:vAlign w:val="bottom"/>
          </w:tcPr>
          <w:p>
            <w:pPr>
              <w:ind w:left="440"/>
              <w:spacing w:after="0"/>
              <w:rPr>
                <w:sz w:val="20"/>
                <w:szCs w:val="20"/>
                <w:color w:val="auto"/>
              </w:rPr>
            </w:pPr>
            <w:r>
              <w:rPr>
                <w:rFonts w:ascii="Arial" w:cs="Arial" w:eastAsia="Arial" w:hAnsi="Arial"/>
                <w:sz w:val="18"/>
                <w:szCs w:val="18"/>
                <w:color w:val="auto"/>
              </w:rPr>
              <w:t>Fuel gallons consumed (millions)</w:t>
            </w:r>
          </w:p>
        </w:tc>
        <w:tc>
          <w:tcPr>
            <w:tcW w:w="540" w:type="dxa"/>
            <w:vAlign w:val="bottom"/>
          </w:tcPr>
          <w:p>
            <w:pPr>
              <w:jc w:val="right"/>
              <w:spacing w:after="0"/>
              <w:rPr>
                <w:sz w:val="20"/>
                <w:szCs w:val="20"/>
                <w:color w:val="auto"/>
              </w:rPr>
            </w:pPr>
            <w:r>
              <w:rPr>
                <w:rFonts w:ascii="Arial" w:cs="Arial" w:eastAsia="Arial" w:hAnsi="Arial"/>
                <w:sz w:val="18"/>
                <w:szCs w:val="18"/>
                <w:color w:val="auto"/>
              </w:rPr>
              <w:t>945</w:t>
            </w:r>
          </w:p>
        </w:tc>
        <w:tc>
          <w:tcPr>
            <w:tcW w:w="3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969</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(2.5)</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4,016</w:t>
            </w:r>
          </w:p>
        </w:tc>
        <w:tc>
          <w:tcPr>
            <w:tcW w:w="640" w:type="dxa"/>
            <w:vAlign w:val="bottom"/>
          </w:tcPr>
          <w:p>
            <w:pPr>
              <w:jc w:val="right"/>
              <w:spacing w:after="0"/>
              <w:rPr>
                <w:sz w:val="20"/>
                <w:szCs w:val="20"/>
                <w:color w:val="auto"/>
              </w:rPr>
            </w:pPr>
            <w:r>
              <w:rPr>
                <w:rFonts w:ascii="Arial" w:cs="Arial" w:eastAsia="Arial" w:hAnsi="Arial"/>
                <w:sz w:val="18"/>
                <w:szCs w:val="18"/>
                <w:color w:val="auto"/>
              </w:rPr>
              <w:t>4,038</w:t>
            </w:r>
          </w:p>
        </w:tc>
        <w:tc>
          <w:tcPr>
            <w:tcW w:w="3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Average full-time equivalent employees (thousands)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82.0</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impact of special charges (See Note C).</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financial measures provide management and investors the ability to monitor the company’s performance on a consistent basis.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Fuel price per gallon includes aircraft fuel and related taxes.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 stage length equals the average distance a seat travels adjusted for size of aircraft (available seat miles/seats).</w:t>
      </w:r>
    </w:p>
    <w:p>
      <w:pPr>
        <w:sectPr>
          <w:pgSz w:w="11900" w:h="16838" w:orient="portrait"/>
          <w:cols w:equalWidth="0" w:num="1">
            <w:col w:w="11420"/>
          </w:cols>
          <w:pgMar w:left="240" w:top="2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UAL ANNOUNCES FULL-YEAR AND FOURTH-QUARTER 2012 RESULTS / PAGE 13</w:t>
      </w:r>
    </w:p>
    <w:p>
      <w:pPr>
        <w:spacing w:after="0" w:line="152"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UNITED CONTINENTAL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NON-GAAP FINANCIAL RECONCILIATION</w:t>
      </w:r>
    </w:p>
    <w:p>
      <w:pPr>
        <w:spacing w:after="0" w:line="16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UAL evaluates its financial performance utilizing various GAAP and non-GAAP financial measures including net income/loss, net earnings/loss per share and CASM, among others. CASM is a common metric used in the airline industry to measure an airline’s cost structure and efficiency. Pursuant to SEC Regulation G, UAL has included the following reconciliation of reported non-GAAP financial measures to comparable financial measures reported on a GAAP basis. UAL believes that excluding fuel costs from certain measures is useful to investors because it provides an additional measure of management’s performance excluding the effects of a significant cost item over which management has limited influence. UAL also believes that adjusting for special items is useful to investors because they are non-recurring items not indicative of UAL’s on-going performance. UAL also believes that excluding third-party business expenses, such as maintenance, ground handling and catering services for third parties, fuel sales and non-air mileage redemptions, provides more meaningful disclosure because these expenses are not directly related to UAL’s core business.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460" w:type="dxa"/>
            <w:vAlign w:val="bottom"/>
            <w:gridSpan w:val="7"/>
          </w:tcPr>
          <w:p>
            <w:pPr>
              <w:jc w:val="right"/>
              <w:ind w:right="240"/>
              <w:spacing w:after="0"/>
              <w:rPr>
                <w:sz w:val="20"/>
                <w:szCs w:val="20"/>
                <w:color w:val="auto"/>
              </w:rPr>
            </w:pPr>
            <w:r>
              <w:rPr>
                <w:rFonts w:ascii="Arial" w:cs="Arial" w:eastAsia="Arial" w:hAnsi="Arial"/>
                <w:sz w:val="14"/>
                <w:szCs w:val="14"/>
                <w:color w:val="auto"/>
                <w:w w:val="91"/>
              </w:rPr>
              <w:t>Three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tcPr>
          <w:p>
            <w:pPr>
              <w:jc w:val="right"/>
              <w:ind w:right="540"/>
              <w:spacing w:after="0"/>
              <w:rPr>
                <w:sz w:val="20"/>
                <w:szCs w:val="20"/>
                <w:color w:val="auto"/>
              </w:rPr>
            </w:pPr>
            <w:r>
              <w:rPr>
                <w:rFonts w:ascii="Arial" w:cs="Arial" w:eastAsia="Arial" w:hAnsi="Arial"/>
                <w:sz w:val="14"/>
                <w:szCs w:val="14"/>
                <w:color w:val="auto"/>
              </w:rPr>
              <w:t>Year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80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3"/>
                <w:szCs w:val="13"/>
                <w:color w:val="auto"/>
              </w:rPr>
            </w:pPr>
          </w:p>
        </w:tc>
        <w:tc>
          <w:tcPr>
            <w:tcW w:w="1360" w:type="dxa"/>
            <w:vAlign w:val="bottom"/>
            <w:gridSpan w:val="6"/>
          </w:tcPr>
          <w:p>
            <w:pPr>
              <w:jc w:val="right"/>
              <w:ind w:right="440"/>
              <w:spacing w:after="0" w:line="159" w:lineRule="exact"/>
              <w:rPr>
                <w:sz w:val="20"/>
                <w:szCs w:val="20"/>
                <w:color w:val="auto"/>
              </w:rPr>
            </w:pPr>
            <w:r>
              <w:rPr>
                <w:rFonts w:ascii="Arial" w:cs="Arial" w:eastAsia="Arial" w:hAnsi="Arial"/>
                <w:sz w:val="14"/>
                <w:szCs w:val="14"/>
                <w:color w:val="auto"/>
              </w:rPr>
              <w:t>December 31,</w:t>
            </w:r>
          </w:p>
        </w:tc>
        <w:tc>
          <w:tcPr>
            <w:tcW w:w="100" w:type="dxa"/>
            <w:vAlign w:val="bottom"/>
          </w:tcPr>
          <w:p>
            <w:pPr>
              <w:spacing w:after="0"/>
              <w:rPr>
                <w:sz w:val="13"/>
                <w:szCs w:val="13"/>
                <w:color w:val="auto"/>
              </w:rPr>
            </w:pPr>
          </w:p>
        </w:tc>
        <w:tc>
          <w:tcPr>
            <w:tcW w:w="880" w:type="dxa"/>
            <w:vAlign w:val="bottom"/>
            <w:gridSpan w:val="3"/>
          </w:tcPr>
          <w:p>
            <w:pPr>
              <w:jc w:val="right"/>
              <w:ind w:right="340"/>
              <w:spacing w:after="0" w:line="159" w:lineRule="exact"/>
              <w:rPr>
                <w:sz w:val="20"/>
                <w:szCs w:val="20"/>
                <w:color w:val="auto"/>
              </w:rPr>
            </w:pPr>
            <w:r>
              <w:rPr>
                <w:rFonts w:ascii="Arial" w:cs="Arial" w:eastAsia="Arial" w:hAnsi="Arial"/>
                <w:sz w:val="14"/>
                <w:szCs w:val="14"/>
                <w:color w:val="auto"/>
                <w:w w:val="90"/>
              </w:rPr>
              <w:t>Increase/</w:t>
            </w:r>
          </w:p>
        </w:tc>
        <w:tc>
          <w:tcPr>
            <w:tcW w:w="7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w w:val="90"/>
              </w:rPr>
              <w:t>Increase/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6"/>
          </w:tcPr>
          <w:p>
            <w:pPr>
              <w:jc w:val="right"/>
              <w:ind w:right="480"/>
              <w:spacing w:after="0" w:line="159" w:lineRule="exact"/>
              <w:rPr>
                <w:sz w:val="20"/>
                <w:szCs w:val="20"/>
                <w:color w:val="auto"/>
              </w:rPr>
            </w:pPr>
            <w:r>
              <w:rPr>
                <w:rFonts w:ascii="Arial" w:cs="Arial" w:eastAsia="Arial" w:hAnsi="Arial"/>
                <w:sz w:val="14"/>
                <w:szCs w:val="14"/>
                <w:color w:val="auto"/>
              </w:rPr>
              <w:t>December 31,</w:t>
            </w:r>
          </w:p>
        </w:tc>
        <w:tc>
          <w:tcPr>
            <w:tcW w:w="140" w:type="dxa"/>
            <w:vAlign w:val="bottom"/>
          </w:tcPr>
          <w:p>
            <w:pPr>
              <w:spacing w:after="0"/>
              <w:rPr>
                <w:sz w:val="13"/>
                <w:szCs w:val="13"/>
                <w:color w:val="auto"/>
              </w:rPr>
            </w:pPr>
          </w:p>
        </w:tc>
        <w:tc>
          <w:tcPr>
            <w:tcW w:w="880" w:type="dxa"/>
            <w:vAlign w:val="bottom"/>
            <w:gridSpan w:val="3"/>
          </w:tcPr>
          <w:p>
            <w:pPr>
              <w:jc w:val="right"/>
              <w:ind w:right="340"/>
              <w:spacing w:after="0" w:line="159" w:lineRule="exact"/>
              <w:rPr>
                <w:sz w:val="20"/>
                <w:szCs w:val="20"/>
                <w:color w:val="auto"/>
              </w:rPr>
            </w:pPr>
            <w:r>
              <w:rPr>
                <w:rFonts w:ascii="Arial" w:cs="Arial" w:eastAsia="Arial" w:hAnsi="Arial"/>
                <w:sz w:val="14"/>
                <w:szCs w:val="14"/>
                <w:color w:val="auto"/>
                <w:w w:val="90"/>
              </w:rPr>
              <w:t>Increase/</w:t>
            </w: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0"/>
              </w:rPr>
              <w:t>Increase/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w w:val="83"/>
              </w:rPr>
              <w:t>2012</w:t>
            </w: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83"/>
              </w:rPr>
              <w:t>2011</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80"/>
              </w:rPr>
              <w:t>(Decrease)</w:t>
            </w: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(Decrease)</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2011</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3"/>
              </w:rPr>
              <w:t>(Decrease)</w:t>
            </w: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0"/>
              </w:rPr>
              <w:t>(Decrease)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8,702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8,928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(226)</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37,152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37,110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Less: Special revenue item (C)</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 excluding special revenue item</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8,702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8,928</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37,152</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3"/>
              </w:rPr>
              <w:t>37,003</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line="20" w:lineRule="exact"/>
              <w:rPr>
                <w:sz w:val="1"/>
                <w:szCs w:val="1"/>
                <w:color w:val="auto"/>
              </w:rPr>
            </w:pPr>
          </w:p>
        </w:tc>
      </w:tr>
      <w:tr>
        <w:trPr>
          <w:trHeight w:val="209"/>
        </w:trPr>
        <w:tc>
          <w:tcPr>
            <w:tcW w:w="48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9,167</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8,883</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284</w:t>
            </w:r>
          </w:p>
        </w:tc>
        <w:tc>
          <w:tcPr>
            <w:tcW w:w="2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37,113</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83"/>
              </w:rPr>
              <w:t>35,288</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1,825</w:t>
            </w:r>
          </w:p>
        </w:tc>
        <w:tc>
          <w:tcPr>
            <w:tcW w:w="28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Special charges (C)</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 excluding special charges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line="20" w:lineRule="exact"/>
              <w:rPr>
                <w:sz w:val="1"/>
                <w:szCs w:val="1"/>
                <w:color w:val="auto"/>
              </w:rPr>
            </w:pPr>
          </w:p>
        </w:tc>
      </w:tr>
      <w:tr>
        <w:trPr>
          <w:trHeight w:val="222"/>
        </w:trPr>
        <w:tc>
          <w:tcPr>
            <w:tcW w:w="48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8,728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8,634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35,790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83"/>
              </w:rPr>
              <w:t>34,696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1,094</w:t>
            </w:r>
          </w:p>
        </w:tc>
        <w:tc>
          <w:tcPr>
            <w:tcW w:w="28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Third-party business expenses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Less: Fuel expense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3,105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13,138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83"/>
              </w:rPr>
              <w:t>12,375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763</w:t>
            </w: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Profit sharing programs, including taxes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5"/>
        </w:trPr>
        <w:tc>
          <w:tcPr>
            <w:tcW w:w="4800" w:type="dxa"/>
            <w:vAlign w:val="bottom"/>
            <w:gridSpan w:val="2"/>
          </w:tcPr>
          <w:p>
            <w:pPr>
              <w:spacing w:after="0"/>
              <w:rPr>
                <w:sz w:val="20"/>
                <w:szCs w:val="20"/>
                <w:color w:val="auto"/>
              </w:rPr>
            </w:pPr>
            <w:r>
              <w:rPr>
                <w:rFonts w:ascii="Arial" w:cs="Arial" w:eastAsia="Arial" w:hAnsi="Arial"/>
                <w:sz w:val="18"/>
                <w:szCs w:val="18"/>
                <w:color w:val="auto"/>
              </w:rPr>
              <w:t>Operating expenses, excluding fuel, profit sharing, special</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charges and third-party business expenses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5,556</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5,446</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22,235</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83"/>
              </w:rPr>
              <w:t>21,821</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414</w:t>
            </w:r>
          </w:p>
        </w:tc>
        <w:tc>
          <w:tcPr>
            <w:tcW w:w="2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840</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(1,563)</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Less: Special items, net (C)</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183</w:t>
            </w:r>
          </w:p>
        </w:tc>
        <w:tc>
          <w:tcPr>
            <w:tcW w:w="2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829</w:t>
            </w: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excluding special items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NM</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1,323</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345.2</w:t>
            </w: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09"/>
        </w:trPr>
        <w:tc>
          <w:tcPr>
            <w:tcW w:w="48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(1.87)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(0.42)</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6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2.26</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(4.44)</w:t>
            </w:r>
          </w:p>
        </w:tc>
        <w:tc>
          <w:tcPr>
            <w:tcW w:w="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back: Special items, net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(loss) per share, excluding special items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line="20" w:lineRule="exact"/>
              <w:rPr>
                <w:sz w:val="1"/>
                <w:szCs w:val="1"/>
                <w:color w:val="auto"/>
              </w:rPr>
            </w:pPr>
          </w:p>
        </w:tc>
      </w:tr>
      <w:tr>
        <w:trPr>
          <w:trHeight w:val="222"/>
        </w:trPr>
        <w:tc>
          <w:tcPr>
            <w:tcW w:w="48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(0.58)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0.30</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(0.88)</w:t>
            </w:r>
          </w:p>
        </w:tc>
        <w:tc>
          <w:tcPr>
            <w:tcW w:w="780" w:type="dxa"/>
            <w:vAlign w:val="bottom"/>
            <w:gridSpan w:val="2"/>
            <w:vMerge w:val="continue"/>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3.49</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(1.90)</w:t>
            </w:r>
          </w:p>
        </w:tc>
        <w:tc>
          <w:tcPr>
            <w:tcW w:w="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UAL ANNOUNCES FULL-YEAR AND FOURTH-QUARTER 2012 RESULTS / PAGE 14</w:t>
      </w:r>
    </w:p>
    <w:p>
      <w:pPr>
        <w:spacing w:after="0" w:line="16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UNITED CONTINENTAL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NON-GAAP FINANCIAL RECONCILIATION (Continued)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w w:val="93"/>
              </w:rPr>
              <w:t>Three Months Ended</w:t>
            </w:r>
          </w:p>
        </w:tc>
        <w:tc>
          <w:tcPr>
            <w:tcW w:w="880" w:type="dxa"/>
            <w:vAlign w:val="bottom"/>
            <w:gridSpan w:val="2"/>
          </w:tcPr>
          <w:p>
            <w:pPr>
              <w:jc w:val="right"/>
              <w:ind w:right="156"/>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520" w:type="dxa"/>
            <w:vAlign w:val="bottom"/>
            <w:gridSpan w:val="4"/>
          </w:tcPr>
          <w:p>
            <w:pPr>
              <w:jc w:val="right"/>
              <w:ind w:right="600"/>
              <w:spacing w:after="0"/>
              <w:rPr>
                <w:sz w:val="20"/>
                <w:szCs w:val="20"/>
                <w:color w:val="auto"/>
              </w:rPr>
            </w:pPr>
            <w:r>
              <w:rPr>
                <w:rFonts w:ascii="Arial" w:cs="Arial" w:eastAsia="Arial" w:hAnsi="Arial"/>
                <w:sz w:val="14"/>
                <w:szCs w:val="14"/>
                <w:color w:val="auto"/>
              </w:rPr>
              <w:t>Year Ended</w:t>
            </w:r>
          </w:p>
        </w:tc>
        <w:tc>
          <w:tcPr>
            <w:tcW w:w="60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700" w:type="dxa"/>
            <w:vAlign w:val="bottom"/>
          </w:tcPr>
          <w:p>
            <w:pPr>
              <w:spacing w:after="0"/>
              <w:rPr>
                <w:sz w:val="13"/>
                <w:szCs w:val="13"/>
                <w:color w:val="auto"/>
              </w:rPr>
            </w:pPr>
          </w:p>
        </w:tc>
        <w:tc>
          <w:tcPr>
            <w:tcW w:w="1320" w:type="dxa"/>
            <w:vAlign w:val="bottom"/>
            <w:gridSpan w:val="3"/>
          </w:tcPr>
          <w:p>
            <w:pPr>
              <w:jc w:val="right"/>
              <w:ind w:right="193"/>
              <w:spacing w:after="0" w:line="159" w:lineRule="exact"/>
              <w:rPr>
                <w:sz w:val="20"/>
                <w:szCs w:val="20"/>
                <w:color w:val="auto"/>
              </w:rPr>
            </w:pPr>
            <w:r>
              <w:rPr>
                <w:rFonts w:ascii="Arial" w:cs="Arial" w:eastAsia="Arial" w:hAnsi="Arial"/>
                <w:sz w:val="14"/>
                <w:szCs w:val="14"/>
                <w:color w:val="auto"/>
              </w:rPr>
              <w:t>December 31,</w:t>
            </w:r>
          </w:p>
        </w:tc>
        <w:tc>
          <w:tcPr>
            <w:tcW w:w="300" w:type="dxa"/>
            <w:vAlign w:val="bottom"/>
          </w:tcPr>
          <w:p>
            <w:pPr>
              <w:spacing w:after="0"/>
              <w:rPr>
                <w:sz w:val="13"/>
                <w:szCs w:val="13"/>
                <w:color w:val="auto"/>
              </w:rPr>
            </w:pPr>
          </w:p>
        </w:tc>
        <w:tc>
          <w:tcPr>
            <w:tcW w:w="8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w w:val="90"/>
              </w:rPr>
              <w:t>Increase/</w:t>
            </w:r>
          </w:p>
        </w:tc>
        <w:tc>
          <w:tcPr>
            <w:tcW w:w="1520" w:type="dxa"/>
            <w:vAlign w:val="bottom"/>
            <w:gridSpan w:val="4"/>
          </w:tcPr>
          <w:p>
            <w:pPr>
              <w:jc w:val="right"/>
              <w:ind w:right="520"/>
              <w:spacing w:after="0" w:line="159" w:lineRule="exact"/>
              <w:rPr>
                <w:sz w:val="20"/>
                <w:szCs w:val="20"/>
                <w:color w:val="auto"/>
              </w:rPr>
            </w:pPr>
            <w:r>
              <w:rPr>
                <w:rFonts w:ascii="Arial" w:cs="Arial" w:eastAsia="Arial" w:hAnsi="Arial"/>
                <w:sz w:val="14"/>
                <w:szCs w:val="14"/>
                <w:color w:val="auto"/>
              </w:rPr>
              <w:t>December 31,</w:t>
            </w:r>
          </w:p>
        </w:tc>
        <w:tc>
          <w:tcPr>
            <w:tcW w:w="70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3"/>
              </w:rPr>
              <w:t>Increase/</w:t>
            </w: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5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rPr>
              <w:t>2012</w:t>
            </w:r>
          </w:p>
        </w:tc>
        <w:tc>
          <w:tcPr>
            <w:tcW w:w="3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rPr>
              <w:t>2011</w:t>
            </w:r>
          </w:p>
        </w:tc>
        <w:tc>
          <w:tcPr>
            <w:tcW w:w="300" w:type="dxa"/>
            <w:vAlign w:val="bottom"/>
          </w:tcPr>
          <w:p>
            <w:pPr>
              <w:spacing w:after="0"/>
              <w:rPr>
                <w:sz w:val="12"/>
                <w:szCs w:val="12"/>
                <w:color w:val="auto"/>
              </w:rPr>
            </w:pPr>
          </w:p>
        </w:tc>
        <w:tc>
          <w:tcPr>
            <w:tcW w:w="88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w w:val="80"/>
              </w:rPr>
              <w:t>(Decrease)</w:t>
            </w:r>
          </w:p>
        </w:tc>
        <w:tc>
          <w:tcPr>
            <w:tcW w:w="46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rPr>
              <w:t>2012</w:t>
            </w: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rPr>
              <w:t>2011</w:t>
            </w:r>
          </w:p>
        </w:tc>
        <w:tc>
          <w:tcPr>
            <w:tcW w:w="300" w:type="dxa"/>
            <w:vAlign w:val="bottom"/>
          </w:tcPr>
          <w:p>
            <w:pPr>
              <w:spacing w:after="0"/>
              <w:rPr>
                <w:sz w:val="12"/>
                <w:szCs w:val="12"/>
                <w:color w:val="auto"/>
              </w:rPr>
            </w:pPr>
          </w:p>
        </w:tc>
        <w:tc>
          <w:tcPr>
            <w:tcW w:w="70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3"/>
              </w:rPr>
              <w:t>(Decrease)</w:t>
            </w:r>
          </w:p>
        </w:tc>
        <w:tc>
          <w:tcPr>
            <w:tcW w:w="0" w:type="dxa"/>
            <w:vAlign w:val="bottom"/>
          </w:tcPr>
          <w:p>
            <w:pPr>
              <w:spacing w:after="0"/>
              <w:rPr>
                <w:sz w:val="1"/>
                <w:szCs w:val="1"/>
                <w:color w:val="auto"/>
              </w:rPr>
            </w:pPr>
          </w:p>
        </w:tc>
      </w:tr>
      <w:tr>
        <w:trPr>
          <w:trHeight w:val="196"/>
        </w:trPr>
        <w:tc>
          <w:tcPr>
            <w:tcW w:w="6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CASM Mainline Operations (cents)</w:t>
            </w: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Cost per available seat mile (CASM)</w:t>
            </w:r>
          </w:p>
        </w:tc>
        <w:tc>
          <w:tcPr>
            <w:tcW w:w="500" w:type="dxa"/>
            <w:vAlign w:val="bottom"/>
          </w:tcPr>
          <w:p>
            <w:pPr>
              <w:jc w:val="right"/>
              <w:spacing w:after="0"/>
              <w:rPr>
                <w:sz w:val="20"/>
                <w:szCs w:val="20"/>
                <w:color w:val="auto"/>
              </w:rPr>
            </w:pPr>
            <w:r>
              <w:rPr>
                <w:rFonts w:ascii="Arial" w:cs="Arial" w:eastAsia="Arial" w:hAnsi="Arial"/>
                <w:sz w:val="18"/>
                <w:szCs w:val="18"/>
                <w:color w:val="auto"/>
              </w:rPr>
              <w:t>15.06</w:t>
            </w: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13.88</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8.5</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14.12</w:t>
            </w:r>
          </w:p>
        </w:tc>
        <w:tc>
          <w:tcPr>
            <w:tcW w:w="3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13.15</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Special charges (C)</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NM</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0.27</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CASM, excluding special charges</w:t>
            </w: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80" w:type="dxa"/>
            <w:vAlign w:val="bottom"/>
            <w:gridSpan w:val="3"/>
            <w:vMerge w:val="restart"/>
          </w:tcPr>
          <w:p>
            <w:pPr>
              <w:jc w:val="right"/>
              <w:ind w:right="300"/>
              <w:spacing w:after="0"/>
              <w:rPr>
                <w:sz w:val="20"/>
                <w:szCs w:val="20"/>
                <w:color w:val="auto"/>
              </w:rPr>
            </w:pPr>
            <w:r>
              <w:rPr>
                <w:rFonts w:ascii="Arial" w:cs="Arial" w:eastAsia="Arial" w:hAnsi="Arial"/>
                <w:sz w:val="18"/>
                <w:szCs w:val="18"/>
                <w:color w:val="auto"/>
              </w:rPr>
              <w:t>5.8</w:t>
            </w: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line="20" w:lineRule="exact"/>
              <w:rPr>
                <w:sz w:val="1"/>
                <w:szCs w:val="1"/>
                <w:color w:val="auto"/>
              </w:rPr>
            </w:pPr>
          </w:p>
        </w:tc>
      </w:tr>
      <w:tr>
        <w:trPr>
          <w:trHeight w:val="222"/>
        </w:trPr>
        <w:tc>
          <w:tcPr>
            <w:tcW w:w="67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14.19</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13.41</w:t>
            </w:r>
          </w:p>
        </w:tc>
        <w:tc>
          <w:tcPr>
            <w:tcW w:w="1180" w:type="dxa"/>
            <w:vAlign w:val="bottom"/>
            <w:gridSpan w:val="3"/>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13.51</w:t>
            </w:r>
          </w:p>
        </w:tc>
        <w:tc>
          <w:tcPr>
            <w:tcW w:w="30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12.88</w:t>
            </w:r>
          </w:p>
        </w:tc>
        <w:tc>
          <w:tcPr>
            <w:tcW w:w="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Third-party business expenses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CASM, excluding special charges and third-party business expenses</w:t>
            </w: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80" w:type="dxa"/>
            <w:vAlign w:val="bottom"/>
            <w:gridSpan w:val="3"/>
            <w:vMerge w:val="restart"/>
          </w:tcPr>
          <w:p>
            <w:pPr>
              <w:jc w:val="right"/>
              <w:ind w:right="300"/>
              <w:spacing w:after="0"/>
              <w:rPr>
                <w:sz w:val="20"/>
                <w:szCs w:val="20"/>
                <w:color w:val="auto"/>
              </w:rPr>
            </w:pPr>
            <w:r>
              <w:rPr>
                <w:rFonts w:ascii="Arial" w:cs="Arial" w:eastAsia="Arial" w:hAnsi="Arial"/>
                <w:sz w:val="18"/>
                <w:szCs w:val="18"/>
                <w:color w:val="auto"/>
              </w:rPr>
              <w:t>5.0</w:t>
            </w: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line="20" w:lineRule="exact"/>
              <w:rPr>
                <w:sz w:val="1"/>
                <w:szCs w:val="1"/>
                <w:color w:val="auto"/>
              </w:rPr>
            </w:pPr>
          </w:p>
        </w:tc>
      </w:tr>
      <w:tr>
        <w:trPr>
          <w:trHeight w:val="222"/>
        </w:trPr>
        <w:tc>
          <w:tcPr>
            <w:tcW w:w="67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13.95</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13.29</w:t>
            </w:r>
          </w:p>
        </w:tc>
        <w:tc>
          <w:tcPr>
            <w:tcW w:w="1180" w:type="dxa"/>
            <w:vAlign w:val="bottom"/>
            <w:gridSpan w:val="3"/>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13.37</w:t>
            </w:r>
          </w:p>
        </w:tc>
        <w:tc>
          <w:tcPr>
            <w:tcW w:w="30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12.77</w:t>
            </w:r>
          </w:p>
        </w:tc>
        <w:tc>
          <w:tcPr>
            <w:tcW w:w="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Fuel expense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4.53</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CASM, excluding special charges, third-party business expenses and fuel</w:t>
            </w: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80" w:type="dxa"/>
            <w:vAlign w:val="bottom"/>
            <w:gridSpan w:val="3"/>
            <w:vMerge w:val="restart"/>
          </w:tcPr>
          <w:p>
            <w:pPr>
              <w:jc w:val="right"/>
              <w:ind w:right="300"/>
              <w:spacing w:after="0"/>
              <w:rPr>
                <w:sz w:val="20"/>
                <w:szCs w:val="20"/>
                <w:color w:val="auto"/>
              </w:rPr>
            </w:pPr>
            <w:r>
              <w:rPr>
                <w:rFonts w:ascii="Arial" w:cs="Arial" w:eastAsia="Arial" w:hAnsi="Arial"/>
                <w:sz w:val="18"/>
                <w:szCs w:val="18"/>
                <w:color w:val="auto"/>
              </w:rPr>
              <w:t>5.2</w:t>
            </w: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line="20" w:lineRule="exact"/>
              <w:rPr>
                <w:sz w:val="1"/>
                <w:szCs w:val="1"/>
                <w:color w:val="auto"/>
              </w:rPr>
            </w:pPr>
          </w:p>
        </w:tc>
      </w:tr>
      <w:tr>
        <w:trPr>
          <w:trHeight w:val="222"/>
        </w:trPr>
        <w:tc>
          <w:tcPr>
            <w:tcW w:w="67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8.96</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8.52</w:t>
            </w:r>
          </w:p>
        </w:tc>
        <w:tc>
          <w:tcPr>
            <w:tcW w:w="1180" w:type="dxa"/>
            <w:vAlign w:val="bottom"/>
            <w:gridSpan w:val="3"/>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8.42</w:t>
            </w:r>
          </w:p>
        </w:tc>
        <w:tc>
          <w:tcPr>
            <w:tcW w:w="30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8.24</w:t>
            </w:r>
          </w:p>
        </w:tc>
        <w:tc>
          <w:tcPr>
            <w:tcW w:w="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Profit sharing per available seat mile</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NM</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0.12</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w w:val="94"/>
              </w:rPr>
              <w:t>CASM, excluding special charges, third-party business expenses, fuel, and profit sharing</w:t>
            </w: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80" w:type="dxa"/>
            <w:vAlign w:val="bottom"/>
            <w:gridSpan w:val="3"/>
            <w:vMerge w:val="restart"/>
          </w:tcPr>
          <w:p>
            <w:pPr>
              <w:jc w:val="right"/>
              <w:ind w:right="300"/>
              <w:spacing w:after="0"/>
              <w:rPr>
                <w:sz w:val="20"/>
                <w:szCs w:val="20"/>
                <w:color w:val="auto"/>
              </w:rPr>
            </w:pPr>
            <w:r>
              <w:rPr>
                <w:rFonts w:ascii="Arial" w:cs="Arial" w:eastAsia="Arial" w:hAnsi="Arial"/>
                <w:sz w:val="18"/>
                <w:szCs w:val="18"/>
                <w:color w:val="auto"/>
              </w:rPr>
              <w:t>6.6</w:t>
            </w: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line="20" w:lineRule="exact"/>
              <w:rPr>
                <w:sz w:val="1"/>
                <w:szCs w:val="1"/>
                <w:color w:val="auto"/>
              </w:rPr>
            </w:pPr>
          </w:p>
        </w:tc>
      </w:tr>
      <w:tr>
        <w:trPr>
          <w:trHeight w:val="222"/>
        </w:trPr>
        <w:tc>
          <w:tcPr>
            <w:tcW w:w="67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9.04</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8.48</w:t>
            </w:r>
          </w:p>
        </w:tc>
        <w:tc>
          <w:tcPr>
            <w:tcW w:w="1180" w:type="dxa"/>
            <w:vAlign w:val="bottom"/>
            <w:gridSpan w:val="3"/>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8.36</w:t>
            </w:r>
          </w:p>
        </w:tc>
        <w:tc>
          <w:tcPr>
            <w:tcW w:w="30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8.12</w:t>
            </w:r>
          </w:p>
        </w:tc>
        <w:tc>
          <w:tcPr>
            <w:tcW w:w="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 Profit sharing held constant at prior year expense per available seat mile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0.12</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Add: Current year fuel cost at prior year fuel price per available seat mile</w:t>
            </w:r>
          </w:p>
        </w:tc>
        <w:tc>
          <w:tcPr>
            <w:tcW w:w="500" w:type="dxa"/>
            <w:vAlign w:val="bottom"/>
          </w:tcPr>
          <w:p>
            <w:pPr>
              <w:jc w:val="right"/>
              <w:spacing w:after="0"/>
              <w:rPr>
                <w:sz w:val="20"/>
                <w:szCs w:val="20"/>
                <w:color w:val="auto"/>
              </w:rPr>
            </w:pPr>
            <w:r>
              <w:rPr>
                <w:rFonts w:ascii="Arial" w:cs="Arial" w:eastAsia="Arial" w:hAnsi="Arial"/>
                <w:sz w:val="18"/>
                <w:szCs w:val="18"/>
                <w:color w:val="auto"/>
              </w:rPr>
              <w:t>4.83</w:t>
            </w:r>
          </w:p>
        </w:tc>
        <w:tc>
          <w:tcPr>
            <w:tcW w:w="30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NM</w:t>
            </w:r>
          </w:p>
        </w:tc>
        <w:tc>
          <w:tcPr>
            <w:tcW w:w="460" w:type="dxa"/>
            <w:vAlign w:val="bottom"/>
          </w:tcPr>
          <w:p>
            <w:pPr>
              <w:jc w:val="right"/>
              <w:spacing w:after="0"/>
              <w:rPr>
                <w:sz w:val="20"/>
                <w:szCs w:val="20"/>
                <w:color w:val="auto"/>
              </w:rPr>
            </w:pPr>
            <w:r>
              <w:rPr>
                <w:rFonts w:ascii="Arial" w:cs="Arial" w:eastAsia="Arial" w:hAnsi="Arial"/>
                <w:sz w:val="18"/>
                <w:szCs w:val="18"/>
                <w:color w:val="auto"/>
              </w:rPr>
              <w:t>4.55</w:t>
            </w:r>
          </w:p>
        </w:tc>
        <w:tc>
          <w:tcPr>
            <w:tcW w:w="30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 Prior year fuel cost per available seat mile</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NM</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4.53</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5"/>
        </w:trPr>
        <w:tc>
          <w:tcPr>
            <w:tcW w:w="6700" w:type="dxa"/>
            <w:vAlign w:val="bottom"/>
          </w:tcPr>
          <w:p>
            <w:pPr>
              <w:spacing w:after="0"/>
              <w:rPr>
                <w:sz w:val="20"/>
                <w:szCs w:val="20"/>
                <w:color w:val="auto"/>
              </w:rPr>
            </w:pPr>
            <w:r>
              <w:rPr>
                <w:rFonts w:ascii="Arial" w:cs="Arial" w:eastAsia="Arial" w:hAnsi="Arial"/>
                <w:sz w:val="18"/>
                <w:szCs w:val="18"/>
                <w:color w:val="auto"/>
                <w:w w:val="97"/>
              </w:rPr>
              <w:t>CASM, holding fuel rate and profit sharing constant and excluding special charges and</w:t>
            </w:r>
          </w:p>
        </w:tc>
        <w:tc>
          <w:tcPr>
            <w:tcW w:w="5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20"/>
              <w:spacing w:after="0"/>
              <w:rPr>
                <w:sz w:val="20"/>
                <w:szCs w:val="20"/>
                <w:color w:val="auto"/>
              </w:rPr>
            </w:pPr>
            <w:r>
              <w:rPr>
                <w:rFonts w:ascii="Arial" w:cs="Arial" w:eastAsia="Arial" w:hAnsi="Arial"/>
                <w:sz w:val="18"/>
                <w:szCs w:val="18"/>
                <w:color w:val="auto"/>
              </w:rPr>
              <w:t>third-party business expenses</w:t>
            </w:r>
          </w:p>
        </w:tc>
        <w:tc>
          <w:tcPr>
            <w:tcW w:w="500" w:type="dxa"/>
            <w:vAlign w:val="bottom"/>
          </w:tcPr>
          <w:p>
            <w:pPr>
              <w:jc w:val="right"/>
              <w:spacing w:after="0"/>
              <w:rPr>
                <w:sz w:val="20"/>
                <w:szCs w:val="20"/>
                <w:color w:val="auto"/>
              </w:rPr>
            </w:pPr>
            <w:r>
              <w:rPr>
                <w:rFonts w:ascii="Arial" w:cs="Arial" w:eastAsia="Arial" w:hAnsi="Arial"/>
                <w:sz w:val="18"/>
                <w:szCs w:val="18"/>
                <w:color w:val="auto"/>
              </w:rPr>
              <w:t>13.92</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13.29</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4.7</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13.03</w:t>
            </w:r>
          </w:p>
        </w:tc>
        <w:tc>
          <w:tcPr>
            <w:tcW w:w="30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12.77</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CASM Consolidated Operations (cents)</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Cost per available seat mile (CASM)</w:t>
            </w:r>
          </w:p>
        </w:tc>
        <w:tc>
          <w:tcPr>
            <w:tcW w:w="500" w:type="dxa"/>
            <w:vAlign w:val="bottom"/>
          </w:tcPr>
          <w:p>
            <w:pPr>
              <w:jc w:val="right"/>
              <w:spacing w:after="0"/>
              <w:rPr>
                <w:sz w:val="20"/>
                <w:szCs w:val="20"/>
                <w:color w:val="auto"/>
              </w:rPr>
            </w:pPr>
            <w:r>
              <w:rPr>
                <w:rFonts w:ascii="Arial" w:cs="Arial" w:eastAsia="Arial" w:hAnsi="Arial"/>
                <w:sz w:val="18"/>
                <w:szCs w:val="18"/>
                <w:color w:val="auto"/>
              </w:rPr>
              <w:t>15.76</w:t>
            </w: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14.63</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7.7</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14.91</w:t>
            </w:r>
          </w:p>
        </w:tc>
        <w:tc>
          <w:tcPr>
            <w:tcW w:w="3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13.97</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Special charges (C)</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NM</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0.23</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CASM, excluding special charges</w:t>
            </w: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80" w:type="dxa"/>
            <w:vAlign w:val="bottom"/>
            <w:gridSpan w:val="3"/>
            <w:vMerge w:val="restart"/>
          </w:tcPr>
          <w:p>
            <w:pPr>
              <w:jc w:val="right"/>
              <w:ind w:right="300"/>
              <w:spacing w:after="0"/>
              <w:rPr>
                <w:sz w:val="20"/>
                <w:szCs w:val="20"/>
                <w:color w:val="auto"/>
              </w:rPr>
            </w:pPr>
            <w:r>
              <w:rPr>
                <w:rFonts w:ascii="Arial" w:cs="Arial" w:eastAsia="Arial" w:hAnsi="Arial"/>
                <w:sz w:val="18"/>
                <w:szCs w:val="18"/>
                <w:color w:val="auto"/>
              </w:rPr>
              <w:t>5.6</w:t>
            </w: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line="20" w:lineRule="exact"/>
              <w:rPr>
                <w:sz w:val="1"/>
                <w:szCs w:val="1"/>
                <w:color w:val="auto"/>
              </w:rPr>
            </w:pPr>
          </w:p>
        </w:tc>
      </w:tr>
      <w:tr>
        <w:trPr>
          <w:trHeight w:val="222"/>
        </w:trPr>
        <w:tc>
          <w:tcPr>
            <w:tcW w:w="67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15.01</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14.22</w:t>
            </w:r>
          </w:p>
        </w:tc>
        <w:tc>
          <w:tcPr>
            <w:tcW w:w="1180" w:type="dxa"/>
            <w:vAlign w:val="bottom"/>
            <w:gridSpan w:val="3"/>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14.38</w:t>
            </w:r>
          </w:p>
        </w:tc>
        <w:tc>
          <w:tcPr>
            <w:tcW w:w="30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13.74</w:t>
            </w:r>
          </w:p>
        </w:tc>
        <w:tc>
          <w:tcPr>
            <w:tcW w:w="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Third-party business expenses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0.09</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CASM, excluding special charges and third-party business expenses</w:t>
            </w: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80" w:type="dxa"/>
            <w:vAlign w:val="bottom"/>
            <w:gridSpan w:val="3"/>
            <w:vMerge w:val="restart"/>
          </w:tcPr>
          <w:p>
            <w:pPr>
              <w:jc w:val="right"/>
              <w:ind w:right="300"/>
              <w:spacing w:after="0"/>
              <w:rPr>
                <w:sz w:val="20"/>
                <w:szCs w:val="20"/>
                <w:color w:val="auto"/>
              </w:rPr>
            </w:pPr>
            <w:r>
              <w:rPr>
                <w:rFonts w:ascii="Arial" w:cs="Arial" w:eastAsia="Arial" w:hAnsi="Arial"/>
                <w:sz w:val="18"/>
                <w:szCs w:val="18"/>
                <w:color w:val="auto"/>
              </w:rPr>
              <w:t>4.8</w:t>
            </w: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line="20" w:lineRule="exact"/>
              <w:rPr>
                <w:sz w:val="1"/>
                <w:szCs w:val="1"/>
                <w:color w:val="auto"/>
              </w:rPr>
            </w:pPr>
          </w:p>
        </w:tc>
      </w:tr>
      <w:tr>
        <w:trPr>
          <w:trHeight w:val="222"/>
        </w:trPr>
        <w:tc>
          <w:tcPr>
            <w:tcW w:w="67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14.80</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14.12</w:t>
            </w:r>
          </w:p>
        </w:tc>
        <w:tc>
          <w:tcPr>
            <w:tcW w:w="1180" w:type="dxa"/>
            <w:vAlign w:val="bottom"/>
            <w:gridSpan w:val="3"/>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14.26</w:t>
            </w:r>
          </w:p>
        </w:tc>
        <w:tc>
          <w:tcPr>
            <w:tcW w:w="30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13.65</w:t>
            </w:r>
          </w:p>
        </w:tc>
        <w:tc>
          <w:tcPr>
            <w:tcW w:w="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Fuel expense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CASM, excluding special charges, third-party business expenses and fuel</w:t>
            </w: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80" w:type="dxa"/>
            <w:vAlign w:val="bottom"/>
            <w:gridSpan w:val="3"/>
            <w:vMerge w:val="restart"/>
          </w:tcPr>
          <w:p>
            <w:pPr>
              <w:jc w:val="right"/>
              <w:ind w:right="300"/>
              <w:spacing w:after="0"/>
              <w:rPr>
                <w:sz w:val="20"/>
                <w:szCs w:val="20"/>
                <w:color w:val="auto"/>
              </w:rPr>
            </w:pPr>
            <w:r>
              <w:rPr>
                <w:rFonts w:ascii="Arial" w:cs="Arial" w:eastAsia="Arial" w:hAnsi="Arial"/>
                <w:sz w:val="18"/>
                <w:szCs w:val="18"/>
                <w:color w:val="auto"/>
              </w:rPr>
              <w:t>5.2</w:t>
            </w: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line="20" w:lineRule="exact"/>
              <w:rPr>
                <w:sz w:val="1"/>
                <w:szCs w:val="1"/>
                <w:color w:val="auto"/>
              </w:rPr>
            </w:pPr>
          </w:p>
        </w:tc>
      </w:tr>
      <w:tr>
        <w:trPr>
          <w:trHeight w:val="222"/>
        </w:trPr>
        <w:tc>
          <w:tcPr>
            <w:tcW w:w="67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9.48</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9.01</w:t>
            </w:r>
          </w:p>
        </w:tc>
        <w:tc>
          <w:tcPr>
            <w:tcW w:w="1180" w:type="dxa"/>
            <w:vAlign w:val="bottom"/>
            <w:gridSpan w:val="3"/>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8.98</w:t>
            </w:r>
          </w:p>
        </w:tc>
        <w:tc>
          <w:tcPr>
            <w:tcW w:w="30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8.75</w:t>
            </w:r>
          </w:p>
        </w:tc>
        <w:tc>
          <w:tcPr>
            <w:tcW w:w="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Profit sharing per available seat mile</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NM</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0.11</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w w:val="94"/>
              </w:rPr>
              <w:t>CASM, excluding special charges, third-party business expenses, fuel, and profit sharing</w:t>
            </w: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80" w:type="dxa"/>
            <w:vAlign w:val="bottom"/>
            <w:gridSpan w:val="3"/>
            <w:vMerge w:val="restart"/>
          </w:tcPr>
          <w:p>
            <w:pPr>
              <w:jc w:val="right"/>
              <w:ind w:right="300"/>
              <w:spacing w:after="0"/>
              <w:rPr>
                <w:sz w:val="20"/>
                <w:szCs w:val="20"/>
                <w:color w:val="auto"/>
              </w:rPr>
            </w:pPr>
            <w:r>
              <w:rPr>
                <w:rFonts w:ascii="Arial" w:cs="Arial" w:eastAsia="Arial" w:hAnsi="Arial"/>
                <w:sz w:val="18"/>
                <w:szCs w:val="18"/>
                <w:color w:val="auto"/>
              </w:rPr>
              <w:t>6.5</w:t>
            </w: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line="20" w:lineRule="exact"/>
              <w:rPr>
                <w:sz w:val="1"/>
                <w:szCs w:val="1"/>
                <w:color w:val="auto"/>
              </w:rPr>
            </w:pPr>
          </w:p>
        </w:tc>
      </w:tr>
      <w:tr>
        <w:trPr>
          <w:trHeight w:val="222"/>
        </w:trPr>
        <w:tc>
          <w:tcPr>
            <w:tcW w:w="67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9.55</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8.97</w:t>
            </w:r>
          </w:p>
        </w:tc>
        <w:tc>
          <w:tcPr>
            <w:tcW w:w="1180" w:type="dxa"/>
            <w:vAlign w:val="bottom"/>
            <w:gridSpan w:val="3"/>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8.93</w:t>
            </w:r>
          </w:p>
        </w:tc>
        <w:tc>
          <w:tcPr>
            <w:tcW w:w="30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8.64</w:t>
            </w:r>
          </w:p>
        </w:tc>
        <w:tc>
          <w:tcPr>
            <w:tcW w:w="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 Profit sharing held constant at prior year expense per available seat mile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0.11</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0.11</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Add: Current year fuel cost at prior year fuel price per available seat mile</w:t>
            </w:r>
          </w:p>
        </w:tc>
        <w:tc>
          <w:tcPr>
            <w:tcW w:w="500" w:type="dxa"/>
            <w:vAlign w:val="bottom"/>
          </w:tcPr>
          <w:p>
            <w:pPr>
              <w:jc w:val="right"/>
              <w:spacing w:after="0"/>
              <w:rPr>
                <w:sz w:val="20"/>
                <w:szCs w:val="20"/>
                <w:color w:val="auto"/>
              </w:rPr>
            </w:pPr>
            <w:r>
              <w:rPr>
                <w:rFonts w:ascii="Arial" w:cs="Arial" w:eastAsia="Arial" w:hAnsi="Arial"/>
                <w:sz w:val="18"/>
                <w:szCs w:val="18"/>
                <w:color w:val="auto"/>
              </w:rPr>
              <w:t>5.21</w:t>
            </w:r>
          </w:p>
        </w:tc>
        <w:tc>
          <w:tcPr>
            <w:tcW w:w="30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NM</w:t>
            </w:r>
          </w:p>
        </w:tc>
        <w:tc>
          <w:tcPr>
            <w:tcW w:w="460" w:type="dxa"/>
            <w:vAlign w:val="bottom"/>
          </w:tcPr>
          <w:p>
            <w:pPr>
              <w:jc w:val="right"/>
              <w:spacing w:after="0"/>
              <w:rPr>
                <w:sz w:val="20"/>
                <w:szCs w:val="20"/>
                <w:color w:val="auto"/>
              </w:rPr>
            </w:pPr>
            <w:r>
              <w:rPr>
                <w:rFonts w:ascii="Arial" w:cs="Arial" w:eastAsia="Arial" w:hAnsi="Arial"/>
                <w:sz w:val="18"/>
                <w:szCs w:val="18"/>
                <w:color w:val="auto"/>
              </w:rPr>
              <w:t>4.95</w:t>
            </w:r>
          </w:p>
        </w:tc>
        <w:tc>
          <w:tcPr>
            <w:tcW w:w="30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 Prior year fuel cost per available seat mile</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NM</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4.90</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5"/>
        </w:trPr>
        <w:tc>
          <w:tcPr>
            <w:tcW w:w="6700" w:type="dxa"/>
            <w:vAlign w:val="bottom"/>
          </w:tcPr>
          <w:p>
            <w:pPr>
              <w:spacing w:after="0"/>
              <w:rPr>
                <w:sz w:val="20"/>
                <w:szCs w:val="20"/>
                <w:color w:val="auto"/>
              </w:rPr>
            </w:pPr>
            <w:r>
              <w:rPr>
                <w:rFonts w:ascii="Arial" w:cs="Arial" w:eastAsia="Arial" w:hAnsi="Arial"/>
                <w:sz w:val="18"/>
                <w:szCs w:val="18"/>
                <w:color w:val="auto"/>
                <w:w w:val="97"/>
              </w:rPr>
              <w:t>CASM, holding fuel rate and profit sharing constant and excluding special charges and</w:t>
            </w:r>
          </w:p>
        </w:tc>
        <w:tc>
          <w:tcPr>
            <w:tcW w:w="5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20"/>
              <w:spacing w:after="0"/>
              <w:rPr>
                <w:sz w:val="20"/>
                <w:szCs w:val="20"/>
                <w:color w:val="auto"/>
              </w:rPr>
            </w:pPr>
            <w:r>
              <w:rPr>
                <w:rFonts w:ascii="Arial" w:cs="Arial" w:eastAsia="Arial" w:hAnsi="Arial"/>
                <w:sz w:val="18"/>
                <w:szCs w:val="18"/>
                <w:color w:val="auto"/>
              </w:rPr>
              <w:t>third-party business expenses</w:t>
            </w:r>
          </w:p>
        </w:tc>
        <w:tc>
          <w:tcPr>
            <w:tcW w:w="500" w:type="dxa"/>
            <w:vAlign w:val="bottom"/>
          </w:tcPr>
          <w:p>
            <w:pPr>
              <w:jc w:val="right"/>
              <w:spacing w:after="0"/>
              <w:rPr>
                <w:sz w:val="20"/>
                <w:szCs w:val="20"/>
                <w:color w:val="auto"/>
              </w:rPr>
            </w:pPr>
            <w:r>
              <w:rPr>
                <w:rFonts w:ascii="Arial" w:cs="Arial" w:eastAsia="Arial" w:hAnsi="Arial"/>
                <w:sz w:val="18"/>
                <w:szCs w:val="18"/>
                <w:color w:val="auto"/>
              </w:rPr>
              <w:t>14.80</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14.12</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4.8</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13.99</w:t>
            </w:r>
          </w:p>
        </w:tc>
        <w:tc>
          <w:tcPr>
            <w:tcW w:w="30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13.65</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UAL ANNOUNCES FULL-YEAR AND FOURTH-QUARTER 2012 RESULTS / PAGE 15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0140" w:type="dxa"/>
            <w:vAlign w:val="bottom"/>
          </w:tcPr>
          <w:p>
            <w:pPr>
              <w:ind w:left="3960"/>
              <w:spacing w:after="0"/>
              <w:rPr>
                <w:sz w:val="20"/>
                <w:szCs w:val="20"/>
                <w:color w:val="auto"/>
              </w:rPr>
            </w:pPr>
            <w:r>
              <w:rPr>
                <w:rFonts w:ascii="Arial" w:cs="Arial" w:eastAsia="Arial" w:hAnsi="Arial"/>
                <w:sz w:val="18"/>
                <w:szCs w:val="18"/>
                <w:b w:val="1"/>
                <w:bCs w:val="1"/>
                <w:color w:val="auto"/>
              </w:rPr>
              <w:t>UNITED CONTINENTAL HOLDINGS, INC.</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140" w:type="dxa"/>
            <w:vAlign w:val="bottom"/>
          </w:tcPr>
          <w:p>
            <w:pPr>
              <w:ind w:left="4060"/>
              <w:spacing w:after="0"/>
              <w:rPr>
                <w:sz w:val="20"/>
                <w:szCs w:val="20"/>
                <w:color w:val="auto"/>
              </w:rPr>
            </w:pPr>
            <w:r>
              <w:rPr>
                <w:rFonts w:ascii="Arial" w:cs="Arial" w:eastAsia="Arial" w:hAnsi="Arial"/>
                <w:sz w:val="18"/>
                <w:szCs w:val="18"/>
                <w:color w:val="auto"/>
              </w:rPr>
              <w:t>RETURN ON INVESTED CAPITAL (ROIC)</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0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color w:val="auto"/>
                <w:w w:val="83"/>
              </w:rPr>
              <w:t>Year Ended</w:t>
            </w:r>
          </w:p>
        </w:tc>
        <w:tc>
          <w:tcPr>
            <w:tcW w:w="0" w:type="dxa"/>
            <w:vAlign w:val="bottom"/>
          </w:tcPr>
          <w:p>
            <w:pPr>
              <w:spacing w:after="0"/>
              <w:rPr>
                <w:sz w:val="1"/>
                <w:szCs w:val="1"/>
                <w:color w:val="auto"/>
              </w:rPr>
            </w:pPr>
          </w:p>
        </w:tc>
      </w:tr>
      <w:tr>
        <w:trPr>
          <w:trHeight w:val="159"/>
        </w:trPr>
        <w:tc>
          <w:tcPr>
            <w:tcW w:w="1016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260" w:type="dxa"/>
            <w:vAlign w:val="bottom"/>
            <w:gridSpan w:val="3"/>
          </w:tcPr>
          <w:p>
            <w:pPr>
              <w:jc w:val="center"/>
              <w:ind w:right="200"/>
              <w:spacing w:after="0" w:line="159" w:lineRule="exact"/>
              <w:rPr>
                <w:sz w:val="20"/>
                <w:szCs w:val="20"/>
                <w:color w:val="auto"/>
              </w:rPr>
            </w:pPr>
            <w:r>
              <w:rPr>
                <w:rFonts w:ascii="Arial" w:cs="Arial" w:eastAsia="Arial" w:hAnsi="Arial"/>
                <w:sz w:val="14"/>
                <w:szCs w:val="14"/>
                <w:color w:val="auto"/>
                <w:w w:val="86"/>
              </w:rPr>
              <w:t>December 31,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Operating Profit After Tax (NOPAT)</w:t>
            </w: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Pre-tax income excluding special charges (a)</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Interest expense (b)</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ind w:left="420"/>
              <w:spacing w:after="0"/>
              <w:rPr>
                <w:sz w:val="20"/>
                <w:szCs w:val="20"/>
                <w:color w:val="auto"/>
              </w:rPr>
            </w:pPr>
            <w:r>
              <w:rPr>
                <w:rFonts w:ascii="Arial" w:cs="Arial" w:eastAsia="Arial" w:hAnsi="Arial"/>
                <w:sz w:val="18"/>
                <w:szCs w:val="18"/>
                <w:color w:val="auto"/>
              </w:rPr>
              <w:t>Add: Interest component of capitalized aircraft rent (b)</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Net interest on pension (b)</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40" w:type="dxa"/>
            <w:vAlign w:val="bottom"/>
          </w:tcPr>
          <w:p>
            <w:pPr>
              <w:ind w:left="420"/>
              <w:spacing w:after="0"/>
              <w:rPr>
                <w:sz w:val="20"/>
                <w:szCs w:val="20"/>
                <w:color w:val="auto"/>
              </w:rPr>
            </w:pPr>
            <w:r>
              <w:rPr>
                <w:rFonts w:ascii="Arial" w:cs="Arial" w:eastAsia="Arial" w:hAnsi="Arial"/>
                <w:sz w:val="18"/>
                <w:szCs w:val="18"/>
                <w:color w:val="auto"/>
              </w:rPr>
              <w:t>Less: Adjusted income tax expense</w:t>
            </w: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NOPAT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60" w:type="dxa"/>
            <w:vAlign w:val="bottom"/>
            <w:gridSpan w:val="2"/>
            <w:vMerge w:val="restart"/>
          </w:tcPr>
          <w:p>
            <w:pPr>
              <w:spacing w:after="0"/>
              <w:rPr>
                <w:sz w:val="20"/>
                <w:szCs w:val="20"/>
                <w:color w:val="auto"/>
              </w:rPr>
            </w:pPr>
            <w:r>
              <w:rPr>
                <w:rFonts w:ascii="Arial" w:cs="Arial" w:eastAsia="Arial" w:hAnsi="Arial"/>
                <w:sz w:val="18"/>
                <w:szCs w:val="18"/>
                <w:color w:val="auto"/>
              </w:rPr>
              <w:t>Effective tax rate</w:t>
            </w: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Invested Capital (five-quarter average)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38,083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Capitalized aircraft rent (@ 7.0x)</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40" w:type="dxa"/>
            <w:vAlign w:val="bottom"/>
          </w:tcPr>
          <w:p>
            <w:pPr>
              <w:ind w:left="420"/>
              <w:spacing w:after="0"/>
              <w:rPr>
                <w:sz w:val="20"/>
                <w:szCs w:val="20"/>
                <w:color w:val="auto"/>
              </w:rPr>
            </w:pPr>
            <w:r>
              <w:rPr>
                <w:rFonts w:ascii="Arial" w:cs="Arial" w:eastAsia="Arial" w:hAnsi="Arial"/>
                <w:sz w:val="18"/>
                <w:szCs w:val="18"/>
                <w:color w:val="auto"/>
              </w:rPr>
              <w:t>Less: Non-interest bearing liabilities</w:t>
            </w: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(19,607)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Average Invested Capital</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60" w:type="dxa"/>
            <w:vAlign w:val="bottom"/>
            <w:gridSpan w:val="2"/>
            <w:vMerge w:val="restart"/>
          </w:tcPr>
          <w:p>
            <w:pPr>
              <w:spacing w:after="0"/>
              <w:rPr>
                <w:sz w:val="20"/>
                <w:szCs w:val="20"/>
                <w:color w:val="auto"/>
              </w:rPr>
            </w:pPr>
            <w:r>
              <w:rPr>
                <w:rFonts w:ascii="Arial" w:cs="Arial" w:eastAsia="Arial" w:hAnsi="Arial"/>
                <w:sz w:val="18"/>
                <w:szCs w:val="18"/>
                <w:color w:val="auto"/>
              </w:rPr>
              <w:t>Return on Invested Capital</w:t>
            </w: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10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color w:val="auto"/>
                <w:w w:val="83"/>
              </w:rPr>
              <w:t>Year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140" w:type="dxa"/>
            <w:vAlign w:val="bottom"/>
          </w:tcPr>
          <w:p>
            <w:pPr>
              <w:spacing w:after="0"/>
              <w:rPr>
                <w:sz w:val="13"/>
                <w:szCs w:val="13"/>
                <w:color w:val="auto"/>
              </w:rPr>
            </w:pPr>
          </w:p>
        </w:tc>
        <w:tc>
          <w:tcPr>
            <w:tcW w:w="1260" w:type="dxa"/>
            <w:vAlign w:val="bottom"/>
            <w:gridSpan w:val="3"/>
          </w:tcPr>
          <w:p>
            <w:pPr>
              <w:jc w:val="center"/>
              <w:ind w:right="200"/>
              <w:spacing w:after="0" w:line="159" w:lineRule="exact"/>
              <w:rPr>
                <w:sz w:val="20"/>
                <w:szCs w:val="20"/>
                <w:color w:val="auto"/>
              </w:rPr>
            </w:pPr>
            <w:r>
              <w:rPr>
                <w:rFonts w:ascii="Arial" w:cs="Arial" w:eastAsia="Arial" w:hAnsi="Arial"/>
                <w:sz w:val="14"/>
                <w:szCs w:val="14"/>
                <w:color w:val="auto"/>
                <w:w w:val="86"/>
              </w:rPr>
              <w:t>December 31,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 Non-GAAP Financial Reconciliation</w:t>
            </w: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Special charges</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160" w:type="dxa"/>
            <w:vAlign w:val="bottom"/>
            <w:gridSpan w:val="2"/>
          </w:tcPr>
          <w:p>
            <w:pPr>
              <w:spacing w:after="0"/>
              <w:rPr>
                <w:sz w:val="20"/>
                <w:szCs w:val="20"/>
                <w:color w:val="auto"/>
              </w:rPr>
            </w:pPr>
            <w:r>
              <w:rPr>
                <w:rFonts w:ascii="Arial" w:cs="Arial" w:eastAsia="Arial" w:hAnsi="Arial"/>
                <w:sz w:val="18"/>
                <w:szCs w:val="18"/>
                <w:color w:val="auto"/>
              </w:rPr>
              <w:t>Pre-tax income excluding special charges</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w:t>
        <w:tab/>
        <w:t>Net of tax shield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420"/>
          </w:cols>
          <w:pgMar w:left="240" w:top="280"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955165" cy="3689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55165" cy="36893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143510</wp:posOffset>
            </wp:positionV>
            <wp:extent cx="2066925"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6692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b w:val="1"/>
          <w:bCs w:val="1"/>
          <w:color w:val="auto"/>
        </w:rPr>
        <w:t>Investor Update</w:t>
      </w:r>
      <w:r>
        <w:rPr>
          <w:sz w:val="20"/>
          <w:szCs w:val="20"/>
          <w:color w:val="auto"/>
        </w:rPr>
        <w:tab/>
      </w:r>
      <w:r>
        <w:rPr>
          <w:rFonts w:ascii="Arial" w:cs="Arial" w:eastAsia="Arial" w:hAnsi="Arial"/>
          <w:sz w:val="15"/>
          <w:szCs w:val="15"/>
          <w:b w:val="1"/>
          <w:bCs w:val="1"/>
          <w:color w:val="auto"/>
        </w:rPr>
        <w:t>Issue Date: Jan. 24, 2013</w:t>
      </w:r>
    </w:p>
    <w:p>
      <w:pPr>
        <w:spacing w:after="0" w:line="17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This investor update provides forward-looking information about United Continental Holdings, Inc. (the “Company” or “UAL”) for first quarter and full year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Capacity</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estimates its 2013 consolidated system available seat miles (ASMs) to be between flat and down 1% year-over-year. For the first quarter 2013, the Company estimates its consolidated ASMs to decrease between 4.1% and 5.1% as compared to the same period in the prior year. The Company estimates its first quarter 2013 consolidated domestic ASMs to decrease between 3.5% and 4.5% and consolidated international ASMs to decrease between 4.9% and 5.9% year-over-year.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Non-Fuel Expense Guidance</w:t>
      </w:r>
    </w:p>
    <w:p>
      <w:pPr>
        <w:spacing w:after="0" w:line="9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The Company expects 2013 consolidated cost per ASM (CASM), excluding profit sharing, third-party business expenses, fuel and special charges, to increase 4.5% to 5.5% year-over-year. For the first quarter 2013, the Company expects CASM, excluding profit sharing, third-party business expenses, fuel and special charges, to increase 8.0% to 9.0% year-over-year.</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expects to record approximately $120 million of third-party business expenses in the first quarter and $360 million for the full year. Corresponding third-party business revenue associated with these activities is recorded in other revenue.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Fuel Expense</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 estimates its consolidated fuel price, including the impact of cash-settled hedges, to be $3.27 per gallon for the first quarter and $3.23 for the full year based on the forward curve as of Jan. 18,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Expense</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estimates first quarter non-operating expense to be between $160 million and $190 million. For the full year, the Company estimates non-operating expense to be between $690 million and $740 million. Non-operating expense includes interest expense, capitalized interest, interest income, mark-to-market impact of derivatives not designated for hedge accounting and other non-operating income/expense.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Profit Sharing and Stock-Based Compensation</w:t>
      </w:r>
    </w:p>
    <w:p>
      <w:pPr>
        <w:spacing w:after="0" w:line="96"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The Company pays 15% of total GAAP pre-tax profits, excluding special items and stock compensation program expense, as profit sharing to employees when pre-tax profit, excluding special items, profit sharing expense and stock compensation program expense, exceeds $10 million. Stock compensation expense for the purposes of the profit sharing calculation is estimated to be $9 million in the first quarter and $51 million for full year 2013.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Expenditures and Debt and Capital Lease Payments</w:t>
      </w:r>
    </w:p>
    <w:p>
      <w:pPr>
        <w:spacing w:after="0" w:line="9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the first quarter, the Company expects approximately $580 million of gross capital expenditures and $350 million of net capital expenditures, including net purchase deposits. For the full year, the Company expects approximately $2.5 billion of gross capital expenditures and $1.4 billion net capital expenditures, including net purchase deposits.</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expects scheduled debt and capital lease payments and pre-payments to amount to $1.0 billion for the first quarter. This includes $400 million of 9.875% Senior Secured Notes due in 2013 and $200 million of 12.000% Senior Second Lien Notes due in 2013, which will be redeemed on February 1, 2013 at a price equal to 100% of the principal amount of the notes, plus any accrued and unpaid interest. For the full year, the Company expects scheduled debt and capital lease payments and pre-payments to amount to $1.9 billion.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Pension Expense and Contributions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estimates that its pension expense will be approximately $240 million for 2013. This amount excludes non-cash settlement charges related to lump-sum distributions. The Company made $41 million of cash contributions to its tax-qualified defined benefit pension plans in January 2013. The Company’s remaining minimum funding requirement is approximately $155 million for 2013.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to record minimal cash income taxes in 2013.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Single Legal Entity</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Company continues to progress with the integration of its United and Continental subsidiaries. As part of the integration, the Company plans to merge its United and Continental subsidiaries into one legal entity in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Advance Booked Seat Factor (Percentage of Available Seats that are Sold)</w:t>
      </w:r>
    </w:p>
    <w:p>
      <w:pPr>
        <w:spacing w:after="0" w:line="9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Compared to the same period last year, for the next six weeks, mainline domestic advance booked seat factor is up 4.6 points, mainline international advance booked seat factor is up 3.5 points, mainline Atlantic advance booked seat factor is down 0.6 points, mainline Pacific advance booked seat factor is up 9.8 points and mainline Latin America advance booked seat factor is up 2.4 points. Regional advance booked seat factor is up 4.2 points.</w:t>
      </w:r>
    </w:p>
    <w:p>
      <w:pPr>
        <w:sectPr>
          <w:pgSz w:w="11900" w:h="16838" w:orient="portrait"/>
          <w:cols w:equalWidth="0" w:num="1">
            <w:col w:w="11420"/>
          </w:cols>
          <w:pgMar w:left="240" w:top="125" w:right="239" w:bottom="1440" w:gutter="0" w:footer="0" w:header="0"/>
        </w:sectPr>
      </w:pPr>
    </w:p>
    <w:bookmarkStart w:id="20" w:name="page21"/>
    <w:bookmarkEnd w:id="20"/>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5448935</wp:posOffset>
            </wp:positionH>
            <wp:positionV relativeFrom="page">
              <wp:posOffset>543560</wp:posOffset>
            </wp:positionV>
            <wp:extent cx="1955165" cy="3689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955165" cy="3689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u w:val="single" w:color="auto"/>
          <w:color w:val="auto"/>
        </w:rPr>
        <w:t>Company Outlook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and Full Year 2013 Operational Outlook</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Year-Over-Year %</w:t>
            </w: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Year-Over-Year %</w:t>
            </w:r>
          </w:p>
        </w:tc>
      </w:tr>
      <w:tr>
        <w:trPr>
          <w:trHeight w:val="149"/>
        </w:trPr>
        <w:tc>
          <w:tcPr>
            <w:tcW w:w="5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Change</w:t>
            </w: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Change</w:t>
            </w:r>
          </w:p>
        </w:tc>
      </w:tr>
      <w:tr>
        <w:trPr>
          <w:trHeight w:val="161"/>
        </w:trPr>
        <w:tc>
          <w:tcPr>
            <w:tcW w:w="542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Estimated 1Q 2013</w:t>
            </w:r>
          </w:p>
        </w:tc>
        <w:tc>
          <w:tcPr>
            <w:tcW w:w="16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Higher/(Lower)</w:t>
            </w:r>
          </w:p>
        </w:tc>
        <w:tc>
          <w:tcPr>
            <w:tcW w:w="17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Estimated FY 2013</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Higher/(Lower)</w:t>
            </w: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Capacity </w:t>
            </w:r>
            <w:r>
              <w:rPr>
                <w:rFonts w:ascii="Arial" w:cs="Arial" w:eastAsia="Arial" w:hAnsi="Arial"/>
                <w:sz w:val="18"/>
                <w:szCs w:val="18"/>
                <w:color w:val="auto"/>
              </w:rPr>
              <w:t>(Million ASMs)</w:t>
            </w:r>
          </w:p>
        </w:tc>
        <w:tc>
          <w:tcPr>
            <w:tcW w:w="5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Mainline Capacity</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Domestic</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24,475</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- 24,733</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 (4.1%)</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420" w:type="dxa"/>
            <w:vAlign w:val="bottom"/>
          </w:tcPr>
          <w:p>
            <w:pPr>
              <w:ind w:left="880"/>
              <w:spacing w:after="0"/>
              <w:rPr>
                <w:sz w:val="20"/>
                <w:szCs w:val="20"/>
                <w:color w:val="auto"/>
              </w:rPr>
            </w:pPr>
            <w:r>
              <w:rPr>
                <w:rFonts w:ascii="Arial" w:cs="Arial" w:eastAsia="Arial" w:hAnsi="Arial"/>
                <w:sz w:val="18"/>
                <w:szCs w:val="18"/>
                <w:color w:val="auto"/>
              </w:rPr>
              <w:t>Atlantic</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10,303</w:t>
            </w:r>
          </w:p>
        </w:tc>
        <w:tc>
          <w:tcPr>
            <w:tcW w:w="620" w:type="dxa"/>
            <w:vAlign w:val="bottom"/>
          </w:tcPr>
          <w:p>
            <w:pPr>
              <w:ind w:left="20"/>
              <w:spacing w:after="0"/>
              <w:rPr>
                <w:sz w:val="20"/>
                <w:szCs w:val="20"/>
                <w:color w:val="auto"/>
              </w:rPr>
            </w:pPr>
            <w:r>
              <w:rPr>
                <w:rFonts w:ascii="Arial" w:cs="Arial" w:eastAsia="Arial" w:hAnsi="Arial"/>
                <w:sz w:val="18"/>
                <w:szCs w:val="18"/>
                <w:color w:val="auto"/>
                <w:w w:val="87"/>
              </w:rPr>
              <w:t>- 10,417</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(9.6%)</w:t>
            </w:r>
          </w:p>
        </w:tc>
        <w:tc>
          <w:tcPr>
            <w:tcW w:w="640" w:type="dxa"/>
            <w:vAlign w:val="bottom"/>
          </w:tcPr>
          <w:p>
            <w:pPr>
              <w:ind w:left="20"/>
              <w:spacing w:after="0"/>
              <w:rPr>
                <w:sz w:val="20"/>
                <w:szCs w:val="20"/>
                <w:color w:val="auto"/>
              </w:rPr>
            </w:pPr>
            <w:r>
              <w:rPr>
                <w:rFonts w:ascii="Arial" w:cs="Arial" w:eastAsia="Arial" w:hAnsi="Arial"/>
                <w:sz w:val="18"/>
                <w:szCs w:val="18"/>
                <w:color w:val="auto"/>
                <w:w w:val="93"/>
              </w:rPr>
              <w:t>- (8.6%)</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Pacific</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9,226</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- 9,322</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 (2.6%)</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420" w:type="dxa"/>
            <w:vAlign w:val="bottom"/>
          </w:tcPr>
          <w:p>
            <w:pPr>
              <w:ind w:left="880"/>
              <w:spacing w:after="0"/>
              <w:rPr>
                <w:sz w:val="20"/>
                <w:szCs w:val="20"/>
                <w:color w:val="auto"/>
              </w:rPr>
            </w:pPr>
            <w:r>
              <w:rPr>
                <w:rFonts w:ascii="Arial" w:cs="Arial" w:eastAsia="Arial" w:hAnsi="Arial"/>
                <w:sz w:val="18"/>
                <w:szCs w:val="18"/>
                <w:color w:val="auto"/>
              </w:rPr>
              <w:t>Latin America</w:t>
            </w:r>
          </w:p>
        </w:tc>
        <w:tc>
          <w:tcPr>
            <w:tcW w:w="500" w:type="dxa"/>
            <w:vAlign w:val="bottom"/>
          </w:tcPr>
          <w:p>
            <w:pPr>
              <w:jc w:val="right"/>
              <w:spacing w:after="0"/>
              <w:rPr>
                <w:sz w:val="20"/>
                <w:szCs w:val="20"/>
                <w:color w:val="auto"/>
              </w:rPr>
            </w:pPr>
            <w:r>
              <w:rPr>
                <w:rFonts w:ascii="Arial" w:cs="Arial" w:eastAsia="Arial" w:hAnsi="Arial"/>
                <w:sz w:val="18"/>
                <w:szCs w:val="18"/>
                <w:color w:val="auto"/>
              </w:rPr>
              <w:t>5,686</w:t>
            </w:r>
          </w:p>
        </w:tc>
        <w:tc>
          <w:tcPr>
            <w:tcW w:w="620" w:type="dxa"/>
            <w:vAlign w:val="bottom"/>
          </w:tcPr>
          <w:p>
            <w:pPr>
              <w:ind w:left="20"/>
              <w:spacing w:after="0"/>
              <w:rPr>
                <w:sz w:val="20"/>
                <w:szCs w:val="20"/>
                <w:color w:val="auto"/>
              </w:rPr>
            </w:pPr>
            <w:r>
              <w:rPr>
                <w:rFonts w:ascii="Arial" w:cs="Arial" w:eastAsia="Arial" w:hAnsi="Arial"/>
                <w:sz w:val="18"/>
                <w:szCs w:val="18"/>
                <w:color w:val="auto"/>
              </w:rPr>
              <w:t>- 5,743</w:t>
            </w:r>
          </w:p>
        </w:tc>
        <w:tc>
          <w:tcPr>
            <w:tcW w:w="4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(0.6%) - 0.4%</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Mainline Capacity</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49,690</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87"/>
              </w:rPr>
              <w:t>- 50,215</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(5.3%)</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3"/>
              </w:rPr>
              <w:t>- (4.3%)</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b w:val="1"/>
                <w:bCs w:val="1"/>
                <w:color w:val="auto"/>
              </w:rPr>
              <w:t>Regional</w:t>
            </w:r>
            <w:r>
              <w:rPr>
                <w:rFonts w:ascii="Arial" w:cs="Arial" w:eastAsia="Arial" w:hAnsi="Arial"/>
                <w:sz w:val="11"/>
                <w:szCs w:val="11"/>
                <w:b w:val="1"/>
                <w:bCs w:val="1"/>
                <w:color w:val="auto"/>
              </w:rPr>
              <w:t>1</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7,589</w:t>
            </w:r>
          </w:p>
        </w:tc>
        <w:tc>
          <w:tcPr>
            <w:tcW w:w="620" w:type="dxa"/>
            <w:vAlign w:val="bottom"/>
          </w:tcPr>
          <w:p>
            <w:pPr>
              <w:ind w:left="20"/>
              <w:spacing w:after="0"/>
              <w:rPr>
                <w:sz w:val="20"/>
                <w:szCs w:val="20"/>
                <w:color w:val="auto"/>
              </w:rPr>
            </w:pPr>
            <w:r>
              <w:rPr>
                <w:rFonts w:ascii="Arial" w:cs="Arial" w:eastAsia="Arial" w:hAnsi="Arial"/>
                <w:sz w:val="18"/>
                <w:szCs w:val="18"/>
                <w:b w:val="1"/>
                <w:bCs w:val="1"/>
                <w:color w:val="auto"/>
              </w:rPr>
              <w:t>- 7,668</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(3.6%)</w:t>
            </w:r>
          </w:p>
        </w:tc>
        <w:tc>
          <w:tcPr>
            <w:tcW w:w="640" w:type="dxa"/>
            <w:vAlign w:val="bottom"/>
          </w:tcPr>
          <w:p>
            <w:pPr>
              <w:ind w:left="20"/>
              <w:spacing w:after="0"/>
              <w:rPr>
                <w:sz w:val="20"/>
                <w:szCs w:val="20"/>
                <w:color w:val="auto"/>
              </w:rPr>
            </w:pPr>
            <w:r>
              <w:rPr>
                <w:rFonts w:ascii="Arial" w:cs="Arial" w:eastAsia="Arial" w:hAnsi="Arial"/>
                <w:sz w:val="18"/>
                <w:szCs w:val="18"/>
                <w:b w:val="1"/>
                <w:bCs w:val="1"/>
                <w:color w:val="auto"/>
                <w:w w:val="93"/>
              </w:rPr>
              <w:t>- (2.6%)</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Consolidated Capacity</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420" w:type="dxa"/>
            <w:vAlign w:val="bottom"/>
          </w:tcPr>
          <w:p>
            <w:pPr>
              <w:ind w:left="880"/>
              <w:spacing w:after="0"/>
              <w:rPr>
                <w:sz w:val="20"/>
                <w:szCs w:val="20"/>
                <w:color w:val="auto"/>
              </w:rPr>
            </w:pPr>
            <w:r>
              <w:rPr>
                <w:rFonts w:ascii="Arial" w:cs="Arial" w:eastAsia="Arial" w:hAnsi="Arial"/>
                <w:sz w:val="18"/>
                <w:szCs w:val="18"/>
                <w:color w:val="auto"/>
              </w:rPr>
              <w:t>Domestic</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31,797</w:t>
            </w:r>
          </w:p>
        </w:tc>
        <w:tc>
          <w:tcPr>
            <w:tcW w:w="620" w:type="dxa"/>
            <w:vAlign w:val="bottom"/>
          </w:tcPr>
          <w:p>
            <w:pPr>
              <w:ind w:left="20"/>
              <w:spacing w:after="0"/>
              <w:rPr>
                <w:sz w:val="20"/>
                <w:szCs w:val="20"/>
                <w:color w:val="auto"/>
              </w:rPr>
            </w:pPr>
            <w:r>
              <w:rPr>
                <w:rFonts w:ascii="Arial" w:cs="Arial" w:eastAsia="Arial" w:hAnsi="Arial"/>
                <w:sz w:val="18"/>
                <w:szCs w:val="18"/>
                <w:color w:val="auto"/>
                <w:w w:val="87"/>
              </w:rPr>
              <w:t>- 32,130</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(4.5%)</w:t>
            </w:r>
          </w:p>
        </w:tc>
        <w:tc>
          <w:tcPr>
            <w:tcW w:w="640" w:type="dxa"/>
            <w:vAlign w:val="bottom"/>
          </w:tcPr>
          <w:p>
            <w:pPr>
              <w:ind w:left="20"/>
              <w:spacing w:after="0"/>
              <w:rPr>
                <w:sz w:val="20"/>
                <w:szCs w:val="20"/>
                <w:color w:val="auto"/>
              </w:rPr>
            </w:pPr>
            <w:r>
              <w:rPr>
                <w:rFonts w:ascii="Arial" w:cs="Arial" w:eastAsia="Arial" w:hAnsi="Arial"/>
                <w:sz w:val="18"/>
                <w:szCs w:val="18"/>
                <w:color w:val="auto"/>
                <w:w w:val="93"/>
              </w:rPr>
              <w:t>- (3.5%)</w:t>
            </w:r>
          </w:p>
        </w:tc>
        <w:tc>
          <w:tcPr>
            <w:tcW w:w="4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137,358 - 138,759</w:t>
            </w:r>
          </w:p>
        </w:tc>
        <w:tc>
          <w:tcPr>
            <w:tcW w:w="4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(1.9%) - (0.9%)</w:t>
            </w:r>
          </w:p>
        </w:tc>
      </w:tr>
      <w:tr>
        <w:trPr>
          <w:trHeight w:val="216"/>
        </w:trPr>
        <w:tc>
          <w:tcPr>
            <w:tcW w:w="5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International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25,482</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- 25,753</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 (4.9%)</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108,905 - 109,993</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0.1% - 1.1%</w:t>
            </w:r>
          </w:p>
        </w:tc>
      </w:tr>
      <w:tr>
        <w:trPr>
          <w:trHeight w:val="228"/>
        </w:trPr>
        <w:tc>
          <w:tcPr>
            <w:tcW w:w="5420" w:type="dxa"/>
            <w:vAlign w:val="bottom"/>
          </w:tcPr>
          <w:p>
            <w:pPr>
              <w:ind w:left="440"/>
              <w:spacing w:after="0"/>
              <w:rPr>
                <w:sz w:val="20"/>
                <w:szCs w:val="20"/>
                <w:color w:val="auto"/>
              </w:rPr>
            </w:pPr>
            <w:r>
              <w:rPr>
                <w:rFonts w:ascii="Arial" w:cs="Arial" w:eastAsia="Arial" w:hAnsi="Arial"/>
                <w:sz w:val="18"/>
                <w:szCs w:val="18"/>
                <w:b w:val="1"/>
                <w:bCs w:val="1"/>
                <w:color w:val="auto"/>
              </w:rPr>
              <w:t>Total Consolidated Capacity</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3"/>
              </w:rPr>
              <w:t>57,279</w:t>
            </w:r>
          </w:p>
        </w:tc>
        <w:tc>
          <w:tcPr>
            <w:tcW w:w="620" w:type="dxa"/>
            <w:vAlign w:val="bottom"/>
          </w:tcPr>
          <w:p>
            <w:pPr>
              <w:ind w:left="20"/>
              <w:spacing w:after="0"/>
              <w:rPr>
                <w:sz w:val="20"/>
                <w:szCs w:val="20"/>
                <w:color w:val="auto"/>
              </w:rPr>
            </w:pPr>
            <w:r>
              <w:rPr>
                <w:rFonts w:ascii="Arial" w:cs="Arial" w:eastAsia="Arial" w:hAnsi="Arial"/>
                <w:sz w:val="18"/>
                <w:szCs w:val="18"/>
                <w:b w:val="1"/>
                <w:bCs w:val="1"/>
                <w:color w:val="auto"/>
                <w:w w:val="87"/>
              </w:rPr>
              <w:t>- 57,883</w:t>
            </w: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(5.1%)</w:t>
            </w:r>
          </w:p>
        </w:tc>
        <w:tc>
          <w:tcPr>
            <w:tcW w:w="640" w:type="dxa"/>
            <w:vAlign w:val="bottom"/>
          </w:tcPr>
          <w:p>
            <w:pPr>
              <w:ind w:left="20"/>
              <w:spacing w:after="0"/>
              <w:rPr>
                <w:sz w:val="20"/>
                <w:szCs w:val="20"/>
                <w:color w:val="auto"/>
              </w:rPr>
            </w:pPr>
            <w:r>
              <w:rPr>
                <w:rFonts w:ascii="Arial" w:cs="Arial" w:eastAsia="Arial" w:hAnsi="Arial"/>
                <w:sz w:val="18"/>
                <w:szCs w:val="18"/>
                <w:b w:val="1"/>
                <w:bCs w:val="1"/>
                <w:color w:val="auto"/>
                <w:w w:val="93"/>
              </w:rPr>
              <w:t>- (4.1%)</w:t>
            </w:r>
          </w:p>
        </w:tc>
        <w:tc>
          <w:tcPr>
            <w:tcW w:w="4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246,263 - 248,752</w:t>
            </w:r>
          </w:p>
        </w:tc>
        <w:tc>
          <w:tcPr>
            <w:tcW w:w="44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(1.0%) - 0.0%</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Traffic </w:t>
      </w:r>
      <w:r>
        <w:rPr>
          <w:rFonts w:ascii="Arial" w:cs="Arial" w:eastAsia="Arial" w:hAnsi="Arial"/>
          <w:sz w:val="18"/>
          <w:szCs w:val="18"/>
          <w:color w:val="auto"/>
        </w:rPr>
        <w:t>(Million RPMs)</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Mainline Traffic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Domestic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Atlantic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-129540</wp:posOffset>
            </wp:positionV>
            <wp:extent cx="4098925" cy="420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098925" cy="420370"/>
                    </a:xfrm>
                    <a:prstGeom prst="rect">
                      <a:avLst/>
                    </a:prstGeom>
                    <a:noFill/>
                  </pic:spPr>
                </pic:pic>
              </a:graphicData>
            </a:graphic>
          </wp:anchor>
        </w:drawing>
      </w:r>
    </w:p>
    <w:p>
      <w:pPr>
        <w:ind w:left="880"/>
        <w:spacing w:after="0"/>
        <w:tabs>
          <w:tab w:leader="none" w:pos="6740" w:val="left"/>
        </w:tabs>
        <w:rPr>
          <w:sz w:val="20"/>
          <w:szCs w:val="20"/>
          <w:color w:val="auto"/>
        </w:rPr>
      </w:pPr>
      <w:r>
        <w:rPr>
          <w:rFonts w:ascii="Arial" w:cs="Arial" w:eastAsia="Arial" w:hAnsi="Arial"/>
          <w:sz w:val="18"/>
          <w:szCs w:val="18"/>
          <w:color w:val="auto"/>
        </w:rPr>
        <w:t>Latin America</w:t>
      </w:r>
      <w:r>
        <w:rPr>
          <w:sz w:val="20"/>
          <w:szCs w:val="20"/>
          <w:color w:val="auto"/>
        </w:rPr>
        <w:tab/>
      </w:r>
      <w:r>
        <w:rPr>
          <w:rFonts w:ascii="Arial" w:cs="Arial" w:eastAsia="Arial" w:hAnsi="Arial"/>
          <w:sz w:val="15"/>
          <w:szCs w:val="15"/>
          <w:color w:val="auto"/>
        </w:rPr>
        <w:t>Traffic guidance to be provided at a future date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Total Mainline System Traffic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Regional System Traffic</w:t>
      </w:r>
      <w:r>
        <w:rPr>
          <w:rFonts w:ascii="Arial" w:cs="Arial" w:eastAsia="Arial" w:hAnsi="Arial"/>
          <w:sz w:val="11"/>
          <w:szCs w:val="11"/>
          <w:b w:val="1"/>
          <w:bCs w:val="1"/>
          <w:color w:val="auto"/>
        </w:rPr>
        <w:t>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Consolidated System Traffic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Domestic System</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International System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Total Consolidated System Traffic</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Load Factor</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Mainline Load Factor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Domestic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Atlantic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Pacific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Latin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-129540</wp:posOffset>
            </wp:positionV>
            <wp:extent cx="4098925" cy="420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098925" cy="420370"/>
                    </a:xfrm>
                    <a:prstGeom prst="rect">
                      <a:avLst/>
                    </a:prstGeom>
                    <a:noFill/>
                  </pic:spPr>
                </pic:pic>
              </a:graphicData>
            </a:graphic>
          </wp:anchor>
        </w:drawing>
      </w:r>
    </w:p>
    <w:p>
      <w:pPr>
        <w:ind w:left="440"/>
        <w:spacing w:after="0"/>
        <w:tabs>
          <w:tab w:leader="none" w:pos="6580" w:val="left"/>
        </w:tabs>
        <w:rPr>
          <w:sz w:val="20"/>
          <w:szCs w:val="20"/>
          <w:color w:val="auto"/>
        </w:rPr>
      </w:pPr>
      <w:r>
        <w:rPr>
          <w:rFonts w:ascii="Arial" w:cs="Arial" w:eastAsia="Arial" w:hAnsi="Arial"/>
          <w:sz w:val="18"/>
          <w:szCs w:val="18"/>
          <w:b w:val="1"/>
          <w:bCs w:val="1"/>
          <w:color w:val="auto"/>
        </w:rPr>
        <w:t>Total Mainline Load Factor</w:t>
      </w:r>
      <w:r>
        <w:rPr>
          <w:sz w:val="20"/>
          <w:szCs w:val="20"/>
          <w:color w:val="auto"/>
        </w:rPr>
        <w:tab/>
      </w:r>
      <w:r>
        <w:rPr>
          <w:rFonts w:ascii="Arial" w:cs="Arial" w:eastAsia="Arial" w:hAnsi="Arial"/>
          <w:sz w:val="15"/>
          <w:szCs w:val="15"/>
          <w:color w:val="auto"/>
        </w:rPr>
        <w:t>Load factor guidance to be provided at a future date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Regional Load Factor</w:t>
      </w:r>
      <w:r>
        <w:rPr>
          <w:rFonts w:ascii="Arial" w:cs="Arial" w:eastAsia="Arial" w:hAnsi="Arial"/>
          <w:sz w:val="11"/>
          <w:szCs w:val="11"/>
          <w:b w:val="1"/>
          <w:bCs w:val="1"/>
          <w:color w:val="auto"/>
        </w:rPr>
        <w:t>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Consolidated Load Factor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Domestic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International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Total Consolidated Load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Regional results reflect flights operated under capacity purchase agreements and flights operated as part of our joint venture with Aer Lingus in 2012.</w:t>
      </w:r>
    </w:p>
    <w:p>
      <w:pPr>
        <w:spacing w:after="0" w:line="194" w:lineRule="exact"/>
        <w:rPr>
          <w:rFonts w:ascii="Arial" w:cs="Arial" w:eastAsia="Arial" w:hAnsi="Arial"/>
          <w:sz w:val="16"/>
          <w:szCs w:val="16"/>
          <w:color w:val="auto"/>
        </w:rPr>
      </w:pPr>
    </w:p>
    <w:p>
      <w:pPr>
        <w:ind w:left="5480"/>
        <w:spacing w:after="0"/>
        <w:rPr>
          <w:rFonts w:ascii="Arial" w:cs="Arial" w:eastAsia="Arial" w:hAnsi="Arial"/>
          <w:sz w:val="16"/>
          <w:szCs w:val="16"/>
          <w:color w:val="auto"/>
        </w:rPr>
      </w:pPr>
      <w:r>
        <w:rPr>
          <w:rFonts w:ascii="Arial" w:cs="Arial" w:eastAsia="Arial" w:hAnsi="Arial"/>
          <w:sz w:val="18"/>
          <w:szCs w:val="18"/>
          <w:color w:val="auto"/>
        </w:rPr>
        <w:t>(more)</w:t>
      </w:r>
    </w:p>
    <w:p>
      <w:pPr>
        <w:spacing w:after="0" w:line="157" w:lineRule="exact"/>
        <w:rPr>
          <w:rFonts w:ascii="Arial" w:cs="Arial" w:eastAsia="Arial" w:hAnsi="Arial"/>
          <w:sz w:val="16"/>
          <w:szCs w:val="16"/>
          <w:color w:val="auto"/>
        </w:rPr>
      </w:pPr>
    </w:p>
    <w:p>
      <w:pPr>
        <w:ind w:left="5680"/>
        <w:spacing w:after="0"/>
        <w:rPr>
          <w:rFonts w:ascii="Arial" w:cs="Arial" w:eastAsia="Arial" w:hAnsi="Arial"/>
          <w:sz w:val="16"/>
          <w:szCs w:val="16"/>
          <w:color w:val="auto"/>
        </w:rPr>
      </w:pPr>
      <w:r>
        <w:rPr>
          <w:rFonts w:ascii="Arial" w:cs="Arial" w:eastAsia="Arial" w:hAnsi="Arial"/>
          <w:sz w:val="18"/>
          <w:szCs w:val="18"/>
          <w:color w:val="auto"/>
        </w:rPr>
        <w:t>2</w:t>
      </w:r>
    </w:p>
    <w:p>
      <w:pPr>
        <w:sectPr>
          <w:pgSz w:w="11900" w:h="16838" w:orient="portrait"/>
          <w:cols w:equalWidth="0" w:num="1">
            <w:col w:w="11420"/>
          </w:cols>
          <w:pgMar w:left="240" w:top="1440" w:right="239"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5448935</wp:posOffset>
            </wp:positionH>
            <wp:positionV relativeFrom="page">
              <wp:posOffset>183515</wp:posOffset>
            </wp:positionV>
            <wp:extent cx="1955165" cy="3689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955165" cy="368935"/>
                    </a:xfrm>
                    <a:prstGeom prst="rect">
                      <a:avLst/>
                    </a:prstGeom>
                    <a:noFill/>
                  </pic:spPr>
                </pic:pic>
              </a:graphicData>
            </a:graphic>
          </wp:anchor>
        </w:drawing>
        <w:t>Company Outlook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and Full Year 2013 Financial Outlook</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Year-Over-Year</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Year-Over-Year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Estimated 1Q</w:t>
            </w: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 Change</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Estimated</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180" w:type="dxa"/>
            <w:vAlign w:val="bottom"/>
            <w:gridSpan w:val="2"/>
          </w:tcPr>
          <w:p>
            <w:pPr>
              <w:jc w:val="center"/>
              <w:ind w:left="94"/>
              <w:spacing w:after="0"/>
              <w:rPr>
                <w:sz w:val="20"/>
                <w:szCs w:val="20"/>
                <w:color w:val="auto"/>
              </w:rPr>
            </w:pPr>
            <w:r>
              <w:rPr>
                <w:rFonts w:ascii="Arial" w:cs="Arial" w:eastAsia="Arial" w:hAnsi="Arial"/>
                <w:sz w:val="14"/>
                <w:szCs w:val="14"/>
                <w:b w:val="1"/>
                <w:bCs w:val="1"/>
                <w:color w:val="auto"/>
                <w:w w:val="89"/>
              </w:rPr>
              <w:t>2013</w:t>
            </w:r>
          </w:p>
        </w:tc>
        <w:tc>
          <w:tcPr>
            <w:tcW w:w="2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Higher/(Lower)</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FY 2013</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Higher/(Lower)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60" w:type="dxa"/>
            <w:vAlign w:val="bottom"/>
            <w:tcBorders>
              <w:top w:val="single" w:sz="8" w:color="CCEEFF"/>
              <w:right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 (¢/ASM, except Cargo and Other Revenue)</w:t>
            </w:r>
          </w:p>
        </w:tc>
        <w:tc>
          <w:tcPr>
            <w:tcW w:w="180" w:type="dxa"/>
            <w:vAlign w:val="bottom"/>
            <w:tcBorders>
              <w:top w:val="single" w:sz="8" w:color="CCEEFF"/>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6260" w:type="dxa"/>
            <w:vAlign w:val="bottom"/>
            <w:tcBorders>
              <w:right w:val="single" w:sz="8" w:color="auto"/>
            </w:tcBorders>
            <w:gridSpan w:val="2"/>
          </w:tcPr>
          <w:p>
            <w:pPr>
              <w:ind w:left="140"/>
              <w:spacing w:after="0" w:line="188" w:lineRule="exact"/>
              <w:rPr>
                <w:sz w:val="20"/>
                <w:szCs w:val="20"/>
                <w:color w:val="auto"/>
              </w:rPr>
            </w:pPr>
            <w:r>
              <w:rPr>
                <w:rFonts w:ascii="Arial" w:cs="Arial" w:eastAsia="Arial" w:hAnsi="Arial"/>
                <w:sz w:val="18"/>
                <w:szCs w:val="18"/>
                <w:color w:val="auto"/>
              </w:rPr>
              <w:t>Mainline Passenger Unit Revenue</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Regional Passenger Unit Revenue</w:t>
            </w:r>
          </w:p>
        </w:tc>
        <w:tc>
          <w:tcPr>
            <w:tcW w:w="180" w:type="dxa"/>
            <w:vAlign w:val="bottom"/>
          </w:tcPr>
          <w:p>
            <w:pPr>
              <w:spacing w:after="0"/>
              <w:rPr>
                <w:sz w:val="18"/>
                <w:szCs w:val="18"/>
                <w:color w:val="auto"/>
              </w:rPr>
            </w:pPr>
          </w:p>
        </w:tc>
        <w:tc>
          <w:tcPr>
            <w:tcW w:w="4680" w:type="dxa"/>
            <w:vAlign w:val="bottom"/>
            <w:gridSpan w:val="7"/>
            <w:vMerge w:val="restart"/>
          </w:tcPr>
          <w:p>
            <w:pPr>
              <w:ind w:left="620"/>
              <w:spacing w:after="0"/>
              <w:rPr>
                <w:sz w:val="20"/>
                <w:szCs w:val="20"/>
                <w:color w:val="auto"/>
              </w:rPr>
            </w:pPr>
            <w:r>
              <w:rPr>
                <w:rFonts w:ascii="Arial" w:cs="Arial" w:eastAsia="Arial" w:hAnsi="Arial"/>
                <w:sz w:val="18"/>
                <w:szCs w:val="18"/>
                <w:color w:val="auto"/>
              </w:rPr>
              <w:t>Revenue guidance to be provided at a future date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300" w:type="dxa"/>
            <w:vAlign w:val="bottom"/>
          </w:tcPr>
          <w:p>
            <w:pPr>
              <w:spacing w:after="0"/>
              <w:rPr>
                <w:sz w:val="9"/>
                <w:szCs w:val="9"/>
                <w:color w:val="auto"/>
              </w:rPr>
            </w:pPr>
          </w:p>
        </w:tc>
        <w:tc>
          <w:tcPr>
            <w:tcW w:w="626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Consolidated Passenger Unit Revenue</w:t>
            </w:r>
          </w:p>
        </w:tc>
        <w:tc>
          <w:tcPr>
            <w:tcW w:w="180" w:type="dxa"/>
            <w:vAlign w:val="bottom"/>
          </w:tcPr>
          <w:p>
            <w:pPr>
              <w:spacing w:after="0"/>
              <w:rPr>
                <w:sz w:val="9"/>
                <w:szCs w:val="9"/>
                <w:color w:val="auto"/>
              </w:rPr>
            </w:pPr>
          </w:p>
        </w:tc>
        <w:tc>
          <w:tcPr>
            <w:tcW w:w="4680" w:type="dxa"/>
            <w:vAlign w:val="bottom"/>
            <w:gridSpan w:val="7"/>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6260" w:type="dxa"/>
            <w:vAlign w:val="bottom"/>
            <w:tcBorders>
              <w:right w:val="single" w:sz="8" w:color="auto"/>
            </w:tcBorders>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300" w:type="dxa"/>
            <w:vAlign w:val="bottom"/>
            <w:tcBorders>
              <w:bottom w:val="single" w:sz="8" w:color="CCEEFF"/>
            </w:tcBorders>
          </w:tcPr>
          <w:p>
            <w:pPr>
              <w:spacing w:after="0"/>
              <w:rPr>
                <w:sz w:val="19"/>
                <w:szCs w:val="19"/>
                <w:color w:val="auto"/>
              </w:rPr>
            </w:pPr>
          </w:p>
        </w:tc>
        <w:tc>
          <w:tcPr>
            <w:tcW w:w="6260" w:type="dxa"/>
            <w:vAlign w:val="bottom"/>
            <w:tcBorders>
              <w:bottom w:val="single" w:sz="8" w:color="CCEEFF"/>
              <w:right w:val="single" w:sz="8" w:color="auto"/>
            </w:tcBorders>
            <w:gridSpan w:val="2"/>
          </w:tcPr>
          <w:p>
            <w:pPr>
              <w:ind w:left="140"/>
              <w:spacing w:after="0"/>
              <w:rPr>
                <w:sz w:val="20"/>
                <w:szCs w:val="20"/>
                <w:color w:val="auto"/>
              </w:rPr>
            </w:pPr>
            <w:r>
              <w:rPr>
                <w:rFonts w:ascii="Arial" w:cs="Arial" w:eastAsia="Arial" w:hAnsi="Arial"/>
                <w:sz w:val="18"/>
                <w:szCs w:val="18"/>
                <w:color w:val="auto"/>
              </w:rPr>
              <w:t>Cargo and Other Revenue ($B)</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560" w:type="dxa"/>
            <w:vAlign w:val="bottom"/>
            <w:tcBorders>
              <w:right w:val="single" w:sz="8" w:color="CCEEFF"/>
            </w:tcBorders>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Operating Expense</w:t>
            </w:r>
            <w:r>
              <w:rPr>
                <w:rFonts w:ascii="Arial" w:cs="Arial" w:eastAsia="Arial" w:hAnsi="Arial"/>
                <w:sz w:val="11"/>
                <w:szCs w:val="11"/>
                <w:b w:val="1"/>
                <w:bCs w:val="1"/>
                <w:color w:val="auto"/>
              </w:rPr>
              <w:t>1</w:t>
            </w:r>
            <w:r>
              <w:rPr>
                <w:rFonts w:ascii="Arial" w:cs="Arial" w:eastAsia="Arial" w:hAnsi="Arial"/>
                <w:sz w:val="18"/>
                <w:szCs w:val="18"/>
                <w:b w:val="1"/>
                <w:bCs w:val="1"/>
                <w:color w:val="auto"/>
              </w:rPr>
              <w:t xml:space="preserve"> (¢/ASM)</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60" w:type="dxa"/>
            <w:vAlign w:val="bottom"/>
            <w:gridSpan w:val="2"/>
          </w:tcPr>
          <w:p>
            <w:pPr>
              <w:ind w:left="140"/>
              <w:spacing w:after="0"/>
              <w:rPr>
                <w:sz w:val="20"/>
                <w:szCs w:val="20"/>
                <w:color w:val="auto"/>
              </w:rPr>
            </w:pPr>
            <w:r>
              <w:rPr>
                <w:rFonts w:ascii="Arial" w:cs="Arial" w:eastAsia="Arial" w:hAnsi="Arial"/>
                <w:sz w:val="18"/>
                <w:szCs w:val="18"/>
                <w:color w:val="auto"/>
                <w:w w:val="98"/>
              </w:rPr>
              <w:t>Mainline Unit Cost Excluding Profit Sharing &amp; Third-Party Business Expenses</w:t>
            </w:r>
          </w:p>
        </w:tc>
        <w:tc>
          <w:tcPr>
            <w:tcW w:w="2360" w:type="dxa"/>
            <w:vAlign w:val="bottom"/>
            <w:gridSpan w:val="4"/>
          </w:tcPr>
          <w:p>
            <w:pPr>
              <w:jc w:val="right"/>
              <w:ind w:right="22"/>
              <w:spacing w:after="0"/>
              <w:rPr>
                <w:sz w:val="20"/>
                <w:szCs w:val="20"/>
                <w:color w:val="auto"/>
              </w:rPr>
            </w:pPr>
            <w:r>
              <w:rPr>
                <w:rFonts w:ascii="Arial" w:cs="Arial" w:eastAsia="Arial" w:hAnsi="Arial"/>
                <w:sz w:val="18"/>
                <w:szCs w:val="18"/>
                <w:color w:val="auto"/>
              </w:rPr>
              <w:t>14.07 - 14.15   5.2% - 5.8%</w:t>
            </w: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13.62 - 13.71</w:t>
            </w:r>
          </w:p>
        </w:tc>
        <w:tc>
          <w:tcPr>
            <w:tcW w:w="2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2.3% - 3.0%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26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2"/>
              </w:rPr>
              <w:t>Consolidated Unit Cost Excluding Profit Sharing &amp; Third-Party Business Expenses</w:t>
            </w:r>
          </w:p>
        </w:tc>
        <w:tc>
          <w:tcPr>
            <w:tcW w:w="118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86"/>
              </w:rPr>
              <w:t>14.98 - 15.07</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87"/>
              </w:rPr>
              <w:t>4.6% - 5.2%</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14.47 - 14.56</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 - 2.5%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3"/>
          </w:tcPr>
          <w:p>
            <w:pPr>
              <w:spacing w:after="0"/>
              <w:rPr>
                <w:sz w:val="20"/>
                <w:szCs w:val="20"/>
                <w:color w:val="auto"/>
              </w:rPr>
            </w:pPr>
            <w:r>
              <w:rPr>
                <w:rFonts w:ascii="Arial" w:cs="Arial" w:eastAsia="Arial" w:hAnsi="Arial"/>
                <w:sz w:val="18"/>
                <w:szCs w:val="18"/>
                <w:b w:val="1"/>
                <w:bCs w:val="1"/>
                <w:color w:val="auto"/>
              </w:rPr>
              <w:t>Non-Fuel Expense</w:t>
            </w:r>
            <w:r>
              <w:rPr>
                <w:rFonts w:ascii="Arial" w:cs="Arial" w:eastAsia="Arial" w:hAnsi="Arial"/>
                <w:sz w:val="11"/>
                <w:szCs w:val="11"/>
                <w:b w:val="1"/>
                <w:bCs w:val="1"/>
                <w:color w:val="auto"/>
              </w:rPr>
              <w:t>1</w:t>
            </w:r>
            <w:r>
              <w:rPr>
                <w:rFonts w:ascii="Arial" w:cs="Arial" w:eastAsia="Arial" w:hAnsi="Arial"/>
                <w:sz w:val="18"/>
                <w:szCs w:val="18"/>
                <w:b w:val="1"/>
                <w:bCs w:val="1"/>
                <w:color w:val="auto"/>
              </w:rPr>
              <w:t xml:space="preserve"> (¢/ASM)</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26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1"/>
              </w:rPr>
              <w:t>Mainline Unit Cost Excluding Profit Sharing, Fuel &amp; Third-Party Business Expenses</w:t>
            </w:r>
          </w:p>
        </w:tc>
        <w:tc>
          <w:tcPr>
            <w:tcW w:w="118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88"/>
              </w:rPr>
              <w:t>9.13 - 9.21</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9.2% - 10.2%</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8.80 - 8.89</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 - 6.3%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6260" w:type="dxa"/>
            <w:vAlign w:val="bottom"/>
            <w:gridSpan w:val="2"/>
          </w:tcPr>
          <w:p>
            <w:pPr>
              <w:ind w:left="140"/>
              <w:spacing w:after="0"/>
              <w:rPr>
                <w:sz w:val="20"/>
                <w:szCs w:val="20"/>
                <w:color w:val="auto"/>
              </w:rPr>
            </w:pPr>
            <w:r>
              <w:rPr>
                <w:rFonts w:ascii="Arial" w:cs="Arial" w:eastAsia="Arial" w:hAnsi="Arial"/>
                <w:sz w:val="18"/>
                <w:szCs w:val="18"/>
                <w:color w:val="auto"/>
                <w:w w:val="98"/>
              </w:rPr>
              <w:t>Consolidated Unit Cost Excluding Profit Sharing, Fuel &amp; Third-Party Business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6260" w:type="dxa"/>
            <w:vAlign w:val="bottom"/>
            <w:gridSpan w:val="2"/>
          </w:tcPr>
          <w:p>
            <w:pPr>
              <w:ind w:left="360"/>
              <w:spacing w:after="0"/>
              <w:rPr>
                <w:sz w:val="20"/>
                <w:szCs w:val="20"/>
                <w:color w:val="auto"/>
              </w:rPr>
            </w:pPr>
            <w:r>
              <w:rPr>
                <w:rFonts w:ascii="Arial" w:cs="Arial" w:eastAsia="Arial" w:hAnsi="Arial"/>
                <w:sz w:val="18"/>
                <w:szCs w:val="18"/>
                <w:color w:val="auto"/>
              </w:rPr>
              <w:t>Expenses</w:t>
            </w:r>
          </w:p>
        </w:tc>
        <w:tc>
          <w:tcPr>
            <w:tcW w:w="1180" w:type="dxa"/>
            <w:vAlign w:val="bottom"/>
            <w:gridSpan w:val="2"/>
          </w:tcPr>
          <w:p>
            <w:pPr>
              <w:jc w:val="center"/>
              <w:ind w:left="94"/>
              <w:spacing w:after="0"/>
              <w:rPr>
                <w:sz w:val="20"/>
                <w:szCs w:val="20"/>
                <w:color w:val="auto"/>
              </w:rPr>
            </w:pPr>
            <w:r>
              <w:rPr>
                <w:rFonts w:ascii="Arial" w:cs="Arial" w:eastAsia="Arial" w:hAnsi="Arial"/>
                <w:sz w:val="18"/>
                <w:szCs w:val="18"/>
                <w:color w:val="auto"/>
                <w:w w:val="88"/>
              </w:rPr>
              <w:t>9.69 - 9.78</w:t>
            </w:r>
          </w:p>
        </w:tc>
        <w:tc>
          <w:tcPr>
            <w:tcW w:w="200" w:type="dxa"/>
            <w:vAlign w:val="bottom"/>
          </w:tcPr>
          <w:p>
            <w:pPr>
              <w:spacing w:after="0"/>
              <w:rPr>
                <w:sz w:val="19"/>
                <w:szCs w:val="19"/>
                <w:color w:val="auto"/>
              </w:rPr>
            </w:pPr>
          </w:p>
        </w:tc>
        <w:tc>
          <w:tcPr>
            <w:tcW w:w="980" w:type="dxa"/>
            <w:vAlign w:val="bottom"/>
          </w:tcPr>
          <w:p>
            <w:pPr>
              <w:jc w:val="right"/>
              <w:ind w:right="22"/>
              <w:spacing w:after="0"/>
              <w:rPr>
                <w:sz w:val="20"/>
                <w:szCs w:val="20"/>
                <w:color w:val="auto"/>
              </w:rPr>
            </w:pPr>
            <w:r>
              <w:rPr>
                <w:rFonts w:ascii="Arial" w:cs="Arial" w:eastAsia="Arial" w:hAnsi="Arial"/>
                <w:sz w:val="18"/>
                <w:szCs w:val="18"/>
                <w:color w:val="auto"/>
                <w:w w:val="87"/>
              </w:rPr>
              <w:t>8.0% - 9.0%</w:t>
            </w:r>
          </w:p>
        </w:tc>
        <w:tc>
          <w:tcPr>
            <w:tcW w:w="2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9.33 - 9.42</w:t>
            </w:r>
          </w:p>
        </w:tc>
        <w:tc>
          <w:tcPr>
            <w:tcW w:w="2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4.5% - 5.5%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5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Third-Party Business Expense ($M)</w:t>
            </w:r>
          </w:p>
        </w:tc>
        <w:tc>
          <w:tcPr>
            <w:tcW w:w="118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89"/>
              </w:rPr>
              <w:t>$120</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$360</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3"/>
          </w:tcPr>
          <w:p>
            <w:pPr>
              <w:spacing w:after="0"/>
              <w:rPr>
                <w:sz w:val="20"/>
                <w:szCs w:val="20"/>
                <w:color w:val="auto"/>
              </w:rPr>
            </w:pPr>
            <w:r>
              <w:rPr>
                <w:rFonts w:ascii="Arial" w:cs="Arial" w:eastAsia="Arial" w:hAnsi="Arial"/>
                <w:sz w:val="18"/>
                <w:szCs w:val="18"/>
                <w:b w:val="1"/>
                <w:bCs w:val="1"/>
                <w:color w:val="auto"/>
              </w:rPr>
              <w:t>Select Expense Measures ($M)</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26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Aircraft Rent</w:t>
            </w:r>
          </w:p>
        </w:tc>
        <w:tc>
          <w:tcPr>
            <w:tcW w:w="118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89"/>
              </w:rPr>
              <w:t>$240</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$960</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6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1180" w:type="dxa"/>
            <w:vAlign w:val="bottom"/>
            <w:gridSpan w:val="2"/>
          </w:tcPr>
          <w:p>
            <w:pPr>
              <w:jc w:val="center"/>
              <w:ind w:left="94"/>
              <w:spacing w:after="0"/>
              <w:rPr>
                <w:sz w:val="20"/>
                <w:szCs w:val="20"/>
                <w:color w:val="auto"/>
              </w:rPr>
            </w:pPr>
            <w:r>
              <w:rPr>
                <w:rFonts w:ascii="Arial" w:cs="Arial" w:eastAsia="Arial" w:hAnsi="Arial"/>
                <w:sz w:val="18"/>
                <w:szCs w:val="18"/>
                <w:color w:val="auto"/>
                <w:w w:val="89"/>
              </w:rPr>
              <w:t>$400</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$1,630</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Fuel Expense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60" w:type="dxa"/>
            <w:vAlign w:val="bottom"/>
            <w:gridSpan w:val="2"/>
          </w:tcPr>
          <w:p>
            <w:pPr>
              <w:ind w:left="140"/>
              <w:spacing w:after="0"/>
              <w:rPr>
                <w:sz w:val="20"/>
                <w:szCs w:val="20"/>
                <w:color w:val="auto"/>
              </w:rPr>
            </w:pPr>
            <w:r>
              <w:rPr>
                <w:rFonts w:ascii="Arial" w:cs="Arial" w:eastAsia="Arial" w:hAnsi="Arial"/>
                <w:sz w:val="18"/>
                <w:szCs w:val="18"/>
                <w:color w:val="auto"/>
              </w:rPr>
              <w:t>Mainline Fuel Consumption (Million Gallons)</w:t>
            </w:r>
          </w:p>
        </w:tc>
        <w:tc>
          <w:tcPr>
            <w:tcW w:w="1180" w:type="dxa"/>
            <w:vAlign w:val="bottom"/>
            <w:gridSpan w:val="2"/>
          </w:tcPr>
          <w:p>
            <w:pPr>
              <w:jc w:val="center"/>
              <w:ind w:left="94"/>
              <w:spacing w:after="0"/>
              <w:rPr>
                <w:sz w:val="20"/>
                <w:szCs w:val="20"/>
                <w:color w:val="auto"/>
              </w:rPr>
            </w:pPr>
            <w:r>
              <w:rPr>
                <w:rFonts w:ascii="Arial" w:cs="Arial" w:eastAsia="Arial" w:hAnsi="Arial"/>
                <w:sz w:val="18"/>
                <w:szCs w:val="18"/>
                <w:color w:val="auto"/>
                <w:w w:val="93"/>
              </w:rPr>
              <w:t>755</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3,210</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26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Consolidated Fuel Consumption (Million Gallons)</w:t>
            </w:r>
          </w:p>
        </w:tc>
        <w:tc>
          <w:tcPr>
            <w:tcW w:w="118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93"/>
              </w:rPr>
              <w:t>930</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3,940</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60" w:type="dxa"/>
            <w:vAlign w:val="bottom"/>
            <w:gridSpan w:val="2"/>
          </w:tcPr>
          <w:p>
            <w:pPr>
              <w:ind w:left="140"/>
              <w:spacing w:after="0"/>
              <w:rPr>
                <w:sz w:val="20"/>
                <w:szCs w:val="20"/>
                <w:color w:val="auto"/>
              </w:rPr>
            </w:pPr>
            <w:r>
              <w:rPr>
                <w:rFonts w:ascii="Arial" w:cs="Arial" w:eastAsia="Arial" w:hAnsi="Arial"/>
                <w:sz w:val="18"/>
                <w:szCs w:val="18"/>
                <w:color w:val="auto"/>
              </w:rPr>
              <w:t>Consolidated Fuel Price Excluding Hedges</w:t>
            </w:r>
          </w:p>
        </w:tc>
        <w:tc>
          <w:tcPr>
            <w:tcW w:w="18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$3.26 / Gallon</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$3.21 / Gallon</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26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Consolidated Fuel Price Including Cash Settled Hedges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$3.27 / Gallon</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$3.23 / Gallon</w:t>
            </w: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3"/>
          </w:tcPr>
          <w:p>
            <w:pPr>
              <w:spacing w:after="0"/>
              <w:rPr>
                <w:sz w:val="20"/>
                <w:szCs w:val="20"/>
                <w:color w:val="auto"/>
              </w:rPr>
            </w:pPr>
            <w:r>
              <w:rPr>
                <w:rFonts w:ascii="Arial" w:cs="Arial" w:eastAsia="Arial" w:hAnsi="Arial"/>
                <w:sz w:val="18"/>
                <w:szCs w:val="18"/>
                <w:b w:val="1"/>
                <w:bCs w:val="1"/>
                <w:color w:val="auto"/>
              </w:rPr>
              <w:t>Non-Operating Expense ($M)</w:t>
            </w:r>
          </w:p>
        </w:tc>
        <w:tc>
          <w:tcPr>
            <w:tcW w:w="1180" w:type="dxa"/>
            <w:vAlign w:val="bottom"/>
            <w:gridSpan w:val="2"/>
          </w:tcPr>
          <w:p>
            <w:pPr>
              <w:jc w:val="center"/>
              <w:ind w:left="94"/>
              <w:spacing w:after="0"/>
              <w:rPr>
                <w:sz w:val="20"/>
                <w:szCs w:val="20"/>
                <w:color w:val="auto"/>
              </w:rPr>
            </w:pPr>
            <w:r>
              <w:rPr>
                <w:rFonts w:ascii="Arial" w:cs="Arial" w:eastAsia="Arial" w:hAnsi="Arial"/>
                <w:sz w:val="18"/>
                <w:szCs w:val="18"/>
                <w:color w:val="auto"/>
                <w:w w:val="87"/>
              </w:rPr>
              <w:t>$160 - $190</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$690 - $740</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Income Taxes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60" w:type="dxa"/>
            <w:vAlign w:val="bottom"/>
            <w:gridSpan w:val="2"/>
          </w:tcPr>
          <w:p>
            <w:pPr>
              <w:ind w:left="140"/>
              <w:spacing w:after="0"/>
              <w:rPr>
                <w:sz w:val="20"/>
                <w:szCs w:val="20"/>
                <w:color w:val="auto"/>
              </w:rPr>
            </w:pPr>
            <w:r>
              <w:rPr>
                <w:rFonts w:ascii="Arial" w:cs="Arial" w:eastAsia="Arial" w:hAnsi="Arial"/>
                <w:sz w:val="18"/>
                <w:szCs w:val="18"/>
                <w:color w:val="auto"/>
              </w:rPr>
              <w:t>Income Tax Rate</w:t>
            </w:r>
          </w:p>
        </w:tc>
        <w:tc>
          <w:tcPr>
            <w:tcW w:w="1180" w:type="dxa"/>
            <w:vAlign w:val="bottom"/>
            <w:gridSpan w:val="2"/>
          </w:tcPr>
          <w:p>
            <w:pPr>
              <w:jc w:val="center"/>
              <w:ind w:left="94"/>
              <w:spacing w:after="0"/>
              <w:rPr>
                <w:sz w:val="20"/>
                <w:szCs w:val="20"/>
                <w:color w:val="auto"/>
              </w:rPr>
            </w:pPr>
            <w:r>
              <w:rPr>
                <w:rFonts w:ascii="Arial" w:cs="Arial" w:eastAsia="Arial" w:hAnsi="Arial"/>
                <w:sz w:val="18"/>
                <w:szCs w:val="18"/>
                <w:color w:val="auto"/>
                <w:w w:val="92"/>
              </w:rPr>
              <w:t>0%</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0%</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Capital Expenditures ($M)</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60" w:type="dxa"/>
            <w:vAlign w:val="bottom"/>
            <w:gridSpan w:val="2"/>
          </w:tcPr>
          <w:p>
            <w:pPr>
              <w:ind w:left="140"/>
              <w:spacing w:after="0"/>
              <w:rPr>
                <w:sz w:val="20"/>
                <w:szCs w:val="20"/>
                <w:color w:val="auto"/>
              </w:rPr>
            </w:pPr>
            <w:r>
              <w:rPr>
                <w:rFonts w:ascii="Arial" w:cs="Arial" w:eastAsia="Arial" w:hAnsi="Arial"/>
                <w:sz w:val="18"/>
                <w:szCs w:val="18"/>
                <w:color w:val="auto"/>
              </w:rPr>
              <w:t>Gross Capital Expenditures incl. Net Purchase Deposits</w:t>
            </w:r>
          </w:p>
        </w:tc>
        <w:tc>
          <w:tcPr>
            <w:tcW w:w="1180" w:type="dxa"/>
            <w:vAlign w:val="bottom"/>
            <w:gridSpan w:val="2"/>
          </w:tcPr>
          <w:p>
            <w:pPr>
              <w:jc w:val="center"/>
              <w:ind w:left="94"/>
              <w:spacing w:after="0"/>
              <w:rPr>
                <w:sz w:val="20"/>
                <w:szCs w:val="20"/>
                <w:color w:val="auto"/>
              </w:rPr>
            </w:pPr>
            <w:r>
              <w:rPr>
                <w:rFonts w:ascii="Arial" w:cs="Arial" w:eastAsia="Arial" w:hAnsi="Arial"/>
                <w:sz w:val="18"/>
                <w:szCs w:val="18"/>
                <w:color w:val="auto"/>
                <w:w w:val="89"/>
              </w:rPr>
              <w:t>$580</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$2,500</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26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Capital Expenditures incl. Net Purchase Deposits</w:t>
            </w:r>
          </w:p>
        </w:tc>
        <w:tc>
          <w:tcPr>
            <w:tcW w:w="118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89"/>
              </w:rPr>
              <w:t>$350</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$1,400</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560" w:type="dxa"/>
            <w:vAlign w:val="bottom"/>
            <w:gridSpan w:val="3"/>
          </w:tcPr>
          <w:p>
            <w:pPr>
              <w:spacing w:after="0"/>
              <w:rPr>
                <w:sz w:val="20"/>
                <w:szCs w:val="20"/>
                <w:color w:val="auto"/>
              </w:rPr>
            </w:pPr>
            <w:r>
              <w:rPr>
                <w:rFonts w:ascii="Arial" w:cs="Arial" w:eastAsia="Arial" w:hAnsi="Arial"/>
                <w:sz w:val="18"/>
                <w:szCs w:val="18"/>
                <w:b w:val="1"/>
                <w:bCs w:val="1"/>
                <w:color w:val="auto"/>
              </w:rPr>
              <w:t>Debt and Capital Lease Payments ($B)</w:t>
            </w:r>
          </w:p>
        </w:tc>
        <w:tc>
          <w:tcPr>
            <w:tcW w:w="1180" w:type="dxa"/>
            <w:vAlign w:val="bottom"/>
            <w:gridSpan w:val="2"/>
          </w:tcPr>
          <w:p>
            <w:pPr>
              <w:jc w:val="center"/>
              <w:ind w:left="94"/>
              <w:spacing w:after="0"/>
              <w:rPr>
                <w:sz w:val="20"/>
                <w:szCs w:val="20"/>
                <w:color w:val="auto"/>
              </w:rPr>
            </w:pPr>
            <w:r>
              <w:rPr>
                <w:rFonts w:ascii="Arial" w:cs="Arial" w:eastAsia="Arial" w:hAnsi="Arial"/>
                <w:sz w:val="18"/>
                <w:szCs w:val="18"/>
                <w:color w:val="auto"/>
                <w:w w:val="91"/>
              </w:rPr>
              <w:t>$1.0</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$1.9</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3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6260" w:type="dxa"/>
            <w:vAlign w:val="bottom"/>
            <w:gridSpan w:val="2"/>
          </w:tcPr>
          <w:p>
            <w:pPr>
              <w:ind w:left="160"/>
              <w:spacing w:after="0"/>
              <w:rPr>
                <w:sz w:val="20"/>
                <w:szCs w:val="20"/>
                <w:color w:val="auto"/>
              </w:rPr>
            </w:pPr>
            <w:r>
              <w:rPr>
                <w:rFonts w:ascii="Arial" w:cs="Arial" w:eastAsia="Arial" w:hAnsi="Arial"/>
                <w:sz w:val="18"/>
                <w:szCs w:val="18"/>
                <w:color w:val="auto"/>
              </w:rPr>
              <w:t>Excludes special charges.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20" w:type="dxa"/>
            <w:vAlign w:val="bottom"/>
          </w:tcPr>
          <w:p>
            <w:pPr>
              <w:ind w:left="4340"/>
              <w:spacing w:after="0"/>
              <w:rPr>
                <w:sz w:val="20"/>
                <w:szCs w:val="20"/>
                <w:color w:val="auto"/>
              </w:rPr>
            </w:pPr>
            <w:r>
              <w:rPr>
                <w:rFonts w:ascii="Arial" w:cs="Arial" w:eastAsia="Arial" w:hAnsi="Arial"/>
                <w:sz w:val="18"/>
                <w:szCs w:val="18"/>
                <w:color w:val="auto"/>
              </w:rPr>
              <w:t>(more)</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00" w:type="dxa"/>
            <w:vAlign w:val="bottom"/>
          </w:tcPr>
          <w:p>
            <w:pPr>
              <w:spacing w:after="0"/>
              <w:rPr>
                <w:sz w:val="24"/>
                <w:szCs w:val="24"/>
                <w:color w:val="auto"/>
              </w:rPr>
            </w:pPr>
          </w:p>
        </w:tc>
        <w:tc>
          <w:tcPr>
            <w:tcW w:w="6260" w:type="dxa"/>
            <w:vAlign w:val="bottom"/>
            <w:gridSpan w:val="2"/>
          </w:tcPr>
          <w:p>
            <w:pPr>
              <w:ind w:left="53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935" w:right="21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5448935</wp:posOffset>
            </wp:positionH>
            <wp:positionV relativeFrom="page">
              <wp:posOffset>183515</wp:posOffset>
            </wp:positionV>
            <wp:extent cx="1955165" cy="3689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955165" cy="368935"/>
                    </a:xfrm>
                    <a:prstGeom prst="rect">
                      <a:avLst/>
                    </a:prstGeom>
                    <a:noFill/>
                  </pic:spPr>
                </pic:pic>
              </a:graphicData>
            </a:graphic>
          </wp:anchor>
        </w:drawing>
        <w:t>Company Outlook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Fuel Hedges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of Jan. 18, 2013, the Company had hedged 43% of its projected fuel requirements for 1Q 2013, 34% for 2Q 2013 and 31% for FY 2013 using three-ways and collars on heating oil, Brent crude oil, aircraft fuel and diesel fuel.</w:t>
      </w:r>
    </w:p>
    <w:p>
      <w:pPr>
        <w:spacing w:after="0" w:line="13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table below provides a view of the economic impact of the hedge portfolio on the Company’s full year 2013 fuel costs given significant moves (up to +/-20%) in market prices from Jan. 18, 2013 levels (Brent crude spot price of $111.89 per barrel).</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4"/>
              </w:rPr>
              <w:t>Change in Market</w:t>
            </w:r>
          </w:p>
        </w:tc>
        <w:tc>
          <w:tcPr>
            <w:tcW w:w="3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FY 2013 (in $ per gallon)</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120" w:type="dxa"/>
            <w:vAlign w:val="bottom"/>
            <w:vMerge w:val="continue"/>
          </w:tcPr>
          <w:p>
            <w:pPr>
              <w:spacing w:after="0"/>
              <w:rPr>
                <w:sz w:val="11"/>
                <w:szCs w:val="11"/>
                <w:color w:val="auto"/>
              </w:rPr>
            </w:pPr>
          </w:p>
        </w:tc>
        <w:tc>
          <w:tcPr>
            <w:tcW w:w="3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80" w:type="dxa"/>
            <w:vAlign w:val="bottom"/>
            <w:gridSpan w:val="2"/>
          </w:tcPr>
          <w:p>
            <w:pPr>
              <w:jc w:val="right"/>
              <w:ind w:right="920"/>
              <w:spacing w:after="0" w:line="136" w:lineRule="exact"/>
              <w:rPr>
                <w:sz w:val="20"/>
                <w:szCs w:val="20"/>
                <w:color w:val="auto"/>
              </w:rPr>
            </w:pPr>
            <w:r>
              <w:rPr>
                <w:rFonts w:ascii="Arial" w:cs="Arial" w:eastAsia="Arial" w:hAnsi="Arial"/>
                <w:sz w:val="14"/>
                <w:szCs w:val="14"/>
                <w:b w:val="1"/>
                <w:bCs w:val="1"/>
                <w:color w:val="auto"/>
                <w:w w:val="85"/>
              </w:rPr>
              <w:t>Decrease / (Increase) to</w:t>
            </w:r>
          </w:p>
        </w:tc>
        <w:tc>
          <w:tcPr>
            <w:tcW w:w="1680" w:type="dxa"/>
            <w:vAlign w:val="bottom"/>
            <w:gridSpan w:val="2"/>
          </w:tcPr>
          <w:p>
            <w:pPr>
              <w:jc w:val="right"/>
              <w:ind w:right="920"/>
              <w:spacing w:after="0" w:line="136" w:lineRule="exact"/>
              <w:rPr>
                <w:sz w:val="20"/>
                <w:szCs w:val="20"/>
                <w:color w:val="auto"/>
              </w:rPr>
            </w:pPr>
            <w:r>
              <w:rPr>
                <w:rFonts w:ascii="Arial" w:cs="Arial" w:eastAsia="Arial" w:hAnsi="Arial"/>
                <w:sz w:val="14"/>
                <w:szCs w:val="14"/>
                <w:b w:val="1"/>
                <w:bCs w:val="1"/>
                <w:color w:val="auto"/>
                <w:w w:val="86"/>
              </w:rPr>
              <w:t>Hedge Gain /</w:t>
            </w:r>
          </w:p>
        </w:tc>
        <w:tc>
          <w:tcPr>
            <w:tcW w:w="1420" w:type="dxa"/>
            <w:vAlign w:val="bottom"/>
            <w:gridSpan w:val="2"/>
          </w:tcPr>
          <w:p>
            <w:pPr>
              <w:jc w:val="right"/>
              <w:ind w:right="340"/>
              <w:spacing w:after="0" w:line="136" w:lineRule="exact"/>
              <w:rPr>
                <w:sz w:val="20"/>
                <w:szCs w:val="20"/>
                <w:color w:val="auto"/>
              </w:rPr>
            </w:pPr>
            <w:r>
              <w:rPr>
                <w:rFonts w:ascii="Arial" w:cs="Arial" w:eastAsia="Arial" w:hAnsi="Arial"/>
                <w:sz w:val="14"/>
                <w:szCs w:val="14"/>
                <w:b w:val="1"/>
                <w:bCs w:val="1"/>
                <w:color w:val="auto"/>
              </w:rPr>
              <w:t>Net Decrease /</w:t>
            </w:r>
          </w:p>
        </w:tc>
        <w:tc>
          <w:tcPr>
            <w:tcW w:w="0" w:type="dxa"/>
            <w:vAlign w:val="bottom"/>
          </w:tcPr>
          <w:p>
            <w:pPr>
              <w:spacing w:after="0"/>
              <w:rPr>
                <w:sz w:val="1"/>
                <w:szCs w:val="1"/>
                <w:color w:val="auto"/>
              </w:rPr>
            </w:pPr>
          </w:p>
        </w:tc>
      </w:tr>
      <w:tr>
        <w:trPr>
          <w:trHeight w:val="149"/>
        </w:trPr>
        <w:tc>
          <w:tcPr>
            <w:tcW w:w="1120" w:type="dxa"/>
            <w:vAlign w:val="bottom"/>
            <w:tcBorders>
              <w:bottom w:val="single" w:sz="8" w:color="auto"/>
            </w:tcBorders>
          </w:tcPr>
          <w:p>
            <w:pPr>
              <w:spacing w:after="0" w:line="129" w:lineRule="exact"/>
              <w:rPr>
                <w:sz w:val="20"/>
                <w:szCs w:val="20"/>
                <w:color w:val="auto"/>
              </w:rPr>
            </w:pPr>
            <w:r>
              <w:rPr>
                <w:rFonts w:ascii="Arial" w:cs="Arial" w:eastAsia="Arial" w:hAnsi="Arial"/>
                <w:sz w:val="10"/>
                <w:szCs w:val="10"/>
                <w:b w:val="1"/>
                <w:bCs w:val="1"/>
                <w:color w:val="auto"/>
              </w:rPr>
              <w:t xml:space="preserve">Fuel Prices </w:t>
            </w:r>
            <w:r>
              <w:rPr>
                <w:rFonts w:ascii="Arial" w:cs="Arial" w:eastAsia="Arial" w:hAnsi="Arial"/>
                <w:sz w:val="14"/>
                <w:szCs w:val="14"/>
                <w:b w:val="1"/>
                <w:bCs w:val="1"/>
                <w:color w:val="auto"/>
                <w:vertAlign w:val="superscript"/>
              </w:rPr>
              <w:t>(1)</w:t>
            </w:r>
          </w:p>
        </w:tc>
        <w:tc>
          <w:tcPr>
            <w:tcW w:w="3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80" w:type="dxa"/>
            <w:vAlign w:val="bottom"/>
            <w:gridSpan w:val="2"/>
          </w:tcPr>
          <w:p>
            <w:pPr>
              <w:jc w:val="right"/>
              <w:ind w:right="940"/>
              <w:spacing w:after="0" w:line="129" w:lineRule="exact"/>
              <w:rPr>
                <w:sz w:val="20"/>
                <w:szCs w:val="20"/>
                <w:color w:val="auto"/>
              </w:rPr>
            </w:pPr>
            <w:r>
              <w:rPr>
                <w:rFonts w:ascii="Arial" w:cs="Arial" w:eastAsia="Arial" w:hAnsi="Arial"/>
                <w:sz w:val="10"/>
                <w:szCs w:val="10"/>
                <w:b w:val="1"/>
                <w:bCs w:val="1"/>
                <w:color w:val="auto"/>
              </w:rPr>
              <w:t xml:space="preserve">Unhedged Fuel Cost </w:t>
            </w:r>
            <w:r>
              <w:rPr>
                <w:rFonts w:ascii="Arial" w:cs="Arial" w:eastAsia="Arial" w:hAnsi="Arial"/>
                <w:sz w:val="14"/>
                <w:szCs w:val="14"/>
                <w:b w:val="1"/>
                <w:bCs w:val="1"/>
                <w:color w:val="auto"/>
                <w:vertAlign w:val="superscript"/>
              </w:rPr>
              <w:t>(2)</w:t>
            </w:r>
          </w:p>
        </w:tc>
        <w:tc>
          <w:tcPr>
            <w:tcW w:w="1680" w:type="dxa"/>
            <w:vAlign w:val="bottom"/>
            <w:gridSpan w:val="2"/>
          </w:tcPr>
          <w:p>
            <w:pPr>
              <w:jc w:val="right"/>
              <w:ind w:right="1040"/>
              <w:spacing w:after="0" w:line="129" w:lineRule="exact"/>
              <w:rPr>
                <w:sz w:val="20"/>
                <w:szCs w:val="20"/>
                <w:color w:val="auto"/>
              </w:rPr>
            </w:pPr>
            <w:r>
              <w:rPr>
                <w:rFonts w:ascii="Arial" w:cs="Arial" w:eastAsia="Arial" w:hAnsi="Arial"/>
                <w:sz w:val="10"/>
                <w:szCs w:val="10"/>
                <w:b w:val="1"/>
                <w:bCs w:val="1"/>
                <w:color w:val="auto"/>
              </w:rPr>
              <w:t xml:space="preserve">(Loss) </w:t>
            </w:r>
            <w:r>
              <w:rPr>
                <w:rFonts w:ascii="Arial" w:cs="Arial" w:eastAsia="Arial" w:hAnsi="Arial"/>
                <w:sz w:val="14"/>
                <w:szCs w:val="14"/>
                <w:b w:val="1"/>
                <w:bCs w:val="1"/>
                <w:color w:val="auto"/>
                <w:vertAlign w:val="superscript"/>
              </w:rPr>
              <w:t>(3)</w:t>
            </w:r>
          </w:p>
        </w:tc>
        <w:tc>
          <w:tcPr>
            <w:tcW w:w="1420" w:type="dxa"/>
            <w:vAlign w:val="bottom"/>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w w:val="86"/>
              </w:rPr>
              <w:t>(Increase) to Fuel Cost</w:t>
            </w:r>
          </w:p>
        </w:tc>
        <w:tc>
          <w:tcPr>
            <w:tcW w:w="0" w:type="dxa"/>
            <w:vAlign w:val="bottom"/>
          </w:tcPr>
          <w:p>
            <w:pPr>
              <w:spacing w:after="0"/>
              <w:rPr>
                <w:sz w:val="1"/>
                <w:szCs w:val="1"/>
                <w:color w:val="auto"/>
              </w:rPr>
            </w:pPr>
          </w:p>
        </w:tc>
      </w:tr>
      <w:tr>
        <w:trPr>
          <w:trHeight w:val="20"/>
        </w:trPr>
        <w:tc>
          <w:tcPr>
            <w:tcW w:w="112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w:t>
            </w:r>
          </w:p>
        </w:tc>
        <w:tc>
          <w:tcPr>
            <w:tcW w:w="4000" w:type="dxa"/>
            <w:vAlign w:val="bottom"/>
            <w:gridSpan w:val="2"/>
            <w:shd w:val="clear" w:color="auto" w:fill="CCEEFF"/>
          </w:tcPr>
          <w:p>
            <w:pPr>
              <w:spacing w:after="0"/>
              <w:rPr>
                <w:sz w:val="17"/>
                <w:szCs w:val="17"/>
                <w:color w:val="auto"/>
              </w:rPr>
            </w:pP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(0.60)</w:t>
            </w:r>
          </w:p>
        </w:tc>
        <w:tc>
          <w:tcPr>
            <w:tcW w:w="9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0.08</w:t>
            </w:r>
          </w:p>
        </w:tc>
        <w:tc>
          <w:tcPr>
            <w:tcW w:w="9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w:t>
            </w:r>
          </w:p>
        </w:tc>
        <w:tc>
          <w:tcPr>
            <w:tcW w:w="6280" w:type="dxa"/>
            <w:vAlign w:val="bottom"/>
            <w:gridSpan w:val="4"/>
          </w:tcPr>
          <w:p>
            <w:pPr>
              <w:jc w:val="right"/>
              <w:ind w:right="860"/>
              <w:spacing w:after="0"/>
              <w:rPr>
                <w:sz w:val="20"/>
                <w:szCs w:val="20"/>
                <w:color w:val="auto"/>
              </w:rPr>
            </w:pPr>
            <w:r>
              <w:rPr>
                <w:rFonts w:ascii="Arial" w:cs="Arial" w:eastAsia="Arial" w:hAnsi="Arial"/>
                <w:sz w:val="18"/>
                <w:szCs w:val="18"/>
                <w:color w:val="auto"/>
              </w:rPr>
              <w:t>(0.30)</w:t>
            </w:r>
          </w:p>
        </w:tc>
        <w:tc>
          <w:tcPr>
            <w:tcW w:w="1680" w:type="dxa"/>
            <w:vAlign w:val="bottom"/>
            <w:gridSpan w:val="2"/>
          </w:tcPr>
          <w:p>
            <w:pPr>
              <w:jc w:val="right"/>
              <w:ind w:right="920"/>
              <w:spacing w:after="0"/>
              <w:rPr>
                <w:sz w:val="20"/>
                <w:szCs w:val="20"/>
                <w:color w:val="auto"/>
              </w:rPr>
            </w:pPr>
            <w:r>
              <w:rPr>
                <w:rFonts w:ascii="Arial" w:cs="Arial" w:eastAsia="Arial" w:hAnsi="Arial"/>
                <w:sz w:val="18"/>
                <w:szCs w:val="18"/>
                <w:color w:val="auto"/>
              </w:rPr>
              <w:t>0.06</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5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9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(0.00)</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(20%)</w:t>
            </w:r>
          </w:p>
        </w:tc>
        <w:tc>
          <w:tcPr>
            <w:tcW w:w="3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0.60</w:t>
            </w:r>
          </w:p>
        </w:tc>
        <w:tc>
          <w:tcPr>
            <w:tcW w:w="920" w:type="dxa"/>
            <w:vAlign w:val="bottom"/>
          </w:tcPr>
          <w:p>
            <w:pPr>
              <w:spacing w:after="0"/>
              <w:rPr>
                <w:sz w:val="18"/>
                <w:szCs w:val="18"/>
                <w:color w:val="auto"/>
              </w:rPr>
            </w:pPr>
          </w:p>
        </w:tc>
        <w:tc>
          <w:tcPr>
            <w:tcW w:w="1680" w:type="dxa"/>
            <w:vAlign w:val="bottom"/>
            <w:gridSpan w:val="2"/>
          </w:tcPr>
          <w:p>
            <w:pPr>
              <w:jc w:val="right"/>
              <w:ind w:right="860"/>
              <w:spacing w:after="0"/>
              <w:rPr>
                <w:sz w:val="20"/>
                <w:szCs w:val="20"/>
                <w:color w:val="auto"/>
              </w:rPr>
            </w:pPr>
            <w:r>
              <w:rPr>
                <w:rFonts w:ascii="Arial" w:cs="Arial" w:eastAsia="Arial" w:hAnsi="Arial"/>
                <w:sz w:val="18"/>
                <w:szCs w:val="18"/>
                <w:color w:val="auto"/>
              </w:rPr>
              <w:t>(0.05)</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Projected using hypothetical fuel curves parallel to the baseline Jan. 18, 2013 curve.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estimated FY 2013 consumption of 3.9 billion gallons excluding taxes and transportation.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gain or loss including premiums on existing hedges as of Jan. 18, 2013.</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Fuel Price Sensitivity</w:t>
      </w:r>
    </w:p>
    <w:p>
      <w:pPr>
        <w:spacing w:after="0" w:line="9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table below outlines the Company’s estimated cash hedge impacts at various price points based on the Jan. 18, 2013 fuel forecast, where the Brent crude spot price was $111.89 per barrel. With the current portfolio, hedge gains/losses are recognized in both Fuel Expense and Non-Operating Expense.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Brent Fuel Scenarios*</w:t>
            </w:r>
          </w:p>
        </w:tc>
        <w:tc>
          <w:tcPr>
            <w:tcW w:w="300" w:type="dxa"/>
            <w:vAlign w:val="bottom"/>
          </w:tcPr>
          <w:p>
            <w:pPr>
              <w:spacing w:after="0"/>
              <w:rPr>
                <w:sz w:val="14"/>
                <w:szCs w:val="14"/>
                <w:color w:val="auto"/>
              </w:rPr>
            </w:pPr>
          </w:p>
        </w:tc>
        <w:tc>
          <w:tcPr>
            <w:tcW w:w="3960" w:type="dxa"/>
            <w:vAlign w:val="bottom"/>
          </w:tcPr>
          <w:p>
            <w:pPr>
              <w:ind w:left="1260"/>
              <w:spacing w:after="0"/>
              <w:rPr>
                <w:sz w:val="20"/>
                <w:szCs w:val="20"/>
                <w:color w:val="auto"/>
              </w:rPr>
            </w:pPr>
            <w:r>
              <w:rPr>
                <w:rFonts w:ascii="Arial" w:cs="Arial" w:eastAsia="Arial" w:hAnsi="Arial"/>
                <w:sz w:val="14"/>
                <w:szCs w:val="14"/>
                <w:b w:val="1"/>
                <w:bCs w:val="1"/>
                <w:color w:val="auto"/>
              </w:rPr>
              <w:t>Cash Hedge Impact</w:t>
            </w: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1Q13</w:t>
            </w:r>
          </w:p>
        </w:tc>
        <w:tc>
          <w:tcPr>
            <w:tcW w:w="16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2Q13</w:t>
            </w:r>
          </w:p>
        </w:tc>
        <w:tc>
          <w:tcPr>
            <w:tcW w:w="16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3Q13</w:t>
            </w:r>
          </w:p>
        </w:tc>
        <w:tc>
          <w:tcPr>
            <w:tcW w:w="560" w:type="dxa"/>
            <w:vAlign w:val="bottom"/>
            <w:gridSpan w:val="2"/>
          </w:tcPr>
          <w:p>
            <w:pPr>
              <w:ind w:left="60"/>
              <w:spacing w:after="0"/>
              <w:rPr>
                <w:sz w:val="20"/>
                <w:szCs w:val="20"/>
                <w:color w:val="auto"/>
              </w:rPr>
            </w:pPr>
            <w:r>
              <w:rPr>
                <w:rFonts w:ascii="Arial" w:cs="Arial" w:eastAsia="Arial" w:hAnsi="Arial"/>
                <w:sz w:val="14"/>
                <w:szCs w:val="14"/>
                <w:b w:val="1"/>
                <w:bCs w:val="1"/>
                <w:color w:val="auto"/>
              </w:rPr>
              <w:t>4Q13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70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forecast</w:t>
            </w:r>
          </w:p>
        </w:tc>
        <w:tc>
          <w:tcPr>
            <w:tcW w:w="160" w:type="dxa"/>
            <w:vAlign w:val="bottom"/>
          </w:tcPr>
          <w:p>
            <w:pPr>
              <w:spacing w:after="0"/>
              <w:rPr>
                <w:sz w:val="13"/>
                <w:szCs w:val="13"/>
                <w:color w:val="auto"/>
              </w:rPr>
            </w:pPr>
          </w:p>
        </w:tc>
        <w:tc>
          <w:tcPr>
            <w:tcW w:w="700" w:type="dxa"/>
            <w:vAlign w:val="bottom"/>
            <w:gridSpan w:val="2"/>
          </w:tcPr>
          <w:p>
            <w:pPr>
              <w:jc w:val="center"/>
              <w:ind w:right="240"/>
              <w:spacing w:after="0" w:line="159" w:lineRule="exact"/>
              <w:rPr>
                <w:sz w:val="20"/>
                <w:szCs w:val="20"/>
                <w:color w:val="auto"/>
              </w:rPr>
            </w:pPr>
            <w:r>
              <w:rPr>
                <w:rFonts w:ascii="Arial" w:cs="Arial" w:eastAsia="Arial" w:hAnsi="Arial"/>
                <w:sz w:val="14"/>
                <w:szCs w:val="14"/>
                <w:color w:val="auto"/>
                <w:w w:val="84"/>
              </w:rPr>
              <w:t>forecast</w:t>
            </w:r>
          </w:p>
        </w:tc>
        <w:tc>
          <w:tcPr>
            <w:tcW w:w="160" w:type="dxa"/>
            <w:vAlign w:val="bottom"/>
          </w:tcPr>
          <w:p>
            <w:pPr>
              <w:spacing w:after="0"/>
              <w:rPr>
                <w:sz w:val="13"/>
                <w:szCs w:val="13"/>
                <w:color w:val="auto"/>
              </w:rPr>
            </w:pPr>
          </w:p>
        </w:tc>
        <w:tc>
          <w:tcPr>
            <w:tcW w:w="880" w:type="dxa"/>
            <w:vAlign w:val="bottom"/>
            <w:gridSpan w:val="2"/>
          </w:tcPr>
          <w:p>
            <w:pPr>
              <w:jc w:val="center"/>
              <w:ind w:right="400"/>
              <w:spacing w:after="0" w:line="159" w:lineRule="exact"/>
              <w:rPr>
                <w:sz w:val="20"/>
                <w:szCs w:val="20"/>
                <w:color w:val="auto"/>
              </w:rPr>
            </w:pPr>
            <w:r>
              <w:rPr>
                <w:rFonts w:ascii="Arial" w:cs="Arial" w:eastAsia="Arial" w:hAnsi="Arial"/>
                <w:sz w:val="14"/>
                <w:szCs w:val="14"/>
                <w:color w:val="auto"/>
                <w:w w:val="88"/>
              </w:rPr>
              <w:t>forecast</w:t>
            </w:r>
          </w:p>
        </w:tc>
        <w:tc>
          <w:tcPr>
            <w:tcW w:w="560" w:type="dxa"/>
            <w:vAlign w:val="bottom"/>
            <w:gridSpan w:val="2"/>
          </w:tcPr>
          <w:p>
            <w:pPr>
              <w:spacing w:after="0" w:line="159" w:lineRule="exact"/>
              <w:rPr>
                <w:sz w:val="20"/>
                <w:szCs w:val="20"/>
                <w:color w:val="auto"/>
              </w:rPr>
            </w:pPr>
            <w:r>
              <w:rPr>
                <w:rFonts w:ascii="Arial" w:cs="Arial" w:eastAsia="Arial" w:hAnsi="Arial"/>
                <w:sz w:val="14"/>
                <w:szCs w:val="14"/>
                <w:color w:val="auto"/>
              </w:rPr>
              <w:t>forecast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+$40 / Barrel</w:t>
            </w:r>
          </w:p>
        </w:tc>
        <w:tc>
          <w:tcPr>
            <w:tcW w:w="300" w:type="dxa"/>
            <w:vAlign w:val="bottom"/>
            <w:tcBorders>
              <w:top w:val="single" w:sz="8" w:color="CCEEFF"/>
            </w:tcBorders>
            <w:shd w:val="clear" w:color="auto" w:fill="CCEEFF"/>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Fuel Price Excluding Hedge** ($/gal)</w:t>
            </w: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$ 4.21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$ 4.18</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$ 4.16</w:t>
            </w: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$ 4.11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Hedge Gain/(Loss) ($/gal)</w:t>
            </w: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$ 0.13</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7"/>
              </w:rPr>
              <w:t>$ 0.10</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$ 0.07</w:t>
            </w: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$ 0.04</w:t>
            </w:r>
          </w:p>
        </w:tc>
        <w:tc>
          <w:tcPr>
            <w:tcW w:w="0" w:type="dxa"/>
            <w:vAlign w:val="bottom"/>
          </w:tcPr>
          <w:p>
            <w:pPr>
              <w:spacing w:after="0"/>
              <w:rPr>
                <w:sz w:val="1"/>
                <w:szCs w:val="1"/>
                <w:color w:val="auto"/>
              </w:rPr>
            </w:pPr>
          </w:p>
        </w:tc>
      </w:tr>
      <w:tr>
        <w:trPr>
          <w:trHeight w:val="316"/>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+$30 / Barrel</w:t>
            </w:r>
          </w:p>
        </w:tc>
        <w:tc>
          <w:tcPr>
            <w:tcW w:w="30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Fuel Price Excluding Hedge** ($/gal)</w:t>
            </w:r>
          </w:p>
        </w:tc>
        <w:tc>
          <w:tcPr>
            <w:tcW w:w="700" w:type="dxa"/>
            <w:vAlign w:val="bottom"/>
            <w:gridSpan w:val="2"/>
          </w:tcPr>
          <w:p>
            <w:pPr>
              <w:spacing w:after="0"/>
              <w:rPr>
                <w:sz w:val="20"/>
                <w:szCs w:val="20"/>
                <w:color w:val="auto"/>
              </w:rPr>
            </w:pPr>
            <w:r>
              <w:rPr>
                <w:rFonts w:ascii="Arial" w:cs="Arial" w:eastAsia="Arial" w:hAnsi="Arial"/>
                <w:sz w:val="18"/>
                <w:szCs w:val="18"/>
                <w:color w:val="auto"/>
              </w:rPr>
              <w:t>$ 3.98</w:t>
            </w:r>
          </w:p>
        </w:tc>
        <w:tc>
          <w:tcPr>
            <w:tcW w:w="620" w:type="dxa"/>
            <w:vAlign w:val="bottom"/>
            <w:gridSpan w:val="2"/>
          </w:tcPr>
          <w:p>
            <w:pPr>
              <w:ind w:left="160"/>
              <w:spacing w:after="0"/>
              <w:rPr>
                <w:sz w:val="20"/>
                <w:szCs w:val="20"/>
                <w:color w:val="auto"/>
              </w:rPr>
            </w:pPr>
            <w:r>
              <w:rPr>
                <w:rFonts w:ascii="Arial" w:cs="Arial" w:eastAsia="Arial" w:hAnsi="Arial"/>
                <w:sz w:val="18"/>
                <w:szCs w:val="18"/>
                <w:color w:val="auto"/>
                <w:w w:val="87"/>
              </w:rPr>
              <w:t>$ 3.94</w:t>
            </w:r>
          </w:p>
        </w:tc>
        <w:tc>
          <w:tcPr>
            <w:tcW w:w="240" w:type="dxa"/>
            <w:vAlign w:val="bottom"/>
          </w:tcPr>
          <w:p>
            <w:pPr>
              <w:spacing w:after="0"/>
              <w:rPr>
                <w:sz w:val="24"/>
                <w:szCs w:val="24"/>
                <w:color w:val="auto"/>
              </w:rPr>
            </w:pPr>
          </w:p>
        </w:tc>
        <w:tc>
          <w:tcPr>
            <w:tcW w:w="1040" w:type="dxa"/>
            <w:vAlign w:val="bottom"/>
            <w:gridSpan w:val="3"/>
          </w:tcPr>
          <w:p>
            <w:pPr>
              <w:ind w:left="160"/>
              <w:spacing w:after="0"/>
              <w:rPr>
                <w:sz w:val="20"/>
                <w:szCs w:val="20"/>
                <w:color w:val="auto"/>
              </w:rPr>
            </w:pPr>
            <w:r>
              <w:rPr>
                <w:rFonts w:ascii="Arial" w:cs="Arial" w:eastAsia="Arial" w:hAnsi="Arial"/>
                <w:sz w:val="18"/>
                <w:szCs w:val="18"/>
                <w:color w:val="auto"/>
              </w:rPr>
              <w:t>$ 3.92</w:t>
            </w:r>
          </w:p>
        </w:tc>
        <w:tc>
          <w:tcPr>
            <w:tcW w:w="560" w:type="dxa"/>
            <w:vAlign w:val="bottom"/>
            <w:gridSpan w:val="2"/>
          </w:tcPr>
          <w:p>
            <w:pPr>
              <w:spacing w:after="0"/>
              <w:rPr>
                <w:sz w:val="20"/>
                <w:szCs w:val="20"/>
                <w:color w:val="auto"/>
              </w:rPr>
            </w:pPr>
            <w:r>
              <w:rPr>
                <w:rFonts w:ascii="Arial" w:cs="Arial" w:eastAsia="Arial" w:hAnsi="Arial"/>
                <w:sz w:val="18"/>
                <w:szCs w:val="18"/>
                <w:color w:val="auto"/>
              </w:rPr>
              <w:t>$ 3.87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Hedge Gain/(Loss) ($/gal)</w:t>
            </w:r>
          </w:p>
        </w:tc>
        <w:tc>
          <w:tcPr>
            <w:tcW w:w="700" w:type="dxa"/>
            <w:vAlign w:val="bottom"/>
            <w:gridSpan w:val="2"/>
          </w:tcPr>
          <w:p>
            <w:pPr>
              <w:spacing w:after="0"/>
              <w:rPr>
                <w:sz w:val="20"/>
                <w:szCs w:val="20"/>
                <w:color w:val="auto"/>
              </w:rPr>
            </w:pPr>
            <w:r>
              <w:rPr>
                <w:rFonts w:ascii="Arial" w:cs="Arial" w:eastAsia="Arial" w:hAnsi="Arial"/>
                <w:sz w:val="18"/>
                <w:szCs w:val="18"/>
                <w:color w:val="auto"/>
              </w:rPr>
              <w:t>$ 0.09</w:t>
            </w:r>
          </w:p>
        </w:tc>
        <w:tc>
          <w:tcPr>
            <w:tcW w:w="620" w:type="dxa"/>
            <w:vAlign w:val="bottom"/>
            <w:gridSpan w:val="2"/>
          </w:tcPr>
          <w:p>
            <w:pPr>
              <w:ind w:left="160"/>
              <w:spacing w:after="0"/>
              <w:rPr>
                <w:sz w:val="20"/>
                <w:szCs w:val="20"/>
                <w:color w:val="auto"/>
              </w:rPr>
            </w:pPr>
            <w:r>
              <w:rPr>
                <w:rFonts w:ascii="Arial" w:cs="Arial" w:eastAsia="Arial" w:hAnsi="Arial"/>
                <w:sz w:val="18"/>
                <w:szCs w:val="18"/>
                <w:color w:val="auto"/>
                <w:w w:val="87"/>
              </w:rPr>
              <w:t>$ 0.08</w:t>
            </w:r>
          </w:p>
        </w:tc>
        <w:tc>
          <w:tcPr>
            <w:tcW w:w="240" w:type="dxa"/>
            <w:vAlign w:val="bottom"/>
          </w:tcPr>
          <w:p>
            <w:pPr>
              <w:spacing w:after="0"/>
              <w:rPr>
                <w:sz w:val="19"/>
                <w:szCs w:val="19"/>
                <w:color w:val="auto"/>
              </w:rPr>
            </w:pPr>
          </w:p>
        </w:tc>
        <w:tc>
          <w:tcPr>
            <w:tcW w:w="1040" w:type="dxa"/>
            <w:vAlign w:val="bottom"/>
            <w:gridSpan w:val="3"/>
          </w:tcPr>
          <w:p>
            <w:pPr>
              <w:ind w:left="160"/>
              <w:spacing w:after="0"/>
              <w:rPr>
                <w:sz w:val="20"/>
                <w:szCs w:val="20"/>
                <w:color w:val="auto"/>
              </w:rPr>
            </w:pPr>
            <w:r>
              <w:rPr>
                <w:rFonts w:ascii="Arial" w:cs="Arial" w:eastAsia="Arial" w:hAnsi="Arial"/>
                <w:sz w:val="18"/>
                <w:szCs w:val="18"/>
                <w:color w:val="auto"/>
              </w:rPr>
              <w:t>$ 0.07</w:t>
            </w:r>
          </w:p>
        </w:tc>
        <w:tc>
          <w:tcPr>
            <w:tcW w:w="560" w:type="dxa"/>
            <w:vAlign w:val="bottom"/>
            <w:gridSpan w:val="2"/>
          </w:tcPr>
          <w:p>
            <w:pPr>
              <w:spacing w:after="0"/>
              <w:rPr>
                <w:sz w:val="20"/>
                <w:szCs w:val="20"/>
                <w:color w:val="auto"/>
              </w:rPr>
            </w:pPr>
            <w:r>
              <w:rPr>
                <w:rFonts w:ascii="Arial" w:cs="Arial" w:eastAsia="Arial" w:hAnsi="Arial"/>
                <w:sz w:val="18"/>
                <w:szCs w:val="18"/>
                <w:color w:val="auto"/>
              </w:rPr>
              <w:t>$ 0.04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9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 / Barrel</w:t>
            </w:r>
          </w:p>
        </w:tc>
        <w:tc>
          <w:tcPr>
            <w:tcW w:w="30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Fuel Price Excluding Hedge** ($/gal)</w:t>
            </w: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$ 3.74</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7"/>
              </w:rPr>
              <w:t>$ 3.70</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$ 3.68</w:t>
            </w: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Hedge Gain/(Loss) ($/gal)</w:t>
            </w: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$ 0.06</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7"/>
              </w:rPr>
              <w:t>$ 0.07</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$ 0.07</w:t>
            </w: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$ 0.04</w:t>
            </w:r>
          </w:p>
        </w:tc>
        <w:tc>
          <w:tcPr>
            <w:tcW w:w="0" w:type="dxa"/>
            <w:vAlign w:val="bottom"/>
          </w:tcPr>
          <w:p>
            <w:pPr>
              <w:spacing w:after="0"/>
              <w:rPr>
                <w:sz w:val="1"/>
                <w:szCs w:val="1"/>
                <w:color w:val="auto"/>
              </w:rPr>
            </w:pPr>
          </w:p>
        </w:tc>
      </w:tr>
      <w:tr>
        <w:trPr>
          <w:trHeight w:val="316"/>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+$10 / Barrel</w:t>
            </w:r>
          </w:p>
        </w:tc>
        <w:tc>
          <w:tcPr>
            <w:tcW w:w="30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Fuel Price Excluding Hedge** ($/gal)</w:t>
            </w:r>
          </w:p>
        </w:tc>
        <w:tc>
          <w:tcPr>
            <w:tcW w:w="700" w:type="dxa"/>
            <w:vAlign w:val="bottom"/>
            <w:gridSpan w:val="2"/>
          </w:tcPr>
          <w:p>
            <w:pPr>
              <w:spacing w:after="0"/>
              <w:rPr>
                <w:sz w:val="20"/>
                <w:szCs w:val="20"/>
                <w:color w:val="auto"/>
              </w:rPr>
            </w:pPr>
            <w:r>
              <w:rPr>
                <w:rFonts w:ascii="Arial" w:cs="Arial" w:eastAsia="Arial" w:hAnsi="Arial"/>
                <w:sz w:val="18"/>
                <w:szCs w:val="18"/>
                <w:color w:val="auto"/>
              </w:rPr>
              <w:t>$ 3.50</w:t>
            </w:r>
          </w:p>
        </w:tc>
        <w:tc>
          <w:tcPr>
            <w:tcW w:w="620" w:type="dxa"/>
            <w:vAlign w:val="bottom"/>
            <w:gridSpan w:val="2"/>
          </w:tcPr>
          <w:p>
            <w:pPr>
              <w:ind w:left="160"/>
              <w:spacing w:after="0"/>
              <w:rPr>
                <w:sz w:val="20"/>
                <w:szCs w:val="20"/>
                <w:color w:val="auto"/>
              </w:rPr>
            </w:pPr>
            <w:r>
              <w:rPr>
                <w:rFonts w:ascii="Arial" w:cs="Arial" w:eastAsia="Arial" w:hAnsi="Arial"/>
                <w:sz w:val="18"/>
                <w:szCs w:val="18"/>
                <w:color w:val="auto"/>
                <w:w w:val="87"/>
              </w:rPr>
              <w:t>$ 3.46</w:t>
            </w:r>
          </w:p>
        </w:tc>
        <w:tc>
          <w:tcPr>
            <w:tcW w:w="240" w:type="dxa"/>
            <w:vAlign w:val="bottom"/>
          </w:tcPr>
          <w:p>
            <w:pPr>
              <w:spacing w:after="0"/>
              <w:rPr>
                <w:sz w:val="24"/>
                <w:szCs w:val="24"/>
                <w:color w:val="auto"/>
              </w:rPr>
            </w:pPr>
          </w:p>
        </w:tc>
        <w:tc>
          <w:tcPr>
            <w:tcW w:w="1040" w:type="dxa"/>
            <w:vAlign w:val="bottom"/>
            <w:gridSpan w:val="3"/>
          </w:tcPr>
          <w:p>
            <w:pPr>
              <w:ind w:left="160"/>
              <w:spacing w:after="0"/>
              <w:rPr>
                <w:sz w:val="20"/>
                <w:szCs w:val="20"/>
                <w:color w:val="auto"/>
              </w:rPr>
            </w:pPr>
            <w:r>
              <w:rPr>
                <w:rFonts w:ascii="Arial" w:cs="Arial" w:eastAsia="Arial" w:hAnsi="Arial"/>
                <w:sz w:val="18"/>
                <w:szCs w:val="18"/>
                <w:color w:val="auto"/>
              </w:rPr>
              <w:t>$ 3.44</w:t>
            </w:r>
          </w:p>
        </w:tc>
        <w:tc>
          <w:tcPr>
            <w:tcW w:w="560" w:type="dxa"/>
            <w:vAlign w:val="bottom"/>
            <w:gridSpan w:val="2"/>
          </w:tcPr>
          <w:p>
            <w:pPr>
              <w:spacing w:after="0"/>
              <w:rPr>
                <w:sz w:val="20"/>
                <w:szCs w:val="20"/>
                <w:color w:val="auto"/>
              </w:rPr>
            </w:pPr>
            <w:r>
              <w:rPr>
                <w:rFonts w:ascii="Arial" w:cs="Arial" w:eastAsia="Arial" w:hAnsi="Arial"/>
                <w:sz w:val="18"/>
                <w:szCs w:val="18"/>
                <w:color w:val="auto"/>
              </w:rPr>
              <w:t>$ 3.39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Hedge Gain/(Loss) ($/gal)</w:t>
            </w:r>
          </w:p>
        </w:tc>
        <w:tc>
          <w:tcPr>
            <w:tcW w:w="700" w:type="dxa"/>
            <w:vAlign w:val="bottom"/>
            <w:gridSpan w:val="2"/>
          </w:tcPr>
          <w:p>
            <w:pPr>
              <w:spacing w:after="0"/>
              <w:rPr>
                <w:sz w:val="20"/>
                <w:szCs w:val="20"/>
                <w:color w:val="auto"/>
              </w:rPr>
            </w:pPr>
            <w:r>
              <w:rPr>
                <w:rFonts w:ascii="Arial" w:cs="Arial" w:eastAsia="Arial" w:hAnsi="Arial"/>
                <w:sz w:val="18"/>
                <w:szCs w:val="18"/>
                <w:color w:val="auto"/>
              </w:rPr>
              <w:t>$ 0.04</w:t>
            </w:r>
          </w:p>
        </w:tc>
        <w:tc>
          <w:tcPr>
            <w:tcW w:w="620" w:type="dxa"/>
            <w:vAlign w:val="bottom"/>
            <w:gridSpan w:val="2"/>
          </w:tcPr>
          <w:p>
            <w:pPr>
              <w:ind w:left="160"/>
              <w:spacing w:after="0"/>
              <w:rPr>
                <w:sz w:val="20"/>
                <w:szCs w:val="20"/>
                <w:color w:val="auto"/>
              </w:rPr>
            </w:pPr>
            <w:r>
              <w:rPr>
                <w:rFonts w:ascii="Arial" w:cs="Arial" w:eastAsia="Arial" w:hAnsi="Arial"/>
                <w:sz w:val="18"/>
                <w:szCs w:val="18"/>
                <w:color w:val="auto"/>
                <w:w w:val="87"/>
              </w:rPr>
              <w:t>$ 0.06</w:t>
            </w:r>
          </w:p>
        </w:tc>
        <w:tc>
          <w:tcPr>
            <w:tcW w:w="240" w:type="dxa"/>
            <w:vAlign w:val="bottom"/>
          </w:tcPr>
          <w:p>
            <w:pPr>
              <w:spacing w:after="0"/>
              <w:rPr>
                <w:sz w:val="19"/>
                <w:szCs w:val="19"/>
                <w:color w:val="auto"/>
              </w:rPr>
            </w:pPr>
          </w:p>
        </w:tc>
        <w:tc>
          <w:tcPr>
            <w:tcW w:w="1040" w:type="dxa"/>
            <w:vAlign w:val="bottom"/>
            <w:gridSpan w:val="3"/>
          </w:tcPr>
          <w:p>
            <w:pPr>
              <w:ind w:left="160"/>
              <w:spacing w:after="0"/>
              <w:rPr>
                <w:sz w:val="20"/>
                <w:szCs w:val="20"/>
                <w:color w:val="auto"/>
              </w:rPr>
            </w:pPr>
            <w:r>
              <w:rPr>
                <w:rFonts w:ascii="Arial" w:cs="Arial" w:eastAsia="Arial" w:hAnsi="Arial"/>
                <w:sz w:val="18"/>
                <w:szCs w:val="18"/>
                <w:color w:val="auto"/>
              </w:rPr>
              <w:t>$ 0.04</w:t>
            </w:r>
          </w:p>
        </w:tc>
        <w:tc>
          <w:tcPr>
            <w:tcW w:w="560" w:type="dxa"/>
            <w:vAlign w:val="bottom"/>
            <w:gridSpan w:val="2"/>
          </w:tcPr>
          <w:p>
            <w:pPr>
              <w:spacing w:after="0"/>
              <w:rPr>
                <w:sz w:val="20"/>
                <w:szCs w:val="20"/>
                <w:color w:val="auto"/>
              </w:rPr>
            </w:pPr>
            <w:r>
              <w:rPr>
                <w:rFonts w:ascii="Arial" w:cs="Arial" w:eastAsia="Arial" w:hAnsi="Arial"/>
                <w:sz w:val="18"/>
                <w:szCs w:val="18"/>
                <w:color w:val="auto"/>
              </w:rPr>
              <w:t>$ 0.01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9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Price</w:t>
            </w:r>
          </w:p>
        </w:tc>
        <w:tc>
          <w:tcPr>
            <w:tcW w:w="30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Fuel Price Excluding Hedge** ($/gal)</w:t>
            </w: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$ 3.26</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7"/>
              </w:rPr>
              <w:t>$ 3.22</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$ 3.20</w:t>
            </w: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($111.89/bbl)</w:t>
            </w:r>
          </w:p>
        </w:tc>
        <w:tc>
          <w:tcPr>
            <w:tcW w:w="300" w:type="dxa"/>
            <w:vAlign w:val="bottom"/>
            <w:shd w:val="clear" w:color="auto" w:fill="CCEEFF"/>
          </w:tcPr>
          <w:p>
            <w:pPr>
              <w:spacing w:after="0"/>
              <w:rPr>
                <w:sz w:val="19"/>
                <w:szCs w:val="19"/>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Hedge Gain/(Loss) ($/gal)</w:t>
            </w: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$ 0.01</w:t>
            </w:r>
          </w:p>
        </w:tc>
        <w:tc>
          <w:tcPr>
            <w:tcW w:w="8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($0.01)</w:t>
            </w:r>
          </w:p>
        </w:tc>
        <w:tc>
          <w:tcPr>
            <w:tcW w:w="1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($0.02)</w:t>
            </w: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($0.03)</w:t>
            </w:r>
          </w:p>
        </w:tc>
        <w:tc>
          <w:tcPr>
            <w:tcW w:w="0" w:type="dxa"/>
            <w:vAlign w:val="bottom"/>
          </w:tcPr>
          <w:p>
            <w:pPr>
              <w:spacing w:after="0"/>
              <w:rPr>
                <w:sz w:val="1"/>
                <w:szCs w:val="1"/>
                <w:color w:val="auto"/>
              </w:rPr>
            </w:pPr>
          </w:p>
        </w:tc>
      </w:tr>
      <w:tr>
        <w:trPr>
          <w:trHeight w:val="316"/>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($10) / Barrel</w:t>
            </w:r>
          </w:p>
        </w:tc>
        <w:tc>
          <w:tcPr>
            <w:tcW w:w="30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Fuel Price Excluding Hedge** ($/gal)</w:t>
            </w:r>
          </w:p>
        </w:tc>
        <w:tc>
          <w:tcPr>
            <w:tcW w:w="700" w:type="dxa"/>
            <w:vAlign w:val="bottom"/>
            <w:gridSpan w:val="2"/>
          </w:tcPr>
          <w:p>
            <w:pPr>
              <w:spacing w:after="0"/>
              <w:rPr>
                <w:sz w:val="20"/>
                <w:szCs w:val="20"/>
                <w:color w:val="auto"/>
              </w:rPr>
            </w:pPr>
            <w:r>
              <w:rPr>
                <w:rFonts w:ascii="Arial" w:cs="Arial" w:eastAsia="Arial" w:hAnsi="Arial"/>
                <w:sz w:val="18"/>
                <w:szCs w:val="18"/>
                <w:color w:val="auto"/>
              </w:rPr>
              <w:t>$ 3.02</w:t>
            </w:r>
          </w:p>
        </w:tc>
        <w:tc>
          <w:tcPr>
            <w:tcW w:w="620" w:type="dxa"/>
            <w:vAlign w:val="bottom"/>
            <w:gridSpan w:val="2"/>
          </w:tcPr>
          <w:p>
            <w:pPr>
              <w:ind w:left="160"/>
              <w:spacing w:after="0"/>
              <w:rPr>
                <w:sz w:val="20"/>
                <w:szCs w:val="20"/>
                <w:color w:val="auto"/>
              </w:rPr>
            </w:pPr>
            <w:r>
              <w:rPr>
                <w:rFonts w:ascii="Arial" w:cs="Arial" w:eastAsia="Arial" w:hAnsi="Arial"/>
                <w:sz w:val="18"/>
                <w:szCs w:val="18"/>
                <w:color w:val="auto"/>
                <w:w w:val="87"/>
              </w:rPr>
              <w:t>$ 2.99</w:t>
            </w:r>
          </w:p>
        </w:tc>
        <w:tc>
          <w:tcPr>
            <w:tcW w:w="240" w:type="dxa"/>
            <w:vAlign w:val="bottom"/>
          </w:tcPr>
          <w:p>
            <w:pPr>
              <w:spacing w:after="0"/>
              <w:rPr>
                <w:sz w:val="24"/>
                <w:szCs w:val="24"/>
                <w:color w:val="auto"/>
              </w:rPr>
            </w:pPr>
          </w:p>
        </w:tc>
        <w:tc>
          <w:tcPr>
            <w:tcW w:w="1040" w:type="dxa"/>
            <w:vAlign w:val="bottom"/>
            <w:gridSpan w:val="3"/>
          </w:tcPr>
          <w:p>
            <w:pPr>
              <w:ind w:left="160"/>
              <w:spacing w:after="0"/>
              <w:rPr>
                <w:sz w:val="20"/>
                <w:szCs w:val="20"/>
                <w:color w:val="auto"/>
              </w:rPr>
            </w:pPr>
            <w:r>
              <w:rPr>
                <w:rFonts w:ascii="Arial" w:cs="Arial" w:eastAsia="Arial" w:hAnsi="Arial"/>
                <w:sz w:val="18"/>
                <w:szCs w:val="18"/>
                <w:color w:val="auto"/>
              </w:rPr>
              <w:t>$ 2.97</w:t>
            </w:r>
          </w:p>
        </w:tc>
        <w:tc>
          <w:tcPr>
            <w:tcW w:w="560" w:type="dxa"/>
            <w:vAlign w:val="bottom"/>
            <w:gridSpan w:val="2"/>
          </w:tcPr>
          <w:p>
            <w:pPr>
              <w:spacing w:after="0"/>
              <w:rPr>
                <w:sz w:val="20"/>
                <w:szCs w:val="20"/>
                <w:color w:val="auto"/>
              </w:rPr>
            </w:pPr>
            <w:r>
              <w:rPr>
                <w:rFonts w:ascii="Arial" w:cs="Arial" w:eastAsia="Arial" w:hAnsi="Arial"/>
                <w:sz w:val="18"/>
                <w:szCs w:val="18"/>
                <w:color w:val="auto"/>
              </w:rPr>
              <w:t>$ 2.92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Hedge Gain/(Loss) ($/gal)</w:t>
            </w:r>
          </w:p>
        </w:tc>
        <w:tc>
          <w:tcPr>
            <w:tcW w:w="700" w:type="dxa"/>
            <w:vAlign w:val="bottom"/>
            <w:gridSpan w:val="2"/>
          </w:tcPr>
          <w:p>
            <w:pPr>
              <w:spacing w:after="0"/>
              <w:rPr>
                <w:sz w:val="20"/>
                <w:szCs w:val="20"/>
                <w:color w:val="auto"/>
              </w:rPr>
            </w:pPr>
            <w:r>
              <w:rPr>
                <w:rFonts w:ascii="Arial" w:cs="Arial" w:eastAsia="Arial" w:hAnsi="Arial"/>
                <w:sz w:val="18"/>
                <w:szCs w:val="18"/>
                <w:color w:val="auto"/>
              </w:rPr>
              <w:t>($0.01)</w:t>
            </w:r>
          </w:p>
        </w:tc>
        <w:tc>
          <w:tcPr>
            <w:tcW w:w="860" w:type="dxa"/>
            <w:vAlign w:val="bottom"/>
            <w:gridSpan w:val="3"/>
          </w:tcPr>
          <w:p>
            <w:pPr>
              <w:ind w:left="160"/>
              <w:spacing w:after="0"/>
              <w:rPr>
                <w:sz w:val="20"/>
                <w:szCs w:val="20"/>
                <w:color w:val="auto"/>
              </w:rPr>
            </w:pPr>
            <w:r>
              <w:rPr>
                <w:rFonts w:ascii="Arial" w:cs="Arial" w:eastAsia="Arial" w:hAnsi="Arial"/>
                <w:sz w:val="18"/>
                <w:szCs w:val="18"/>
                <w:color w:val="auto"/>
              </w:rPr>
              <w:t>($0.02)</w:t>
            </w:r>
          </w:p>
        </w:tc>
        <w:tc>
          <w:tcPr>
            <w:tcW w:w="1040" w:type="dxa"/>
            <w:vAlign w:val="bottom"/>
            <w:gridSpan w:val="3"/>
          </w:tcPr>
          <w:p>
            <w:pPr>
              <w:ind w:left="160"/>
              <w:spacing w:after="0"/>
              <w:rPr>
                <w:sz w:val="20"/>
                <w:szCs w:val="20"/>
                <w:color w:val="auto"/>
              </w:rPr>
            </w:pPr>
            <w:r>
              <w:rPr>
                <w:rFonts w:ascii="Arial" w:cs="Arial" w:eastAsia="Arial" w:hAnsi="Arial"/>
                <w:sz w:val="18"/>
                <w:szCs w:val="18"/>
                <w:color w:val="auto"/>
              </w:rPr>
              <w:t>($0.02)</w:t>
            </w:r>
          </w:p>
        </w:tc>
        <w:tc>
          <w:tcPr>
            <w:tcW w:w="560" w:type="dxa"/>
            <w:vAlign w:val="bottom"/>
            <w:gridSpan w:val="2"/>
          </w:tcPr>
          <w:p>
            <w:pPr>
              <w:spacing w:after="0"/>
              <w:rPr>
                <w:sz w:val="20"/>
                <w:szCs w:val="20"/>
                <w:color w:val="auto"/>
              </w:rPr>
            </w:pPr>
            <w:r>
              <w:rPr>
                <w:rFonts w:ascii="Arial" w:cs="Arial" w:eastAsia="Arial" w:hAnsi="Arial"/>
                <w:sz w:val="18"/>
                <w:szCs w:val="18"/>
                <w:color w:val="auto"/>
                <w:w w:val="94"/>
              </w:rPr>
              <w:t>($0.03)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9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 / Barrel</w:t>
            </w:r>
          </w:p>
        </w:tc>
        <w:tc>
          <w:tcPr>
            <w:tcW w:w="30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Fuel Price Excluding Hedge** ($/gal)</w:t>
            </w: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$ 2.79</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7"/>
              </w:rPr>
              <w:t>$ 2.75</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$ 2.73</w:t>
            </w: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Hedge Gain/(Loss) ($/gal)</w:t>
            </w: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($0.03)</w:t>
            </w:r>
          </w:p>
        </w:tc>
        <w:tc>
          <w:tcPr>
            <w:tcW w:w="8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($0.04)</w:t>
            </w:r>
          </w:p>
        </w:tc>
        <w:tc>
          <w:tcPr>
            <w:tcW w:w="1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($0.03)</w:t>
            </w: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($0.05)</w:t>
            </w:r>
          </w:p>
        </w:tc>
        <w:tc>
          <w:tcPr>
            <w:tcW w:w="0" w:type="dxa"/>
            <w:vAlign w:val="bottom"/>
          </w:tcPr>
          <w:p>
            <w:pPr>
              <w:spacing w:after="0"/>
              <w:rPr>
                <w:sz w:val="1"/>
                <w:szCs w:val="1"/>
                <w:color w:val="auto"/>
              </w:rPr>
            </w:pPr>
          </w:p>
        </w:tc>
      </w:tr>
      <w:tr>
        <w:trPr>
          <w:trHeight w:val="316"/>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($30) / Barrel</w:t>
            </w:r>
          </w:p>
        </w:tc>
        <w:tc>
          <w:tcPr>
            <w:tcW w:w="30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Fuel Price Excluding Hedge** ($/gal)</w:t>
            </w:r>
          </w:p>
        </w:tc>
        <w:tc>
          <w:tcPr>
            <w:tcW w:w="700" w:type="dxa"/>
            <w:vAlign w:val="bottom"/>
            <w:gridSpan w:val="2"/>
          </w:tcPr>
          <w:p>
            <w:pPr>
              <w:spacing w:after="0"/>
              <w:rPr>
                <w:sz w:val="20"/>
                <w:szCs w:val="20"/>
                <w:color w:val="auto"/>
              </w:rPr>
            </w:pPr>
            <w:r>
              <w:rPr>
                <w:rFonts w:ascii="Arial" w:cs="Arial" w:eastAsia="Arial" w:hAnsi="Arial"/>
                <w:sz w:val="18"/>
                <w:szCs w:val="18"/>
                <w:color w:val="auto"/>
              </w:rPr>
              <w:t>$ 2.55</w:t>
            </w:r>
          </w:p>
        </w:tc>
        <w:tc>
          <w:tcPr>
            <w:tcW w:w="620" w:type="dxa"/>
            <w:vAlign w:val="bottom"/>
            <w:gridSpan w:val="2"/>
          </w:tcPr>
          <w:p>
            <w:pPr>
              <w:ind w:left="160"/>
              <w:spacing w:after="0"/>
              <w:rPr>
                <w:sz w:val="20"/>
                <w:szCs w:val="20"/>
                <w:color w:val="auto"/>
              </w:rPr>
            </w:pPr>
            <w:r>
              <w:rPr>
                <w:rFonts w:ascii="Arial" w:cs="Arial" w:eastAsia="Arial" w:hAnsi="Arial"/>
                <w:sz w:val="18"/>
                <w:szCs w:val="18"/>
                <w:color w:val="auto"/>
                <w:w w:val="87"/>
              </w:rPr>
              <w:t>$ 2.51</w:t>
            </w:r>
          </w:p>
        </w:tc>
        <w:tc>
          <w:tcPr>
            <w:tcW w:w="240" w:type="dxa"/>
            <w:vAlign w:val="bottom"/>
          </w:tcPr>
          <w:p>
            <w:pPr>
              <w:spacing w:after="0"/>
              <w:rPr>
                <w:sz w:val="24"/>
                <w:szCs w:val="24"/>
                <w:color w:val="auto"/>
              </w:rPr>
            </w:pPr>
          </w:p>
        </w:tc>
        <w:tc>
          <w:tcPr>
            <w:tcW w:w="1040" w:type="dxa"/>
            <w:vAlign w:val="bottom"/>
            <w:gridSpan w:val="3"/>
          </w:tcPr>
          <w:p>
            <w:pPr>
              <w:ind w:left="160"/>
              <w:spacing w:after="0"/>
              <w:rPr>
                <w:sz w:val="20"/>
                <w:szCs w:val="20"/>
                <w:color w:val="auto"/>
              </w:rPr>
            </w:pPr>
            <w:r>
              <w:rPr>
                <w:rFonts w:ascii="Arial" w:cs="Arial" w:eastAsia="Arial" w:hAnsi="Arial"/>
                <w:sz w:val="18"/>
                <w:szCs w:val="18"/>
                <w:color w:val="auto"/>
              </w:rPr>
              <w:t>$ 2.49</w:t>
            </w:r>
          </w:p>
        </w:tc>
        <w:tc>
          <w:tcPr>
            <w:tcW w:w="560" w:type="dxa"/>
            <w:vAlign w:val="bottom"/>
            <w:gridSpan w:val="2"/>
          </w:tcPr>
          <w:p>
            <w:pPr>
              <w:spacing w:after="0"/>
              <w:rPr>
                <w:sz w:val="20"/>
                <w:szCs w:val="20"/>
                <w:color w:val="auto"/>
              </w:rPr>
            </w:pPr>
            <w:r>
              <w:rPr>
                <w:rFonts w:ascii="Arial" w:cs="Arial" w:eastAsia="Arial" w:hAnsi="Arial"/>
                <w:sz w:val="18"/>
                <w:szCs w:val="18"/>
                <w:color w:val="auto"/>
              </w:rPr>
              <w:t>$ 2.44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Hedge Gain/(Loss) ($/gal)</w:t>
            </w:r>
          </w:p>
        </w:tc>
        <w:tc>
          <w:tcPr>
            <w:tcW w:w="700" w:type="dxa"/>
            <w:vAlign w:val="bottom"/>
            <w:gridSpan w:val="2"/>
          </w:tcPr>
          <w:p>
            <w:pPr>
              <w:spacing w:after="0"/>
              <w:rPr>
                <w:sz w:val="20"/>
                <w:szCs w:val="20"/>
                <w:color w:val="auto"/>
              </w:rPr>
            </w:pPr>
            <w:r>
              <w:rPr>
                <w:rFonts w:ascii="Arial" w:cs="Arial" w:eastAsia="Arial" w:hAnsi="Arial"/>
                <w:sz w:val="18"/>
                <w:szCs w:val="18"/>
                <w:color w:val="auto"/>
              </w:rPr>
              <w:t>($0.09)</w:t>
            </w:r>
          </w:p>
        </w:tc>
        <w:tc>
          <w:tcPr>
            <w:tcW w:w="860" w:type="dxa"/>
            <w:vAlign w:val="bottom"/>
            <w:gridSpan w:val="3"/>
          </w:tcPr>
          <w:p>
            <w:pPr>
              <w:ind w:left="160"/>
              <w:spacing w:after="0"/>
              <w:rPr>
                <w:sz w:val="20"/>
                <w:szCs w:val="20"/>
                <w:color w:val="auto"/>
              </w:rPr>
            </w:pPr>
            <w:r>
              <w:rPr>
                <w:rFonts w:ascii="Arial" w:cs="Arial" w:eastAsia="Arial" w:hAnsi="Arial"/>
                <w:sz w:val="18"/>
                <w:szCs w:val="18"/>
                <w:color w:val="auto"/>
              </w:rPr>
              <w:t>($0.12)</w:t>
            </w:r>
          </w:p>
        </w:tc>
        <w:tc>
          <w:tcPr>
            <w:tcW w:w="1040" w:type="dxa"/>
            <w:vAlign w:val="bottom"/>
            <w:gridSpan w:val="3"/>
          </w:tcPr>
          <w:p>
            <w:pPr>
              <w:ind w:left="160"/>
              <w:spacing w:after="0"/>
              <w:rPr>
                <w:sz w:val="20"/>
                <w:szCs w:val="20"/>
                <w:color w:val="auto"/>
              </w:rPr>
            </w:pPr>
            <w:r>
              <w:rPr>
                <w:rFonts w:ascii="Arial" w:cs="Arial" w:eastAsia="Arial" w:hAnsi="Arial"/>
                <w:sz w:val="18"/>
                <w:szCs w:val="18"/>
                <w:color w:val="auto"/>
              </w:rPr>
              <w:t>($0.10)</w:t>
            </w:r>
          </w:p>
        </w:tc>
        <w:tc>
          <w:tcPr>
            <w:tcW w:w="560" w:type="dxa"/>
            <w:vAlign w:val="bottom"/>
            <w:gridSpan w:val="2"/>
          </w:tcPr>
          <w:p>
            <w:pPr>
              <w:spacing w:after="0"/>
              <w:rPr>
                <w:sz w:val="20"/>
                <w:szCs w:val="20"/>
                <w:color w:val="auto"/>
              </w:rPr>
            </w:pPr>
            <w:r>
              <w:rPr>
                <w:rFonts w:ascii="Arial" w:cs="Arial" w:eastAsia="Arial" w:hAnsi="Arial"/>
                <w:sz w:val="18"/>
                <w:szCs w:val="18"/>
                <w:color w:val="auto"/>
                <w:w w:val="94"/>
              </w:rPr>
              <w:t>($0.10)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9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($40) / Barrel</w:t>
            </w:r>
          </w:p>
        </w:tc>
        <w:tc>
          <w:tcPr>
            <w:tcW w:w="30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Fuel Price Excluding Hedge** ($/gal)</w:t>
            </w: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$ 2.31</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7"/>
              </w:rPr>
              <w:t>$ 2.27</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$ 2.25</w:t>
            </w: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Hedge Gain/(Loss) ($/gal)</w:t>
            </w: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($0.16)</w:t>
            </w:r>
          </w:p>
        </w:tc>
        <w:tc>
          <w:tcPr>
            <w:tcW w:w="8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($0.20)</w:t>
            </w:r>
          </w:p>
        </w:tc>
        <w:tc>
          <w:tcPr>
            <w:tcW w:w="1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($0.16)</w:t>
            </w: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($0.15)</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260" w:hanging="452"/>
        <w:spacing w:after="0" w:line="25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Projected fuel scenarios represent hypothetical fuel curves parallel to the baseline Jan. 18, 2013 curve and are meant to illustrate the behavior of our fuel hedge portfolio at different commodity price points</w:t>
      </w:r>
    </w:p>
    <w:p>
      <w:pPr>
        <w:ind w:left="5480" w:right="4580" w:hanging="5472"/>
        <w:spacing w:after="0" w:line="517" w:lineRule="auto"/>
        <w:tabs>
          <w:tab w:leader="none" w:pos="459" w:val="left"/>
        </w:tabs>
        <w:numPr>
          <w:ilvl w:val="0"/>
          <w:numId w:val="14"/>
        </w:numPr>
        <w:rPr>
          <w:rFonts w:ascii="Arial" w:cs="Arial" w:eastAsia="Arial" w:hAnsi="Arial"/>
          <w:sz w:val="16"/>
          <w:szCs w:val="16"/>
          <w:color w:val="auto"/>
        </w:rPr>
      </w:pPr>
      <w:r>
        <w:rPr>
          <w:rFonts w:ascii="Arial" w:cs="Arial" w:eastAsia="Arial" w:hAnsi="Arial"/>
          <w:sz w:val="16"/>
          <w:szCs w:val="16"/>
          <w:color w:val="auto"/>
        </w:rPr>
        <w:t>Fuel price per gallon excluding hedge impacts, but including taxes and transportation costs (more)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935"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5448935</wp:posOffset>
            </wp:positionH>
            <wp:positionV relativeFrom="page">
              <wp:posOffset>183515</wp:posOffset>
            </wp:positionV>
            <wp:extent cx="1955165" cy="3689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955165" cy="368935"/>
                    </a:xfrm>
                    <a:prstGeom prst="rect">
                      <a:avLst/>
                    </a:prstGeom>
                    <a:noFill/>
                  </pic:spPr>
                </pic:pic>
              </a:graphicData>
            </a:graphic>
          </wp:anchor>
        </w:drawing>
        <w:t>Company Outlook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Fleet Plan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of Jan. 24, 2013, the Company’s mainline fleet plan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13"/>
          </w:tcPr>
          <w:p>
            <w:pPr>
              <w:jc w:val="center"/>
              <w:ind w:right="500"/>
              <w:spacing w:after="0"/>
              <w:rPr>
                <w:sz w:val="20"/>
                <w:szCs w:val="20"/>
                <w:color w:val="auto"/>
              </w:rPr>
            </w:pPr>
            <w:r>
              <w:rPr>
                <w:rFonts w:ascii="Arial" w:cs="Arial" w:eastAsia="Arial" w:hAnsi="Arial"/>
                <w:sz w:val="14"/>
                <w:szCs w:val="14"/>
                <w:b w:val="1"/>
                <w:bCs w:val="1"/>
                <w:color w:val="auto"/>
                <w:w w:val="88"/>
              </w:rPr>
              <w:t>Mainline Aircraft in Scheduled Service</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8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YE 2012</w:t>
            </w:r>
          </w:p>
        </w:tc>
        <w:tc>
          <w:tcPr>
            <w:tcW w:w="6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1Q</w:t>
            </w:r>
            <w:r>
              <w:rPr>
                <w:rFonts w:ascii="Arial" w:cs="Arial" w:eastAsia="Arial" w:hAnsi="Arial"/>
                <w:sz w:val="14"/>
                <w:szCs w:val="14"/>
                <w:color w:val="auto"/>
              </w:rPr>
              <w:t>D</w:t>
            </w:r>
          </w:p>
        </w:tc>
        <w:tc>
          <w:tcPr>
            <w:tcW w:w="620" w:type="dxa"/>
            <w:vAlign w:val="bottom"/>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w w:val="91"/>
              </w:rPr>
              <w:t xml:space="preserve">2Q </w:t>
            </w:r>
            <w:r>
              <w:rPr>
                <w:rFonts w:ascii="Arial" w:cs="Arial" w:eastAsia="Arial" w:hAnsi="Arial"/>
                <w:sz w:val="14"/>
                <w:szCs w:val="14"/>
                <w:color w:val="auto"/>
                <w:w w:val="91"/>
              </w:rPr>
              <w:t>D</w:t>
            </w:r>
          </w:p>
        </w:tc>
        <w:tc>
          <w:tcPr>
            <w:tcW w:w="600" w:type="dxa"/>
            <w:vAlign w:val="bottom"/>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w w:val="91"/>
              </w:rPr>
              <w:t xml:space="preserve">3Q </w:t>
            </w:r>
            <w:r>
              <w:rPr>
                <w:rFonts w:ascii="Arial" w:cs="Arial" w:eastAsia="Arial" w:hAnsi="Arial"/>
                <w:sz w:val="14"/>
                <w:szCs w:val="14"/>
                <w:color w:val="auto"/>
                <w:w w:val="91"/>
              </w:rPr>
              <w:t>D</w:t>
            </w:r>
          </w:p>
        </w:tc>
        <w:tc>
          <w:tcPr>
            <w:tcW w:w="6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 xml:space="preserve">4Q </w:t>
            </w:r>
            <w:r>
              <w:rPr>
                <w:rFonts w:ascii="Arial" w:cs="Arial" w:eastAsia="Arial" w:hAnsi="Arial"/>
                <w:sz w:val="14"/>
                <w:szCs w:val="14"/>
                <w:color w:val="auto"/>
                <w:w w:val="91"/>
              </w:rPr>
              <w:t>D</w:t>
            </w:r>
          </w:p>
        </w:tc>
        <w:tc>
          <w:tcPr>
            <w:tcW w:w="7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8"/>
              </w:rPr>
              <w:t>YE2013</w:t>
            </w:r>
          </w:p>
        </w:tc>
        <w:tc>
          <w:tcPr>
            <w:tcW w:w="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 xml:space="preserve">FY </w:t>
            </w:r>
            <w:r>
              <w:rPr>
                <w:rFonts w:ascii="Arial" w:cs="Arial" w:eastAsia="Arial" w:hAnsi="Arial"/>
                <w:sz w:val="14"/>
                <w:szCs w:val="14"/>
                <w:color w:val="auto"/>
                <w:w w:val="93"/>
              </w:rPr>
              <w:t>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B747-400</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B777-200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74</w:t>
            </w:r>
          </w:p>
        </w:tc>
        <w:tc>
          <w:tcPr>
            <w:tcW w:w="4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B787-8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28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B767-200/300/400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3"/>
          </w:tcPr>
          <w:p>
            <w:pPr>
              <w:jc w:val="right"/>
              <w:ind w:right="260"/>
              <w:spacing w:after="0"/>
              <w:rPr>
                <w:sz w:val="20"/>
                <w:szCs w:val="20"/>
                <w:color w:val="auto"/>
              </w:rPr>
            </w:pPr>
            <w:r>
              <w:rPr>
                <w:rFonts w:ascii="Arial" w:cs="Arial" w:eastAsia="Arial" w:hAnsi="Arial"/>
                <w:sz w:val="18"/>
                <w:szCs w:val="18"/>
                <w:color w:val="auto"/>
              </w:rPr>
              <w:t>(5)</w:t>
            </w:r>
          </w:p>
        </w:tc>
        <w:tc>
          <w:tcPr>
            <w:tcW w:w="62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51</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B757-200/300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62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(1)</w:t>
            </w:r>
          </w:p>
        </w:tc>
        <w:tc>
          <w:tcPr>
            <w:tcW w:w="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B737-500/700/800/900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620" w:type="dxa"/>
            <w:vAlign w:val="bottom"/>
            <w:gridSpan w:val="3"/>
          </w:tcPr>
          <w:p>
            <w:pPr>
              <w:ind w:left="160"/>
              <w:spacing w:after="0"/>
              <w:rPr>
                <w:sz w:val="20"/>
                <w:szCs w:val="20"/>
                <w:color w:val="auto"/>
              </w:rPr>
            </w:pPr>
            <w:r>
              <w:rPr>
                <w:rFonts w:ascii="Arial" w:cs="Arial" w:eastAsia="Arial" w:hAnsi="Arial"/>
                <w:sz w:val="18"/>
                <w:szCs w:val="18"/>
                <w:color w:val="auto"/>
              </w:rPr>
              <w:t>(2)</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252</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A319/A320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gridSpan w:val="2"/>
            <w:shd w:val="clear" w:color="auto" w:fill="CCEEFF"/>
          </w:tcPr>
          <w:p>
            <w:pPr>
              <w:spacing w:after="0"/>
              <w:rPr>
                <w:sz w:val="18"/>
                <w:szCs w:val="18"/>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Borders>
              <w:right w:val="single" w:sz="8" w:color="CCEEFF"/>
            </w:tcBorders>
            <w:gridSpan w:val="2"/>
            <w:shd w:val="clear" w:color="auto" w:fill="CCEEFF"/>
          </w:tcPr>
          <w:p>
            <w:pPr>
              <w:spacing w:after="0"/>
              <w:rPr>
                <w:sz w:val="18"/>
                <w:szCs w:val="18"/>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gridSpan w:val="2"/>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w:t>
            </w:r>
          </w:p>
        </w:tc>
        <w:tc>
          <w:tcPr>
            <w:tcW w:w="4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b w:val="1"/>
                <w:bCs w:val="1"/>
                <w:color w:val="auto"/>
              </w:rPr>
              <w:t>Total Mainline Aircraft</w:t>
            </w: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80" w:type="dxa"/>
            <w:vAlign w:val="bottom"/>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702</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(3)</w:t>
            </w:r>
          </w:p>
        </w:tc>
        <w:tc>
          <w:tcPr>
            <w:tcW w:w="620" w:type="dxa"/>
            <w:vAlign w:val="bottom"/>
            <w:gridSpan w:val="3"/>
          </w:tcPr>
          <w:p>
            <w:pPr>
              <w:ind w:left="160"/>
              <w:spacing w:after="0"/>
              <w:rPr>
                <w:sz w:val="20"/>
                <w:szCs w:val="20"/>
                <w:color w:val="auto"/>
              </w:rPr>
            </w:pPr>
            <w:r>
              <w:rPr>
                <w:rFonts w:ascii="Arial" w:cs="Arial" w:eastAsia="Arial" w:hAnsi="Arial"/>
                <w:sz w:val="18"/>
                <w:szCs w:val="18"/>
                <w:b w:val="1"/>
                <w:bCs w:val="1"/>
                <w:color w:val="auto"/>
              </w:rPr>
              <w:t>(3)</w:t>
            </w:r>
          </w:p>
        </w:tc>
        <w:tc>
          <w:tcPr>
            <w:tcW w:w="6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(1)</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692</w:t>
            </w:r>
          </w:p>
        </w:tc>
        <w:tc>
          <w:tcPr>
            <w:tcW w:w="280" w:type="dxa"/>
            <w:vAlign w:val="bottom"/>
            <w:vMerge w:val="continue"/>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99"/>
              </w:rPr>
              <w:t>(10)</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6980" w:type="dxa"/>
            <w:vAlign w:val="bottom"/>
          </w:tcPr>
          <w:p>
            <w:pPr>
              <w:spacing w:after="0"/>
              <w:rPr>
                <w:sz w:val="20"/>
                <w:szCs w:val="20"/>
                <w:color w:val="auto"/>
              </w:rPr>
            </w:pPr>
            <w:r>
              <w:rPr>
                <w:rFonts w:ascii="Arial" w:cs="Arial" w:eastAsia="Arial" w:hAnsi="Arial"/>
                <w:sz w:val="18"/>
                <w:szCs w:val="18"/>
                <w:color w:val="auto"/>
              </w:rPr>
              <w:t>As of Dec. 31, 2012, the Company’s regional fleet plan was as follows:</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13"/>
          </w:tcPr>
          <w:p>
            <w:pPr>
              <w:jc w:val="center"/>
              <w:ind w:right="460"/>
              <w:spacing w:after="0"/>
              <w:rPr>
                <w:sz w:val="20"/>
                <w:szCs w:val="20"/>
                <w:color w:val="auto"/>
              </w:rPr>
            </w:pPr>
            <w:r>
              <w:rPr>
                <w:rFonts w:ascii="Arial" w:cs="Arial" w:eastAsia="Arial" w:hAnsi="Arial"/>
                <w:sz w:val="14"/>
                <w:szCs w:val="14"/>
                <w:b w:val="1"/>
                <w:bCs w:val="1"/>
                <w:color w:val="auto"/>
                <w:w w:val="86"/>
              </w:rPr>
              <w:t>Regional Aircraft in Scheduled Service</w:t>
            </w: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YE 2012</w:t>
            </w:r>
          </w:p>
        </w:tc>
        <w:tc>
          <w:tcPr>
            <w:tcW w:w="6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 xml:space="preserve">1Q </w:t>
            </w:r>
            <w:r>
              <w:rPr>
                <w:rFonts w:ascii="Arial" w:cs="Arial" w:eastAsia="Arial" w:hAnsi="Arial"/>
                <w:sz w:val="14"/>
                <w:szCs w:val="14"/>
                <w:color w:val="auto"/>
              </w:rPr>
              <w:t>D</w:t>
            </w:r>
          </w:p>
        </w:tc>
        <w:tc>
          <w:tcPr>
            <w:tcW w:w="6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 xml:space="preserve">2Q </w:t>
            </w:r>
            <w:r>
              <w:rPr>
                <w:rFonts w:ascii="Arial" w:cs="Arial" w:eastAsia="Arial" w:hAnsi="Arial"/>
                <w:sz w:val="14"/>
                <w:szCs w:val="14"/>
                <w:color w:val="auto"/>
              </w:rPr>
              <w:t>D</w:t>
            </w:r>
          </w:p>
        </w:tc>
        <w:tc>
          <w:tcPr>
            <w:tcW w:w="600" w:type="dxa"/>
            <w:vAlign w:val="bottom"/>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w w:val="85"/>
              </w:rPr>
              <w:t xml:space="preserve">3Q </w:t>
            </w:r>
            <w:r>
              <w:rPr>
                <w:rFonts w:ascii="Arial" w:cs="Arial" w:eastAsia="Arial" w:hAnsi="Arial"/>
                <w:sz w:val="14"/>
                <w:szCs w:val="14"/>
                <w:color w:val="auto"/>
                <w:w w:val="85"/>
              </w:rPr>
              <w:t>D</w:t>
            </w:r>
          </w:p>
        </w:tc>
        <w:tc>
          <w:tcPr>
            <w:tcW w:w="6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 xml:space="preserve">4Q </w:t>
            </w:r>
            <w:r>
              <w:rPr>
                <w:rFonts w:ascii="Arial" w:cs="Arial" w:eastAsia="Arial" w:hAnsi="Arial"/>
                <w:sz w:val="14"/>
                <w:szCs w:val="14"/>
                <w:color w:val="auto"/>
                <w:w w:val="91"/>
              </w:rPr>
              <w:t>D</w:t>
            </w:r>
          </w:p>
        </w:tc>
        <w:tc>
          <w:tcPr>
            <w:tcW w:w="7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8"/>
              </w:rPr>
              <w:t>YE2013</w:t>
            </w:r>
          </w:p>
        </w:tc>
        <w:tc>
          <w:tcPr>
            <w:tcW w:w="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 xml:space="preserve">FY </w:t>
            </w:r>
            <w:r>
              <w:rPr>
                <w:rFonts w:ascii="Arial" w:cs="Arial" w:eastAsia="Arial" w:hAnsi="Arial"/>
                <w:sz w:val="14"/>
                <w:szCs w:val="14"/>
                <w:color w:val="auto"/>
                <w:w w:val="93"/>
              </w:rPr>
              <w:t>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&lt; 50-seat Aircraft</w:t>
            </w: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50-seat Aircraft</w:t>
            </w:r>
          </w:p>
        </w:tc>
        <w:tc>
          <w:tcPr>
            <w:tcW w:w="820" w:type="dxa"/>
            <w:vAlign w:val="bottom"/>
            <w:gridSpan w:val="4"/>
          </w:tcPr>
          <w:p>
            <w:pPr>
              <w:jc w:val="right"/>
              <w:ind w:right="280"/>
              <w:spacing w:after="0"/>
              <w:rPr>
                <w:sz w:val="20"/>
                <w:szCs w:val="20"/>
                <w:color w:val="auto"/>
              </w:rPr>
            </w:pPr>
            <w:r>
              <w:rPr>
                <w:rFonts w:ascii="Arial" w:cs="Arial" w:eastAsia="Arial" w:hAnsi="Arial"/>
                <w:sz w:val="18"/>
                <w:szCs w:val="18"/>
                <w:color w:val="auto"/>
              </w:rPr>
              <w:t>350</w:t>
            </w:r>
          </w:p>
        </w:tc>
        <w:tc>
          <w:tcPr>
            <w:tcW w:w="60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center"/>
              <w:ind w:right="320"/>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349</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&gt; 50-seat Aircraft</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80" w:type="dxa"/>
            <w:vAlign w:val="bottom"/>
            <w:tcBorders>
              <w:righ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13</w:t>
            </w:r>
          </w:p>
        </w:tc>
        <w:tc>
          <w:tcPr>
            <w:tcW w:w="280" w:type="dxa"/>
            <w:vAlign w:val="bottom"/>
            <w:tcBorders>
              <w:righ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b w:val="1"/>
                <w:bCs w:val="1"/>
                <w:color w:val="auto"/>
              </w:rPr>
              <w:t>Total Regional Aircraft</w:t>
            </w:r>
          </w:p>
        </w:tc>
        <w:tc>
          <w:tcPr>
            <w:tcW w:w="40" w:type="dxa"/>
            <w:vAlign w:val="bottom"/>
            <w:vMerge w:val="restart"/>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8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551</w:t>
            </w:r>
          </w:p>
        </w:tc>
        <w:tc>
          <w:tcPr>
            <w:tcW w:w="280" w:type="dxa"/>
            <w:vAlign w:val="bottom"/>
            <w:vMerge w:val="continue"/>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3</w:t>
            </w:r>
          </w:p>
        </w:tc>
        <w:tc>
          <w:tcPr>
            <w:tcW w:w="280" w:type="dxa"/>
            <w:vAlign w:val="bottom"/>
            <w:vMerge w:val="continue"/>
          </w:tcPr>
          <w:p>
            <w:pPr>
              <w:spacing w:after="0"/>
              <w:rPr>
                <w:sz w:val="19"/>
                <w:szCs w:val="19"/>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b w:val="1"/>
                <w:bCs w:val="1"/>
                <w:color w:val="auto"/>
                <w:w w:val="79"/>
              </w:rPr>
              <w:t>13</w:t>
            </w:r>
          </w:p>
        </w:tc>
        <w:tc>
          <w:tcPr>
            <w:tcW w:w="280" w:type="dxa"/>
            <w:vAlign w:val="bottom"/>
            <w:vMerge w:val="continue"/>
          </w:tcPr>
          <w:p>
            <w:pPr>
              <w:spacing w:after="0"/>
              <w:rPr>
                <w:sz w:val="19"/>
                <w:szCs w:val="19"/>
                <w:color w:val="auto"/>
              </w:rPr>
            </w:pPr>
          </w:p>
        </w:tc>
        <w:tc>
          <w:tcPr>
            <w:tcW w:w="3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9"/>
              </w:rPr>
              <w:t>—</w:t>
            </w:r>
          </w:p>
        </w:tc>
        <w:tc>
          <w:tcPr>
            <w:tcW w:w="280" w:type="dxa"/>
            <w:vAlign w:val="bottom"/>
            <w:vMerge w:val="continue"/>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566</w:t>
            </w:r>
          </w:p>
        </w:tc>
        <w:tc>
          <w:tcPr>
            <w:tcW w:w="280" w:type="dxa"/>
            <w:vAlign w:val="bottom"/>
            <w:vMerge w:val="continue"/>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15" w:lineRule="exact"/>
        <w:rPr>
          <w:sz w:val="20"/>
          <w:szCs w:val="20"/>
          <w:color w:val="auto"/>
        </w:rPr>
      </w:pPr>
    </w:p>
    <w:p>
      <w:pPr>
        <w:ind w:left="600" w:hanging="136"/>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50-seat aircraft includes Q200, EMB 120, ERJ-135</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50-seat aircraft includes Q300, CRJ 200, ERJ-145</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&gt; 50-seat aircraft includes Q400, CRJ 700, EMB 170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Count</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These share count charts are based upon several assumptions including market stock price and number of shares outstanding. The number of shares used in the actual earnings per share calculation will likely be different from those set forth below.</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4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9"/>
              </w:rPr>
              <w:t>1Q 2013</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2"/>
          </w:tcPr>
          <w:p>
            <w:pPr>
              <w:jc w:val="center"/>
              <w:ind w:right="960"/>
              <w:spacing w:after="0" w:line="159" w:lineRule="exact"/>
              <w:rPr>
                <w:sz w:val="20"/>
                <w:szCs w:val="20"/>
                <w:color w:val="auto"/>
              </w:rPr>
            </w:pPr>
            <w:r>
              <w:rPr>
                <w:rFonts w:ascii="Arial" w:cs="Arial" w:eastAsia="Arial" w:hAnsi="Arial"/>
                <w:sz w:val="14"/>
                <w:szCs w:val="14"/>
                <w:i w:val="1"/>
                <w:iCs w:val="1"/>
                <w:color w:val="auto"/>
                <w:w w:val="86"/>
              </w:rPr>
              <w:t>(Estimated)</w:t>
            </w: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90"/>
              </w:rPr>
              <w:t>Net Income</w:t>
            </w:r>
          </w:p>
        </w:tc>
        <w:tc>
          <w:tcPr>
            <w:tcW w:w="3580" w:type="dxa"/>
            <w:vAlign w:val="bottom"/>
            <w:vMerge w:val="restart"/>
          </w:tcPr>
          <w:p>
            <w:pPr>
              <w:spacing w:after="0"/>
              <w:rPr>
                <w:sz w:val="11"/>
                <w:szCs w:val="11"/>
                <w:color w:val="auto"/>
              </w:rPr>
            </w:pPr>
          </w:p>
        </w:tc>
        <w:tc>
          <w:tcPr>
            <w:tcW w:w="2020" w:type="dxa"/>
            <w:vAlign w:val="bottom"/>
            <w:gridSpan w:val="2"/>
          </w:tcPr>
          <w:p>
            <w:pPr>
              <w:jc w:val="right"/>
              <w:ind w:right="940"/>
              <w:spacing w:after="0" w:line="131" w:lineRule="exact"/>
              <w:rPr>
                <w:sz w:val="20"/>
                <w:szCs w:val="20"/>
                <w:color w:val="auto"/>
              </w:rPr>
            </w:pPr>
            <w:r>
              <w:rPr>
                <w:rFonts w:ascii="Arial" w:cs="Arial" w:eastAsia="Arial" w:hAnsi="Arial"/>
                <w:sz w:val="14"/>
                <w:szCs w:val="14"/>
                <w:b w:val="1"/>
                <w:bCs w:val="1"/>
                <w:color w:val="auto"/>
                <w:w w:val="85"/>
              </w:rPr>
              <w:t>Basic Share Count</w:t>
            </w:r>
          </w:p>
        </w:tc>
        <w:tc>
          <w:tcPr>
            <w:tcW w:w="2140" w:type="dxa"/>
            <w:vAlign w:val="bottom"/>
            <w:gridSpan w:val="2"/>
          </w:tcPr>
          <w:p>
            <w:pPr>
              <w:jc w:val="right"/>
              <w:ind w:right="940"/>
              <w:spacing w:after="0" w:line="131" w:lineRule="exact"/>
              <w:rPr>
                <w:sz w:val="20"/>
                <w:szCs w:val="20"/>
                <w:color w:val="auto"/>
              </w:rPr>
            </w:pPr>
            <w:r>
              <w:rPr>
                <w:rFonts w:ascii="Arial" w:cs="Arial" w:eastAsia="Arial" w:hAnsi="Arial"/>
                <w:sz w:val="14"/>
                <w:szCs w:val="14"/>
                <w:b w:val="1"/>
                <w:bCs w:val="1"/>
                <w:color w:val="auto"/>
                <w:w w:val="87"/>
              </w:rPr>
              <w:t>Diluted Share Count</w:t>
            </w:r>
          </w:p>
        </w:tc>
        <w:tc>
          <w:tcPr>
            <w:tcW w:w="1040" w:type="dxa"/>
            <w:vAlign w:val="bottom"/>
            <w:gridSpan w:val="2"/>
          </w:tcPr>
          <w:p>
            <w:pPr>
              <w:spacing w:after="0" w:line="131" w:lineRule="exact"/>
              <w:rPr>
                <w:sz w:val="20"/>
                <w:szCs w:val="20"/>
                <w:color w:val="auto"/>
              </w:rPr>
            </w:pPr>
            <w:r>
              <w:rPr>
                <w:rFonts w:ascii="Arial" w:cs="Arial" w:eastAsia="Arial" w:hAnsi="Arial"/>
                <w:sz w:val="14"/>
                <w:szCs w:val="14"/>
                <w:b w:val="1"/>
                <w:bCs w:val="1"/>
                <w:color w:val="auto"/>
                <w:w w:val="86"/>
              </w:rPr>
              <w:t>Interest Add-back</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700" w:type="dxa"/>
            <w:vAlign w:val="bottom"/>
            <w:tcBorders>
              <w:bottom w:val="single" w:sz="8" w:color="auto"/>
            </w:tcBorders>
            <w:vMerge w:val="continue"/>
          </w:tcPr>
          <w:p>
            <w:pPr>
              <w:spacing w:after="0"/>
              <w:rPr>
                <w:sz w:val="14"/>
                <w:szCs w:val="14"/>
                <w:color w:val="auto"/>
              </w:rPr>
            </w:pPr>
          </w:p>
        </w:tc>
        <w:tc>
          <w:tcPr>
            <w:tcW w:w="3580" w:type="dxa"/>
            <w:vAlign w:val="bottom"/>
            <w:vMerge w:val="continue"/>
          </w:tcPr>
          <w:p>
            <w:pPr>
              <w:spacing w:after="0"/>
              <w:rPr>
                <w:sz w:val="14"/>
                <w:szCs w:val="14"/>
                <w:color w:val="auto"/>
              </w:rPr>
            </w:pPr>
          </w:p>
        </w:tc>
        <w:tc>
          <w:tcPr>
            <w:tcW w:w="2020" w:type="dxa"/>
            <w:vAlign w:val="bottom"/>
            <w:gridSpan w:val="2"/>
          </w:tcPr>
          <w:p>
            <w:pPr>
              <w:ind w:left="220"/>
              <w:spacing w:after="0" w:line="146" w:lineRule="exact"/>
              <w:rPr>
                <w:sz w:val="20"/>
                <w:szCs w:val="20"/>
                <w:color w:val="auto"/>
              </w:rPr>
            </w:pPr>
            <w:r>
              <w:rPr>
                <w:rFonts w:ascii="Arial" w:cs="Arial" w:eastAsia="Arial" w:hAnsi="Arial"/>
                <w:sz w:val="14"/>
                <w:szCs w:val="14"/>
                <w:color w:val="auto"/>
              </w:rPr>
              <w:t>(in millions)</w:t>
            </w:r>
          </w:p>
        </w:tc>
        <w:tc>
          <w:tcPr>
            <w:tcW w:w="2140" w:type="dxa"/>
            <w:vAlign w:val="bottom"/>
            <w:gridSpan w:val="2"/>
          </w:tcPr>
          <w:p>
            <w:pPr>
              <w:jc w:val="center"/>
              <w:ind w:right="940"/>
              <w:spacing w:after="0" w:line="146" w:lineRule="exact"/>
              <w:rPr>
                <w:sz w:val="20"/>
                <w:szCs w:val="20"/>
                <w:color w:val="auto"/>
              </w:rPr>
            </w:pPr>
            <w:r>
              <w:rPr>
                <w:rFonts w:ascii="Arial" w:cs="Arial" w:eastAsia="Arial" w:hAnsi="Arial"/>
                <w:sz w:val="14"/>
                <w:szCs w:val="14"/>
                <w:color w:val="auto"/>
                <w:w w:val="96"/>
              </w:rPr>
              <w:t>(in millions)</w:t>
            </w:r>
          </w:p>
        </w:tc>
        <w:tc>
          <w:tcPr>
            <w:tcW w:w="100" w:type="dxa"/>
            <w:vAlign w:val="bottom"/>
          </w:tcPr>
          <w:p>
            <w:pPr>
              <w:spacing w:after="0"/>
              <w:rPr>
                <w:sz w:val="14"/>
                <w:szCs w:val="14"/>
                <w:color w:val="auto"/>
              </w:rPr>
            </w:pPr>
          </w:p>
        </w:tc>
        <w:tc>
          <w:tcPr>
            <w:tcW w:w="1040" w:type="dxa"/>
            <w:vAlign w:val="bottom"/>
            <w:gridSpan w:val="2"/>
          </w:tcPr>
          <w:p>
            <w:pPr>
              <w:ind w:left="40"/>
              <w:spacing w:after="0" w:line="146" w:lineRule="exact"/>
              <w:rPr>
                <w:sz w:val="20"/>
                <w:szCs w:val="20"/>
                <w:color w:val="auto"/>
              </w:rPr>
            </w:pPr>
            <w:r>
              <w:rPr>
                <w:rFonts w:ascii="Arial" w:cs="Arial" w:eastAsia="Arial" w:hAnsi="Arial"/>
                <w:sz w:val="14"/>
                <w:szCs w:val="14"/>
                <w:color w:val="auto"/>
              </w:rPr>
              <w:t>(in $ millions)</w:t>
            </w:r>
          </w:p>
        </w:tc>
        <w:tc>
          <w:tcPr>
            <w:tcW w:w="0" w:type="dxa"/>
            <w:vAlign w:val="bottom"/>
          </w:tcPr>
          <w:p>
            <w:pPr>
              <w:spacing w:after="0"/>
              <w:rPr>
                <w:sz w:val="1"/>
                <w:szCs w:val="1"/>
                <w:color w:val="auto"/>
              </w:rPr>
            </w:pPr>
          </w:p>
        </w:tc>
      </w:tr>
      <w:tr>
        <w:trPr>
          <w:trHeight w:val="203"/>
        </w:trPr>
        <w:tc>
          <w:tcPr>
            <w:tcW w:w="42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Less than or equal to $0</w:t>
            </w:r>
          </w:p>
        </w:tc>
        <w:tc>
          <w:tcPr>
            <w:tcW w:w="110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332</w:t>
            </w:r>
          </w:p>
        </w:tc>
        <w:tc>
          <w:tcPr>
            <w:tcW w:w="9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332</w:t>
            </w: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$1 million—$36 million</w:t>
            </w:r>
          </w:p>
        </w:tc>
        <w:tc>
          <w:tcPr>
            <w:tcW w:w="1100" w:type="dxa"/>
            <w:vAlign w:val="bottom"/>
          </w:tcPr>
          <w:p>
            <w:pPr>
              <w:jc w:val="right"/>
              <w:spacing w:after="0"/>
              <w:rPr>
                <w:sz w:val="20"/>
                <w:szCs w:val="20"/>
                <w:color w:val="auto"/>
              </w:rPr>
            </w:pPr>
            <w:r>
              <w:rPr>
                <w:rFonts w:ascii="Arial" w:cs="Arial" w:eastAsia="Arial" w:hAnsi="Arial"/>
                <w:sz w:val="18"/>
                <w:szCs w:val="18"/>
                <w:color w:val="auto"/>
              </w:rPr>
              <w:t>332</w:t>
            </w:r>
          </w:p>
        </w:tc>
        <w:tc>
          <w:tcPr>
            <w:tcW w:w="920" w:type="dxa"/>
            <w:vAlign w:val="bottom"/>
          </w:tcPr>
          <w:p>
            <w:pPr>
              <w:spacing w:after="0"/>
              <w:rPr>
                <w:sz w:val="18"/>
                <w:szCs w:val="18"/>
                <w:color w:val="auto"/>
              </w:rPr>
            </w:pPr>
          </w:p>
        </w:tc>
        <w:tc>
          <w:tcPr>
            <w:tcW w:w="2140" w:type="dxa"/>
            <w:vAlign w:val="bottom"/>
            <w:gridSpan w:val="2"/>
          </w:tcPr>
          <w:p>
            <w:pPr>
              <w:jc w:val="right"/>
              <w:ind w:right="94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$37 million—$62 million</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9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$63 million—$112 million</w:t>
            </w:r>
          </w:p>
        </w:tc>
        <w:tc>
          <w:tcPr>
            <w:tcW w:w="1100" w:type="dxa"/>
            <w:vAlign w:val="bottom"/>
          </w:tcPr>
          <w:p>
            <w:pPr>
              <w:jc w:val="right"/>
              <w:spacing w:after="0"/>
              <w:rPr>
                <w:sz w:val="20"/>
                <w:szCs w:val="20"/>
                <w:color w:val="auto"/>
              </w:rPr>
            </w:pPr>
            <w:r>
              <w:rPr>
                <w:rFonts w:ascii="Arial" w:cs="Arial" w:eastAsia="Arial" w:hAnsi="Arial"/>
                <w:sz w:val="18"/>
                <w:szCs w:val="18"/>
                <w:color w:val="auto"/>
              </w:rPr>
              <w:t>332</w:t>
            </w:r>
          </w:p>
        </w:tc>
        <w:tc>
          <w:tcPr>
            <w:tcW w:w="920" w:type="dxa"/>
            <w:vAlign w:val="bottom"/>
          </w:tcPr>
          <w:p>
            <w:pPr>
              <w:spacing w:after="0"/>
              <w:rPr>
                <w:sz w:val="18"/>
                <w:szCs w:val="18"/>
                <w:color w:val="auto"/>
              </w:rPr>
            </w:pPr>
          </w:p>
        </w:tc>
        <w:tc>
          <w:tcPr>
            <w:tcW w:w="2140" w:type="dxa"/>
            <w:vAlign w:val="bottom"/>
            <w:gridSpan w:val="2"/>
          </w:tcPr>
          <w:p>
            <w:pPr>
              <w:jc w:val="right"/>
              <w:ind w:right="94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$113 million—$300 million</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9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$301 million or greater</w:t>
            </w:r>
          </w:p>
        </w:tc>
        <w:tc>
          <w:tcPr>
            <w:tcW w:w="1100" w:type="dxa"/>
            <w:vAlign w:val="bottom"/>
          </w:tcPr>
          <w:p>
            <w:pPr>
              <w:jc w:val="right"/>
              <w:spacing w:after="0"/>
              <w:rPr>
                <w:sz w:val="20"/>
                <w:szCs w:val="20"/>
                <w:color w:val="auto"/>
              </w:rPr>
            </w:pPr>
            <w:r>
              <w:rPr>
                <w:rFonts w:ascii="Arial" w:cs="Arial" w:eastAsia="Arial" w:hAnsi="Arial"/>
                <w:sz w:val="18"/>
                <w:szCs w:val="18"/>
                <w:color w:val="auto"/>
              </w:rPr>
              <w:t>332</w:t>
            </w:r>
          </w:p>
        </w:tc>
        <w:tc>
          <w:tcPr>
            <w:tcW w:w="920" w:type="dxa"/>
            <w:vAlign w:val="bottom"/>
          </w:tcPr>
          <w:p>
            <w:pPr>
              <w:spacing w:after="0"/>
              <w:rPr>
                <w:sz w:val="18"/>
                <w:szCs w:val="18"/>
                <w:color w:val="auto"/>
              </w:rPr>
            </w:pPr>
          </w:p>
        </w:tc>
        <w:tc>
          <w:tcPr>
            <w:tcW w:w="2140" w:type="dxa"/>
            <w:vAlign w:val="bottom"/>
            <w:gridSpan w:val="2"/>
          </w:tcPr>
          <w:p>
            <w:pPr>
              <w:jc w:val="right"/>
              <w:ind w:right="94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7"/>
        </w:trPr>
        <w:tc>
          <w:tcPr>
            <w:tcW w:w="7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1Q 2013</w:t>
            </w:r>
          </w:p>
        </w:tc>
        <w:tc>
          <w:tcPr>
            <w:tcW w:w="9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2"/>
          </w:tcPr>
          <w:p>
            <w:pPr>
              <w:jc w:val="center"/>
              <w:ind w:right="960"/>
              <w:spacing w:after="0" w:line="159" w:lineRule="exact"/>
              <w:rPr>
                <w:sz w:val="20"/>
                <w:szCs w:val="20"/>
                <w:color w:val="auto"/>
              </w:rPr>
            </w:pPr>
            <w:r>
              <w:rPr>
                <w:rFonts w:ascii="Arial" w:cs="Arial" w:eastAsia="Arial" w:hAnsi="Arial"/>
                <w:sz w:val="14"/>
                <w:szCs w:val="14"/>
                <w:i w:val="1"/>
                <w:iCs w:val="1"/>
                <w:color w:val="auto"/>
                <w:w w:val="86"/>
              </w:rPr>
              <w:t>(Estimated)</w:t>
            </w: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90"/>
              </w:rPr>
              <w:t>Net Income</w:t>
            </w:r>
          </w:p>
        </w:tc>
        <w:tc>
          <w:tcPr>
            <w:tcW w:w="3580" w:type="dxa"/>
            <w:vAlign w:val="bottom"/>
            <w:vMerge w:val="restart"/>
          </w:tcPr>
          <w:p>
            <w:pPr>
              <w:spacing w:after="0"/>
              <w:rPr>
                <w:sz w:val="11"/>
                <w:szCs w:val="11"/>
                <w:color w:val="auto"/>
              </w:rPr>
            </w:pPr>
          </w:p>
        </w:tc>
        <w:tc>
          <w:tcPr>
            <w:tcW w:w="2020" w:type="dxa"/>
            <w:vAlign w:val="bottom"/>
            <w:gridSpan w:val="2"/>
          </w:tcPr>
          <w:p>
            <w:pPr>
              <w:jc w:val="right"/>
              <w:ind w:right="940"/>
              <w:spacing w:after="0" w:line="131" w:lineRule="exact"/>
              <w:rPr>
                <w:sz w:val="20"/>
                <w:szCs w:val="20"/>
                <w:color w:val="auto"/>
              </w:rPr>
            </w:pPr>
            <w:r>
              <w:rPr>
                <w:rFonts w:ascii="Arial" w:cs="Arial" w:eastAsia="Arial" w:hAnsi="Arial"/>
                <w:sz w:val="14"/>
                <w:szCs w:val="14"/>
                <w:b w:val="1"/>
                <w:bCs w:val="1"/>
                <w:color w:val="auto"/>
                <w:w w:val="85"/>
              </w:rPr>
              <w:t>Basic Share Count</w:t>
            </w:r>
          </w:p>
        </w:tc>
        <w:tc>
          <w:tcPr>
            <w:tcW w:w="2140" w:type="dxa"/>
            <w:vAlign w:val="bottom"/>
            <w:gridSpan w:val="2"/>
          </w:tcPr>
          <w:p>
            <w:pPr>
              <w:jc w:val="right"/>
              <w:ind w:right="940"/>
              <w:spacing w:after="0" w:line="131" w:lineRule="exact"/>
              <w:rPr>
                <w:sz w:val="20"/>
                <w:szCs w:val="20"/>
                <w:color w:val="auto"/>
              </w:rPr>
            </w:pPr>
            <w:r>
              <w:rPr>
                <w:rFonts w:ascii="Arial" w:cs="Arial" w:eastAsia="Arial" w:hAnsi="Arial"/>
                <w:sz w:val="14"/>
                <w:szCs w:val="14"/>
                <w:b w:val="1"/>
                <w:bCs w:val="1"/>
                <w:color w:val="auto"/>
                <w:w w:val="87"/>
              </w:rPr>
              <w:t>Diluted Share Count</w:t>
            </w:r>
          </w:p>
        </w:tc>
        <w:tc>
          <w:tcPr>
            <w:tcW w:w="1040" w:type="dxa"/>
            <w:vAlign w:val="bottom"/>
            <w:gridSpan w:val="2"/>
          </w:tcPr>
          <w:p>
            <w:pPr>
              <w:spacing w:after="0" w:line="131" w:lineRule="exact"/>
              <w:rPr>
                <w:sz w:val="20"/>
                <w:szCs w:val="20"/>
                <w:color w:val="auto"/>
              </w:rPr>
            </w:pPr>
            <w:r>
              <w:rPr>
                <w:rFonts w:ascii="Arial" w:cs="Arial" w:eastAsia="Arial" w:hAnsi="Arial"/>
                <w:sz w:val="14"/>
                <w:szCs w:val="14"/>
                <w:b w:val="1"/>
                <w:bCs w:val="1"/>
                <w:color w:val="auto"/>
                <w:w w:val="86"/>
              </w:rPr>
              <w:t>Interest Add-back</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700" w:type="dxa"/>
            <w:vAlign w:val="bottom"/>
            <w:tcBorders>
              <w:bottom w:val="single" w:sz="8" w:color="auto"/>
            </w:tcBorders>
            <w:vMerge w:val="continue"/>
          </w:tcPr>
          <w:p>
            <w:pPr>
              <w:spacing w:after="0"/>
              <w:rPr>
                <w:sz w:val="14"/>
                <w:szCs w:val="14"/>
                <w:color w:val="auto"/>
              </w:rPr>
            </w:pPr>
          </w:p>
        </w:tc>
        <w:tc>
          <w:tcPr>
            <w:tcW w:w="3580" w:type="dxa"/>
            <w:vAlign w:val="bottom"/>
            <w:vMerge w:val="continue"/>
          </w:tcPr>
          <w:p>
            <w:pPr>
              <w:spacing w:after="0"/>
              <w:rPr>
                <w:sz w:val="14"/>
                <w:szCs w:val="14"/>
                <w:color w:val="auto"/>
              </w:rPr>
            </w:pPr>
          </w:p>
        </w:tc>
        <w:tc>
          <w:tcPr>
            <w:tcW w:w="2020" w:type="dxa"/>
            <w:vAlign w:val="bottom"/>
            <w:gridSpan w:val="2"/>
          </w:tcPr>
          <w:p>
            <w:pPr>
              <w:ind w:left="220"/>
              <w:spacing w:after="0" w:line="146" w:lineRule="exact"/>
              <w:rPr>
                <w:sz w:val="20"/>
                <w:szCs w:val="20"/>
                <w:color w:val="auto"/>
              </w:rPr>
            </w:pPr>
            <w:r>
              <w:rPr>
                <w:rFonts w:ascii="Arial" w:cs="Arial" w:eastAsia="Arial" w:hAnsi="Arial"/>
                <w:sz w:val="14"/>
                <w:szCs w:val="14"/>
                <w:color w:val="auto"/>
              </w:rPr>
              <w:t>(in millions)</w:t>
            </w:r>
          </w:p>
        </w:tc>
        <w:tc>
          <w:tcPr>
            <w:tcW w:w="2140" w:type="dxa"/>
            <w:vAlign w:val="bottom"/>
            <w:gridSpan w:val="2"/>
          </w:tcPr>
          <w:p>
            <w:pPr>
              <w:jc w:val="center"/>
              <w:ind w:right="940"/>
              <w:spacing w:after="0" w:line="146" w:lineRule="exact"/>
              <w:rPr>
                <w:sz w:val="20"/>
                <w:szCs w:val="20"/>
                <w:color w:val="auto"/>
              </w:rPr>
            </w:pPr>
            <w:r>
              <w:rPr>
                <w:rFonts w:ascii="Arial" w:cs="Arial" w:eastAsia="Arial" w:hAnsi="Arial"/>
                <w:sz w:val="14"/>
                <w:szCs w:val="14"/>
                <w:color w:val="auto"/>
                <w:w w:val="96"/>
              </w:rPr>
              <w:t>(in millions)</w:t>
            </w:r>
          </w:p>
        </w:tc>
        <w:tc>
          <w:tcPr>
            <w:tcW w:w="100" w:type="dxa"/>
            <w:vAlign w:val="bottom"/>
          </w:tcPr>
          <w:p>
            <w:pPr>
              <w:spacing w:after="0"/>
              <w:rPr>
                <w:sz w:val="14"/>
                <w:szCs w:val="14"/>
                <w:color w:val="auto"/>
              </w:rPr>
            </w:pPr>
          </w:p>
        </w:tc>
        <w:tc>
          <w:tcPr>
            <w:tcW w:w="1040" w:type="dxa"/>
            <w:vAlign w:val="bottom"/>
            <w:gridSpan w:val="2"/>
          </w:tcPr>
          <w:p>
            <w:pPr>
              <w:ind w:left="40"/>
              <w:spacing w:after="0" w:line="146" w:lineRule="exact"/>
              <w:rPr>
                <w:sz w:val="20"/>
                <w:szCs w:val="20"/>
                <w:color w:val="auto"/>
              </w:rPr>
            </w:pPr>
            <w:r>
              <w:rPr>
                <w:rFonts w:ascii="Arial" w:cs="Arial" w:eastAsia="Arial" w:hAnsi="Arial"/>
                <w:sz w:val="14"/>
                <w:szCs w:val="14"/>
                <w:color w:val="auto"/>
              </w:rPr>
              <w:t>(in $ millions)</w:t>
            </w:r>
          </w:p>
        </w:tc>
        <w:tc>
          <w:tcPr>
            <w:tcW w:w="0" w:type="dxa"/>
            <w:vAlign w:val="bottom"/>
          </w:tcPr>
          <w:p>
            <w:pPr>
              <w:spacing w:after="0"/>
              <w:rPr>
                <w:sz w:val="1"/>
                <w:szCs w:val="1"/>
                <w:color w:val="auto"/>
              </w:rPr>
            </w:pPr>
          </w:p>
        </w:tc>
      </w:tr>
      <w:tr>
        <w:trPr>
          <w:trHeight w:val="203"/>
        </w:trPr>
        <w:tc>
          <w:tcPr>
            <w:tcW w:w="42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Less than or equal to $0</w:t>
            </w:r>
          </w:p>
        </w:tc>
        <w:tc>
          <w:tcPr>
            <w:tcW w:w="110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332</w:t>
            </w:r>
          </w:p>
        </w:tc>
        <w:tc>
          <w:tcPr>
            <w:tcW w:w="9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332</w:t>
            </w: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$1 million—$145 million</w:t>
            </w:r>
          </w:p>
        </w:tc>
        <w:tc>
          <w:tcPr>
            <w:tcW w:w="1100" w:type="dxa"/>
            <w:vAlign w:val="bottom"/>
          </w:tcPr>
          <w:p>
            <w:pPr>
              <w:jc w:val="right"/>
              <w:spacing w:after="0"/>
              <w:rPr>
                <w:sz w:val="20"/>
                <w:szCs w:val="20"/>
                <w:color w:val="auto"/>
              </w:rPr>
            </w:pPr>
            <w:r>
              <w:rPr>
                <w:rFonts w:ascii="Arial" w:cs="Arial" w:eastAsia="Arial" w:hAnsi="Arial"/>
                <w:sz w:val="18"/>
                <w:szCs w:val="18"/>
                <w:color w:val="auto"/>
              </w:rPr>
              <w:t>332</w:t>
            </w:r>
          </w:p>
        </w:tc>
        <w:tc>
          <w:tcPr>
            <w:tcW w:w="920" w:type="dxa"/>
            <w:vAlign w:val="bottom"/>
          </w:tcPr>
          <w:p>
            <w:pPr>
              <w:spacing w:after="0"/>
              <w:rPr>
                <w:sz w:val="18"/>
                <w:szCs w:val="18"/>
                <w:color w:val="auto"/>
              </w:rPr>
            </w:pPr>
          </w:p>
        </w:tc>
        <w:tc>
          <w:tcPr>
            <w:tcW w:w="2140" w:type="dxa"/>
            <w:vAlign w:val="bottom"/>
            <w:gridSpan w:val="2"/>
          </w:tcPr>
          <w:p>
            <w:pPr>
              <w:jc w:val="right"/>
              <w:ind w:right="94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$146 million—$249 million</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9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$250 million—$449 million</w:t>
            </w:r>
          </w:p>
        </w:tc>
        <w:tc>
          <w:tcPr>
            <w:tcW w:w="1100" w:type="dxa"/>
            <w:vAlign w:val="bottom"/>
          </w:tcPr>
          <w:p>
            <w:pPr>
              <w:jc w:val="right"/>
              <w:spacing w:after="0"/>
              <w:rPr>
                <w:sz w:val="20"/>
                <w:szCs w:val="20"/>
                <w:color w:val="auto"/>
              </w:rPr>
            </w:pPr>
            <w:r>
              <w:rPr>
                <w:rFonts w:ascii="Arial" w:cs="Arial" w:eastAsia="Arial" w:hAnsi="Arial"/>
                <w:sz w:val="18"/>
                <w:szCs w:val="18"/>
                <w:color w:val="auto"/>
              </w:rPr>
              <w:t>332</w:t>
            </w:r>
          </w:p>
        </w:tc>
        <w:tc>
          <w:tcPr>
            <w:tcW w:w="920" w:type="dxa"/>
            <w:vAlign w:val="bottom"/>
          </w:tcPr>
          <w:p>
            <w:pPr>
              <w:spacing w:after="0"/>
              <w:rPr>
                <w:sz w:val="18"/>
                <w:szCs w:val="18"/>
                <w:color w:val="auto"/>
              </w:rPr>
            </w:pPr>
          </w:p>
        </w:tc>
        <w:tc>
          <w:tcPr>
            <w:tcW w:w="2140" w:type="dxa"/>
            <w:vAlign w:val="bottom"/>
            <w:gridSpan w:val="2"/>
          </w:tcPr>
          <w:p>
            <w:pPr>
              <w:jc w:val="right"/>
              <w:ind w:right="94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$450 million—$1.209 billion</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9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$1.210 billion or greater</w:t>
            </w:r>
          </w:p>
        </w:tc>
        <w:tc>
          <w:tcPr>
            <w:tcW w:w="1100" w:type="dxa"/>
            <w:vAlign w:val="bottom"/>
          </w:tcPr>
          <w:p>
            <w:pPr>
              <w:jc w:val="right"/>
              <w:spacing w:after="0"/>
              <w:rPr>
                <w:sz w:val="20"/>
                <w:szCs w:val="20"/>
                <w:color w:val="auto"/>
              </w:rPr>
            </w:pPr>
            <w:r>
              <w:rPr>
                <w:rFonts w:ascii="Arial" w:cs="Arial" w:eastAsia="Arial" w:hAnsi="Arial"/>
                <w:sz w:val="18"/>
                <w:szCs w:val="18"/>
                <w:color w:val="auto"/>
              </w:rPr>
              <w:t>332</w:t>
            </w:r>
          </w:p>
        </w:tc>
        <w:tc>
          <w:tcPr>
            <w:tcW w:w="920" w:type="dxa"/>
            <w:vAlign w:val="bottom"/>
          </w:tcPr>
          <w:p>
            <w:pPr>
              <w:spacing w:after="0"/>
              <w:rPr>
                <w:sz w:val="18"/>
                <w:szCs w:val="18"/>
                <w:color w:val="auto"/>
              </w:rPr>
            </w:pPr>
          </w:p>
        </w:tc>
        <w:tc>
          <w:tcPr>
            <w:tcW w:w="2140" w:type="dxa"/>
            <w:vAlign w:val="bottom"/>
            <w:gridSpan w:val="2"/>
          </w:tcPr>
          <w:p>
            <w:pPr>
              <w:jc w:val="right"/>
              <w:ind w:right="94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93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5448935</wp:posOffset>
            </wp:positionH>
            <wp:positionV relativeFrom="page">
              <wp:posOffset>183515</wp:posOffset>
            </wp:positionV>
            <wp:extent cx="1955165" cy="3689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955165" cy="368935"/>
                    </a:xfrm>
                    <a:prstGeom prst="rect">
                      <a:avLst/>
                    </a:prstGeom>
                    <a:noFill/>
                  </pic:spPr>
                </pic:pic>
              </a:graphicData>
            </a:graphic>
          </wp:anchor>
        </w:drawing>
        <w:t>Non-GAAP to GAAP Reconciliations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Pursuant to SEC Regulation G, the Company has included the following reconciliation of reported non-GAAP financial measures to comparable financial measures reported on a GAAP basis. The Company believes that excluding fuel costs and certain other charges from some measures is useful to investors because it provides an additional measure of management’s performance excluding the effects of a significant cost item over which management has limited influence, and the effects of certain other charges that would otherwise make analysis of the Company’s operating performance more difficult.</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220" w:type="dxa"/>
            <w:vAlign w:val="bottom"/>
            <w:gridSpan w:val="3"/>
          </w:tcPr>
          <w:p>
            <w:pPr>
              <w:jc w:val="right"/>
              <w:ind w:right="255"/>
              <w:spacing w:after="0"/>
              <w:rPr>
                <w:sz w:val="20"/>
                <w:szCs w:val="20"/>
                <w:color w:val="auto"/>
              </w:rPr>
            </w:pPr>
            <w:r>
              <w:rPr>
                <w:rFonts w:ascii="Arial" w:cs="Arial" w:eastAsia="Arial" w:hAnsi="Arial"/>
                <w:sz w:val="14"/>
                <w:szCs w:val="14"/>
                <w:b w:val="1"/>
                <w:bCs w:val="1"/>
                <w:color w:val="auto"/>
              </w:rPr>
              <w:t>Estimated</w:t>
            </w:r>
          </w:p>
        </w:tc>
        <w:tc>
          <w:tcPr>
            <w:tcW w:w="300" w:type="dxa"/>
            <w:vAlign w:val="bottom"/>
          </w:tcPr>
          <w:p>
            <w:pPr>
              <w:spacing w:after="0"/>
              <w:rPr>
                <w:sz w:val="14"/>
                <w:szCs w:val="14"/>
                <w:color w:val="auto"/>
              </w:rPr>
            </w:pPr>
          </w:p>
        </w:tc>
        <w:tc>
          <w:tcPr>
            <w:tcW w:w="13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61"/>
        </w:trPr>
        <w:tc>
          <w:tcPr>
            <w:tcW w:w="7680" w:type="dxa"/>
            <w:vAlign w:val="bottom"/>
          </w:tcPr>
          <w:p>
            <w:pPr>
              <w:spacing w:after="0"/>
              <w:rPr>
                <w:sz w:val="14"/>
                <w:szCs w:val="14"/>
                <w:color w:val="auto"/>
              </w:rPr>
            </w:pPr>
          </w:p>
        </w:tc>
        <w:tc>
          <w:tcPr>
            <w:tcW w:w="1220" w:type="dxa"/>
            <w:vAlign w:val="bottom"/>
            <w:gridSpan w:val="3"/>
          </w:tcPr>
          <w:p>
            <w:pPr>
              <w:jc w:val="right"/>
              <w:ind w:right="295"/>
              <w:spacing w:after="0"/>
              <w:rPr>
                <w:sz w:val="20"/>
                <w:szCs w:val="20"/>
                <w:color w:val="auto"/>
              </w:rPr>
            </w:pPr>
            <w:r>
              <w:rPr>
                <w:rFonts w:ascii="Arial" w:cs="Arial" w:eastAsia="Arial" w:hAnsi="Arial"/>
                <w:sz w:val="14"/>
                <w:szCs w:val="14"/>
                <w:b w:val="1"/>
                <w:bCs w:val="1"/>
                <w:color w:val="auto"/>
              </w:rPr>
              <w:t>1Q 2013</w:t>
            </w:r>
          </w:p>
        </w:tc>
        <w:tc>
          <w:tcPr>
            <w:tcW w:w="300" w:type="dxa"/>
            <w:vAlign w:val="bottom"/>
          </w:tcPr>
          <w:p>
            <w:pPr>
              <w:spacing w:after="0"/>
              <w:rPr>
                <w:sz w:val="14"/>
                <w:szCs w:val="14"/>
                <w:color w:val="auto"/>
              </w:rPr>
            </w:pPr>
          </w:p>
        </w:tc>
        <w:tc>
          <w:tcPr>
            <w:tcW w:w="13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FY 2013</w:t>
            </w:r>
          </w:p>
        </w:tc>
        <w:tc>
          <w:tcPr>
            <w:tcW w:w="0" w:type="dxa"/>
            <w:vAlign w:val="bottom"/>
          </w:tcPr>
          <w:p>
            <w:pPr>
              <w:spacing w:after="0"/>
              <w:rPr>
                <w:sz w:val="1"/>
                <w:szCs w:val="1"/>
                <w:color w:val="auto"/>
              </w:rPr>
            </w:pPr>
          </w:p>
        </w:tc>
      </w:tr>
      <w:tr>
        <w:trPr>
          <w:trHeight w:val="142"/>
        </w:trPr>
        <w:tc>
          <w:tcPr>
            <w:tcW w:w="7680" w:type="dxa"/>
            <w:vAlign w:val="bottom"/>
          </w:tcPr>
          <w:p>
            <w:pPr>
              <w:spacing w:after="0"/>
              <w:rPr>
                <w:sz w:val="12"/>
                <w:szCs w:val="12"/>
                <w:color w:val="auto"/>
              </w:rPr>
            </w:pPr>
          </w:p>
        </w:tc>
        <w:tc>
          <w:tcPr>
            <w:tcW w:w="76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Low</w:t>
            </w:r>
          </w:p>
        </w:tc>
        <w:tc>
          <w:tcPr>
            <w:tcW w:w="46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Low</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Mainline Unit Cost (¢/ASM)</w:t>
            </w: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440"/>
              <w:spacing w:after="0"/>
              <w:rPr>
                <w:sz w:val="20"/>
                <w:szCs w:val="20"/>
                <w:color w:val="auto"/>
              </w:rPr>
            </w:pPr>
            <w:r>
              <w:rPr>
                <w:rFonts w:ascii="Arial" w:cs="Arial" w:eastAsia="Arial" w:hAnsi="Arial"/>
                <w:sz w:val="18"/>
                <w:szCs w:val="18"/>
                <w:color w:val="auto"/>
              </w:rPr>
              <w:t>Mainline CASM Excluding Profit Sharing</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14.31</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14.39</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13.79</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Special Charges (a)</w:t>
            </w:r>
          </w:p>
        </w:tc>
        <w:tc>
          <w:tcPr>
            <w:tcW w:w="4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80" w:type="dxa"/>
            <w:vAlign w:val="bottom"/>
          </w:tcPr>
          <w:p>
            <w:pPr>
              <w:ind w:left="440"/>
              <w:spacing w:after="0"/>
              <w:rPr>
                <w:sz w:val="20"/>
                <w:szCs w:val="20"/>
                <w:color w:val="auto"/>
              </w:rPr>
            </w:pPr>
            <w:r>
              <w:rPr>
                <w:rFonts w:ascii="Arial" w:cs="Arial" w:eastAsia="Arial" w:hAnsi="Arial"/>
                <w:sz w:val="18"/>
                <w:szCs w:val="18"/>
                <w:color w:val="auto"/>
              </w:rPr>
              <w:t>Mainline CASM Excluding Profit Sharing &amp; Special Charges (b)</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14.31</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14.39</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13.79</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Third-Party Business Expenses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ind w:left="440"/>
              <w:spacing w:after="0"/>
              <w:rPr>
                <w:sz w:val="20"/>
                <w:szCs w:val="20"/>
                <w:color w:val="auto"/>
              </w:rPr>
            </w:pPr>
            <w:r>
              <w:rPr>
                <w:rFonts w:ascii="Arial" w:cs="Arial" w:eastAsia="Arial" w:hAnsi="Arial"/>
                <w:sz w:val="18"/>
                <w:szCs w:val="18"/>
                <w:color w:val="auto"/>
                <w:w w:val="94"/>
              </w:rPr>
              <w:t>Mainline CASM Excluding Profit Sharing, Third-Party Business Expenses &amp; Special Charges (b)</w:t>
            </w: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8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14.07</w:t>
            </w: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14.15</w:t>
            </w:r>
          </w:p>
        </w:tc>
        <w:tc>
          <w:tcPr>
            <w:tcW w:w="30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13.62</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Fuel Expense (c)</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4.82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80" w:type="dxa"/>
            <w:vAlign w:val="bottom"/>
          </w:tcPr>
          <w:p>
            <w:pPr>
              <w:ind w:left="440"/>
              <w:spacing w:after="0"/>
              <w:rPr>
                <w:sz w:val="20"/>
                <w:szCs w:val="20"/>
                <w:color w:val="auto"/>
              </w:rPr>
            </w:pPr>
            <w:r>
              <w:rPr>
                <w:rFonts w:ascii="Arial" w:cs="Arial" w:eastAsia="Arial" w:hAnsi="Arial"/>
                <w:sz w:val="18"/>
                <w:szCs w:val="18"/>
                <w:color w:val="auto"/>
                <w:w w:val="92"/>
              </w:rPr>
              <w:t>Mainline CASM Excluding Profit Sharing, Third-Party Business Expenses, Fuel &amp; Special Charges</w:t>
            </w:r>
          </w:p>
        </w:tc>
        <w:tc>
          <w:tcPr>
            <w:tcW w:w="4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80" w:type="dxa"/>
            <w:vAlign w:val="bottom"/>
          </w:tcPr>
          <w:p>
            <w:pPr>
              <w:ind w:left="660"/>
              <w:spacing w:after="0"/>
              <w:rPr>
                <w:sz w:val="20"/>
                <w:szCs w:val="20"/>
                <w:color w:val="auto"/>
              </w:rPr>
            </w:pPr>
            <w:r>
              <w:rPr>
                <w:rFonts w:ascii="Arial" w:cs="Arial" w:eastAsia="Arial" w:hAnsi="Arial"/>
                <w:sz w:val="18"/>
                <w:szCs w:val="18"/>
                <w:color w:val="auto"/>
              </w:rPr>
              <w:t>(b)</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9.13</w:t>
            </w:r>
          </w:p>
        </w:tc>
        <w:tc>
          <w:tcPr>
            <w:tcW w:w="460" w:type="dxa"/>
            <w:vAlign w:val="bottom"/>
          </w:tcPr>
          <w:p>
            <w:pPr>
              <w:jc w:val="right"/>
              <w:spacing w:after="0"/>
              <w:rPr>
                <w:sz w:val="20"/>
                <w:szCs w:val="20"/>
                <w:color w:val="auto"/>
              </w:rPr>
            </w:pPr>
            <w:r>
              <w:rPr>
                <w:rFonts w:ascii="Arial" w:cs="Arial" w:eastAsia="Arial" w:hAnsi="Arial"/>
                <w:sz w:val="18"/>
                <w:szCs w:val="18"/>
                <w:color w:val="auto"/>
              </w:rPr>
              <w:t>9.21</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8.80</w:t>
            </w:r>
          </w:p>
        </w:tc>
        <w:tc>
          <w:tcPr>
            <w:tcW w:w="460" w:type="dxa"/>
            <w:vAlign w:val="bottom"/>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7680" w:type="dxa"/>
            <w:vAlign w:val="bottom"/>
          </w:tcPr>
          <w:p>
            <w:pPr>
              <w:spacing w:after="0"/>
              <w:rPr>
                <w:sz w:val="24"/>
                <w:szCs w:val="24"/>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Low</w:t>
            </w:r>
          </w:p>
        </w:tc>
        <w:tc>
          <w:tcPr>
            <w:tcW w:w="460" w:type="dxa"/>
            <w:vAlign w:val="bottom"/>
          </w:tcPr>
          <w:p>
            <w:pPr>
              <w:jc w:val="right"/>
              <w:ind w:right="15"/>
              <w:spacing w:after="0"/>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24"/>
                <w:szCs w:val="24"/>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Low</w:t>
            </w: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196"/>
        </w:trPr>
        <w:tc>
          <w:tcPr>
            <w:tcW w:w="7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Unit Cost (¢/ASM)</w:t>
            </w: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440"/>
              <w:spacing w:after="0"/>
              <w:rPr>
                <w:sz w:val="20"/>
                <w:szCs w:val="20"/>
                <w:color w:val="auto"/>
              </w:rPr>
            </w:pPr>
            <w:r>
              <w:rPr>
                <w:rFonts w:ascii="Arial" w:cs="Arial" w:eastAsia="Arial" w:hAnsi="Arial"/>
                <w:sz w:val="18"/>
                <w:szCs w:val="18"/>
                <w:color w:val="auto"/>
              </w:rPr>
              <w:t>Consolidated CASM Excluding Profit Sharing</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15.19</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15.28</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14.62</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Special Charges (a)</w:t>
            </w:r>
          </w:p>
        </w:tc>
        <w:tc>
          <w:tcPr>
            <w:tcW w:w="4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80" w:type="dxa"/>
            <w:vAlign w:val="bottom"/>
          </w:tcPr>
          <w:p>
            <w:pPr>
              <w:ind w:left="440"/>
              <w:spacing w:after="0"/>
              <w:rPr>
                <w:sz w:val="20"/>
                <w:szCs w:val="20"/>
                <w:color w:val="auto"/>
              </w:rPr>
            </w:pPr>
            <w:r>
              <w:rPr>
                <w:rFonts w:ascii="Arial" w:cs="Arial" w:eastAsia="Arial" w:hAnsi="Arial"/>
                <w:sz w:val="18"/>
                <w:szCs w:val="18"/>
                <w:color w:val="auto"/>
              </w:rPr>
              <w:t>Consolidated CASM Excluding Profit Sharing &amp; Special Charges (b)</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15.19</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15.28</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14.62</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Third-Party Business Expenses</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0.15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80" w:type="dxa"/>
            <w:vAlign w:val="bottom"/>
          </w:tcPr>
          <w:p>
            <w:pPr>
              <w:ind w:left="440"/>
              <w:spacing w:after="0"/>
              <w:rPr>
                <w:sz w:val="20"/>
                <w:szCs w:val="20"/>
                <w:color w:val="auto"/>
              </w:rPr>
            </w:pPr>
            <w:r>
              <w:rPr>
                <w:rFonts w:ascii="Arial" w:cs="Arial" w:eastAsia="Arial" w:hAnsi="Arial"/>
                <w:sz w:val="18"/>
                <w:szCs w:val="18"/>
                <w:color w:val="auto"/>
                <w:w w:val="93"/>
              </w:rPr>
              <w:t>Consolidated CASM Excluding Profit Sharing, Third-Party Business Expenses &amp; Special Charges</w:t>
            </w:r>
          </w:p>
        </w:tc>
        <w:tc>
          <w:tcPr>
            <w:tcW w:w="4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660"/>
              <w:spacing w:after="0"/>
              <w:rPr>
                <w:sz w:val="20"/>
                <w:szCs w:val="20"/>
                <w:color w:val="auto"/>
              </w:rPr>
            </w:pPr>
            <w:r>
              <w:rPr>
                <w:rFonts w:ascii="Arial" w:cs="Arial" w:eastAsia="Arial" w:hAnsi="Arial"/>
                <w:sz w:val="18"/>
                <w:szCs w:val="18"/>
                <w:color w:val="auto"/>
              </w:rPr>
              <w:t>(b)</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14.98</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15.07</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14.47</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Fuel Expense (c)</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5.14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80" w:type="dxa"/>
            <w:vAlign w:val="bottom"/>
          </w:tcPr>
          <w:p>
            <w:pPr>
              <w:ind w:left="440"/>
              <w:spacing w:after="0"/>
              <w:rPr>
                <w:sz w:val="20"/>
                <w:szCs w:val="20"/>
                <w:color w:val="auto"/>
              </w:rPr>
            </w:pPr>
            <w:r>
              <w:rPr>
                <w:rFonts w:ascii="Arial" w:cs="Arial" w:eastAsia="Arial" w:hAnsi="Arial"/>
                <w:sz w:val="18"/>
                <w:szCs w:val="18"/>
                <w:color w:val="auto"/>
                <w:w w:val="96"/>
              </w:rPr>
              <w:t>Consolidated CASM Excluding Profit Sharing, Third-Party Business Expenses, Fuel &amp; Special</w:t>
            </w:r>
          </w:p>
        </w:tc>
        <w:tc>
          <w:tcPr>
            <w:tcW w:w="4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80" w:type="dxa"/>
            <w:vAlign w:val="bottom"/>
          </w:tcPr>
          <w:p>
            <w:pPr>
              <w:ind w:left="660"/>
              <w:spacing w:after="0"/>
              <w:rPr>
                <w:sz w:val="20"/>
                <w:szCs w:val="20"/>
                <w:color w:val="auto"/>
              </w:rPr>
            </w:pPr>
            <w:r>
              <w:rPr>
                <w:rFonts w:ascii="Arial" w:cs="Arial" w:eastAsia="Arial" w:hAnsi="Arial"/>
                <w:sz w:val="18"/>
                <w:szCs w:val="18"/>
                <w:color w:val="auto"/>
              </w:rPr>
              <w:t>Charges (b)</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9.69</w:t>
            </w:r>
          </w:p>
        </w:tc>
        <w:tc>
          <w:tcPr>
            <w:tcW w:w="460" w:type="dxa"/>
            <w:vAlign w:val="bottom"/>
          </w:tcPr>
          <w:p>
            <w:pPr>
              <w:jc w:val="right"/>
              <w:spacing w:after="0"/>
              <w:rPr>
                <w:sz w:val="20"/>
                <w:szCs w:val="20"/>
                <w:color w:val="auto"/>
              </w:rPr>
            </w:pPr>
            <w:r>
              <w:rPr>
                <w:rFonts w:ascii="Arial" w:cs="Arial" w:eastAsia="Arial" w:hAnsi="Arial"/>
                <w:sz w:val="18"/>
                <w:szCs w:val="18"/>
                <w:color w:val="auto"/>
              </w:rPr>
              <w:t>9.78</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9.33</w:t>
            </w:r>
          </w:p>
        </w:tc>
        <w:tc>
          <w:tcPr>
            <w:tcW w:w="460" w:type="dxa"/>
            <w:vAlign w:val="bottom"/>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160" w:hanging="452"/>
        <w:spacing w:after="0" w:line="253"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expense per ASM – CASM excludes special charges, the impact of certain primarily non-cash impairment, severance and other similar accounting charges. While the Company anticipates that it will record such special charges throughout the year and may record profit sharing, at this time the Company is unable to provide an estimate of these charges with reasonable certainty.</w:t>
      </w: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These financial measures provide management and investors the ability to measure and monitor the Company’s performance on a consistent basis.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Both the cost and availability of fuel are subject to many economic and political factors and are therefore beyond the Company’s control.</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9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Certain statements included in this investor update are forward-looking and thus reflect our current expectations and beliefs with respect to certain current and future events and financial performance. Such forward-looking statements are and will be subject to many risks and uncertainties relating to our operations and business environment that may cause actual results to differ materially from any future results expressed or implied in such forward-looking statements. Words such as “expects,” “will,” “plans,” “anticipates,” “indicates,” “believes,” “forecast,” “guidance,” “outlook” and similar expressions are intended to identify forward-looking statements. Additionally, forward-looking statements include statements which do not relate solely to historical facts, such as statements which identify uncertainties or trends, discuss the possible future effects of current known trends or uncertainties, or which indicate that the future effects of known trends or uncertainties cannot be predicted, guaranteed or assured. All forward-looking statements in this investor update are based upon information available to us on the date of this investor update. We undertake no obligation to publicly update or revise any forward-looking statement, whether as a result of new information, future events, changed circumstances or otherwise, except as required by applicable law. Our actual results could differ materially from these forward-looking statements due to numerous factors including, without limitation, the following: our ability to comply with the terms of our various financing arrangements; the costs and availability of financing; our ability to maintain adequate liquidity; our ability to execute our operational plans; our ability to control our costs, including realizing benefits from our resource optimization efforts, cost reduction initiatives and fleet replacement programs; our ability to utilize our net operating losses; our ability to attract and retain customers; demand for transportation in the markets in which we operate; an outbreak of a disease that affects travel demand or travel behavior; demand for travel and the impact that global economic conditions have on customer travel patterns; excessive taxation and the inability to offset future taxable income; general economic conditions (including interest rates, foreign currency exchange rates, investment or credit market conditions, crude oil prices, costs of aviation fuel and energy refining capacity in relevant markets); our ability to cost-effectively hedge against increases in the price of aviation fuel; any potential realized or unrealized gains or losses related to fuel or currency hedging programs; the effects of any hostilities, act of war or terrorist attack; the ability of other air carriers with whom we have alliances or partnerships to provide the services contemplated by the respective arrangements with such carriers; the costs and availability of aviation and other insurance; the costs associated with security measures and practices; industry consolidation or changes in airline alliances; competitive pressures on pricing and on demand; our capacity decisions and the capacity decisions of our competitors; U.S. or foreign governmental legislation, regulation and other actions (including open skies agreements and environmental regulations); labor costs; our ability to maintain satisfactory labor relations and the results of the collective bargaining agreement process with our union groups; any disruptions to operations due to any potential actions by our labor groups; weather conditions; the possibility that expected merger synergies will not be realized or will not be realized within the expected time period; and other risks and uncertainties set forth under Item 1A., Risk Factors of our Annual Report on Form 10-K, as well as other risks and uncertainties set forth from time to time in the reports we file with the SEC. Consequently, forward-looking statements should not be regarded as representations or warranties by us that such matters will be realized.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further questions, contact Investor Relations at (312) 997-8610 or </w:t>
      </w:r>
      <w:r>
        <w:rPr>
          <w:rFonts w:ascii="Arial" w:cs="Arial" w:eastAsia="Arial" w:hAnsi="Arial"/>
          <w:sz w:val="18"/>
          <w:szCs w:val="18"/>
          <w:u w:val="single" w:color="auto"/>
          <w:color w:val="auto"/>
        </w:rPr>
        <w:t>investorrelations@united.com</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sectPr>
      <w:pgSz w:w="11900" w:h="16838" w:orient="portrait"/>
      <w:cols w:equalWidth="0" w:num="1">
        <w:col w:w="11400"/>
      </w:cols>
      <w:pgMar w:left="240" w:top="1003" w:right="259" w:bottom="48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upperLetter"/>
      <w:start w:val="1"/>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1)"/>
      <w:numFmt w:val="upperLetter"/>
      <w:start w:val="2"/>
    </w:lvl>
  </w:abstractNum>
  <w:abstractNum w:abstractNumId="8">
    <w:nsid w:val="140E0F76"/>
    <w:multiLevelType w:val="hybridMultilevel"/>
    <w:lvl w:ilvl="0">
      <w:lvlJc w:val="left"/>
      <w:lvlText w:val="(%1)"/>
      <w:numFmt w:val="upperLetter"/>
      <w:start w:val="4"/>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lt;"/>
      <w:numFmt w:val="bullet"/>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2019-12-05T18:02:16Z</dcterms:created>
  <dcterms:modified xsi:type="dcterms:W3CDTF">2019-12-05T18:02:16Z</dcterms:modified>
</cp:coreProperties>
</file>