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732155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757555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0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1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14, 2020</w:t>
      </w:r>
    </w:p>
    <w:p>
      <w:pPr>
        <w:spacing w:after="0" w:line="24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AIRLINES HOLDINGS, INC.</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AIRLINES, INC.</w:t>
      </w:r>
    </w:p>
    <w:p>
      <w:pPr>
        <w:spacing w:after="0" w:line="230" w:lineRule="exact"/>
        <w:rPr>
          <w:sz w:val="24"/>
          <w:szCs w:val="24"/>
          <w:color w:val="auto"/>
        </w:rPr>
      </w:pPr>
    </w:p>
    <w:tbl>
      <w:tblPr>
        <w:tblLayout w:type="fixed"/>
        <w:tblInd w:w="1480" w:type="dxa"/>
        <w:tblCellMar>
          <w:top w:w="0" w:type="dxa"/>
          <w:left w:w="0" w:type="dxa"/>
          <w:bottom w:w="0" w:type="dxa"/>
          <w:right w:w="0" w:type="dxa"/>
        </w:tblCellMar>
      </w:tblPr>
      <w:tr>
        <w:trPr>
          <w:trHeight w:val="230"/>
        </w:trPr>
        <w:tc>
          <w:tcPr>
            <w:tcW w:w="6140" w:type="dxa"/>
            <w:vAlign w:val="bottom"/>
            <w:gridSpan w:val="3"/>
          </w:tcPr>
          <w:p>
            <w:pPr>
              <w:ind w:left="2280"/>
              <w:spacing w:after="0"/>
              <w:rPr>
                <w:sz w:val="20"/>
                <w:szCs w:val="20"/>
                <w:color w:val="auto"/>
              </w:rPr>
            </w:pPr>
            <w:r>
              <w:rPr>
                <w:rFonts w:ascii="Arial" w:cs="Arial" w:eastAsia="Arial" w:hAnsi="Arial"/>
                <w:sz w:val="18"/>
                <w:szCs w:val="18"/>
                <w:color w:val="auto"/>
                <w:w w:val="93"/>
              </w:rPr>
              <w:t>(Exact name of registrant as specified in its charter)</w:t>
            </w:r>
          </w:p>
        </w:tc>
        <w:tc>
          <w:tcPr>
            <w:tcW w:w="2000" w:type="dxa"/>
            <w:vAlign w:val="bottom"/>
          </w:tcPr>
          <w:p>
            <w:pPr>
              <w:spacing w:after="0"/>
              <w:rPr>
                <w:sz w:val="20"/>
                <w:szCs w:val="20"/>
                <w:color w:val="auto"/>
              </w:rPr>
            </w:pPr>
          </w:p>
        </w:tc>
      </w:tr>
      <w:tr>
        <w:trPr>
          <w:trHeight w:val="365"/>
        </w:trPr>
        <w:tc>
          <w:tcPr>
            <w:tcW w:w="3040" w:type="dxa"/>
            <w:vAlign w:val="bottom"/>
          </w:tcPr>
          <w:p>
            <w:pPr>
              <w:jc w:val="center"/>
              <w:ind w:right="1050"/>
              <w:spacing w:after="0"/>
              <w:rPr>
                <w:sz w:val="20"/>
                <w:szCs w:val="20"/>
                <w:color w:val="auto"/>
              </w:rPr>
            </w:pPr>
            <w:r>
              <w:rPr>
                <w:rFonts w:ascii="Arial" w:cs="Arial" w:eastAsia="Arial" w:hAnsi="Arial"/>
                <w:sz w:val="18"/>
                <w:szCs w:val="18"/>
                <w:b w:val="1"/>
                <w:bCs w:val="1"/>
                <w:color w:val="auto"/>
                <w:w w:val="93"/>
              </w:rPr>
              <w:t>Delaware</w:t>
            </w:r>
          </w:p>
        </w:tc>
        <w:tc>
          <w:tcPr>
            <w:tcW w:w="3100" w:type="dxa"/>
            <w:vAlign w:val="bottom"/>
            <w:gridSpan w:val="2"/>
          </w:tcPr>
          <w:p>
            <w:pPr>
              <w:jc w:val="center"/>
              <w:ind w:right="870"/>
              <w:spacing w:after="0"/>
              <w:rPr>
                <w:sz w:val="20"/>
                <w:szCs w:val="20"/>
                <w:color w:val="auto"/>
              </w:rPr>
            </w:pPr>
            <w:r>
              <w:rPr>
                <w:rFonts w:ascii="Arial" w:cs="Arial" w:eastAsia="Arial" w:hAnsi="Arial"/>
                <w:sz w:val="18"/>
                <w:szCs w:val="18"/>
                <w:b w:val="1"/>
                <w:bCs w:val="1"/>
                <w:color w:val="auto"/>
                <w:w w:val="90"/>
              </w:rPr>
              <w:t>001-06033</w:t>
            </w:r>
          </w:p>
        </w:tc>
        <w:tc>
          <w:tcPr>
            <w:tcW w:w="200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36-2675207</w:t>
            </w:r>
          </w:p>
        </w:tc>
      </w:tr>
      <w:tr>
        <w:trPr>
          <w:trHeight w:val="270"/>
        </w:trPr>
        <w:tc>
          <w:tcPr>
            <w:tcW w:w="3040" w:type="dxa"/>
            <w:vAlign w:val="bottom"/>
          </w:tcPr>
          <w:p>
            <w:pPr>
              <w:jc w:val="center"/>
              <w:ind w:right="1050"/>
              <w:spacing w:after="0"/>
              <w:rPr>
                <w:sz w:val="20"/>
                <w:szCs w:val="20"/>
                <w:color w:val="auto"/>
              </w:rPr>
            </w:pPr>
            <w:r>
              <w:rPr>
                <w:rFonts w:ascii="Arial" w:cs="Arial" w:eastAsia="Arial" w:hAnsi="Arial"/>
                <w:sz w:val="18"/>
                <w:szCs w:val="18"/>
                <w:b w:val="1"/>
                <w:bCs w:val="1"/>
                <w:color w:val="auto"/>
                <w:w w:val="93"/>
              </w:rPr>
              <w:t>Delaware</w:t>
            </w:r>
          </w:p>
        </w:tc>
        <w:tc>
          <w:tcPr>
            <w:tcW w:w="3100" w:type="dxa"/>
            <w:vAlign w:val="bottom"/>
            <w:gridSpan w:val="2"/>
          </w:tcPr>
          <w:p>
            <w:pPr>
              <w:jc w:val="center"/>
              <w:ind w:right="870"/>
              <w:spacing w:after="0"/>
              <w:rPr>
                <w:sz w:val="20"/>
                <w:szCs w:val="20"/>
                <w:color w:val="auto"/>
              </w:rPr>
            </w:pPr>
            <w:r>
              <w:rPr>
                <w:rFonts w:ascii="Arial" w:cs="Arial" w:eastAsia="Arial" w:hAnsi="Arial"/>
                <w:sz w:val="18"/>
                <w:szCs w:val="18"/>
                <w:b w:val="1"/>
                <w:bCs w:val="1"/>
                <w:color w:val="auto"/>
                <w:w w:val="90"/>
              </w:rPr>
              <w:t>001-10323</w:t>
            </w:r>
          </w:p>
        </w:tc>
        <w:tc>
          <w:tcPr>
            <w:tcW w:w="200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74-2099724</w:t>
            </w:r>
          </w:p>
        </w:tc>
      </w:tr>
      <w:tr>
        <w:trPr>
          <w:trHeight w:val="270"/>
        </w:trPr>
        <w:tc>
          <w:tcPr>
            <w:tcW w:w="3040" w:type="dxa"/>
            <w:vAlign w:val="bottom"/>
          </w:tcPr>
          <w:p>
            <w:pPr>
              <w:jc w:val="center"/>
              <w:ind w:right="1050"/>
              <w:spacing w:after="0"/>
              <w:rPr>
                <w:sz w:val="20"/>
                <w:szCs w:val="20"/>
                <w:color w:val="auto"/>
              </w:rPr>
            </w:pPr>
            <w:r>
              <w:rPr>
                <w:rFonts w:ascii="Arial" w:cs="Arial" w:eastAsia="Arial" w:hAnsi="Arial"/>
                <w:sz w:val="18"/>
                <w:szCs w:val="18"/>
                <w:color w:val="auto"/>
                <w:w w:val="92"/>
              </w:rPr>
              <w:t>(State or other jurisdiction</w:t>
            </w:r>
          </w:p>
        </w:tc>
        <w:tc>
          <w:tcPr>
            <w:tcW w:w="3100" w:type="dxa"/>
            <w:vAlign w:val="bottom"/>
            <w:gridSpan w:val="2"/>
          </w:tcPr>
          <w:p>
            <w:pPr>
              <w:jc w:val="center"/>
              <w:ind w:right="850"/>
              <w:spacing w:after="0"/>
              <w:rPr>
                <w:sz w:val="20"/>
                <w:szCs w:val="20"/>
                <w:color w:val="auto"/>
              </w:rPr>
            </w:pPr>
            <w:r>
              <w:rPr>
                <w:rFonts w:ascii="Arial" w:cs="Arial" w:eastAsia="Arial" w:hAnsi="Arial"/>
                <w:sz w:val="18"/>
                <w:szCs w:val="18"/>
                <w:color w:val="auto"/>
                <w:w w:val="93"/>
              </w:rPr>
              <w:t>(Commission File Number)</w:t>
            </w:r>
          </w:p>
        </w:tc>
        <w:tc>
          <w:tcPr>
            <w:tcW w:w="2000" w:type="dxa"/>
            <w:vAlign w:val="bottom"/>
          </w:tcPr>
          <w:p>
            <w:pPr>
              <w:jc w:val="center"/>
              <w:ind w:left="250"/>
              <w:spacing w:after="0"/>
              <w:rPr>
                <w:sz w:val="20"/>
                <w:szCs w:val="20"/>
                <w:color w:val="auto"/>
              </w:rPr>
            </w:pPr>
            <w:r>
              <w:rPr>
                <w:rFonts w:ascii="Arial" w:cs="Arial" w:eastAsia="Arial" w:hAnsi="Arial"/>
                <w:sz w:val="18"/>
                <w:szCs w:val="18"/>
                <w:color w:val="auto"/>
                <w:w w:val="93"/>
              </w:rPr>
              <w:t>(IRS Employer</w:t>
            </w:r>
          </w:p>
        </w:tc>
      </w:tr>
      <w:tr>
        <w:trPr>
          <w:trHeight w:val="270"/>
        </w:trPr>
        <w:tc>
          <w:tcPr>
            <w:tcW w:w="3040" w:type="dxa"/>
            <w:vAlign w:val="bottom"/>
          </w:tcPr>
          <w:p>
            <w:pPr>
              <w:jc w:val="center"/>
              <w:ind w:right="1050"/>
              <w:spacing w:after="0"/>
              <w:rPr>
                <w:sz w:val="20"/>
                <w:szCs w:val="20"/>
                <w:color w:val="auto"/>
              </w:rPr>
            </w:pPr>
            <w:r>
              <w:rPr>
                <w:rFonts w:ascii="Arial" w:cs="Arial" w:eastAsia="Arial" w:hAnsi="Arial"/>
                <w:sz w:val="18"/>
                <w:szCs w:val="18"/>
                <w:color w:val="auto"/>
                <w:w w:val="93"/>
              </w:rPr>
              <w:t>of incorporation)</w:t>
            </w:r>
          </w:p>
        </w:tc>
        <w:tc>
          <w:tcPr>
            <w:tcW w:w="11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000" w:type="dxa"/>
            <w:vAlign w:val="bottom"/>
          </w:tcPr>
          <w:p>
            <w:pPr>
              <w:jc w:val="center"/>
              <w:ind w:left="250"/>
              <w:spacing w:after="0"/>
              <w:rPr>
                <w:sz w:val="20"/>
                <w:szCs w:val="20"/>
                <w:color w:val="auto"/>
              </w:rPr>
            </w:pPr>
            <w:r>
              <w:rPr>
                <w:rFonts w:ascii="Arial" w:cs="Arial" w:eastAsia="Arial" w:hAnsi="Arial"/>
                <w:sz w:val="18"/>
                <w:szCs w:val="18"/>
                <w:color w:val="auto"/>
                <w:w w:val="94"/>
              </w:rPr>
              <w:t>Identification Number)</w:t>
            </w:r>
          </w:p>
        </w:tc>
      </w:tr>
      <w:tr>
        <w:trPr>
          <w:trHeight w:val="392"/>
        </w:trPr>
        <w:tc>
          <w:tcPr>
            <w:tcW w:w="3040" w:type="dxa"/>
            <w:vAlign w:val="bottom"/>
          </w:tcPr>
          <w:p>
            <w:pPr>
              <w:jc w:val="center"/>
              <w:spacing w:after="0"/>
              <w:rPr>
                <w:sz w:val="20"/>
                <w:szCs w:val="20"/>
                <w:color w:val="auto"/>
              </w:rPr>
            </w:pPr>
            <w:r>
              <w:rPr>
                <w:rFonts w:ascii="Arial" w:cs="Arial" w:eastAsia="Arial" w:hAnsi="Arial"/>
                <w:sz w:val="18"/>
                <w:szCs w:val="18"/>
                <w:b w:val="1"/>
                <w:bCs w:val="1"/>
                <w:color w:val="auto"/>
                <w:w w:val="91"/>
              </w:rPr>
              <w:t>233 S. Wacker Drive,</w:t>
            </w:r>
          </w:p>
        </w:tc>
        <w:tc>
          <w:tcPr>
            <w:tcW w:w="1180" w:type="dxa"/>
            <w:vAlign w:val="bottom"/>
          </w:tcPr>
          <w:p>
            <w:pPr>
              <w:ind w:left="380"/>
              <w:spacing w:after="0"/>
              <w:rPr>
                <w:sz w:val="20"/>
                <w:szCs w:val="20"/>
                <w:color w:val="auto"/>
              </w:rPr>
            </w:pPr>
            <w:r>
              <w:rPr>
                <w:rFonts w:ascii="Arial" w:cs="Arial" w:eastAsia="Arial" w:hAnsi="Arial"/>
                <w:sz w:val="18"/>
                <w:szCs w:val="18"/>
                <w:b w:val="1"/>
                <w:bCs w:val="1"/>
                <w:color w:val="auto"/>
              </w:rPr>
              <w:t>Chicago,</w:t>
            </w:r>
          </w:p>
        </w:tc>
        <w:tc>
          <w:tcPr>
            <w:tcW w:w="1920" w:type="dxa"/>
            <w:vAlign w:val="bottom"/>
          </w:tcPr>
          <w:p>
            <w:pPr>
              <w:ind w:left="120"/>
              <w:spacing w:after="0"/>
              <w:rPr>
                <w:sz w:val="20"/>
                <w:szCs w:val="20"/>
                <w:color w:val="auto"/>
              </w:rPr>
            </w:pPr>
            <w:r>
              <w:rPr>
                <w:rFonts w:ascii="Arial" w:cs="Arial" w:eastAsia="Arial" w:hAnsi="Arial"/>
                <w:sz w:val="18"/>
                <w:szCs w:val="18"/>
                <w:b w:val="1"/>
                <w:bCs w:val="1"/>
                <w:color w:val="auto"/>
              </w:rPr>
              <w:t>IL</w:t>
            </w:r>
          </w:p>
        </w:tc>
        <w:tc>
          <w:tcPr>
            <w:tcW w:w="2000" w:type="dxa"/>
            <w:vAlign w:val="bottom"/>
          </w:tcPr>
          <w:p>
            <w:pPr>
              <w:jc w:val="center"/>
              <w:ind w:right="850"/>
              <w:spacing w:after="0"/>
              <w:rPr>
                <w:sz w:val="20"/>
                <w:szCs w:val="20"/>
                <w:color w:val="auto"/>
              </w:rPr>
            </w:pPr>
            <w:r>
              <w:rPr>
                <w:rFonts w:ascii="Arial" w:cs="Arial" w:eastAsia="Arial" w:hAnsi="Arial"/>
                <w:sz w:val="18"/>
                <w:szCs w:val="18"/>
                <w:b w:val="1"/>
                <w:bCs w:val="1"/>
                <w:color w:val="auto"/>
                <w:w w:val="91"/>
              </w:rPr>
              <w:t>60606</w:t>
            </w:r>
          </w:p>
        </w:tc>
      </w:tr>
      <w:tr>
        <w:trPr>
          <w:trHeight w:val="270"/>
        </w:trPr>
        <w:tc>
          <w:tcPr>
            <w:tcW w:w="3040" w:type="dxa"/>
            <w:vAlign w:val="bottom"/>
          </w:tcPr>
          <w:p>
            <w:pPr>
              <w:jc w:val="center"/>
              <w:spacing w:after="0"/>
              <w:rPr>
                <w:sz w:val="20"/>
                <w:szCs w:val="20"/>
                <w:color w:val="auto"/>
              </w:rPr>
            </w:pPr>
            <w:r>
              <w:rPr>
                <w:rFonts w:ascii="Arial" w:cs="Arial" w:eastAsia="Arial" w:hAnsi="Arial"/>
                <w:sz w:val="18"/>
                <w:szCs w:val="18"/>
                <w:b w:val="1"/>
                <w:bCs w:val="1"/>
                <w:color w:val="auto"/>
                <w:w w:val="91"/>
              </w:rPr>
              <w:t>233 S. Wacker Drive,</w:t>
            </w:r>
          </w:p>
        </w:tc>
        <w:tc>
          <w:tcPr>
            <w:tcW w:w="1180" w:type="dxa"/>
            <w:vAlign w:val="bottom"/>
          </w:tcPr>
          <w:p>
            <w:pPr>
              <w:ind w:left="380"/>
              <w:spacing w:after="0"/>
              <w:rPr>
                <w:sz w:val="20"/>
                <w:szCs w:val="20"/>
                <w:color w:val="auto"/>
              </w:rPr>
            </w:pPr>
            <w:r>
              <w:rPr>
                <w:rFonts w:ascii="Arial" w:cs="Arial" w:eastAsia="Arial" w:hAnsi="Arial"/>
                <w:sz w:val="18"/>
                <w:szCs w:val="18"/>
                <w:b w:val="1"/>
                <w:bCs w:val="1"/>
                <w:color w:val="auto"/>
              </w:rPr>
              <w:t>Chicago,</w:t>
            </w:r>
          </w:p>
        </w:tc>
        <w:tc>
          <w:tcPr>
            <w:tcW w:w="1920" w:type="dxa"/>
            <w:vAlign w:val="bottom"/>
          </w:tcPr>
          <w:p>
            <w:pPr>
              <w:ind w:left="120"/>
              <w:spacing w:after="0"/>
              <w:rPr>
                <w:sz w:val="20"/>
                <w:szCs w:val="20"/>
                <w:color w:val="auto"/>
              </w:rPr>
            </w:pPr>
            <w:r>
              <w:rPr>
                <w:rFonts w:ascii="Arial" w:cs="Arial" w:eastAsia="Arial" w:hAnsi="Arial"/>
                <w:sz w:val="18"/>
                <w:szCs w:val="18"/>
                <w:b w:val="1"/>
                <w:bCs w:val="1"/>
                <w:color w:val="auto"/>
              </w:rPr>
              <w:t>IL</w:t>
            </w:r>
          </w:p>
        </w:tc>
        <w:tc>
          <w:tcPr>
            <w:tcW w:w="2000" w:type="dxa"/>
            <w:vAlign w:val="bottom"/>
          </w:tcPr>
          <w:p>
            <w:pPr>
              <w:jc w:val="center"/>
              <w:ind w:right="850"/>
              <w:spacing w:after="0"/>
              <w:rPr>
                <w:sz w:val="20"/>
                <w:szCs w:val="20"/>
                <w:color w:val="auto"/>
              </w:rPr>
            </w:pPr>
            <w:r>
              <w:rPr>
                <w:rFonts w:ascii="Arial" w:cs="Arial" w:eastAsia="Arial" w:hAnsi="Arial"/>
                <w:sz w:val="18"/>
                <w:szCs w:val="18"/>
                <w:b w:val="1"/>
                <w:bCs w:val="1"/>
                <w:color w:val="auto"/>
                <w:w w:val="91"/>
              </w:rPr>
              <w:t>60606</w:t>
            </w:r>
          </w:p>
        </w:tc>
      </w:tr>
      <w:tr>
        <w:trPr>
          <w:trHeight w:val="270"/>
        </w:trPr>
        <w:tc>
          <w:tcPr>
            <w:tcW w:w="304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1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000" w:type="dxa"/>
            <w:vAlign w:val="bottom"/>
          </w:tcPr>
          <w:p>
            <w:pPr>
              <w:jc w:val="center"/>
              <w:ind w:right="850"/>
              <w:spacing w:after="0"/>
              <w:rPr>
                <w:sz w:val="20"/>
                <w:szCs w:val="20"/>
                <w:color w:val="auto"/>
              </w:rPr>
            </w:pPr>
            <w:r>
              <w:rPr>
                <w:rFonts w:ascii="Arial" w:cs="Arial" w:eastAsia="Arial" w:hAnsi="Arial"/>
                <w:sz w:val="18"/>
                <w:szCs w:val="18"/>
                <w:color w:val="auto"/>
                <w:w w:val="91"/>
              </w:rPr>
              <w:t>(Zip Code)</w:t>
            </w:r>
          </w:p>
        </w:tc>
      </w:tr>
    </w:tbl>
    <w:p>
      <w:pPr>
        <w:spacing w:after="0" w:line="225" w:lineRule="exact"/>
        <w:rPr>
          <w:sz w:val="24"/>
          <w:szCs w:val="24"/>
          <w:color w:val="auto"/>
        </w:rPr>
      </w:pPr>
    </w:p>
    <w:p>
      <w:pPr>
        <w:ind w:left="5500" w:hanging="438"/>
        <w:spacing w:after="0"/>
        <w:tabs>
          <w:tab w:leader="none" w:pos="55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825-4000</w:t>
      </w:r>
    </w:p>
    <w:p>
      <w:pPr>
        <w:spacing w:after="0" w:line="27" w:lineRule="exact"/>
        <w:rPr>
          <w:rFonts w:ascii="Arial" w:cs="Arial" w:eastAsia="Arial" w:hAnsi="Arial"/>
          <w:sz w:val="18"/>
          <w:szCs w:val="18"/>
          <w:b w:val="1"/>
          <w:bCs w:val="1"/>
          <w:color w:val="auto"/>
        </w:rPr>
      </w:pPr>
    </w:p>
    <w:p>
      <w:pPr>
        <w:ind w:left="5500" w:hanging="438"/>
        <w:spacing w:after="0"/>
        <w:tabs>
          <w:tab w:leader="none" w:pos="5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825-4000</w:t>
      </w:r>
    </w:p>
    <w:p>
      <w:pPr>
        <w:spacing w:after="0" w:line="103"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Registrant’s telephone number, including area code</w:t>
      </w:r>
    </w:p>
    <w:p>
      <w:pPr>
        <w:spacing w:after="0" w:line="117"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22"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60" w:lineRule="exact"/>
        <w:rPr>
          <w:sz w:val="24"/>
          <w:szCs w:val="24"/>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39"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64"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Registrant</w:t>
            </w:r>
          </w:p>
        </w:tc>
        <w:tc>
          <w:tcPr>
            <w:tcW w:w="280" w:type="dxa"/>
            <w:vAlign w:val="bottom"/>
          </w:tcPr>
          <w:p>
            <w:pPr>
              <w:spacing w:after="0"/>
              <w:rPr>
                <w:sz w:val="15"/>
                <w:szCs w:val="15"/>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Title of Each Class</w:t>
            </w:r>
          </w:p>
        </w:tc>
        <w:tc>
          <w:tcPr>
            <w:tcW w:w="28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Trading Symbol</w:t>
            </w:r>
          </w:p>
        </w:tc>
        <w:tc>
          <w:tcPr>
            <w:tcW w:w="240" w:type="dxa"/>
            <w:vAlign w:val="bottom"/>
          </w:tcPr>
          <w:p>
            <w:pPr>
              <w:spacing w:after="0"/>
              <w:rPr>
                <w:sz w:val="15"/>
                <w:szCs w:val="15"/>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Name of Each Exchange on Which Registered</w:t>
            </w:r>
          </w:p>
        </w:tc>
      </w:tr>
      <w:tr>
        <w:trPr>
          <w:trHeight w:val="173"/>
        </w:trPr>
        <w:tc>
          <w:tcPr>
            <w:tcW w:w="3280" w:type="dxa"/>
            <w:vAlign w:val="bottom"/>
            <w:gridSpan w:val="2"/>
          </w:tcPr>
          <w:p>
            <w:pPr>
              <w:ind w:left="20"/>
              <w:spacing w:after="0"/>
              <w:rPr>
                <w:sz w:val="20"/>
                <w:szCs w:val="20"/>
                <w:color w:val="auto"/>
              </w:rPr>
            </w:pPr>
            <w:r>
              <w:rPr>
                <w:rFonts w:ascii="Arial" w:cs="Arial" w:eastAsia="Arial" w:hAnsi="Arial"/>
                <w:sz w:val="13"/>
                <w:szCs w:val="13"/>
                <w:color w:val="auto"/>
              </w:rPr>
              <w:t>United Airlines Holdings, Inc.</w:t>
            </w:r>
          </w:p>
        </w:tc>
        <w:tc>
          <w:tcPr>
            <w:tcW w:w="2360" w:type="dxa"/>
            <w:vAlign w:val="bottom"/>
            <w:gridSpan w:val="2"/>
          </w:tcPr>
          <w:p>
            <w:pPr>
              <w:jc w:val="center"/>
              <w:ind w:right="280"/>
              <w:spacing w:after="0"/>
              <w:rPr>
                <w:sz w:val="20"/>
                <w:szCs w:val="20"/>
                <w:color w:val="auto"/>
              </w:rPr>
            </w:pPr>
            <w:r>
              <w:rPr>
                <w:rFonts w:ascii="Arial" w:cs="Arial" w:eastAsia="Arial" w:hAnsi="Arial"/>
                <w:sz w:val="13"/>
                <w:szCs w:val="13"/>
                <w:color w:val="auto"/>
                <w:w w:val="88"/>
              </w:rPr>
              <w:t>Common Stock, $0.01 par value</w:t>
            </w:r>
          </w:p>
        </w:tc>
        <w:tc>
          <w:tcPr>
            <w:tcW w:w="1880" w:type="dxa"/>
            <w:vAlign w:val="bottom"/>
            <w:gridSpan w:val="2"/>
          </w:tcPr>
          <w:p>
            <w:pPr>
              <w:jc w:val="center"/>
              <w:ind w:right="260"/>
              <w:spacing w:after="0"/>
              <w:rPr>
                <w:sz w:val="20"/>
                <w:szCs w:val="20"/>
                <w:color w:val="auto"/>
              </w:rPr>
            </w:pPr>
            <w:r>
              <w:rPr>
                <w:rFonts w:ascii="Arial" w:cs="Arial" w:eastAsia="Arial" w:hAnsi="Arial"/>
                <w:sz w:val="13"/>
                <w:szCs w:val="13"/>
                <w:color w:val="auto"/>
              </w:rPr>
              <w:t>UAL</w:t>
            </w:r>
          </w:p>
        </w:tc>
        <w:tc>
          <w:tcPr>
            <w:tcW w:w="3600" w:type="dxa"/>
            <w:vAlign w:val="bottom"/>
          </w:tcPr>
          <w:p>
            <w:pPr>
              <w:jc w:val="center"/>
              <w:spacing w:after="0"/>
              <w:rPr>
                <w:sz w:val="20"/>
                <w:szCs w:val="20"/>
                <w:color w:val="auto"/>
              </w:rPr>
            </w:pPr>
            <w:r>
              <w:rPr>
                <w:rFonts w:ascii="Arial" w:cs="Arial" w:eastAsia="Arial" w:hAnsi="Arial"/>
                <w:sz w:val="13"/>
                <w:szCs w:val="13"/>
                <w:color w:val="auto"/>
                <w:w w:val="89"/>
              </w:rPr>
              <w:t>The Nasdaq Stock Market LLC</w:t>
            </w:r>
          </w:p>
        </w:tc>
      </w:tr>
      <w:tr>
        <w:trPr>
          <w:trHeight w:val="189"/>
        </w:trPr>
        <w:tc>
          <w:tcPr>
            <w:tcW w:w="3280" w:type="dxa"/>
            <w:vAlign w:val="bottom"/>
            <w:gridSpan w:val="2"/>
          </w:tcPr>
          <w:p>
            <w:pPr>
              <w:ind w:left="20"/>
              <w:spacing w:after="0"/>
              <w:rPr>
                <w:sz w:val="20"/>
                <w:szCs w:val="20"/>
                <w:color w:val="auto"/>
              </w:rPr>
            </w:pPr>
            <w:r>
              <w:rPr>
                <w:rFonts w:ascii="Arial" w:cs="Arial" w:eastAsia="Arial" w:hAnsi="Arial"/>
                <w:sz w:val="13"/>
                <w:szCs w:val="13"/>
                <w:color w:val="auto"/>
              </w:rPr>
              <w:t>United Airlines, Inc.</w:t>
            </w:r>
          </w:p>
        </w:tc>
        <w:tc>
          <w:tcPr>
            <w:tcW w:w="2360" w:type="dxa"/>
            <w:vAlign w:val="bottom"/>
            <w:gridSpan w:val="2"/>
          </w:tcPr>
          <w:p>
            <w:pPr>
              <w:jc w:val="center"/>
              <w:ind w:right="280"/>
              <w:spacing w:after="0"/>
              <w:rPr>
                <w:sz w:val="20"/>
                <w:szCs w:val="20"/>
                <w:color w:val="auto"/>
              </w:rPr>
            </w:pPr>
            <w:r>
              <w:rPr>
                <w:rFonts w:ascii="Arial" w:cs="Arial" w:eastAsia="Arial" w:hAnsi="Arial"/>
                <w:sz w:val="13"/>
                <w:szCs w:val="13"/>
                <w:color w:val="auto"/>
                <w:w w:val="89"/>
              </w:rPr>
              <w:t>None</w:t>
            </w:r>
          </w:p>
        </w:tc>
        <w:tc>
          <w:tcPr>
            <w:tcW w:w="1880" w:type="dxa"/>
            <w:vAlign w:val="bottom"/>
            <w:gridSpan w:val="2"/>
          </w:tcPr>
          <w:p>
            <w:pPr>
              <w:jc w:val="center"/>
              <w:ind w:right="240"/>
              <w:spacing w:after="0"/>
              <w:rPr>
                <w:sz w:val="20"/>
                <w:szCs w:val="20"/>
                <w:color w:val="auto"/>
              </w:rPr>
            </w:pPr>
            <w:r>
              <w:rPr>
                <w:rFonts w:ascii="Arial" w:cs="Arial" w:eastAsia="Arial" w:hAnsi="Arial"/>
                <w:sz w:val="13"/>
                <w:szCs w:val="13"/>
                <w:color w:val="auto"/>
                <w:w w:val="89"/>
              </w:rPr>
              <w:t>None</w:t>
            </w:r>
          </w:p>
        </w:tc>
        <w:tc>
          <w:tcPr>
            <w:tcW w:w="3600" w:type="dxa"/>
            <w:vAlign w:val="bottom"/>
          </w:tcPr>
          <w:p>
            <w:pPr>
              <w:jc w:val="center"/>
              <w:spacing w:after="0"/>
              <w:rPr>
                <w:sz w:val="20"/>
                <w:szCs w:val="20"/>
                <w:color w:val="auto"/>
              </w:rPr>
            </w:pPr>
            <w:r>
              <w:rPr>
                <w:rFonts w:ascii="Arial" w:cs="Arial" w:eastAsia="Arial" w:hAnsi="Arial"/>
                <w:sz w:val="13"/>
                <w:szCs w:val="13"/>
                <w:color w:val="auto"/>
                <w:w w:val="89"/>
              </w:rPr>
              <w:t>None</w:t>
            </w:r>
          </w:p>
        </w:tc>
      </w:tr>
    </w:tbl>
    <w:p>
      <w:pPr>
        <w:spacing w:after="0" w:line="344" w:lineRule="exact"/>
        <w:rPr>
          <w:sz w:val="24"/>
          <w:szCs w:val="24"/>
          <w:color w:val="auto"/>
        </w:rPr>
      </w:pPr>
    </w:p>
    <w:p>
      <w:pPr>
        <w:ind w:right="40"/>
        <w:spacing w:after="0" w:line="207"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209" w:lineRule="exact"/>
        <w:rPr>
          <w:sz w:val="24"/>
          <w:szCs w:val="24"/>
          <w:color w:val="auto"/>
        </w:rPr>
      </w:pPr>
    </w:p>
    <w:p>
      <w:pPr>
        <w:ind w:right="9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721360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69850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95885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On October 14, 2020, United Airlines Holdings, Inc. ("UAL"), the holding company whose primary subsidiary is United Airlines, Inc. ("United," and together with UAL, the "Company"), issued a press release announcing the financial results of the Company for third quarter 2020. The press release is attached as Exhibit 99.1 and is incorporated herein by reference.</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in this Item 2.02, including Exhibit 99.1, is being furnished and shall not be deemed to be "filed" for purposes of Section 18 of the Securities Exchange Act of 1934, as amended (the "Exchange Act"), or otherwise subject to the liabilities of that Section and shall not be deemed incorporated by reference into any registration statement or other document filed pursuant to the Securities Act of 1933, as amended, except as shall be expressly set forth by specific reference in such filing.</w:t>
      </w:r>
    </w:p>
    <w:p>
      <w:pPr>
        <w:spacing w:after="0" w:line="7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Exhibit No.</w:t>
            </w:r>
          </w:p>
        </w:tc>
        <w:tc>
          <w:tcPr>
            <w:tcW w:w="64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5060" w:type="dxa"/>
            <w:vAlign w:val="bottom"/>
            <w:gridSpan w:val="3"/>
          </w:tcPr>
          <w:p>
            <w:pPr>
              <w:spacing w:after="0"/>
              <w:rPr>
                <w:sz w:val="14"/>
                <w:szCs w:val="14"/>
                <w:color w:val="auto"/>
              </w:rPr>
            </w:pPr>
          </w:p>
        </w:tc>
      </w:tr>
      <w:tr>
        <w:trPr>
          <w:trHeight w:val="358"/>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420" w:type="dxa"/>
            <w:vAlign w:val="bottom"/>
            <w:gridSpan w:val="5"/>
          </w:tcPr>
          <w:p>
            <w:pPr>
              <w:ind w:left="640"/>
              <w:spacing w:after="0"/>
              <w:rPr>
                <w:rFonts w:ascii="Arial" w:cs="Arial" w:eastAsia="Arial" w:hAnsi="Arial"/>
                <w:sz w:val="18"/>
                <w:szCs w:val="18"/>
                <w:color w:val="0000FF"/>
                <w:w w:val="91"/>
              </w:rPr>
            </w:pPr>
            <w:hyperlink w:anchor="page4">
              <w:r>
                <w:rPr>
                  <w:rFonts w:ascii="Arial" w:cs="Arial" w:eastAsia="Arial" w:hAnsi="Arial"/>
                  <w:sz w:val="18"/>
                  <w:szCs w:val="18"/>
                  <w:u w:val="single" w:color="auto"/>
                  <w:color w:val="0000FF"/>
                  <w:w w:val="91"/>
                </w:rPr>
                <w:t>Press Release issued by United Airlines Holdings, Inc. dated</w:t>
              </w:r>
              <w:r>
                <w:rPr>
                  <w:rFonts w:ascii="Arial" w:cs="Arial" w:eastAsia="Arial" w:hAnsi="Arial"/>
                  <w:sz w:val="18"/>
                  <w:szCs w:val="18"/>
                  <w:color w:val="0000FF"/>
                  <w:w w:val="91"/>
                </w:rPr>
                <w:t xml:space="preserve"> </w:t>
              </w:r>
            </w:hyperlink>
            <w:r>
              <w:rPr>
                <w:rFonts w:ascii="Arial" w:cs="Arial" w:eastAsia="Arial" w:hAnsi="Arial"/>
                <w:sz w:val="18"/>
                <w:szCs w:val="18"/>
                <w:color w:val="0000FF"/>
                <w:w w:val="91"/>
              </w:rPr>
              <w:t xml:space="preserve">October </w:t>
            </w:r>
            <w:hyperlink w:anchor="page4">
              <w:r>
                <w:rPr>
                  <w:rFonts w:ascii="Arial" w:cs="Arial" w:eastAsia="Arial" w:hAnsi="Arial"/>
                  <w:sz w:val="18"/>
                  <w:szCs w:val="18"/>
                  <w:color w:val="0000FF"/>
                  <w:w w:val="91"/>
                </w:rPr>
                <w:t xml:space="preserve">14, </w:t>
              </w:r>
              <w:r>
                <w:rPr>
                  <w:rFonts w:ascii="Arial" w:cs="Arial" w:eastAsia="Arial" w:hAnsi="Arial"/>
                  <w:sz w:val="18"/>
                  <w:szCs w:val="18"/>
                  <w:u w:val="single" w:color="auto"/>
                  <w:color w:val="0000FF"/>
                  <w:w w:val="91"/>
                </w:rPr>
                <w:t>2020</w:t>
              </w:r>
            </w:hyperlink>
          </w:p>
        </w:tc>
      </w:tr>
      <w:tr>
        <w:trPr>
          <w:trHeight w:val="20"/>
        </w:trPr>
        <w:tc>
          <w:tcPr>
            <w:tcW w:w="700" w:type="dxa"/>
            <w:vAlign w:val="bottom"/>
          </w:tcPr>
          <w:p>
            <w:pPr>
              <w:spacing w:after="0" w:line="20" w:lineRule="exact"/>
              <w:rPr>
                <w:sz w:val="1"/>
                <w:szCs w:val="1"/>
                <w:color w:val="auto"/>
              </w:rPr>
            </w:pPr>
          </w:p>
        </w:tc>
        <w:tc>
          <w:tcPr>
            <w:tcW w:w="5060" w:type="dxa"/>
            <w:vAlign w:val="bottom"/>
            <w:gridSpan w:val="3"/>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72"/>
        </w:trPr>
        <w:tc>
          <w:tcPr>
            <w:tcW w:w="700" w:type="dxa"/>
            <w:vAlign w:val="bottom"/>
          </w:tcPr>
          <w:p>
            <w:pPr>
              <w:spacing w:after="0"/>
              <w:rPr>
                <w:sz w:val="20"/>
                <w:szCs w:val="20"/>
                <w:color w:val="auto"/>
              </w:rPr>
            </w:pPr>
            <w:r>
              <w:rPr>
                <w:rFonts w:ascii="Arial" w:cs="Arial" w:eastAsia="Arial" w:hAnsi="Arial"/>
                <w:sz w:val="18"/>
                <w:szCs w:val="18"/>
                <w:color w:val="auto"/>
              </w:rPr>
              <w:t>104</w:t>
            </w:r>
          </w:p>
        </w:tc>
        <w:tc>
          <w:tcPr>
            <w:tcW w:w="6420" w:type="dxa"/>
            <w:vAlign w:val="bottom"/>
            <w:gridSpan w:val="5"/>
          </w:tcPr>
          <w:p>
            <w:pPr>
              <w:ind w:left="640"/>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200" w:lineRule="exact"/>
        <w:rPr>
          <w:sz w:val="20"/>
          <w:szCs w:val="20"/>
          <w:color w:val="auto"/>
        </w:rPr>
      </w:pPr>
    </w:p>
    <w:p>
      <w:pPr>
        <w:spacing w:after="0" w:line="30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UNITED AIRLINES HOLDINGS, INC.</w:t>
      </w:r>
    </w:p>
    <w:p>
      <w:pPr>
        <w:spacing w:after="0" w:line="63"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UNITED AIRLINES, INC.</w:t>
      </w:r>
    </w:p>
    <w:p>
      <w:pPr>
        <w:spacing w:after="0" w:line="200" w:lineRule="exact"/>
        <w:rPr>
          <w:sz w:val="20"/>
          <w:szCs w:val="20"/>
          <w:color w:val="auto"/>
        </w:rPr>
      </w:pPr>
    </w:p>
    <w:p>
      <w:pPr>
        <w:spacing w:after="0" w:line="299" w:lineRule="exact"/>
        <w:rPr>
          <w:sz w:val="20"/>
          <w:szCs w:val="20"/>
          <w:color w:val="auto"/>
        </w:rPr>
      </w:pPr>
    </w:p>
    <w:tbl>
      <w:tblPr>
        <w:tblLayout w:type="fixed"/>
        <w:tblInd w:w="516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Pr>
          <w:p>
            <w:pPr>
              <w:ind w:left="20"/>
              <w:spacing w:after="0"/>
              <w:rPr>
                <w:sz w:val="20"/>
                <w:szCs w:val="20"/>
                <w:color w:val="auto"/>
              </w:rPr>
            </w:pPr>
            <w:r>
              <w:rPr>
                <w:rFonts w:ascii="Arial" w:cs="Arial" w:eastAsia="Arial" w:hAnsi="Arial"/>
                <w:sz w:val="18"/>
                <w:szCs w:val="18"/>
                <w:color w:val="auto"/>
              </w:rPr>
              <w:t>/s/ Chris Kenny</w:t>
            </w:r>
          </w:p>
        </w:tc>
      </w:tr>
      <w:tr>
        <w:trPr>
          <w:trHeight w:val="27"/>
        </w:trPr>
        <w:tc>
          <w:tcPr>
            <w:tcW w:w="90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37"/>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5180" w:type="dxa"/>
            <w:vAlign w:val="bottom"/>
          </w:tcPr>
          <w:p>
            <w:pPr>
              <w:ind w:left="20"/>
              <w:spacing w:after="0"/>
              <w:rPr>
                <w:sz w:val="20"/>
                <w:szCs w:val="20"/>
                <w:color w:val="auto"/>
              </w:rPr>
            </w:pPr>
            <w:r>
              <w:rPr>
                <w:rFonts w:ascii="Arial" w:cs="Arial" w:eastAsia="Arial" w:hAnsi="Arial"/>
                <w:sz w:val="18"/>
                <w:szCs w:val="18"/>
                <w:color w:val="auto"/>
              </w:rPr>
              <w:t>Chris Kenny</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5180" w:type="dxa"/>
            <w:vAlign w:val="bottom"/>
          </w:tcPr>
          <w:p>
            <w:pPr>
              <w:ind w:left="20"/>
              <w:spacing w:after="0"/>
              <w:rPr>
                <w:sz w:val="20"/>
                <w:szCs w:val="20"/>
                <w:color w:val="auto"/>
              </w:rPr>
            </w:pPr>
            <w:r>
              <w:rPr>
                <w:rFonts w:ascii="Arial" w:cs="Arial" w:eastAsia="Arial" w:hAnsi="Arial"/>
                <w:sz w:val="18"/>
                <w:szCs w:val="18"/>
                <w:color w:val="auto"/>
              </w:rPr>
              <w:t>Vice President and Controller</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Date: October 14, 2020</w:t>
      </w:r>
    </w:p>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-150495</wp:posOffset>
            </wp:positionV>
            <wp:extent cx="1748790" cy="7200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48790" cy="720090"/>
                    </a:xfrm>
                    <a:prstGeom prst="rect">
                      <a:avLst/>
                    </a:prstGeom>
                    <a:noFill/>
                  </pic:spPr>
                </pic:pic>
              </a:graphicData>
            </a:graphic>
          </wp:anchor>
        </w:drawing>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United Airlines</w:t>
      </w:r>
    </w:p>
    <w:p>
      <w:pPr>
        <w:ind w:left="20"/>
        <w:spacing w:after="0" w:line="203" w:lineRule="auto"/>
        <w:rPr>
          <w:sz w:val="20"/>
          <w:szCs w:val="20"/>
          <w:color w:val="auto"/>
        </w:rPr>
      </w:pPr>
      <w:r>
        <w:rPr>
          <w:rFonts w:ascii="Arial" w:cs="Arial" w:eastAsia="Arial" w:hAnsi="Arial"/>
          <w:sz w:val="18"/>
          <w:szCs w:val="18"/>
          <w:b w:val="1"/>
          <w:bCs w:val="1"/>
          <w:color w:val="auto"/>
        </w:rPr>
        <w:t>Worldwide Media Relations</w:t>
      </w:r>
    </w:p>
    <w:p>
      <w:pPr>
        <w:ind w:left="20"/>
        <w:spacing w:after="0" w:line="203" w:lineRule="auto"/>
        <w:rPr>
          <w:sz w:val="20"/>
          <w:szCs w:val="20"/>
          <w:color w:val="auto"/>
        </w:rPr>
      </w:pPr>
      <w:r>
        <w:rPr>
          <w:rFonts w:ascii="Arial" w:cs="Arial" w:eastAsia="Arial" w:hAnsi="Arial"/>
          <w:sz w:val="18"/>
          <w:szCs w:val="18"/>
          <w:color w:val="auto"/>
        </w:rPr>
        <w:t>872.825.8640</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media.relations@united.com</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340" w:right="700"/>
        <w:spacing w:after="0" w:line="356" w:lineRule="auto"/>
        <w:rPr>
          <w:sz w:val="20"/>
          <w:szCs w:val="20"/>
          <w:color w:val="auto"/>
        </w:rPr>
      </w:pPr>
      <w:r>
        <w:rPr>
          <w:rFonts w:ascii="Arial" w:cs="Arial" w:eastAsia="Arial" w:hAnsi="Arial"/>
          <w:sz w:val="32"/>
          <w:szCs w:val="32"/>
          <w:b w:val="1"/>
          <w:bCs w:val="1"/>
          <w:color w:val="auto"/>
        </w:rPr>
        <w:t>As Q3 Ends, United Airlines Shifts from Surviving the COVID-19 Crisis to Positioning to Lead the Rebound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-69215</wp:posOffset>
            </wp:positionV>
            <wp:extent cx="6831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8255"/>
                    </a:xfrm>
                    <a:prstGeom prst="rect">
                      <a:avLst/>
                    </a:prstGeom>
                    <a:noFill/>
                  </pic:spPr>
                </pic:pic>
              </a:graphicData>
            </a:graphic>
          </wp:anchor>
        </w:drawing>
      </w:r>
    </w:p>
    <w:p>
      <w:pPr>
        <w:spacing w:after="0" w:line="8" w:lineRule="exact"/>
        <w:rPr>
          <w:sz w:val="20"/>
          <w:szCs w:val="20"/>
          <w:color w:val="auto"/>
        </w:rPr>
      </w:pPr>
    </w:p>
    <w:p>
      <w:pPr>
        <w:ind w:left="1860"/>
        <w:spacing w:after="0"/>
        <w:rPr>
          <w:sz w:val="20"/>
          <w:szCs w:val="20"/>
          <w:color w:val="auto"/>
        </w:rPr>
      </w:pPr>
      <w:r>
        <w:rPr>
          <w:rFonts w:ascii="Arial" w:cs="Arial" w:eastAsia="Arial" w:hAnsi="Arial"/>
          <w:sz w:val="20"/>
          <w:szCs w:val="20"/>
          <w:i w:val="1"/>
          <w:iCs w:val="1"/>
          <w:color w:val="auto"/>
        </w:rPr>
        <w:t>Aggressively adapting to impacts of COVID-19 helped weather the crisis and prepares</w:t>
      </w:r>
    </w:p>
    <w:p>
      <w:pPr>
        <w:spacing w:after="0" w:line="40" w:lineRule="exact"/>
        <w:rPr>
          <w:sz w:val="20"/>
          <w:szCs w:val="20"/>
          <w:color w:val="auto"/>
        </w:rPr>
      </w:pPr>
    </w:p>
    <w:p>
      <w:pPr>
        <w:ind w:left="4080"/>
        <w:spacing w:after="0"/>
        <w:rPr>
          <w:sz w:val="20"/>
          <w:szCs w:val="20"/>
          <w:color w:val="auto"/>
        </w:rPr>
      </w:pPr>
      <w:r>
        <w:rPr>
          <w:rFonts w:ascii="Arial" w:cs="Arial" w:eastAsia="Arial" w:hAnsi="Arial"/>
          <w:sz w:val="20"/>
          <w:szCs w:val="20"/>
          <w:i w:val="1"/>
          <w:iCs w:val="1"/>
          <w:color w:val="auto"/>
        </w:rPr>
        <w:t>the company for long term strength</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Expect Better Revenue Performance – On Virtually Every YOY Metric –</w:t>
      </w:r>
    </w:p>
    <w:p>
      <w:pPr>
        <w:jc w:val="center"/>
        <w:spacing w:after="0"/>
        <w:rPr>
          <w:sz w:val="20"/>
          <w:szCs w:val="20"/>
          <w:color w:val="auto"/>
        </w:rPr>
      </w:pPr>
      <w:r>
        <w:rPr>
          <w:rFonts w:ascii="Arial" w:cs="Arial" w:eastAsia="Arial" w:hAnsi="Arial"/>
          <w:sz w:val="20"/>
          <w:szCs w:val="20"/>
          <w:i w:val="1"/>
          <w:iCs w:val="1"/>
          <w:color w:val="auto"/>
        </w:rPr>
        <w:t>Than Any of Our Legacy Competitors</w:t>
      </w:r>
    </w:p>
    <w:p>
      <w:pPr>
        <w:spacing w:after="0" w:line="246" w:lineRule="exact"/>
        <w:rPr>
          <w:sz w:val="20"/>
          <w:szCs w:val="20"/>
          <w:color w:val="auto"/>
        </w:rPr>
      </w:pPr>
    </w:p>
    <w:p>
      <w:pPr>
        <w:ind w:right="120" w:firstLine="648"/>
        <w:spacing w:after="0" w:line="314" w:lineRule="auto"/>
        <w:rPr>
          <w:sz w:val="20"/>
          <w:szCs w:val="20"/>
          <w:color w:val="auto"/>
        </w:rPr>
      </w:pPr>
      <w:r>
        <w:rPr>
          <w:rFonts w:ascii="Arial" w:cs="Arial" w:eastAsia="Arial" w:hAnsi="Arial"/>
          <w:sz w:val="20"/>
          <w:szCs w:val="20"/>
          <w:b w:val="1"/>
          <w:bCs w:val="1"/>
          <w:color w:val="auto"/>
        </w:rPr>
        <w:t xml:space="preserve">CHICAGO, Oct. 14, 2020 </w:t>
      </w:r>
      <w:r>
        <w:rPr>
          <w:rFonts w:ascii="Arial" w:cs="Arial" w:eastAsia="Arial" w:hAnsi="Arial"/>
          <w:sz w:val="20"/>
          <w:szCs w:val="20"/>
          <w:color w:val="auto"/>
        </w:rPr>
        <w:t>- United Airlines (UAL) today announced third-quarter 2020 financial results. Since the</w:t>
      </w:r>
      <w:r>
        <w:rPr>
          <w:rFonts w:ascii="Arial" w:cs="Arial" w:eastAsia="Arial" w:hAnsi="Arial"/>
          <w:sz w:val="20"/>
          <w:szCs w:val="20"/>
          <w:b w:val="1"/>
          <w:bCs w:val="1"/>
          <w:color w:val="auto"/>
        </w:rPr>
        <w:t xml:space="preserve"> </w:t>
      </w:r>
      <w:r>
        <w:rPr>
          <w:rFonts w:ascii="Arial" w:cs="Arial" w:eastAsia="Arial" w:hAnsi="Arial"/>
          <w:sz w:val="20"/>
          <w:szCs w:val="20"/>
          <w:color w:val="auto"/>
        </w:rPr>
        <w:t>beginning of the crisis, the company has been at the forefront of the industry in delivering on its three-pillar strategy of building and maintaining liquidity, minimizing cash burn and variabilizing its cost structure. Achieving these objectives has supported the airline’s ability to manage the crisis as well as or better than its competitors and positions United to lead the industry when demand for air travel returns.</w:t>
      </w:r>
    </w:p>
    <w:p>
      <w:pPr>
        <w:spacing w:after="0" w:line="5" w:lineRule="exact"/>
        <w:rPr>
          <w:sz w:val="20"/>
          <w:szCs w:val="20"/>
          <w:color w:val="auto"/>
        </w:rPr>
      </w:pPr>
    </w:p>
    <w:p>
      <w:pPr>
        <w:ind w:right="60" w:firstLine="648"/>
        <w:spacing w:after="0" w:line="309" w:lineRule="auto"/>
        <w:rPr>
          <w:sz w:val="20"/>
          <w:szCs w:val="20"/>
          <w:color w:val="auto"/>
        </w:rPr>
      </w:pPr>
      <w:r>
        <w:rPr>
          <w:rFonts w:ascii="Arial" w:cs="Arial" w:eastAsia="Arial" w:hAnsi="Arial"/>
          <w:sz w:val="20"/>
          <w:szCs w:val="20"/>
          <w:color w:val="auto"/>
        </w:rPr>
        <w:t>In addition, United expects that third-quarter revenue performance will be the best, even in a historically difficult environment, among our large network competitors - once they have all reported their quarterly results. By almost any revenue measure, the company expects on a year-over-year basis, with our total unit revenue of down 26 percent, passenger unit revenue of down 47 percent, cargo revenue of up 50 percent and loyalty revenue of down 45 percent to be stronger results than those that will be achieved by each of our legacy competitors.</w:t>
      </w:r>
    </w:p>
    <w:p>
      <w:pPr>
        <w:spacing w:after="0" w:line="5" w:lineRule="exact"/>
        <w:rPr>
          <w:sz w:val="20"/>
          <w:szCs w:val="20"/>
          <w:color w:val="auto"/>
        </w:rPr>
      </w:pPr>
    </w:p>
    <w:p>
      <w:pPr>
        <w:ind w:firstLine="648"/>
        <w:spacing w:after="0" w:line="311" w:lineRule="auto"/>
        <w:rPr>
          <w:sz w:val="20"/>
          <w:szCs w:val="20"/>
          <w:color w:val="auto"/>
        </w:rPr>
      </w:pPr>
      <w:r>
        <w:rPr>
          <w:rFonts w:ascii="Arial" w:cs="Arial" w:eastAsia="Arial" w:hAnsi="Arial"/>
          <w:sz w:val="20"/>
          <w:szCs w:val="20"/>
          <w:color w:val="auto"/>
        </w:rPr>
        <w:t>"Having successfully executed our initial crisis strategy, we’re ready to turn the page on seven months that have been dedicated to developing and implementing extraordinary and often painful measures, like furloughing 13,000 team members, to survive the worst financial crisis in aviation history,” said United CEO Scott Kirby. “Even though the negative impact of COVID-19 will persist in the near term, we are now focused on positioning the airline for a strong recovery that will allow United to bring our furloughed employees back to work and emerge as the global leader in aviation.”</w:t>
      </w:r>
    </w:p>
    <w:p>
      <w:pPr>
        <w:spacing w:after="0" w:line="227" w:lineRule="exact"/>
        <w:rPr>
          <w:sz w:val="20"/>
          <w:szCs w:val="20"/>
          <w:color w:val="auto"/>
        </w:rPr>
      </w:pPr>
    </w:p>
    <w:p>
      <w:pPr>
        <w:ind w:left="2940"/>
        <w:spacing w:after="0"/>
        <w:rPr>
          <w:sz w:val="20"/>
          <w:szCs w:val="20"/>
          <w:color w:val="auto"/>
        </w:rPr>
      </w:pPr>
      <w:r>
        <w:rPr>
          <w:rFonts w:ascii="Arial" w:cs="Arial" w:eastAsia="Arial" w:hAnsi="Arial"/>
          <w:sz w:val="20"/>
          <w:szCs w:val="20"/>
          <w:b w:val="1"/>
          <w:bCs w:val="1"/>
          <w:color w:val="auto"/>
        </w:rPr>
        <w:t>United CleanPlus: Keeping Our Customers and Employees Safe</w:t>
      </w:r>
    </w:p>
    <w:p>
      <w:pPr>
        <w:spacing w:after="0" w:line="375" w:lineRule="exact"/>
        <w:rPr>
          <w:sz w:val="20"/>
          <w:szCs w:val="20"/>
          <w:color w:val="auto"/>
        </w:rPr>
      </w:pPr>
    </w:p>
    <w:p>
      <w:pPr>
        <w:ind w:left="660" w:right="320" w:hanging="328"/>
        <w:spacing w:after="0" w:line="315" w:lineRule="auto"/>
        <w:tabs>
          <w:tab w:leader="none" w:pos="655" w:val="left"/>
        </w:tabs>
        <w:numPr>
          <w:ilvl w:val="0"/>
          <w:numId w:val="4"/>
        </w:numPr>
        <w:rPr>
          <w:rFonts w:ascii="Arial" w:cs="Arial" w:eastAsia="Arial" w:hAnsi="Arial"/>
          <w:sz w:val="21"/>
          <w:szCs w:val="21"/>
          <w:color w:val="auto"/>
        </w:rPr>
      </w:pPr>
      <w:r>
        <w:rPr>
          <w:rFonts w:ascii="Arial" w:cs="Arial" w:eastAsia="Arial" w:hAnsi="Arial"/>
          <w:sz w:val="19"/>
          <w:szCs w:val="19"/>
          <w:color w:val="auto"/>
        </w:rPr>
        <w:t>Partnered with the Defense Advanced Research Projects Agency (DARPA) to study how effectively the unique airflow configuration on board an aircraft can prevent the spread of aerosolized particles among passengers and crew.</w:t>
      </w:r>
    </w:p>
    <w:p>
      <w:pPr>
        <w:spacing w:after="0" w:line="17" w:lineRule="exact"/>
        <w:rPr>
          <w:rFonts w:ascii="Arial" w:cs="Arial" w:eastAsia="Arial" w:hAnsi="Arial"/>
          <w:sz w:val="21"/>
          <w:szCs w:val="21"/>
          <w:color w:val="auto"/>
        </w:rPr>
      </w:pPr>
    </w:p>
    <w:p>
      <w:pPr>
        <w:ind w:left="660" w:right="100" w:hanging="328"/>
        <w:spacing w:after="0" w:line="305"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20"/>
          <w:szCs w:val="20"/>
          <w:color w:val="auto"/>
        </w:rPr>
        <w:t>Only airline maximizing ventilation systems by running the auxiliary power on mainline aircraft during the entire boarding and deplaning process, so our customers and crew get the important safety benefits provided by high-efficiency particulate air (HEPA) filtration systems.</w:t>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United Airlines Reports Third-Quarter 2020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60" w:hanging="328"/>
        <w:spacing w:after="0" w:line="300"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20"/>
          <w:szCs w:val="20"/>
          <w:color w:val="auto"/>
        </w:rPr>
        <w:t>First U.S. airline to announce the launch of a COVID-19 pilot testing program for customers traveling on United from San Francisco International Airport (SFO) to Hawaii.</w:t>
      </w:r>
    </w:p>
    <w:p>
      <w:pPr>
        <w:spacing w:after="0" w:line="17" w:lineRule="exact"/>
        <w:rPr>
          <w:rFonts w:ascii="Arial" w:cs="Arial" w:eastAsia="Arial" w:hAnsi="Arial"/>
          <w:sz w:val="22"/>
          <w:szCs w:val="22"/>
          <w:color w:val="auto"/>
        </w:rPr>
      </w:pPr>
    </w:p>
    <w:p>
      <w:pPr>
        <w:jc w:val="both"/>
        <w:ind w:left="660" w:right="160" w:hanging="328"/>
        <w:spacing w:after="0" w:line="303"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20"/>
          <w:szCs w:val="20"/>
          <w:color w:val="auto"/>
        </w:rPr>
        <w:t>Added Zoono Microbe Shield, an EPA-registered antimicrobial coating that forms a long-lasting bond with surfaces and inhibits the growth of microbes, to the airline's already rigorous safety and cleaning procedures and expects to add the coating to the entire mainline and express fleet before the end of the year.</w:t>
      </w:r>
    </w:p>
    <w:p>
      <w:pPr>
        <w:spacing w:after="0" w:line="17" w:lineRule="exact"/>
        <w:rPr>
          <w:rFonts w:ascii="Arial" w:cs="Arial" w:eastAsia="Arial" w:hAnsi="Arial"/>
          <w:sz w:val="22"/>
          <w:szCs w:val="22"/>
          <w:color w:val="auto"/>
        </w:rPr>
      </w:pPr>
    </w:p>
    <w:p>
      <w:pPr>
        <w:ind w:left="660" w:right="120" w:hanging="328"/>
        <w:spacing w:after="0" w:line="305"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20"/>
          <w:szCs w:val="20"/>
          <w:color w:val="auto"/>
        </w:rPr>
        <w:t>Since COVID-19 began, first major U.S. airline to require flight attendants to wear masks onboard, and among first to require all customers to wear masks onboard. In the third quarter, extended mask requirements to require customers to wear a face covering in the more than 360 airports where United operates around the world, including United customer service counters and kiosks, United Club locations, United's gates, and baggage claim areas.</w:t>
      </w:r>
    </w:p>
    <w:p>
      <w:pPr>
        <w:spacing w:after="0" w:line="16" w:lineRule="exact"/>
        <w:rPr>
          <w:rFonts w:ascii="Arial" w:cs="Arial" w:eastAsia="Arial" w:hAnsi="Arial"/>
          <w:sz w:val="22"/>
          <w:szCs w:val="22"/>
          <w:color w:val="auto"/>
        </w:rPr>
      </w:pPr>
    </w:p>
    <w:p>
      <w:pPr>
        <w:ind w:left="660" w:right="440" w:hanging="328"/>
        <w:spacing w:after="0" w:line="300"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20"/>
          <w:szCs w:val="20"/>
          <w:color w:val="auto"/>
        </w:rPr>
        <w:t>Launched the United Automated Assistant, a new chat function that gives customers a contactless option to receive immediate access to information about cleaning and safety procedures put in place due to COVID-19.</w:t>
      </w:r>
    </w:p>
    <w:p>
      <w:pPr>
        <w:spacing w:after="0" w:line="17" w:lineRule="exact"/>
        <w:rPr>
          <w:rFonts w:ascii="Arial" w:cs="Arial" w:eastAsia="Arial" w:hAnsi="Arial"/>
          <w:sz w:val="22"/>
          <w:szCs w:val="22"/>
          <w:color w:val="auto"/>
        </w:rPr>
      </w:pPr>
    </w:p>
    <w:p>
      <w:pPr>
        <w:ind w:left="660" w:right="120" w:hanging="328"/>
        <w:spacing w:after="0" w:line="307"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20"/>
          <w:szCs w:val="20"/>
          <w:color w:val="auto"/>
        </w:rPr>
        <w:t>Began cleaning pilot flight decks with Ultraviolet C (UVC) lighting technology on most aircraft at hub airports to disinfect the flight deck interior and continue providing pilots with a sanitary work environment.</w:t>
      </w:r>
    </w:p>
    <w:p>
      <w:pPr>
        <w:spacing w:after="0" w:line="168" w:lineRule="exact"/>
        <w:rPr>
          <w:sz w:val="20"/>
          <w:szCs w:val="20"/>
          <w:color w:val="auto"/>
        </w:rPr>
      </w:pPr>
    </w:p>
    <w:p>
      <w:pPr>
        <w:ind w:left="4900"/>
        <w:spacing w:after="0"/>
        <w:rPr>
          <w:sz w:val="20"/>
          <w:szCs w:val="20"/>
          <w:color w:val="auto"/>
        </w:rPr>
      </w:pPr>
      <w:r>
        <w:rPr>
          <w:rFonts w:ascii="Arial" w:cs="Arial" w:eastAsia="Arial" w:hAnsi="Arial"/>
          <w:sz w:val="20"/>
          <w:szCs w:val="20"/>
          <w:b w:val="1"/>
          <w:bCs w:val="1"/>
          <w:color w:val="auto"/>
        </w:rPr>
        <w:t xml:space="preserve">Pillar 1 </w:t>
      </w:r>
      <w:r>
        <w:rPr>
          <w:rFonts w:ascii="Arial" w:cs="Arial" w:eastAsia="Arial" w:hAnsi="Arial"/>
          <w:sz w:val="20"/>
          <w:szCs w:val="20"/>
          <w:b w:val="1"/>
          <w:bCs w:val="1"/>
          <w:i w:val="1"/>
          <w:iCs w:val="1"/>
          <w:color w:val="auto"/>
        </w:rPr>
        <w:t>–</w:t>
      </w:r>
      <w:r>
        <w:rPr>
          <w:rFonts w:ascii="Arial" w:cs="Arial" w:eastAsia="Arial" w:hAnsi="Arial"/>
          <w:sz w:val="20"/>
          <w:szCs w:val="20"/>
          <w:b w:val="1"/>
          <w:bCs w:val="1"/>
          <w:color w:val="auto"/>
        </w:rPr>
        <w:t xml:space="preserve"> Raising and Maintaining Liquidity</w:t>
      </w:r>
    </w:p>
    <w:p>
      <w:pPr>
        <w:spacing w:after="0" w:line="307" w:lineRule="exact"/>
        <w:rPr>
          <w:sz w:val="20"/>
          <w:szCs w:val="20"/>
          <w:color w:val="auto"/>
        </w:rPr>
      </w:pPr>
    </w:p>
    <w:p>
      <w:pPr>
        <w:ind w:left="660" w:right="420" w:hanging="328"/>
        <w:spacing w:after="0" w:line="298"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20"/>
          <w:szCs w:val="20"/>
          <w:color w:val="auto"/>
        </w:rPr>
        <w:t>Since March, the company has raised over $22 billion through commercial debt offerings, stock issuances and the Coronavirus Aid, Relief, and Economic Security Act (“CARES Act”) Payroll Support Program grant and loan, among other items.</w:t>
      </w: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0"/>
          <w:szCs w:val="20"/>
          <w:color w:val="auto"/>
        </w:rPr>
        <w:t>The company's total available liquidity</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at the end of the third quarter 2020 was approximately $19.4 billion.</w:t>
      </w:r>
    </w:p>
    <w:p>
      <w:pPr>
        <w:spacing w:after="0" w:line="68" w:lineRule="exact"/>
        <w:rPr>
          <w:rFonts w:ascii="Arial" w:cs="Arial" w:eastAsia="Arial" w:hAnsi="Arial"/>
          <w:sz w:val="22"/>
          <w:szCs w:val="22"/>
          <w:color w:val="auto"/>
        </w:rPr>
      </w:pPr>
    </w:p>
    <w:p>
      <w:pPr>
        <w:ind w:left="660" w:right="120" w:hanging="328"/>
        <w:spacing w:after="0" w:line="300"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20"/>
          <w:szCs w:val="20"/>
          <w:color w:val="auto"/>
        </w:rPr>
        <w:t>Entered into the first-of-its-kind loyalty backed transaction, borrowing $6.8 billion secured against MileagePlus Holdings in the form of a $3.8 billion bond and a $3.0 billion term loan.</w:t>
      </w:r>
    </w:p>
    <w:p>
      <w:pPr>
        <w:spacing w:after="0" w:line="17" w:lineRule="exact"/>
        <w:rPr>
          <w:rFonts w:ascii="Arial" w:cs="Arial" w:eastAsia="Arial" w:hAnsi="Arial"/>
          <w:sz w:val="22"/>
          <w:szCs w:val="22"/>
          <w:color w:val="auto"/>
        </w:rPr>
      </w:pPr>
    </w:p>
    <w:p>
      <w:pPr>
        <w:jc w:val="both"/>
        <w:ind w:left="660" w:right="160" w:hanging="328"/>
        <w:spacing w:after="0" w:line="303"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20"/>
          <w:szCs w:val="20"/>
          <w:color w:val="auto"/>
        </w:rPr>
        <w:t>Secured the ability to borrow $5.2 billion with the U.S. Treasury under the CARES Act loan program between now and March 2021 and expects to have the ability to increase the borrowing capacity up to $7.5 billion, subject to government approval.</w:t>
      </w:r>
    </w:p>
    <w:p>
      <w:pPr>
        <w:spacing w:after="0" w:line="17" w:lineRule="exact"/>
        <w:rPr>
          <w:rFonts w:ascii="Arial" w:cs="Arial" w:eastAsia="Arial" w:hAnsi="Arial"/>
          <w:sz w:val="22"/>
          <w:szCs w:val="22"/>
          <w:color w:val="auto"/>
        </w:rPr>
      </w:pPr>
    </w:p>
    <w:p>
      <w:pPr>
        <w:ind w:left="660" w:right="140" w:hanging="328"/>
        <w:spacing w:after="0" w:line="336" w:lineRule="auto"/>
        <w:tabs>
          <w:tab w:leader="none" w:pos="655" w:val="left"/>
        </w:tabs>
        <w:numPr>
          <w:ilvl w:val="0"/>
          <w:numId w:val="6"/>
        </w:numPr>
        <w:rPr>
          <w:rFonts w:ascii="Arial" w:cs="Arial" w:eastAsia="Arial" w:hAnsi="Arial"/>
          <w:sz w:val="21"/>
          <w:szCs w:val="21"/>
          <w:color w:val="auto"/>
        </w:rPr>
      </w:pPr>
      <w:r>
        <w:rPr>
          <w:rFonts w:ascii="Arial" w:cs="Arial" w:eastAsia="Arial" w:hAnsi="Arial"/>
          <w:sz w:val="19"/>
          <w:szCs w:val="19"/>
          <w:color w:val="auto"/>
        </w:rPr>
        <w:t>Entered into an agreement with CDB Aviation to finance, via a sale leaseback transaction, two Boeing 787-9 and ten Boeing 737 MAX aircraft that are currently subject to purchase agreements between United and The Boeing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320" w:top="140" w:right="39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United Airlines Reports Third-Quarter 2020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780"/>
        <w:spacing w:after="0"/>
        <w:rPr>
          <w:sz w:val="20"/>
          <w:szCs w:val="20"/>
          <w:color w:val="auto"/>
        </w:rPr>
      </w:pPr>
      <w:r>
        <w:rPr>
          <w:rFonts w:ascii="Arial" w:cs="Arial" w:eastAsia="Arial" w:hAnsi="Arial"/>
          <w:sz w:val="20"/>
          <w:szCs w:val="20"/>
          <w:b w:val="1"/>
          <w:bCs w:val="1"/>
          <w:color w:val="auto"/>
        </w:rPr>
        <w:t xml:space="preserve">Pillar 2 </w:t>
      </w:r>
      <w:r>
        <w:rPr>
          <w:rFonts w:ascii="Arial" w:cs="Arial" w:eastAsia="Arial" w:hAnsi="Arial"/>
          <w:sz w:val="20"/>
          <w:szCs w:val="20"/>
          <w:b w:val="1"/>
          <w:bCs w:val="1"/>
          <w:i w:val="1"/>
          <w:iCs w:val="1"/>
          <w:color w:val="auto"/>
        </w:rPr>
        <w:t>–</w:t>
      </w:r>
      <w:r>
        <w:rPr>
          <w:rFonts w:ascii="Arial" w:cs="Arial" w:eastAsia="Arial" w:hAnsi="Arial"/>
          <w:sz w:val="20"/>
          <w:szCs w:val="20"/>
          <w:b w:val="1"/>
          <w:bCs w:val="1"/>
          <w:color w:val="auto"/>
        </w:rPr>
        <w:t xml:space="preserve"> Minimizing Cash Burn</w:t>
      </w:r>
    </w:p>
    <w:p>
      <w:pPr>
        <w:spacing w:after="0" w:line="275" w:lineRule="exact"/>
        <w:rPr>
          <w:sz w:val="20"/>
          <w:szCs w:val="20"/>
          <w:color w:val="auto"/>
        </w:rPr>
      </w:pPr>
    </w:p>
    <w:p>
      <w:pPr>
        <w:ind w:left="660" w:right="520" w:hanging="328"/>
        <w:spacing w:after="0" w:line="288"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20"/>
          <w:szCs w:val="20"/>
          <w:color w:val="auto"/>
        </w:rPr>
        <w:t>Reduced total operating costs by 59 percent versus the third quarter of 2019. Excluding special charges</w:t>
      </w:r>
      <w:r>
        <w:rPr>
          <w:rFonts w:ascii="Arial" w:cs="Arial" w:eastAsia="Arial" w:hAnsi="Arial"/>
          <w:sz w:val="25"/>
          <w:szCs w:val="25"/>
          <w:color w:val="auto"/>
          <w:vertAlign w:val="superscript"/>
        </w:rPr>
        <w:t>2</w:t>
      </w:r>
      <w:r>
        <w:rPr>
          <w:rFonts w:ascii="Arial" w:cs="Arial" w:eastAsia="Arial" w:hAnsi="Arial"/>
          <w:sz w:val="20"/>
          <w:szCs w:val="20"/>
          <w:color w:val="auto"/>
        </w:rPr>
        <w:t>, reduced operating costs by 48 percent versus the third quarter of 2019.</w:t>
      </w:r>
    </w:p>
    <w:p>
      <w:pPr>
        <w:ind w:left="660" w:hanging="328"/>
        <w:spacing w:after="0" w:line="299"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20"/>
          <w:szCs w:val="20"/>
          <w:color w:val="auto"/>
        </w:rPr>
        <w:t>Achieved target average daily cash burn</w:t>
      </w:r>
      <w:r>
        <w:rPr>
          <w:rFonts w:ascii="Arial" w:cs="Arial" w:eastAsia="Arial" w:hAnsi="Arial"/>
          <w:sz w:val="25"/>
          <w:szCs w:val="25"/>
          <w:color w:val="auto"/>
          <w:vertAlign w:val="superscript"/>
        </w:rPr>
        <w:t>3</w:t>
      </w:r>
      <w:r>
        <w:rPr>
          <w:rFonts w:ascii="Arial" w:cs="Arial" w:eastAsia="Arial" w:hAnsi="Arial"/>
          <w:sz w:val="20"/>
          <w:szCs w:val="20"/>
          <w:color w:val="auto"/>
        </w:rPr>
        <w:t xml:space="preserve"> during the third quarter of $21 million plus $4 million of average debt principal payments and severance payments per day, compared to second-quarter average daily cash burn of $37 million plus $3 million of debt principal payments and severance payments per day.</w:t>
      </w:r>
    </w:p>
    <w:p>
      <w:pPr>
        <w:spacing w:after="0" w:line="197" w:lineRule="exact"/>
        <w:rPr>
          <w:sz w:val="20"/>
          <w:szCs w:val="20"/>
          <w:color w:val="auto"/>
        </w:rPr>
      </w:pPr>
    </w:p>
    <w:p>
      <w:pPr>
        <w:ind w:left="5520"/>
        <w:spacing w:after="0"/>
        <w:rPr>
          <w:sz w:val="20"/>
          <w:szCs w:val="20"/>
          <w:color w:val="auto"/>
        </w:rPr>
      </w:pPr>
      <w:r>
        <w:rPr>
          <w:rFonts w:ascii="Arial" w:cs="Arial" w:eastAsia="Arial" w:hAnsi="Arial"/>
          <w:sz w:val="20"/>
          <w:szCs w:val="20"/>
          <w:b w:val="1"/>
          <w:bCs w:val="1"/>
          <w:color w:val="auto"/>
        </w:rPr>
        <w:t xml:space="preserve">Pillar 3 </w:t>
      </w:r>
      <w:r>
        <w:rPr>
          <w:rFonts w:ascii="Arial" w:cs="Arial" w:eastAsia="Arial" w:hAnsi="Arial"/>
          <w:sz w:val="20"/>
          <w:szCs w:val="20"/>
          <w:b w:val="1"/>
          <w:bCs w:val="1"/>
          <w:i w:val="1"/>
          <w:iCs w:val="1"/>
          <w:color w:val="auto"/>
        </w:rPr>
        <w:t>–</w:t>
      </w:r>
      <w:r>
        <w:rPr>
          <w:rFonts w:ascii="Arial" w:cs="Arial" w:eastAsia="Arial" w:hAnsi="Arial"/>
          <w:sz w:val="20"/>
          <w:szCs w:val="20"/>
          <w:b w:val="1"/>
          <w:bCs w:val="1"/>
          <w:color w:val="auto"/>
        </w:rPr>
        <w:t xml:space="preserve"> Variabilizing Cost Structure</w:t>
      </w:r>
    </w:p>
    <w:p>
      <w:pPr>
        <w:spacing w:after="0" w:line="307" w:lineRule="exact"/>
        <w:rPr>
          <w:sz w:val="20"/>
          <w:szCs w:val="20"/>
          <w:color w:val="auto"/>
        </w:rPr>
      </w:pPr>
    </w:p>
    <w:p>
      <w:pPr>
        <w:ind w:left="660" w:right="120" w:hanging="328"/>
        <w:spacing w:after="0" w:line="309"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Reduced non-labor operating expenses, excluding special charges and depreciation, by 63 percent in the third quarter, against a capacity reduction of 70 percent.</w:t>
      </w:r>
    </w:p>
    <w:p>
      <w:pPr>
        <w:spacing w:after="0" w:line="1" w:lineRule="exact"/>
        <w:rPr>
          <w:rFonts w:ascii="Arial" w:cs="Arial" w:eastAsia="Arial" w:hAnsi="Arial"/>
          <w:sz w:val="20"/>
          <w:szCs w:val="20"/>
          <w:color w:val="auto"/>
        </w:rPr>
      </w:pPr>
    </w:p>
    <w:p>
      <w:pPr>
        <w:ind w:left="660" w:right="20" w:hanging="328"/>
        <w:spacing w:after="0" w:line="309"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Restructured and significantly reduced our management and administrative functions. These reductions are expected to be largely permanent, even as demand recovers.</w:t>
      </w:r>
    </w:p>
    <w:p>
      <w:pPr>
        <w:spacing w:after="0" w:line="1" w:lineRule="exact"/>
        <w:rPr>
          <w:rFonts w:ascii="Arial" w:cs="Arial" w:eastAsia="Arial" w:hAnsi="Arial"/>
          <w:sz w:val="20"/>
          <w:szCs w:val="20"/>
          <w:color w:val="auto"/>
        </w:rPr>
      </w:pPr>
    </w:p>
    <w:p>
      <w:pPr>
        <w:ind w:left="660" w:right="60" w:hanging="328"/>
        <w:spacing w:after="0" w:line="309"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Reached a landmark agreement with its pilot group that avoids furloughs by securing flexibility in work hours, while also reaching agreements to provide a path to early retirement and reduce expense through voluntary leave of absence programs. These agreements position the company to rebound quickly when demand returns.</w:t>
      </w:r>
    </w:p>
    <w:p>
      <w:pPr>
        <w:spacing w:after="0" w:line="2" w:lineRule="exact"/>
        <w:rPr>
          <w:rFonts w:ascii="Arial" w:cs="Arial" w:eastAsia="Arial" w:hAnsi="Arial"/>
          <w:sz w:val="20"/>
          <w:szCs w:val="20"/>
          <w:color w:val="auto"/>
        </w:rPr>
      </w:pPr>
    </w:p>
    <w:p>
      <w:pPr>
        <w:ind w:left="660" w:right="280" w:hanging="328"/>
        <w:spacing w:after="0" w:line="309"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Created a program with the Association of Flight Attendants (AFA) that reduced 3,300 flight attendant furloughs while allowing the company to react more quickly to network changes.</w:t>
      </w:r>
    </w:p>
    <w:p>
      <w:pPr>
        <w:spacing w:after="0" w:line="1" w:lineRule="exact"/>
        <w:rPr>
          <w:rFonts w:ascii="Arial" w:cs="Arial" w:eastAsia="Arial" w:hAnsi="Arial"/>
          <w:sz w:val="20"/>
          <w:szCs w:val="20"/>
          <w:color w:val="auto"/>
        </w:rPr>
      </w:pPr>
    </w:p>
    <w:p>
      <w:pPr>
        <w:ind w:left="660" w:right="360" w:hanging="328"/>
        <w:spacing w:after="0" w:line="309"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Reduced furloughs of International Association of Machinists and Aerospace Workers (IAM) represented employees through an agreement that incentivizes employees to take a leave of absence.</w:t>
      </w:r>
    </w:p>
    <w:p>
      <w:pPr>
        <w:spacing w:after="0" w:line="1" w:lineRule="exact"/>
        <w:rPr>
          <w:rFonts w:ascii="Arial" w:cs="Arial" w:eastAsia="Arial" w:hAnsi="Arial"/>
          <w:sz w:val="20"/>
          <w:szCs w:val="20"/>
          <w:color w:val="auto"/>
        </w:rPr>
      </w:pPr>
    </w:p>
    <w:p>
      <w:pPr>
        <w:ind w:left="660" w:right="380" w:hanging="328"/>
        <w:spacing w:after="0" w:line="309"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Worked with the union representing dispatchers to reduce furloughs and create staffing flexibility as demand returns through an agreement that allows dispatchers to voluntarily reduce their work schedules.</w:t>
      </w:r>
    </w:p>
    <w:p>
      <w:pPr>
        <w:spacing w:after="0" w:line="1" w:lineRule="exact"/>
        <w:rPr>
          <w:rFonts w:ascii="Arial" w:cs="Arial" w:eastAsia="Arial" w:hAnsi="Arial"/>
          <w:sz w:val="20"/>
          <w:szCs w:val="20"/>
          <w:color w:val="auto"/>
        </w:rPr>
      </w:pPr>
    </w:p>
    <w:p>
      <w:pPr>
        <w:ind w:left="660" w:right="460" w:hanging="328"/>
        <w:spacing w:after="0" w:line="317"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Offered employees comprehensive voluntary separation packages, retirement packages and/or extended leaves of absence with approximately 9,000 employees opting to participate.</w:t>
      </w:r>
    </w:p>
    <w:p>
      <w:pPr>
        <w:spacing w:after="0" w:line="219" w:lineRule="exact"/>
        <w:rPr>
          <w:sz w:val="20"/>
          <w:szCs w:val="20"/>
          <w:color w:val="auto"/>
        </w:rPr>
      </w:pPr>
    </w:p>
    <w:p>
      <w:pPr>
        <w:ind w:left="4460"/>
        <w:spacing w:after="0"/>
        <w:rPr>
          <w:sz w:val="20"/>
          <w:szCs w:val="20"/>
          <w:color w:val="auto"/>
        </w:rPr>
      </w:pPr>
      <w:r>
        <w:rPr>
          <w:rFonts w:ascii="Arial" w:cs="Arial" w:eastAsia="Arial" w:hAnsi="Arial"/>
          <w:sz w:val="20"/>
          <w:szCs w:val="20"/>
          <w:b w:val="1"/>
          <w:bCs w:val="1"/>
          <w:color w:val="auto"/>
        </w:rPr>
        <w:t>Third-Quarter Financial Results</w:t>
      </w:r>
    </w:p>
    <w:p>
      <w:pPr>
        <w:spacing w:after="0" w:line="343" w:lineRule="exact"/>
        <w:rPr>
          <w:sz w:val="20"/>
          <w:szCs w:val="20"/>
          <w:color w:val="auto"/>
        </w:rPr>
      </w:pPr>
    </w:p>
    <w:p>
      <w:pPr>
        <w:ind w:left="640" w:hanging="308"/>
        <w:spacing w:after="0"/>
        <w:tabs>
          <w:tab w:leader="none" w:pos="640" w:val="left"/>
        </w:tabs>
        <w:numPr>
          <w:ilvl w:val="0"/>
          <w:numId w:val="9"/>
        </w:numPr>
        <w:rPr>
          <w:rFonts w:ascii="Arial" w:cs="Arial" w:eastAsia="Arial" w:hAnsi="Arial"/>
          <w:sz w:val="20"/>
          <w:szCs w:val="20"/>
          <w:b w:val="1"/>
          <w:bCs w:val="1"/>
          <w:color w:val="auto"/>
        </w:rPr>
      </w:pPr>
      <w:r>
        <w:rPr>
          <w:rFonts w:ascii="Arial" w:cs="Arial" w:eastAsia="Arial" w:hAnsi="Arial"/>
          <w:sz w:val="20"/>
          <w:szCs w:val="20"/>
          <w:color w:val="auto"/>
        </w:rPr>
        <w:t>The company had a net loss of $1.8 billion, and an adjusted net loss</w:t>
      </w:r>
      <w:r>
        <w:rPr>
          <w:rFonts w:ascii="Arial" w:cs="Arial" w:eastAsia="Arial" w:hAnsi="Arial"/>
          <w:sz w:val="25"/>
          <w:szCs w:val="25"/>
          <w:color w:val="auto"/>
          <w:vertAlign w:val="superscript"/>
        </w:rPr>
        <w:t>4</w:t>
      </w:r>
      <w:r>
        <w:rPr>
          <w:rFonts w:ascii="Arial" w:cs="Arial" w:eastAsia="Arial" w:hAnsi="Arial"/>
          <w:sz w:val="20"/>
          <w:szCs w:val="20"/>
          <w:color w:val="auto"/>
        </w:rPr>
        <w:t xml:space="preserve"> of $2.4 billion.</w:t>
      </w:r>
    </w:p>
    <w:p>
      <w:pPr>
        <w:spacing w:after="0" w:line="27" w:lineRule="exact"/>
        <w:rPr>
          <w:rFonts w:ascii="Arial" w:cs="Arial" w:eastAsia="Arial" w:hAnsi="Arial"/>
          <w:sz w:val="20"/>
          <w:szCs w:val="20"/>
          <w:b w:val="1"/>
          <w:bCs w:val="1"/>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Total operating revenues were down 78 percent year-over-year, on a 70 percent decrease in capacity year-over-year.</w:t>
      </w:r>
    </w:p>
    <w:p>
      <w:pPr>
        <w:spacing w:after="0" w:line="67"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Passenger revenue was down 84 percent year-over-year.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140"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United Airlines Reports Third-Quarter 2020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380"/>
        <w:spacing w:after="0"/>
        <w:rPr>
          <w:sz w:val="20"/>
          <w:szCs w:val="20"/>
          <w:color w:val="auto"/>
        </w:rPr>
      </w:pPr>
      <w:r>
        <w:rPr>
          <w:rFonts w:ascii="Arial" w:cs="Arial" w:eastAsia="Arial" w:hAnsi="Arial"/>
          <w:sz w:val="20"/>
          <w:szCs w:val="20"/>
          <w:b w:val="1"/>
          <w:bCs w:val="1"/>
          <w:color w:val="auto"/>
        </w:rPr>
        <w:t>Expanding Customer Benefits</w:t>
      </w:r>
    </w:p>
    <w:p>
      <w:pPr>
        <w:spacing w:after="0" w:line="375" w:lineRule="exact"/>
        <w:rPr>
          <w:sz w:val="20"/>
          <w:szCs w:val="20"/>
          <w:color w:val="auto"/>
        </w:rPr>
      </w:pPr>
    </w:p>
    <w:p>
      <w:pPr>
        <w:ind w:left="660" w:right="240" w:hanging="328"/>
        <w:spacing w:after="0" w:line="303"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20"/>
          <w:szCs w:val="20"/>
          <w:color w:val="auto"/>
        </w:rPr>
        <w:t>First among U.S. global airlines to permanently eliminate change fees on all standard economy and premium cabin tickets for travel within the U.S., and starting January 1, 2021, any United customer can fly standby for free on a flight departing the day of their travel regardless of the type of ticket or class of service.</w:t>
      </w:r>
    </w:p>
    <w:p>
      <w:pPr>
        <w:spacing w:after="0" w:line="17" w:lineRule="exact"/>
        <w:rPr>
          <w:rFonts w:ascii="Arial" w:cs="Arial" w:eastAsia="Arial" w:hAnsi="Arial"/>
          <w:sz w:val="22"/>
          <w:szCs w:val="22"/>
          <w:color w:val="auto"/>
        </w:rPr>
      </w:pPr>
    </w:p>
    <w:p>
      <w:pPr>
        <w:ind w:left="660" w:right="360" w:hanging="328"/>
        <w:spacing w:after="0" w:line="300"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20"/>
          <w:szCs w:val="20"/>
          <w:color w:val="auto"/>
        </w:rPr>
        <w:t>First U.S. airline to introduce the Destination Travel Guide, a new interactive map tool on united.com and the United mobile app that allows customers to filter and view destinations' COVID-19 related travel restrictions.</w:t>
      </w:r>
    </w:p>
    <w:p>
      <w:pPr>
        <w:spacing w:after="0" w:line="17" w:lineRule="exact"/>
        <w:rPr>
          <w:rFonts w:ascii="Arial" w:cs="Arial" w:eastAsia="Arial" w:hAnsi="Arial"/>
          <w:sz w:val="22"/>
          <w:szCs w:val="22"/>
          <w:color w:val="auto"/>
        </w:rPr>
      </w:pPr>
    </w:p>
    <w:p>
      <w:pPr>
        <w:ind w:left="660" w:right="40" w:hanging="328"/>
        <w:spacing w:after="0" w:line="303"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20"/>
          <w:szCs w:val="20"/>
          <w:color w:val="auto"/>
        </w:rPr>
        <w:t>First U.S. airline to introduce an interactive map feature for customers on united.com, powered by Google Flight Search Enterprise Technology, to easily compare and shop for flights based on departure city, budget and location type. Customers can simultaneously compare travel to various destinations in a single search.</w:t>
      </w:r>
    </w:p>
    <w:p>
      <w:pPr>
        <w:spacing w:after="0" w:line="2"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20"/>
          <w:szCs w:val="20"/>
          <w:color w:val="auto"/>
        </w:rPr>
        <w:t>Announced plan to continue installing Polaris Business Class on Boeing 787 fleet.</w:t>
      </w:r>
    </w:p>
    <w:p>
      <w:pPr>
        <w:spacing w:after="0" w:line="306" w:lineRule="exact"/>
        <w:rPr>
          <w:sz w:val="20"/>
          <w:szCs w:val="20"/>
          <w:color w:val="auto"/>
        </w:rPr>
      </w:pPr>
    </w:p>
    <w:p>
      <w:pPr>
        <w:ind w:left="4260"/>
        <w:spacing w:after="0"/>
        <w:rPr>
          <w:sz w:val="20"/>
          <w:szCs w:val="20"/>
          <w:color w:val="auto"/>
        </w:rPr>
      </w:pPr>
      <w:r>
        <w:rPr>
          <w:rFonts w:ascii="Arial" w:cs="Arial" w:eastAsia="Arial" w:hAnsi="Arial"/>
          <w:sz w:val="20"/>
          <w:szCs w:val="20"/>
          <w:b w:val="1"/>
          <w:bCs w:val="1"/>
          <w:color w:val="auto"/>
        </w:rPr>
        <w:t>Reimagining Our Route Network</w:t>
      </w:r>
    </w:p>
    <w:p>
      <w:pPr>
        <w:spacing w:after="0" w:line="11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20"/>
          <w:szCs w:val="20"/>
          <w:color w:val="auto"/>
        </w:rPr>
        <w:t>Announced 28 new domestic routes and 9 new international routes.</w:t>
      </w:r>
    </w:p>
    <w:p>
      <w:pPr>
        <w:spacing w:after="0" w:line="71"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20"/>
          <w:szCs w:val="20"/>
          <w:color w:val="auto"/>
        </w:rPr>
        <w:t>Resumed nonstop service on 146 domestic routes.</w:t>
      </w:r>
    </w:p>
    <w:p>
      <w:pPr>
        <w:spacing w:after="0" w:line="86" w:lineRule="exact"/>
        <w:rPr>
          <w:rFonts w:ascii="Arial" w:cs="Arial" w:eastAsia="Arial" w:hAnsi="Arial"/>
          <w:sz w:val="22"/>
          <w:szCs w:val="22"/>
          <w:color w:val="auto"/>
        </w:rPr>
      </w:pPr>
    </w:p>
    <w:p>
      <w:pPr>
        <w:ind w:left="660" w:right="480" w:hanging="328"/>
        <w:spacing w:after="0" w:line="318" w:lineRule="auto"/>
        <w:tabs>
          <w:tab w:leader="none" w:pos="655" w:val="left"/>
        </w:tabs>
        <w:numPr>
          <w:ilvl w:val="0"/>
          <w:numId w:val="11"/>
        </w:numPr>
        <w:rPr>
          <w:rFonts w:ascii="Arial" w:cs="Arial" w:eastAsia="Arial" w:hAnsi="Arial"/>
          <w:sz w:val="21"/>
          <w:szCs w:val="21"/>
          <w:color w:val="auto"/>
        </w:rPr>
      </w:pPr>
      <w:r>
        <w:rPr>
          <w:rFonts w:ascii="Arial" w:cs="Arial" w:eastAsia="Arial" w:hAnsi="Arial"/>
          <w:sz w:val="19"/>
          <w:szCs w:val="19"/>
          <w:color w:val="auto"/>
        </w:rPr>
        <w:t>Resumed and/or launched service on 78 international routes to 33 destinations in 18 countries around the world, including: Aruba, Belgium, Brazil, Canada, China, Costa Rica, Dominican Republic, El Salvador, French Polynesia (Tahiti), Guatemala, Honduras, India, Ireland, Jamaica, Philippines, Singapore, South Korea and Switzerland.</w:t>
      </w:r>
    </w:p>
    <w:p>
      <w:pPr>
        <w:spacing w:after="0" w:line="19" w:lineRule="exact"/>
        <w:rPr>
          <w:rFonts w:ascii="Arial" w:cs="Arial" w:eastAsia="Arial" w:hAnsi="Arial"/>
          <w:sz w:val="21"/>
          <w:szCs w:val="21"/>
          <w:color w:val="auto"/>
        </w:rPr>
      </w:pPr>
    </w:p>
    <w:p>
      <w:pPr>
        <w:ind w:left="660" w:hanging="328"/>
        <w:spacing w:after="0" w:line="305"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20"/>
          <w:szCs w:val="20"/>
          <w:color w:val="auto"/>
        </w:rPr>
        <w:t>Compared to June, United had nonstop service in 127 more domestic and 29 more international markets in July, 157 more domestic and 57 more international markets in August, and 151 more domestic and 80 more international markets in September.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140"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United Airlines Reports Third-Quarter 2020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60" w:right="260" w:hanging="328"/>
        <w:spacing w:after="0" w:line="315" w:lineRule="auto"/>
        <w:tabs>
          <w:tab w:leader="none" w:pos="655" w:val="left"/>
        </w:tabs>
        <w:numPr>
          <w:ilvl w:val="0"/>
          <w:numId w:val="12"/>
        </w:numPr>
        <w:rPr>
          <w:rFonts w:ascii="Arial" w:cs="Arial" w:eastAsia="Arial" w:hAnsi="Arial"/>
          <w:sz w:val="21"/>
          <w:szCs w:val="21"/>
          <w:color w:val="auto"/>
        </w:rPr>
      </w:pPr>
      <w:r>
        <w:rPr>
          <w:rFonts w:ascii="Arial" w:cs="Arial" w:eastAsia="Arial" w:hAnsi="Arial"/>
          <w:sz w:val="19"/>
          <w:szCs w:val="19"/>
          <w:color w:val="auto"/>
        </w:rPr>
        <w:t>Announced increased service to China from two to four weekly flights between San Francisco and Shanghai's Pudong International Airport. Once service resumes, United will be the only U.S. airline flying to mainland China directly.</w:t>
      </w:r>
    </w:p>
    <w:p>
      <w:pPr>
        <w:spacing w:after="0" w:line="17" w:lineRule="exact"/>
        <w:rPr>
          <w:rFonts w:ascii="Arial" w:cs="Arial" w:eastAsia="Arial" w:hAnsi="Arial"/>
          <w:sz w:val="21"/>
          <w:szCs w:val="21"/>
          <w:color w:val="auto"/>
        </w:rPr>
      </w:pPr>
    </w:p>
    <w:p>
      <w:pPr>
        <w:ind w:left="660" w:hanging="328"/>
        <w:spacing w:after="0" w:line="303" w:lineRule="auto"/>
        <w:tabs>
          <w:tab w:leader="none" w:pos="655" w:val="left"/>
        </w:tabs>
        <w:numPr>
          <w:ilvl w:val="0"/>
          <w:numId w:val="12"/>
        </w:numPr>
        <w:rPr>
          <w:rFonts w:ascii="Arial" w:cs="Arial" w:eastAsia="Arial" w:hAnsi="Arial"/>
          <w:sz w:val="22"/>
          <w:szCs w:val="22"/>
          <w:color w:val="auto"/>
        </w:rPr>
      </w:pPr>
      <w:r>
        <w:rPr>
          <w:rFonts w:ascii="Arial" w:cs="Arial" w:eastAsia="Arial" w:hAnsi="Arial"/>
          <w:sz w:val="20"/>
          <w:szCs w:val="20"/>
          <w:color w:val="auto"/>
        </w:rPr>
        <w:t>Announced plans to expand global route network with new nonstop service to Ghana, Hawaii, India, Nigeria, and South Africa. With these new routes, United will offer more nonstop service to India and South Africa than any other U.S. carrier and remain the largest carrier between the U.S. mainland and Hawaii.</w:t>
      </w:r>
    </w:p>
    <w:p>
      <w:pPr>
        <w:spacing w:after="0" w:line="17" w:lineRule="exact"/>
        <w:rPr>
          <w:rFonts w:ascii="Arial" w:cs="Arial" w:eastAsia="Arial" w:hAnsi="Arial"/>
          <w:sz w:val="22"/>
          <w:szCs w:val="22"/>
          <w:color w:val="auto"/>
        </w:rPr>
      </w:pPr>
    </w:p>
    <w:p>
      <w:pPr>
        <w:ind w:left="660" w:right="480" w:hanging="328"/>
        <w:spacing w:after="0" w:line="315" w:lineRule="auto"/>
        <w:tabs>
          <w:tab w:leader="none" w:pos="655" w:val="left"/>
        </w:tabs>
        <w:numPr>
          <w:ilvl w:val="0"/>
          <w:numId w:val="12"/>
        </w:numPr>
        <w:rPr>
          <w:rFonts w:ascii="Arial" w:cs="Arial" w:eastAsia="Arial" w:hAnsi="Arial"/>
          <w:sz w:val="21"/>
          <w:szCs w:val="21"/>
          <w:color w:val="auto"/>
        </w:rPr>
      </w:pPr>
      <w:r>
        <w:rPr>
          <w:rFonts w:ascii="Arial" w:cs="Arial" w:eastAsia="Arial" w:hAnsi="Arial"/>
          <w:sz w:val="19"/>
          <w:szCs w:val="19"/>
          <w:color w:val="auto"/>
        </w:rPr>
        <w:t>Announced plans to add up to 28 daily nonstop flights this winter connecting customers in Boston, Cleveland, Indianapolis, Milwaukee, New York/LaGuardia, Pittsburgh, and Columbus, Ohio to four popular Florida destinations.</w:t>
      </w:r>
    </w:p>
    <w:p>
      <w:pPr>
        <w:spacing w:after="0" w:line="1" w:lineRule="exact"/>
        <w:rPr>
          <w:rFonts w:ascii="Arial" w:cs="Arial" w:eastAsia="Arial" w:hAnsi="Arial"/>
          <w:sz w:val="21"/>
          <w:szCs w:val="21"/>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20"/>
          <w:szCs w:val="20"/>
          <w:color w:val="auto"/>
        </w:rPr>
        <w:t>Announced plans to fly roughly 40 percent of its full schedule in October 2020 compared to October of last year.</w:t>
      </w:r>
    </w:p>
    <w:p>
      <w:pPr>
        <w:spacing w:after="0" w:line="86" w:lineRule="exact"/>
        <w:rPr>
          <w:rFonts w:ascii="Arial" w:cs="Arial" w:eastAsia="Arial" w:hAnsi="Arial"/>
          <w:sz w:val="22"/>
          <w:szCs w:val="22"/>
          <w:color w:val="auto"/>
        </w:rPr>
      </w:pPr>
    </w:p>
    <w:p>
      <w:pPr>
        <w:ind w:left="660" w:right="60" w:hanging="328"/>
        <w:spacing w:after="0" w:line="307" w:lineRule="auto"/>
        <w:tabs>
          <w:tab w:leader="none" w:pos="655" w:val="left"/>
        </w:tabs>
        <w:numPr>
          <w:ilvl w:val="0"/>
          <w:numId w:val="12"/>
        </w:numPr>
        <w:rPr>
          <w:rFonts w:ascii="Arial" w:cs="Arial" w:eastAsia="Arial" w:hAnsi="Arial"/>
          <w:sz w:val="22"/>
          <w:szCs w:val="22"/>
          <w:color w:val="auto"/>
        </w:rPr>
      </w:pPr>
      <w:r>
        <w:rPr>
          <w:rFonts w:ascii="Arial" w:cs="Arial" w:eastAsia="Arial" w:hAnsi="Arial"/>
          <w:sz w:val="20"/>
          <w:szCs w:val="20"/>
          <w:color w:val="auto"/>
        </w:rPr>
        <w:t>Increased cargo revenue by 50 percent by leveraging international flying and deploying strategic international cargo-only missions.</w:t>
      </w:r>
    </w:p>
    <w:p>
      <w:pPr>
        <w:spacing w:after="0" w:line="222" w:lineRule="exact"/>
        <w:rPr>
          <w:sz w:val="20"/>
          <w:szCs w:val="20"/>
          <w:color w:val="auto"/>
        </w:rPr>
      </w:pPr>
    </w:p>
    <w:p>
      <w:pPr>
        <w:ind w:left="3040"/>
        <w:spacing w:after="0"/>
        <w:rPr>
          <w:sz w:val="20"/>
          <w:szCs w:val="20"/>
          <w:color w:val="auto"/>
        </w:rPr>
      </w:pPr>
      <w:r>
        <w:rPr>
          <w:rFonts w:ascii="Arial" w:cs="Arial" w:eastAsia="Arial" w:hAnsi="Arial"/>
          <w:sz w:val="20"/>
          <w:szCs w:val="20"/>
          <w:b w:val="1"/>
          <w:bCs w:val="1"/>
          <w:color w:val="auto"/>
        </w:rPr>
        <w:t>Doing Our Part to Help Fight COVID-19 Since Crisis Began</w:t>
      </w:r>
    </w:p>
    <w:p>
      <w:pPr>
        <w:spacing w:after="0" w:line="375" w:lineRule="exact"/>
        <w:rPr>
          <w:sz w:val="20"/>
          <w:szCs w:val="20"/>
          <w:color w:val="auto"/>
        </w:rPr>
      </w:pPr>
    </w:p>
    <w:p>
      <w:pPr>
        <w:ind w:left="660" w:right="360" w:hanging="328"/>
        <w:spacing w:after="0" w:line="300"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20"/>
          <w:szCs w:val="20"/>
          <w:color w:val="auto"/>
        </w:rPr>
        <w:t>Booked over 2,900 free flights for medical professionals to support COVID-19 response in New Jersey/New York and California.</w:t>
      </w:r>
    </w:p>
    <w:p>
      <w:pPr>
        <w:spacing w:after="0" w:line="17" w:lineRule="exact"/>
        <w:rPr>
          <w:rFonts w:ascii="Arial" w:cs="Arial" w:eastAsia="Arial" w:hAnsi="Arial"/>
          <w:sz w:val="22"/>
          <w:szCs w:val="22"/>
          <w:color w:val="auto"/>
        </w:rPr>
      </w:pPr>
    </w:p>
    <w:p>
      <w:pPr>
        <w:ind w:left="660" w:right="880" w:hanging="328"/>
        <w:spacing w:after="0" w:line="300"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20"/>
          <w:szCs w:val="20"/>
          <w:color w:val="auto"/>
        </w:rPr>
        <w:t>More than 19.2 million miles donated by MileagePlus members and 7.6 million miles matched by United to help organizations providing relief during COVID-19.</w:t>
      </w:r>
    </w:p>
    <w:p>
      <w:pPr>
        <w:spacing w:after="0" w:line="17" w:lineRule="exact"/>
        <w:rPr>
          <w:rFonts w:ascii="Arial" w:cs="Arial" w:eastAsia="Arial" w:hAnsi="Arial"/>
          <w:sz w:val="22"/>
          <w:szCs w:val="22"/>
          <w:color w:val="auto"/>
        </w:rPr>
      </w:pPr>
    </w:p>
    <w:p>
      <w:pPr>
        <w:ind w:left="660" w:right="280" w:hanging="328"/>
        <w:spacing w:after="0" w:line="300"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20"/>
          <w:szCs w:val="20"/>
          <w:color w:val="auto"/>
        </w:rPr>
        <w:t>Donated nearly 1.2 million pounds of food from United Polaris lounges, United Club locations, and catering kitchens to local food banks and charities.</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20"/>
          <w:szCs w:val="20"/>
          <w:color w:val="auto"/>
        </w:rPr>
        <w:t>Over 7,500 face masks were made from upcycled unused employee uniforms.</w:t>
      </w:r>
    </w:p>
    <w:p>
      <w:pPr>
        <w:spacing w:after="0" w:line="71"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20"/>
          <w:szCs w:val="20"/>
          <w:color w:val="auto"/>
        </w:rPr>
        <w:t>More than 800 gallons of hand sanitizer produced by United employees in San Francisco for use by United employees.</w:t>
      </w:r>
    </w:p>
    <w:p>
      <w:pPr>
        <w:spacing w:after="0" w:line="71"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20"/>
          <w:szCs w:val="20"/>
          <w:color w:val="auto"/>
        </w:rPr>
        <w:t>Donated 15,000 pillows, 2,800 amenity kits, and 5,000 self-care products to charities and homeless shelters.</w:t>
      </w:r>
    </w:p>
    <w:p>
      <w:pPr>
        <w:spacing w:after="0" w:line="86" w:lineRule="exact"/>
        <w:rPr>
          <w:rFonts w:ascii="Arial" w:cs="Arial" w:eastAsia="Arial" w:hAnsi="Arial"/>
          <w:sz w:val="22"/>
          <w:szCs w:val="22"/>
          <w:color w:val="auto"/>
        </w:rPr>
      </w:pPr>
    </w:p>
    <w:p>
      <w:pPr>
        <w:ind w:left="660" w:right="240" w:hanging="328"/>
        <w:spacing w:after="0" w:line="300"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20"/>
          <w:szCs w:val="20"/>
          <w:color w:val="auto"/>
        </w:rPr>
        <w:t>More than 2.2 million pounds of food and household goods were processed by United employees at the Houston Food Bank.</w:t>
      </w:r>
    </w:p>
    <w:p>
      <w:pPr>
        <w:spacing w:after="0" w:line="17" w:lineRule="exact"/>
        <w:rPr>
          <w:rFonts w:ascii="Arial" w:cs="Arial" w:eastAsia="Arial" w:hAnsi="Arial"/>
          <w:sz w:val="22"/>
          <w:szCs w:val="22"/>
          <w:color w:val="auto"/>
        </w:rPr>
      </w:pPr>
    </w:p>
    <w:p>
      <w:pPr>
        <w:ind w:left="660" w:right="420" w:hanging="328"/>
        <w:spacing w:after="0" w:line="300"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20"/>
          <w:szCs w:val="20"/>
          <w:color w:val="auto"/>
        </w:rPr>
        <w:t>Flew more than 146.8 million pounds of medical equipment and personal protective equipment (PPE) and 3.1 million pounds of supplies to support military troops.</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20"/>
          <w:szCs w:val="20"/>
          <w:color w:val="auto"/>
        </w:rPr>
        <w:t>More than 2,400 United employees worldwide have volunteered, with over 33,400 hours served.</w:t>
      </w:r>
    </w:p>
    <w:p>
      <w:pPr>
        <w:spacing w:after="0" w:line="86" w:lineRule="exact"/>
        <w:rPr>
          <w:rFonts w:ascii="Arial" w:cs="Arial" w:eastAsia="Arial" w:hAnsi="Arial"/>
          <w:sz w:val="22"/>
          <w:szCs w:val="22"/>
          <w:color w:val="auto"/>
        </w:rPr>
      </w:pPr>
    </w:p>
    <w:p>
      <w:pPr>
        <w:ind w:left="660" w:right="60" w:hanging="328"/>
        <w:spacing w:after="0" w:line="305"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20"/>
          <w:szCs w:val="20"/>
          <w:color w:val="auto"/>
        </w:rPr>
        <w:t>United began flying a portion of its Boeing 777 and 787 fleet as dedicated cargo charter aircraft, as of March 19, to transfer freight to and from U.S. hubs and key international business locations. Since then, we have operated over 6,500 cargo-only flights and moved over 223 million pounds of a variety of goods.</w:t>
      </w:r>
    </w:p>
    <w:p>
      <w:pPr>
        <w:sectPr>
          <w:pgSz w:w="11900" w:h="16838" w:orient="portrait"/>
          <w:cols w:equalWidth="0" w:num="1">
            <w:col w:w="11240"/>
          </w:cols>
          <w:pgMar w:left="320" w:top="14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United Airlines Reports Third-Quarter 2020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660" w:right="60" w:hanging="328"/>
        <w:spacing w:after="0" w:line="305" w:lineRule="auto"/>
        <w:tabs>
          <w:tab w:leader="none" w:pos="655" w:val="left"/>
        </w:tabs>
        <w:numPr>
          <w:ilvl w:val="0"/>
          <w:numId w:val="14"/>
        </w:numPr>
        <w:rPr>
          <w:rFonts w:ascii="Arial" w:cs="Arial" w:eastAsia="Arial" w:hAnsi="Arial"/>
          <w:sz w:val="22"/>
          <w:szCs w:val="22"/>
          <w:color w:val="auto"/>
        </w:rPr>
      </w:pPr>
      <w:r>
        <w:rPr>
          <w:rFonts w:ascii="Arial" w:cs="Arial" w:eastAsia="Arial" w:hAnsi="Arial"/>
          <w:sz w:val="20"/>
          <w:szCs w:val="20"/>
          <w:color w:val="auto"/>
        </w:rPr>
        <w:t>Through a combination of cargo-only flights and passenger flights, United has transported more than 401 million pounds of freight, which includes 154 million pounds of vital shipments, such as medical kits, PPE, pharmaceuticals and medical equipment, and more than 3 million pounds of military mail and packages.</w:t>
      </w:r>
    </w:p>
    <w:p>
      <w:pPr>
        <w:spacing w:after="0" w:line="231" w:lineRule="exact"/>
        <w:rPr>
          <w:sz w:val="20"/>
          <w:szCs w:val="20"/>
          <w:color w:val="auto"/>
        </w:rPr>
      </w:pPr>
    </w:p>
    <w:p>
      <w:pPr>
        <w:jc w:val="center"/>
        <w:ind w:right="-359"/>
        <w:spacing w:after="0"/>
        <w:rPr>
          <w:sz w:val="20"/>
          <w:szCs w:val="20"/>
          <w:color w:val="auto"/>
        </w:rPr>
      </w:pPr>
      <w:r>
        <w:rPr>
          <w:rFonts w:ascii="Arial" w:cs="Arial" w:eastAsia="Arial" w:hAnsi="Arial"/>
          <w:sz w:val="20"/>
          <w:szCs w:val="20"/>
          <w:b w:val="1"/>
          <w:bCs w:val="1"/>
          <w:color w:val="auto"/>
        </w:rPr>
        <w:t>Additional Noteworthy Accomplishments</w:t>
      </w:r>
    </w:p>
    <w:p>
      <w:pPr>
        <w:spacing w:after="0" w:line="132" w:lineRule="exact"/>
        <w:rPr>
          <w:sz w:val="20"/>
          <w:szCs w:val="20"/>
          <w:color w:val="auto"/>
        </w:rPr>
      </w:pPr>
    </w:p>
    <w:p>
      <w:pPr>
        <w:ind w:left="660" w:right="140" w:hanging="328"/>
        <w:spacing w:after="0" w:line="300" w:lineRule="auto"/>
        <w:tabs>
          <w:tab w:leader="none" w:pos="655" w:val="left"/>
        </w:tabs>
        <w:numPr>
          <w:ilvl w:val="0"/>
          <w:numId w:val="15"/>
        </w:numPr>
        <w:rPr>
          <w:rFonts w:ascii="Arial" w:cs="Arial" w:eastAsia="Arial" w:hAnsi="Arial"/>
          <w:sz w:val="22"/>
          <w:szCs w:val="22"/>
          <w:color w:val="auto"/>
        </w:rPr>
      </w:pPr>
      <w:r>
        <w:rPr>
          <w:rFonts w:ascii="Arial" w:cs="Arial" w:eastAsia="Arial" w:hAnsi="Arial"/>
          <w:sz w:val="20"/>
          <w:szCs w:val="20"/>
          <w:color w:val="auto"/>
        </w:rPr>
        <w:t>Recognized for the fifth consecutive year as a top-scoring company and best place to work for disability inclusion with a perfect score of 100 on the 2020 Disability Equality Index (DEI).</w:t>
      </w:r>
    </w:p>
    <w:p>
      <w:pPr>
        <w:spacing w:after="0" w:line="17" w:lineRule="exact"/>
        <w:rPr>
          <w:rFonts w:ascii="Arial" w:cs="Arial" w:eastAsia="Arial" w:hAnsi="Arial"/>
          <w:sz w:val="22"/>
          <w:szCs w:val="22"/>
          <w:color w:val="auto"/>
        </w:rPr>
      </w:pPr>
    </w:p>
    <w:p>
      <w:pPr>
        <w:ind w:left="660" w:hanging="328"/>
        <w:spacing w:after="0" w:line="300" w:lineRule="auto"/>
        <w:tabs>
          <w:tab w:leader="none" w:pos="655" w:val="left"/>
        </w:tabs>
        <w:numPr>
          <w:ilvl w:val="0"/>
          <w:numId w:val="15"/>
        </w:numPr>
        <w:rPr>
          <w:rFonts w:ascii="Arial" w:cs="Arial" w:eastAsia="Arial" w:hAnsi="Arial"/>
          <w:sz w:val="22"/>
          <w:szCs w:val="22"/>
          <w:color w:val="auto"/>
        </w:rPr>
      </w:pPr>
      <w:r>
        <w:rPr>
          <w:rFonts w:ascii="Arial" w:cs="Arial" w:eastAsia="Arial" w:hAnsi="Arial"/>
          <w:sz w:val="20"/>
          <w:szCs w:val="20"/>
          <w:color w:val="auto"/>
        </w:rPr>
        <w:t>Selected by the Commission on Presidential Debates as the official airline for the 2020 Presidential and Vice Presidential Debates.</w:t>
      </w:r>
    </w:p>
    <w:p>
      <w:pPr>
        <w:spacing w:after="0" w:line="17" w:lineRule="exact"/>
        <w:rPr>
          <w:rFonts w:ascii="Arial" w:cs="Arial" w:eastAsia="Arial" w:hAnsi="Arial"/>
          <w:sz w:val="22"/>
          <w:szCs w:val="22"/>
          <w:color w:val="auto"/>
        </w:rPr>
      </w:pPr>
    </w:p>
    <w:p>
      <w:pPr>
        <w:ind w:left="660" w:right="420" w:hanging="328"/>
        <w:spacing w:after="0" w:line="307" w:lineRule="auto"/>
        <w:tabs>
          <w:tab w:leader="none" w:pos="655" w:val="left"/>
        </w:tabs>
        <w:numPr>
          <w:ilvl w:val="0"/>
          <w:numId w:val="15"/>
        </w:numPr>
        <w:rPr>
          <w:rFonts w:ascii="Arial" w:cs="Arial" w:eastAsia="Arial" w:hAnsi="Arial"/>
          <w:sz w:val="22"/>
          <w:szCs w:val="22"/>
          <w:color w:val="auto"/>
        </w:rPr>
      </w:pPr>
      <w:r>
        <w:rPr>
          <w:rFonts w:ascii="Arial" w:cs="Arial" w:eastAsia="Arial" w:hAnsi="Arial"/>
          <w:sz w:val="20"/>
          <w:szCs w:val="20"/>
          <w:color w:val="auto"/>
        </w:rPr>
        <w:t>Announced signing of The Board Challenge and committed to adding a second Black board member to the Board of Directors.</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_____________________________________________________________________________</w:t>
      </w:r>
    </w:p>
    <w:p>
      <w:pPr>
        <w:spacing w:after="0" w:line="51" w:lineRule="exact"/>
        <w:rPr>
          <w:sz w:val="20"/>
          <w:szCs w:val="20"/>
          <w:color w:val="auto"/>
        </w:rPr>
      </w:pPr>
    </w:p>
    <w:p>
      <w:pPr>
        <w:ind w:right="40" w:firstLine="8"/>
        <w:spacing w:after="0" w:line="216" w:lineRule="auto"/>
        <w:tabs>
          <w:tab w:leader="none" w:pos="68" w:val="left"/>
        </w:tabs>
        <w:numPr>
          <w:ilvl w:val="0"/>
          <w:numId w:val="16"/>
        </w:numPr>
        <w:rPr>
          <w:rFonts w:ascii="Arial" w:cs="Arial" w:eastAsia="Arial" w:hAnsi="Arial"/>
          <w:sz w:val="16"/>
          <w:szCs w:val="16"/>
          <w:color w:val="auto"/>
          <w:vertAlign w:val="superscript"/>
        </w:rPr>
      </w:pPr>
      <w:r>
        <w:rPr>
          <w:rFonts w:ascii="Arial" w:cs="Arial" w:eastAsia="Arial" w:hAnsi="Arial"/>
          <w:sz w:val="13"/>
          <w:szCs w:val="13"/>
          <w:color w:val="auto"/>
        </w:rPr>
        <w:t>Total available liquidity includes cash and cash equivalents, short-term investments and $1 billion available under our undrawn revolving credit facility, as well as $4.7 billion available under the CARES Act Loan program.</w:t>
      </w:r>
    </w:p>
    <w:p>
      <w:pPr>
        <w:spacing w:after="0" w:line="211" w:lineRule="exact"/>
        <w:rPr>
          <w:sz w:val="20"/>
          <w:szCs w:val="20"/>
          <w:color w:val="auto"/>
        </w:rPr>
      </w:pPr>
    </w:p>
    <w:p>
      <w:pPr>
        <w:ind w:left="80" w:hanging="72"/>
        <w:spacing w:after="0"/>
        <w:tabs>
          <w:tab w:leader="none" w:pos="80" w:val="left"/>
        </w:tabs>
        <w:numPr>
          <w:ilvl w:val="0"/>
          <w:numId w:val="17"/>
        </w:numPr>
        <w:rPr>
          <w:rFonts w:ascii="Arial" w:cs="Arial" w:eastAsia="Arial" w:hAnsi="Arial"/>
          <w:sz w:val="8"/>
          <w:szCs w:val="8"/>
          <w:color w:val="auto"/>
        </w:rPr>
      </w:pPr>
      <w:r>
        <w:rPr>
          <w:rFonts w:ascii="Arial" w:cs="Arial" w:eastAsia="Arial" w:hAnsi="Arial"/>
          <w:sz w:val="13"/>
          <w:szCs w:val="13"/>
          <w:color w:val="auto"/>
        </w:rPr>
        <w:t>Reconciliations of non-GAAP financial measures to the most directly comparable GAAP measures are included in the tables accompanying this release.</w:t>
      </w:r>
    </w:p>
    <w:p>
      <w:pPr>
        <w:spacing w:after="0" w:line="1" w:lineRule="exact"/>
        <w:rPr>
          <w:sz w:val="20"/>
          <w:szCs w:val="20"/>
          <w:color w:val="auto"/>
        </w:rPr>
      </w:pPr>
    </w:p>
    <w:p>
      <w:pPr>
        <w:ind w:right="120" w:firstLine="8"/>
        <w:spacing w:after="0" w:line="223" w:lineRule="auto"/>
        <w:tabs>
          <w:tab w:leader="none" w:pos="80" w:val="left"/>
        </w:tabs>
        <w:numPr>
          <w:ilvl w:val="0"/>
          <w:numId w:val="18"/>
        </w:numPr>
        <w:rPr>
          <w:rFonts w:ascii="Arial" w:cs="Arial" w:eastAsia="Arial" w:hAnsi="Arial"/>
          <w:sz w:val="16"/>
          <w:szCs w:val="16"/>
          <w:color w:val="auto"/>
          <w:vertAlign w:val="superscript"/>
        </w:rPr>
      </w:pPr>
      <w:r>
        <w:rPr>
          <w:rFonts w:ascii="Arial" w:cs="Arial" w:eastAsia="Arial" w:hAnsi="Arial"/>
          <w:sz w:val="13"/>
          <w:szCs w:val="13"/>
          <w:color w:val="auto"/>
        </w:rPr>
        <w:t>Cash burn is defined as: Net cash from operations, less investing and financing activities. Proceeds from the issuance of new debt (excluding expected aircraft financing), government grants associated with the Payroll Support Program of the CARES Act, issuance of new stock, net proceeds from the sale of short-term and other investments and changes in certain restricted cash balances are not included in this figure. Cash burn excludes the borrowing and replacement of the $200 million short-term loan associated with the CARES Act Loan Program.</w:t>
      </w:r>
    </w:p>
    <w:p>
      <w:pPr>
        <w:spacing w:after="0" w:line="240" w:lineRule="exact"/>
        <w:rPr>
          <w:sz w:val="20"/>
          <w:szCs w:val="20"/>
          <w:color w:val="auto"/>
        </w:rPr>
      </w:pPr>
    </w:p>
    <w:p>
      <w:pPr>
        <w:ind w:right="240" w:firstLine="8"/>
        <w:spacing w:after="0" w:line="206" w:lineRule="auto"/>
        <w:tabs>
          <w:tab w:leader="none" w:pos="80" w:val="left"/>
        </w:tabs>
        <w:numPr>
          <w:ilvl w:val="0"/>
          <w:numId w:val="19"/>
        </w:numPr>
        <w:rPr>
          <w:rFonts w:ascii="Arial" w:cs="Arial" w:eastAsia="Arial" w:hAnsi="Arial"/>
          <w:sz w:val="16"/>
          <w:szCs w:val="16"/>
          <w:color w:val="auto"/>
          <w:vertAlign w:val="superscript"/>
        </w:rPr>
      </w:pPr>
      <w:r>
        <w:rPr>
          <w:rFonts w:ascii="Arial" w:cs="Arial" w:eastAsia="Arial" w:hAnsi="Arial"/>
          <w:sz w:val="13"/>
          <w:szCs w:val="13"/>
          <w:color w:val="auto"/>
        </w:rPr>
        <w:t>Excludes special charges, nonoperating special termination benefits and settlement losses and unrealized gains and losses on investments. Reconciliations of non-GAAP financial measures to the most directly comparable GAAP measures are included in the tables accompanying this release.</w:t>
      </w: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Earnings Call</w:t>
      </w:r>
    </w:p>
    <w:p>
      <w:pPr>
        <w:spacing w:after="0" w:line="132" w:lineRule="exact"/>
        <w:rPr>
          <w:sz w:val="20"/>
          <w:szCs w:val="20"/>
          <w:color w:val="auto"/>
        </w:rPr>
      </w:pPr>
    </w:p>
    <w:p>
      <w:pPr>
        <w:jc w:val="both"/>
        <w:ind w:right="460" w:firstLine="648"/>
        <w:spacing w:after="0" w:line="352" w:lineRule="auto"/>
        <w:rPr>
          <w:sz w:val="20"/>
          <w:szCs w:val="20"/>
          <w:color w:val="auto"/>
        </w:rPr>
      </w:pPr>
      <w:r>
        <w:rPr>
          <w:rFonts w:ascii="Arial" w:cs="Arial" w:eastAsia="Arial" w:hAnsi="Arial"/>
          <w:sz w:val="20"/>
          <w:szCs w:val="20"/>
          <w:color w:val="auto"/>
        </w:rPr>
        <w:t>UAL will hold a conference call to discuss third quarter 2020 financial results as well as its financial and operational outlook for the fourth quarter and full year 2020, on Thursday, October 15, at 9:30 a.m. CT/10:30 a.m. ET. A live, listen-only webcast of the conference call will be available at ir.united.com.</w:t>
      </w:r>
    </w:p>
    <w:p>
      <w:pPr>
        <w:spacing w:after="0" w:line="1" w:lineRule="exact"/>
        <w:rPr>
          <w:sz w:val="20"/>
          <w:szCs w:val="20"/>
          <w:color w:val="auto"/>
        </w:rPr>
      </w:pPr>
    </w:p>
    <w:p>
      <w:pPr>
        <w:ind w:right="40" w:firstLine="648"/>
        <w:spacing w:after="0" w:line="339" w:lineRule="auto"/>
        <w:rPr>
          <w:sz w:val="20"/>
          <w:szCs w:val="20"/>
          <w:color w:val="auto"/>
        </w:rPr>
      </w:pPr>
      <w:r>
        <w:rPr>
          <w:rFonts w:ascii="Arial" w:cs="Arial" w:eastAsia="Arial" w:hAnsi="Arial"/>
          <w:sz w:val="20"/>
          <w:szCs w:val="20"/>
          <w:color w:val="auto"/>
        </w:rPr>
        <w:t>The webcast will be available for replay within 24 hours of the conference call and then archived on the website for three months.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About United</w:t>
      </w:r>
    </w:p>
    <w:p>
      <w:pPr>
        <w:spacing w:after="0" w:line="132" w:lineRule="exact"/>
        <w:rPr>
          <w:sz w:val="20"/>
          <w:szCs w:val="20"/>
          <w:color w:val="auto"/>
        </w:rPr>
      </w:pPr>
    </w:p>
    <w:p>
      <w:pPr>
        <w:ind w:right="380" w:firstLine="648"/>
        <w:spacing w:after="0" w:line="355" w:lineRule="auto"/>
        <w:rPr>
          <w:sz w:val="20"/>
          <w:szCs w:val="20"/>
          <w:color w:val="auto"/>
        </w:rPr>
      </w:pPr>
      <w:r>
        <w:rPr>
          <w:rFonts w:ascii="Arial" w:cs="Arial" w:eastAsia="Arial" w:hAnsi="Arial"/>
          <w:sz w:val="20"/>
          <w:szCs w:val="20"/>
          <w:color w:val="auto"/>
        </w:rPr>
        <w:t>United's shared purpose is "Connecting People. Uniting the World." For more information, visit united.com, follow @United on Twitter and Instagram or connect on Facebook. The common stock of United's parent, United Airlines Holdings, Inc., is traded on the Nasdaq under the symbol "UAL".</w:t>
      </w:r>
    </w:p>
    <w:p>
      <w:pPr>
        <w:spacing w:after="0" w:line="157" w:lineRule="exact"/>
        <w:rPr>
          <w:sz w:val="20"/>
          <w:szCs w:val="20"/>
          <w:color w:val="auto"/>
        </w:rPr>
      </w:pPr>
    </w:p>
    <w:p>
      <w:pPr>
        <w:ind w:right="220"/>
        <w:spacing w:after="0" w:line="247" w:lineRule="auto"/>
        <w:rPr>
          <w:sz w:val="20"/>
          <w:szCs w:val="20"/>
          <w:color w:val="auto"/>
        </w:rPr>
      </w:pPr>
      <w:r>
        <w:rPr>
          <w:rFonts w:ascii="Arial" w:cs="Arial" w:eastAsia="Arial" w:hAnsi="Arial"/>
          <w:sz w:val="20"/>
          <w:szCs w:val="20"/>
          <w:b w:val="1"/>
          <w:bCs w:val="1"/>
          <w:color w:val="auto"/>
        </w:rPr>
        <w:t xml:space="preserve">Safe Harbor Statement under the Private Securities Litigation Reform Act of 1995: </w:t>
      </w:r>
      <w:r>
        <w:rPr>
          <w:rFonts w:ascii="Arial" w:cs="Arial" w:eastAsia="Arial" w:hAnsi="Arial"/>
          <w:sz w:val="20"/>
          <w:szCs w:val="20"/>
          <w:color w:val="auto"/>
        </w:rPr>
        <w:t>Certain statements in this release are</w:t>
      </w:r>
      <w:r>
        <w:rPr>
          <w:rFonts w:ascii="Arial" w:cs="Arial" w:eastAsia="Arial" w:hAnsi="Arial"/>
          <w:sz w:val="20"/>
          <w:szCs w:val="20"/>
          <w:b w:val="1"/>
          <w:bCs w:val="1"/>
          <w:color w:val="auto"/>
        </w:rPr>
        <w:t xml:space="preserve"> </w:t>
      </w:r>
      <w:r>
        <w:rPr>
          <w:rFonts w:ascii="Arial" w:cs="Arial" w:eastAsia="Arial" w:hAnsi="Arial"/>
          <w:sz w:val="20"/>
          <w:szCs w:val="20"/>
          <w:color w:val="auto"/>
        </w:rPr>
        <w:t>forward-looking and thus reflect our current expectations and beliefs with respect to certain current and future events and anticipated financial and operating performance. Such forward-looking statements are and will be subject to many risks and uncertainties relating to our operations and business environment that may cause actual results to differ materially from any future results expressed or implied in such forward-looking statements. Words such as "expects," "will," "plans,"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40"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United Airlines Reports Third-Quarter 2020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252" w:lineRule="auto"/>
        <w:rPr>
          <w:sz w:val="20"/>
          <w:szCs w:val="20"/>
          <w:color w:val="auto"/>
        </w:rPr>
      </w:pPr>
      <w:r>
        <w:rPr>
          <w:rFonts w:ascii="Arial" w:cs="Arial" w:eastAsia="Arial" w:hAnsi="Arial"/>
          <w:sz w:val="19"/>
          <w:szCs w:val="19"/>
          <w:color w:val="auto"/>
        </w:rPr>
        <w:t>"anticipates," "indicates," "remains," "believes," "estimates," "forecast," "guidance," "outlook," "goals," "targets" and similar expressions are intended to identify forward-looking statements. Additionally, forward-looking statements include statements that do not relate solely to historical facts, such as statements which identify uncertainties or trends, discuss the possible future effects of current known trends or uncertainties, or which indicate that the future effects of known trends or uncertainties cannot be predicted, guaranteed or assured. All forward-looking statements in this release are based upon information available to us on the date of this release. We undertake no obligation to publicly update or revise any forward-looking statement, whether as a result of new information, future events, changed circumstances or otherwise, except as required by applicable law. Our actual results could differ materially from these forward-looking statements due to numerous factors including, without limitation, the following: the duration and spread of the ongoing global COVID-19 pandemic and the outbreak of any other disease or similar public health threat and the impact on our business, results of operations and financial condition; the lenders' ability to accelerate the MileagePlus indebtedness, foreclose upon the collateral securing the MileagePlus indebtedness or exercise other remedies if we are not able to comply with the covenants in the MileagePlus financing agreements; the final terms of borrowing pursuant to the Loan Program under the CARES Act and the effects of the grant and promissory note through the Payroll Support Program under the CARES Act; the costs and availability of financing; our significant amount of financial leverage from fixed obligations and ability to seek additional liquidity and maintain adequate liquidity; our ability to comply with the terms of our various financing arrangements; our ability to utilize our net operating losses to offset future taxable income; the material disruption of our strategic operating plan as a result of the COVID-19 pandemic and our ability to execute our strategic operating plans in the long term; general economic conditions (including interest rates, foreign currency exchange rates, investment or credit market conditions, crude oil prices, costs of aircraft fuel and energy refining capacity in relevant markets); risks of doing business globally, including instability and political developments that may impact our operations in certain countries; demand for travel and the impact that global economic and political conditions have on customer travel patterns; our capacity decisions and the capacity decisions of our competitors; competitive pressures on pricing and on demand; changes in aircraft fuel prices; disruptions in our supply of aircraft fuel; our ability to cost-effectively hedge against increases in the price of aircraft fuel, if we decide to do so; the effects of any technology failures or cybersecurity or significant data breaches; disruptions to services provided by third-party service providers; potential reputational or other impact from adverse events involving our aircraft or operations, the aircraft or operations of our regional carriers or our code share partners or the aircraft or operations of another airline; our ability to attract and retain customers; the effects of any terrorist attacks, international hostilities or other security events, or the fear of such events; the mandatory grounding of aircraft in our fleet; disruptions to our regional network, as a result of the COVID-19 pandemic or otherwise; the impact of regulatory, investigative and legal proceedings and legal compliance risks; the success of our investments in other airlines, including in other parts of the world, which involve significant challenges and risks, particularly given the impact of the COVID-19 pandemic; industry consolidation or changes in airline alliances; the ability of other air carriers with whom we have alliances or partnerships to provide the services contemplated by the respective arrangements with such carriers; costs associated with any modification or termination of our aircraft orders; disruptions in the availability of aircraft, parts or support from our suppliers; our ability to maintain satisfactory labor relations and the results of any collective bargaining agreement process with our union groups; any disruptions to operations due to any potential actions by our labor groups; labor costs; the impact of any management changes; extended interruptions or disruptions in service at major airports where we operate; U.S. or foreign governmental legislation, regulation and other actions (including Open Skies agreements, environmental regulations and the United Kingdom's withdrawal from the European Union); the seasonality of the airline industry; weather conditions; the costs and availability of aviation and other insurance; our ability to realize the full value of our intangible assets and long-lived assets; any impact to our reputation or brand image; and other risks and uncertainties set forth under Part I, Item 1A., "Risk Factors," of our Annual Report on Form 10-K for the fiscal year ended December 31, 2019, as updated by our Quarterly Report on Form 10-Q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United Airlines Reports Third-Quarter 2020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quarter ended June 30, 2020, as well as other risks and uncertainties set forth from time to time in the reports we file with the U.S. Securities and Exchange Commission.</w:t>
      </w:r>
    </w:p>
    <w:p>
      <w:pPr>
        <w:spacing w:after="0" w:line="352" w:lineRule="exact"/>
        <w:rPr>
          <w:sz w:val="20"/>
          <w:szCs w:val="20"/>
          <w:color w:val="auto"/>
        </w:rPr>
      </w:pPr>
    </w:p>
    <w:p>
      <w:pPr>
        <w:jc w:val="center"/>
        <w:ind w:right="-339"/>
        <w:spacing w:after="0"/>
        <w:rPr>
          <w:sz w:val="20"/>
          <w:szCs w:val="20"/>
          <w:color w:val="auto"/>
        </w:rPr>
      </w:pPr>
      <w:r>
        <w:rPr>
          <w:rFonts w:ascii="Arial" w:cs="Arial" w:eastAsia="Arial" w:hAnsi="Arial"/>
          <w:sz w:val="20"/>
          <w:szCs w:val="20"/>
          <w:color w:val="auto"/>
        </w:rPr>
        <w:t>-tables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320" w:top="140" w:right="6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United Airlines Reports Third-Quarter 2020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UNITED AIRLINES HOLDINGS, INC</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STATEMENTS OF CONSOLIDATED OPERATIONS (UNAUDITED)</w:t>
      </w:r>
    </w:p>
    <w:p>
      <w:pPr>
        <w:spacing w:after="0" w:line="154"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4"/>
          </w:tcPr>
          <w:p>
            <w:pPr>
              <w:jc w:val="right"/>
              <w:ind w:right="179"/>
              <w:spacing w:after="0"/>
              <w:rPr>
                <w:sz w:val="20"/>
                <w:szCs w:val="20"/>
                <w:color w:val="auto"/>
              </w:rPr>
            </w:pPr>
            <w:r>
              <w:rPr>
                <w:rFonts w:ascii="Arial" w:cs="Arial" w:eastAsia="Arial" w:hAnsi="Arial"/>
                <w:sz w:val="16"/>
                <w:szCs w:val="16"/>
                <w:color w:val="auto"/>
              </w:rPr>
              <w:t>Three Months Ended</w:t>
            </w:r>
          </w:p>
        </w:tc>
        <w:tc>
          <w:tcPr>
            <w:tcW w:w="108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w w:val="98"/>
              </w:rPr>
              <w:t>%</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4"/>
          </w:tcPr>
          <w:p>
            <w:pPr>
              <w:ind w:left="120"/>
              <w:spacing w:after="0"/>
              <w:rPr>
                <w:sz w:val="20"/>
                <w:szCs w:val="20"/>
                <w:color w:val="auto"/>
              </w:rPr>
            </w:pPr>
            <w:r>
              <w:rPr>
                <w:rFonts w:ascii="Arial" w:cs="Arial" w:eastAsia="Arial" w:hAnsi="Arial"/>
                <w:sz w:val="16"/>
                <w:szCs w:val="16"/>
                <w:color w:val="auto"/>
              </w:rPr>
              <w:t>Nine Months Ended</w:t>
            </w:r>
          </w:p>
        </w:tc>
        <w:tc>
          <w:tcPr>
            <w:tcW w:w="108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w w:val="98"/>
              </w:rPr>
              <w:t>%</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40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60" w:type="dxa"/>
            <w:vAlign w:val="bottom"/>
            <w:gridSpan w:val="4"/>
            <w:vMerge w:val="restart"/>
          </w:tcPr>
          <w:p>
            <w:pPr>
              <w:jc w:val="right"/>
              <w:ind w:right="419"/>
              <w:spacing w:after="0"/>
              <w:rPr>
                <w:sz w:val="20"/>
                <w:szCs w:val="20"/>
                <w:color w:val="auto"/>
              </w:rPr>
            </w:pPr>
            <w:r>
              <w:rPr>
                <w:rFonts w:ascii="Arial" w:cs="Arial" w:eastAsia="Arial" w:hAnsi="Arial"/>
                <w:sz w:val="16"/>
                <w:szCs w:val="16"/>
                <w:color w:val="auto"/>
              </w:rPr>
              <w:t>September 30,</w:t>
            </w:r>
          </w:p>
        </w:tc>
        <w:tc>
          <w:tcPr>
            <w:tcW w:w="108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920" w:type="dxa"/>
            <w:vAlign w:val="bottom"/>
            <w:gridSpan w:val="4"/>
            <w:vMerge w:val="restart"/>
          </w:tcPr>
          <w:p>
            <w:pPr>
              <w:jc w:val="right"/>
              <w:ind w:right="459"/>
              <w:spacing w:after="0"/>
              <w:rPr>
                <w:sz w:val="20"/>
                <w:szCs w:val="20"/>
                <w:color w:val="auto"/>
              </w:rPr>
            </w:pPr>
            <w:r>
              <w:rPr>
                <w:rFonts w:ascii="Arial" w:cs="Arial" w:eastAsia="Arial" w:hAnsi="Arial"/>
                <w:sz w:val="16"/>
                <w:szCs w:val="16"/>
                <w:color w:val="auto"/>
              </w:rPr>
              <w:t>September 30,</w:t>
            </w:r>
          </w:p>
        </w:tc>
        <w:tc>
          <w:tcPr>
            <w:tcW w:w="10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0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460"/>
              <w:spacing w:after="0" w:line="127" w:lineRule="exact"/>
              <w:rPr>
                <w:sz w:val="20"/>
                <w:szCs w:val="20"/>
                <w:color w:val="auto"/>
              </w:rPr>
            </w:pPr>
            <w:r>
              <w:rPr>
                <w:rFonts w:ascii="Arial" w:cs="Arial" w:eastAsia="Arial" w:hAnsi="Arial"/>
                <w:sz w:val="14"/>
                <w:szCs w:val="14"/>
                <w:color w:val="auto"/>
              </w:rPr>
              <w:t>Increase/</w:t>
            </w:r>
          </w:p>
        </w:tc>
        <w:tc>
          <w:tcPr>
            <w:tcW w:w="20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340"/>
              <w:spacing w:after="0" w:line="127" w:lineRule="exact"/>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6"/>
                <w:szCs w:val="16"/>
                <w:color w:val="auto"/>
              </w:rPr>
              <w:t>(In millions, except per share data)</w:t>
            </w:r>
          </w:p>
        </w:tc>
        <w:tc>
          <w:tcPr>
            <w:tcW w:w="180" w:type="dxa"/>
            <w:vAlign w:val="bottom"/>
          </w:tcPr>
          <w:p>
            <w:pPr>
              <w:spacing w:after="0"/>
              <w:rPr>
                <w:sz w:val="20"/>
                <w:szCs w:val="20"/>
                <w:color w:val="auto"/>
              </w:rPr>
            </w:pPr>
          </w:p>
        </w:tc>
        <w:tc>
          <w:tcPr>
            <w:tcW w:w="780" w:type="dxa"/>
            <w:vAlign w:val="bottom"/>
          </w:tcPr>
          <w:p>
            <w:pPr>
              <w:jc w:val="right"/>
              <w:ind w:right="219"/>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219"/>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20"/>
                <w:szCs w:val="20"/>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6"/>
                <w:szCs w:val="16"/>
                <w:color w:val="auto"/>
              </w:rPr>
              <w:t>(Decrease)</w:t>
            </w:r>
          </w:p>
        </w:tc>
        <w:tc>
          <w:tcPr>
            <w:tcW w:w="200" w:type="dxa"/>
            <w:vAlign w:val="bottom"/>
          </w:tcPr>
          <w:p>
            <w:pPr>
              <w:spacing w:after="0"/>
              <w:rPr>
                <w:sz w:val="20"/>
                <w:szCs w:val="20"/>
                <w:color w:val="auto"/>
              </w:rPr>
            </w:pPr>
          </w:p>
        </w:tc>
        <w:tc>
          <w:tcPr>
            <w:tcW w:w="800" w:type="dxa"/>
            <w:vAlign w:val="bottom"/>
          </w:tcPr>
          <w:p>
            <w:pPr>
              <w:ind w:left="120"/>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9"/>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29"/>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revenue:</w:t>
            </w:r>
          </w:p>
        </w:tc>
        <w:tc>
          <w:tcPr>
            <w:tcW w:w="18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00" w:type="dxa"/>
            <w:vAlign w:val="bottom"/>
          </w:tcPr>
          <w:p>
            <w:pPr>
              <w:ind w:left="320"/>
              <w:spacing w:after="0"/>
              <w:rPr>
                <w:sz w:val="20"/>
                <w:szCs w:val="20"/>
                <w:color w:val="auto"/>
              </w:rPr>
            </w:pPr>
            <w:r>
              <w:rPr>
                <w:rFonts w:ascii="Arial" w:cs="Arial" w:eastAsia="Arial" w:hAnsi="Arial"/>
                <w:sz w:val="16"/>
                <w:szCs w:val="16"/>
                <w:color w:val="auto"/>
              </w:rPr>
              <w:t>Passenger</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1,649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10,481</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(84.3)</w:t>
            </w:r>
          </w:p>
        </w:tc>
        <w:tc>
          <w:tcPr>
            <w:tcW w:w="46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9,395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29,692</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(68.4)</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0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Cargo</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422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282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1,088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863</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26.1</w:t>
            </w:r>
          </w:p>
        </w:tc>
        <w:tc>
          <w:tcPr>
            <w:tcW w:w="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0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Other operating revenue</w:t>
            </w: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418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617</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(32.3)</w:t>
            </w:r>
          </w:p>
        </w:tc>
        <w:tc>
          <w:tcPr>
            <w:tcW w:w="4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1,460</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1,816</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(19.6)</w:t>
            </w:r>
          </w:p>
        </w:tc>
        <w:tc>
          <w:tcPr>
            <w:tcW w:w="3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operating revenue</w:t>
            </w:r>
          </w:p>
        </w:tc>
        <w:tc>
          <w:tcPr>
            <w:tcW w:w="1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2,489</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11,380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(78.1)</w:t>
            </w:r>
          </w:p>
        </w:tc>
        <w:tc>
          <w:tcPr>
            <w:tcW w:w="46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11,943</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32,371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4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000" w:type="dxa"/>
            <w:vAlign w:val="bottom"/>
          </w:tcPr>
          <w:p>
            <w:pPr>
              <w:ind w:left="320"/>
              <w:spacing w:after="0"/>
              <w:rPr>
                <w:sz w:val="20"/>
                <w:szCs w:val="20"/>
                <w:color w:val="auto"/>
              </w:rPr>
            </w:pPr>
            <w:r>
              <w:rPr>
                <w:rFonts w:ascii="Arial" w:cs="Arial" w:eastAsia="Arial" w:hAnsi="Arial"/>
                <w:sz w:val="16"/>
                <w:szCs w:val="16"/>
                <w:color w:val="auto"/>
              </w:rPr>
              <w:t>Salaries and related costs</w:t>
            </w:r>
          </w:p>
        </w:tc>
        <w:tc>
          <w:tcPr>
            <w:tcW w:w="180" w:type="dxa"/>
            <w:vAlign w:val="bottom"/>
          </w:tcPr>
          <w:p>
            <w:pPr>
              <w:spacing w:after="0"/>
              <w:rPr>
                <w:sz w:val="20"/>
                <w:szCs w:val="20"/>
                <w:color w:val="auto"/>
              </w:rPr>
            </w:pP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2,229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3,063</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(27.2)</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7,354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8,993</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(18.2)</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0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Aircraft fuel</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508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2,296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(77.9)</w:t>
            </w: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2,474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6,704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000" w:type="dxa"/>
            <w:vAlign w:val="bottom"/>
          </w:tcPr>
          <w:p>
            <w:pPr>
              <w:ind w:left="320"/>
              <w:spacing w:after="0"/>
              <w:rPr>
                <w:sz w:val="20"/>
                <w:szCs w:val="20"/>
                <w:color w:val="auto"/>
              </w:rPr>
            </w:pPr>
            <w:r>
              <w:rPr>
                <w:rFonts w:ascii="Arial" w:cs="Arial" w:eastAsia="Arial" w:hAnsi="Arial"/>
                <w:sz w:val="16"/>
                <w:szCs w:val="16"/>
                <w:color w:val="auto"/>
              </w:rPr>
              <w:t>Regional capacity purchase</w:t>
            </w:r>
          </w:p>
        </w:tc>
        <w:tc>
          <w:tcPr>
            <w:tcW w:w="180" w:type="dxa"/>
            <w:vAlign w:val="bottom"/>
          </w:tcPr>
          <w:p>
            <w:pPr>
              <w:spacing w:after="0"/>
              <w:rPr>
                <w:sz w:val="20"/>
                <w:szCs w:val="20"/>
                <w:color w:val="auto"/>
              </w:rPr>
            </w:pP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721</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(41.1)</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1,550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2,124</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(27.0)</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0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Landing fees and other rent</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645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1,552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1,893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000" w:type="dxa"/>
            <w:vAlign w:val="bottom"/>
          </w:tcPr>
          <w:p>
            <w:pPr>
              <w:ind w:left="3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20"/>
                <w:szCs w:val="20"/>
                <w:color w:val="auto"/>
              </w:rPr>
            </w:pP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626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575</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8.9</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1,859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1,682</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10.5</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Aircraft maintenance materials and outside</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0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repairs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490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(76.5)</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1,319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000" w:type="dxa"/>
            <w:vAlign w:val="bottom"/>
          </w:tcPr>
          <w:p>
            <w:pPr>
              <w:ind w:left="320"/>
              <w:spacing w:after="0"/>
              <w:rPr>
                <w:sz w:val="20"/>
                <w:szCs w:val="20"/>
                <w:color w:val="auto"/>
              </w:rPr>
            </w:pPr>
            <w:r>
              <w:rPr>
                <w:rFonts w:ascii="Arial" w:cs="Arial" w:eastAsia="Arial" w:hAnsi="Arial"/>
                <w:sz w:val="16"/>
                <w:szCs w:val="16"/>
                <w:color w:val="auto"/>
              </w:rPr>
              <w:t>Distribution expenses</w:t>
            </w:r>
          </w:p>
        </w:tc>
        <w:tc>
          <w:tcPr>
            <w:tcW w:w="180" w:type="dxa"/>
            <w:vAlign w:val="bottom"/>
          </w:tcPr>
          <w:p>
            <w:pPr>
              <w:spacing w:after="0"/>
              <w:rPr>
                <w:sz w:val="20"/>
                <w:szCs w:val="20"/>
                <w:color w:val="auto"/>
              </w:rPr>
            </w:pP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432</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(87.7)</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379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1,234</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(69.3)</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0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Aircraft rent</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000" w:type="dxa"/>
            <w:vAlign w:val="bottom"/>
          </w:tcPr>
          <w:p>
            <w:pPr>
              <w:ind w:left="320"/>
              <w:spacing w:after="0"/>
              <w:rPr>
                <w:sz w:val="20"/>
                <w:szCs w:val="20"/>
                <w:color w:val="auto"/>
              </w:rPr>
            </w:pPr>
            <w:r>
              <w:rPr>
                <w:rFonts w:ascii="Arial" w:cs="Arial" w:eastAsia="Arial" w:hAnsi="Arial"/>
                <w:sz w:val="16"/>
                <w:szCs w:val="16"/>
                <w:color w:val="auto"/>
              </w:rPr>
              <w:t>Special charges (credits)</w:t>
            </w:r>
          </w:p>
        </w:tc>
        <w:tc>
          <w:tcPr>
            <w:tcW w:w="180" w:type="dxa"/>
            <w:vAlign w:val="bottom"/>
          </w:tcPr>
          <w:p>
            <w:pPr>
              <w:spacing w:after="0"/>
              <w:rPr>
                <w:sz w:val="20"/>
                <w:szCs w:val="20"/>
                <w:color w:val="auto"/>
              </w:rPr>
            </w:pP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(1,081)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1440" w:type="dxa"/>
            <w:vAlign w:val="bottom"/>
            <w:gridSpan w:val="2"/>
          </w:tcPr>
          <w:p>
            <w:pPr>
              <w:ind w:left="700"/>
              <w:spacing w:after="0"/>
              <w:rPr>
                <w:sz w:val="20"/>
                <w:szCs w:val="20"/>
                <w:color w:val="auto"/>
              </w:rPr>
            </w:pPr>
            <w:r>
              <w:rPr>
                <w:rFonts w:ascii="Arial" w:cs="Arial" w:eastAsia="Arial" w:hAnsi="Arial"/>
                <w:sz w:val="16"/>
                <w:szCs w:val="16"/>
                <w:color w:val="auto"/>
              </w:rPr>
              <w:t>NM</w:t>
            </w:r>
          </w:p>
        </w:tc>
        <w:tc>
          <w:tcPr>
            <w:tcW w:w="200" w:type="dxa"/>
            <w:vAlign w:val="bottom"/>
          </w:tcPr>
          <w:p>
            <w:pPr>
              <w:spacing w:after="0"/>
              <w:rPr>
                <w:sz w:val="20"/>
                <w:szCs w:val="20"/>
                <w:color w:val="auto"/>
              </w:rPr>
            </w:pP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(2,467)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0"/>
                <w:szCs w:val="20"/>
                <w:color w:val="auto"/>
              </w:rPr>
            </w:pPr>
          </w:p>
        </w:tc>
        <w:tc>
          <w:tcPr>
            <w:tcW w:w="1320" w:type="dxa"/>
            <w:vAlign w:val="bottom"/>
            <w:gridSpan w:val="2"/>
          </w:tcPr>
          <w:p>
            <w:pPr>
              <w:ind w:left="70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53"/>
        </w:trPr>
        <w:tc>
          <w:tcPr>
            <w:tcW w:w="40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operating expenses</w:t>
            </w: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679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1,591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46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2,660</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4,645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operating expense</w:t>
            </w: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4,104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9,907</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(58.6)</w:t>
            </w:r>
          </w:p>
        </w:tc>
        <w:tc>
          <w:tcPr>
            <w:tcW w:w="4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16,167</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28,931</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(44.1)</w:t>
            </w:r>
          </w:p>
        </w:tc>
        <w:tc>
          <w:tcPr>
            <w:tcW w:w="3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40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4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(1,615)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1,473</w:t>
            </w:r>
          </w:p>
        </w:tc>
        <w:tc>
          <w:tcPr>
            <w:tcW w:w="100" w:type="dxa"/>
            <w:vAlign w:val="bottom"/>
          </w:tcPr>
          <w:p>
            <w:pPr>
              <w:spacing w:after="0"/>
              <w:rPr>
                <w:sz w:val="20"/>
                <w:szCs w:val="20"/>
                <w:color w:val="auto"/>
              </w:rPr>
            </w:pPr>
          </w:p>
        </w:tc>
        <w:tc>
          <w:tcPr>
            <w:tcW w:w="1440" w:type="dxa"/>
            <w:vAlign w:val="bottom"/>
            <w:gridSpan w:val="2"/>
          </w:tcPr>
          <w:p>
            <w:pPr>
              <w:ind w:left="700"/>
              <w:spacing w:after="0"/>
              <w:rPr>
                <w:sz w:val="20"/>
                <w:szCs w:val="20"/>
                <w:color w:val="auto"/>
              </w:rPr>
            </w:pPr>
            <w:r>
              <w:rPr>
                <w:rFonts w:ascii="Arial" w:cs="Arial" w:eastAsia="Arial" w:hAnsi="Arial"/>
                <w:sz w:val="16"/>
                <w:szCs w:val="16"/>
                <w:color w:val="auto"/>
              </w:rPr>
              <w:t>NM</w:t>
            </w:r>
          </w:p>
        </w:tc>
        <w:tc>
          <w:tcPr>
            <w:tcW w:w="200" w:type="dxa"/>
            <w:vAlign w:val="bottom"/>
          </w:tcPr>
          <w:p>
            <w:pPr>
              <w:spacing w:after="0"/>
              <w:rPr>
                <w:sz w:val="20"/>
                <w:szCs w:val="20"/>
                <w:color w:val="auto"/>
              </w:rPr>
            </w:pP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(4,224)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3,440</w:t>
            </w:r>
          </w:p>
        </w:tc>
        <w:tc>
          <w:tcPr>
            <w:tcW w:w="100" w:type="dxa"/>
            <w:vAlign w:val="bottom"/>
          </w:tcPr>
          <w:p>
            <w:pPr>
              <w:spacing w:after="0"/>
              <w:rPr>
                <w:sz w:val="20"/>
                <w:szCs w:val="20"/>
                <w:color w:val="auto"/>
              </w:rPr>
            </w:pPr>
          </w:p>
        </w:tc>
        <w:tc>
          <w:tcPr>
            <w:tcW w:w="1320" w:type="dxa"/>
            <w:vAlign w:val="bottom"/>
            <w:gridSpan w:val="2"/>
          </w:tcPr>
          <w:p>
            <w:pPr>
              <w:ind w:left="70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18"/>
        </w:trPr>
        <w:tc>
          <w:tcPr>
            <w:tcW w:w="40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4000" w:type="dxa"/>
            <w:vAlign w:val="bottom"/>
          </w:tcPr>
          <w:p>
            <w:pPr>
              <w:ind w:left="20"/>
              <w:spacing w:after="0"/>
              <w:rPr>
                <w:sz w:val="20"/>
                <w:szCs w:val="20"/>
                <w:color w:val="auto"/>
              </w:rPr>
            </w:pPr>
            <w:r>
              <w:rPr>
                <w:rFonts w:ascii="Arial" w:cs="Arial" w:eastAsia="Arial" w:hAnsi="Arial"/>
                <w:sz w:val="16"/>
                <w:szCs w:val="16"/>
                <w:i w:val="1"/>
                <w:iCs w:val="1"/>
                <w:color w:val="auto"/>
              </w:rPr>
              <w:t>Operating margin</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i w:val="1"/>
                <w:iCs w:val="1"/>
                <w:color w:val="auto"/>
              </w:rPr>
              <w:t>(64.9)%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i w:val="1"/>
                <w:iCs w:val="1"/>
                <w:color w:val="auto"/>
              </w:rPr>
              <w:t>12.9 %</w:t>
            </w:r>
          </w:p>
        </w:tc>
        <w:tc>
          <w:tcPr>
            <w:tcW w:w="100" w:type="dxa"/>
            <w:vAlign w:val="bottom"/>
          </w:tcPr>
          <w:p>
            <w:pPr>
              <w:spacing w:after="0"/>
              <w:rPr>
                <w:sz w:val="20"/>
                <w:szCs w:val="20"/>
                <w:color w:val="auto"/>
              </w:rPr>
            </w:pPr>
          </w:p>
        </w:tc>
        <w:tc>
          <w:tcPr>
            <w:tcW w:w="1440" w:type="dxa"/>
            <w:vAlign w:val="bottom"/>
            <w:gridSpan w:val="2"/>
          </w:tcPr>
          <w:p>
            <w:pPr>
              <w:ind w:left="700"/>
              <w:spacing w:after="0"/>
              <w:rPr>
                <w:sz w:val="20"/>
                <w:szCs w:val="20"/>
                <w:color w:val="auto"/>
              </w:rPr>
            </w:pPr>
            <w:r>
              <w:rPr>
                <w:rFonts w:ascii="Arial" w:cs="Arial" w:eastAsia="Arial" w:hAnsi="Arial"/>
                <w:sz w:val="16"/>
                <w:szCs w:val="16"/>
                <w:i w:val="1"/>
                <w:iCs w:val="1"/>
                <w:color w:val="auto"/>
              </w:rPr>
              <w:t>NM</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i w:val="1"/>
                <w:iCs w:val="1"/>
                <w:color w:val="auto"/>
              </w:rPr>
              <w:t>(35.4)%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i w:val="1"/>
                <w:iCs w:val="1"/>
                <w:color w:val="auto"/>
              </w:rPr>
              <w:t>10.6 %</w:t>
            </w:r>
          </w:p>
        </w:tc>
        <w:tc>
          <w:tcPr>
            <w:tcW w:w="100" w:type="dxa"/>
            <w:vAlign w:val="bottom"/>
          </w:tcPr>
          <w:p>
            <w:pPr>
              <w:spacing w:after="0"/>
              <w:rPr>
                <w:sz w:val="20"/>
                <w:szCs w:val="20"/>
                <w:color w:val="auto"/>
              </w:rPr>
            </w:pPr>
          </w:p>
        </w:tc>
        <w:tc>
          <w:tcPr>
            <w:tcW w:w="1320" w:type="dxa"/>
            <w:vAlign w:val="bottom"/>
            <w:gridSpan w:val="2"/>
          </w:tcPr>
          <w:p>
            <w:pPr>
              <w:ind w:left="700"/>
              <w:spacing w:after="0"/>
              <w:rPr>
                <w:sz w:val="20"/>
                <w:szCs w:val="20"/>
                <w:color w:val="auto"/>
              </w:rPr>
            </w:pPr>
            <w:r>
              <w:rPr>
                <w:rFonts w:ascii="Arial" w:cs="Arial" w:eastAsia="Arial" w:hAnsi="Arial"/>
                <w:sz w:val="16"/>
                <w:szCs w:val="16"/>
                <w:i w:val="1"/>
                <w:iCs w:val="1"/>
                <w:color w:val="auto"/>
              </w:rPr>
              <w:t>NM</w:t>
            </w:r>
          </w:p>
        </w:tc>
        <w:tc>
          <w:tcPr>
            <w:tcW w:w="0" w:type="dxa"/>
            <w:vAlign w:val="bottom"/>
          </w:tcPr>
          <w:p>
            <w:pPr>
              <w:spacing w:after="0"/>
              <w:rPr>
                <w:sz w:val="1"/>
                <w:szCs w:val="1"/>
                <w:color w:val="auto"/>
              </w:rPr>
            </w:pPr>
          </w:p>
        </w:tc>
      </w:tr>
      <w:tr>
        <w:trPr>
          <w:trHeight w:val="118"/>
        </w:trPr>
        <w:tc>
          <w:tcPr>
            <w:tcW w:w="40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4000" w:type="dxa"/>
            <w:vAlign w:val="bottom"/>
          </w:tcPr>
          <w:p>
            <w:pPr>
              <w:ind w:left="20"/>
              <w:spacing w:after="0"/>
              <w:rPr>
                <w:sz w:val="20"/>
                <w:szCs w:val="20"/>
                <w:color w:val="auto"/>
              </w:rPr>
            </w:pPr>
            <w:r>
              <w:rPr>
                <w:rFonts w:ascii="Arial" w:cs="Arial" w:eastAsia="Arial" w:hAnsi="Arial"/>
                <w:sz w:val="16"/>
                <w:szCs w:val="16"/>
                <w:color w:val="auto"/>
              </w:rPr>
              <w:t>Nonoperating income (expense):</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0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expense</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(345)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80.6</w:t>
            </w: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(712)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(570)</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24.9</w:t>
            </w:r>
          </w:p>
        </w:tc>
        <w:tc>
          <w:tcPr>
            <w:tcW w:w="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000" w:type="dxa"/>
            <w:vAlign w:val="bottom"/>
          </w:tcPr>
          <w:p>
            <w:pPr>
              <w:ind w:left="320"/>
              <w:spacing w:after="0"/>
              <w:rPr>
                <w:sz w:val="20"/>
                <w:szCs w:val="20"/>
                <w:color w:val="auto"/>
              </w:rPr>
            </w:pPr>
            <w:r>
              <w:rPr>
                <w:rFonts w:ascii="Arial" w:cs="Arial" w:eastAsia="Arial" w:hAnsi="Arial"/>
                <w:sz w:val="16"/>
                <w:szCs w:val="16"/>
                <w:color w:val="auto"/>
              </w:rPr>
              <w:t>Interest capitalized</w:t>
            </w:r>
          </w:p>
        </w:tc>
        <w:tc>
          <w:tcPr>
            <w:tcW w:w="180" w:type="dxa"/>
            <w:vAlign w:val="bottom"/>
          </w:tcPr>
          <w:p>
            <w:pPr>
              <w:spacing w:after="0"/>
              <w:rPr>
                <w:sz w:val="20"/>
                <w:szCs w:val="20"/>
                <w:color w:val="auto"/>
              </w:rPr>
            </w:pP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22</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(27.3)</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65</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(16.9)</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0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income</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(77.8)</w:t>
            </w: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000" w:type="dxa"/>
            <w:vAlign w:val="bottom"/>
          </w:tcPr>
          <w:p>
            <w:pPr>
              <w:ind w:left="320"/>
              <w:spacing w:after="0"/>
              <w:rPr>
                <w:sz w:val="20"/>
                <w:szCs w:val="20"/>
                <w:color w:val="auto"/>
              </w:rPr>
            </w:pPr>
            <w:r>
              <w:rPr>
                <w:rFonts w:ascii="Arial" w:cs="Arial" w:eastAsia="Arial" w:hAnsi="Arial"/>
                <w:sz w:val="16"/>
                <w:szCs w:val="16"/>
                <w:color w:val="auto"/>
              </w:rPr>
              <w:t>Unrealized gains (losses) on investments, net</w:t>
            </w:r>
          </w:p>
        </w:tc>
        <w:tc>
          <w:tcPr>
            <w:tcW w:w="180" w:type="dxa"/>
            <w:vAlign w:val="bottom"/>
          </w:tcPr>
          <w:p>
            <w:pPr>
              <w:spacing w:after="0"/>
              <w:rPr>
                <w:sz w:val="20"/>
                <w:szCs w:val="20"/>
                <w:color w:val="auto"/>
              </w:rPr>
            </w:pP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21</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(28.6)</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0"/>
                <w:szCs w:val="20"/>
                <w:color w:val="auto"/>
              </w:rPr>
            </w:pPr>
          </w:p>
        </w:tc>
        <w:tc>
          <w:tcPr>
            <w:tcW w:w="1320" w:type="dxa"/>
            <w:vAlign w:val="bottom"/>
            <w:gridSpan w:val="2"/>
          </w:tcPr>
          <w:p>
            <w:pPr>
              <w:ind w:left="70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53"/>
        </w:trPr>
        <w:tc>
          <w:tcPr>
            <w:tcW w:w="40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Miscellaneous, net</w:t>
            </w: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(411)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NM</w:t>
            </w: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(1,317)</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nonoperating expense</w:t>
            </w: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(717)</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gridSpan w:val="2"/>
          </w:tcPr>
          <w:p>
            <w:pPr>
              <w:ind w:left="700"/>
              <w:spacing w:after="0"/>
              <w:rPr>
                <w:sz w:val="20"/>
                <w:szCs w:val="20"/>
                <w:color w:val="auto"/>
              </w:rPr>
            </w:pPr>
            <w:r>
              <w:rPr>
                <w:rFonts w:ascii="Arial" w:cs="Arial" w:eastAsia="Arial" w:hAnsi="Arial"/>
                <w:sz w:val="16"/>
                <w:szCs w:val="16"/>
                <w:color w:val="auto"/>
              </w:rPr>
              <w:t>NM</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(2,225)</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(370)</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gridSpan w:val="2"/>
          </w:tcPr>
          <w:p>
            <w:pPr>
              <w:ind w:left="70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95"/>
        </w:trPr>
        <w:tc>
          <w:tcPr>
            <w:tcW w:w="40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400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Pr>
          <w:p>
            <w:pPr>
              <w:spacing w:after="0"/>
              <w:rPr>
                <w:sz w:val="20"/>
                <w:szCs w:val="20"/>
                <w:color w:val="auto"/>
              </w:rPr>
            </w:pP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(2,332)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1,349</w:t>
            </w:r>
          </w:p>
        </w:tc>
        <w:tc>
          <w:tcPr>
            <w:tcW w:w="100" w:type="dxa"/>
            <w:vAlign w:val="bottom"/>
          </w:tcPr>
          <w:p>
            <w:pPr>
              <w:spacing w:after="0"/>
              <w:rPr>
                <w:sz w:val="20"/>
                <w:szCs w:val="20"/>
                <w:color w:val="auto"/>
              </w:rPr>
            </w:pPr>
          </w:p>
        </w:tc>
        <w:tc>
          <w:tcPr>
            <w:tcW w:w="1440" w:type="dxa"/>
            <w:vAlign w:val="bottom"/>
            <w:gridSpan w:val="2"/>
          </w:tcPr>
          <w:p>
            <w:pPr>
              <w:ind w:left="700"/>
              <w:spacing w:after="0"/>
              <w:rPr>
                <w:sz w:val="20"/>
                <w:szCs w:val="20"/>
                <w:color w:val="auto"/>
              </w:rPr>
            </w:pPr>
            <w:r>
              <w:rPr>
                <w:rFonts w:ascii="Arial" w:cs="Arial" w:eastAsia="Arial" w:hAnsi="Arial"/>
                <w:sz w:val="16"/>
                <w:szCs w:val="16"/>
                <w:color w:val="auto"/>
              </w:rPr>
              <w:t>NM</w:t>
            </w:r>
          </w:p>
        </w:tc>
        <w:tc>
          <w:tcPr>
            <w:tcW w:w="200" w:type="dxa"/>
            <w:vAlign w:val="bottom"/>
          </w:tcPr>
          <w:p>
            <w:pPr>
              <w:spacing w:after="0"/>
              <w:rPr>
                <w:sz w:val="20"/>
                <w:szCs w:val="20"/>
                <w:color w:val="auto"/>
              </w:rPr>
            </w:pP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(6,449)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3,070</w:t>
            </w:r>
          </w:p>
        </w:tc>
        <w:tc>
          <w:tcPr>
            <w:tcW w:w="100" w:type="dxa"/>
            <w:vAlign w:val="bottom"/>
          </w:tcPr>
          <w:p>
            <w:pPr>
              <w:spacing w:after="0"/>
              <w:rPr>
                <w:sz w:val="20"/>
                <w:szCs w:val="20"/>
                <w:color w:val="auto"/>
              </w:rPr>
            </w:pPr>
          </w:p>
        </w:tc>
        <w:tc>
          <w:tcPr>
            <w:tcW w:w="1320" w:type="dxa"/>
            <w:vAlign w:val="bottom"/>
            <w:gridSpan w:val="2"/>
          </w:tcPr>
          <w:p>
            <w:pPr>
              <w:ind w:left="70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18"/>
        </w:trPr>
        <w:tc>
          <w:tcPr>
            <w:tcW w:w="40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4000" w:type="dxa"/>
            <w:vAlign w:val="bottom"/>
          </w:tcPr>
          <w:p>
            <w:pPr>
              <w:ind w:left="20"/>
              <w:spacing w:after="0"/>
              <w:rPr>
                <w:sz w:val="20"/>
                <w:szCs w:val="20"/>
                <w:color w:val="auto"/>
              </w:rPr>
            </w:pPr>
            <w:r>
              <w:rPr>
                <w:rFonts w:ascii="Arial" w:cs="Arial" w:eastAsia="Arial" w:hAnsi="Arial"/>
                <w:sz w:val="16"/>
                <w:szCs w:val="16"/>
                <w:i w:val="1"/>
                <w:iCs w:val="1"/>
                <w:color w:val="auto"/>
              </w:rPr>
              <w:t>Pre-tax margin</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i w:val="1"/>
                <w:iCs w:val="1"/>
                <w:color w:val="auto"/>
              </w:rPr>
              <w:t>(93.7)%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i w:val="1"/>
                <w:iCs w:val="1"/>
                <w:color w:val="auto"/>
              </w:rPr>
              <w:t>11.9 %</w:t>
            </w:r>
          </w:p>
        </w:tc>
        <w:tc>
          <w:tcPr>
            <w:tcW w:w="100" w:type="dxa"/>
            <w:vAlign w:val="bottom"/>
          </w:tcPr>
          <w:p>
            <w:pPr>
              <w:spacing w:after="0"/>
              <w:rPr>
                <w:sz w:val="20"/>
                <w:szCs w:val="20"/>
                <w:color w:val="auto"/>
              </w:rPr>
            </w:pPr>
          </w:p>
        </w:tc>
        <w:tc>
          <w:tcPr>
            <w:tcW w:w="1440" w:type="dxa"/>
            <w:vAlign w:val="bottom"/>
            <w:gridSpan w:val="2"/>
          </w:tcPr>
          <w:p>
            <w:pPr>
              <w:ind w:left="700"/>
              <w:spacing w:after="0"/>
              <w:rPr>
                <w:sz w:val="20"/>
                <w:szCs w:val="20"/>
                <w:color w:val="auto"/>
              </w:rPr>
            </w:pPr>
            <w:r>
              <w:rPr>
                <w:rFonts w:ascii="Arial" w:cs="Arial" w:eastAsia="Arial" w:hAnsi="Arial"/>
                <w:sz w:val="16"/>
                <w:szCs w:val="16"/>
                <w:color w:val="auto"/>
              </w:rPr>
              <w:t>NM</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i w:val="1"/>
                <w:iCs w:val="1"/>
                <w:color w:val="auto"/>
              </w:rPr>
              <w:t>(54.0)%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i w:val="1"/>
                <w:iCs w:val="1"/>
                <w:color w:val="auto"/>
              </w:rPr>
              <w:t>9.5 %</w:t>
            </w:r>
          </w:p>
        </w:tc>
        <w:tc>
          <w:tcPr>
            <w:tcW w:w="100" w:type="dxa"/>
            <w:vAlign w:val="bottom"/>
          </w:tcPr>
          <w:p>
            <w:pPr>
              <w:spacing w:after="0"/>
              <w:rPr>
                <w:sz w:val="20"/>
                <w:szCs w:val="20"/>
                <w:color w:val="auto"/>
              </w:rPr>
            </w:pPr>
          </w:p>
        </w:tc>
        <w:tc>
          <w:tcPr>
            <w:tcW w:w="1320" w:type="dxa"/>
            <w:vAlign w:val="bottom"/>
            <w:gridSpan w:val="2"/>
          </w:tcPr>
          <w:p>
            <w:pPr>
              <w:ind w:left="700"/>
              <w:spacing w:after="0"/>
              <w:rPr>
                <w:sz w:val="20"/>
                <w:szCs w:val="20"/>
                <w:color w:val="auto"/>
              </w:rPr>
            </w:pPr>
            <w:r>
              <w:rPr>
                <w:rFonts w:ascii="Arial" w:cs="Arial" w:eastAsia="Arial" w:hAnsi="Arial"/>
                <w:sz w:val="16"/>
                <w:szCs w:val="16"/>
                <w:i w:val="1"/>
                <w:iCs w:val="1"/>
                <w:color w:val="auto"/>
              </w:rPr>
              <w:t>NM</w:t>
            </w:r>
          </w:p>
        </w:tc>
        <w:tc>
          <w:tcPr>
            <w:tcW w:w="0" w:type="dxa"/>
            <w:vAlign w:val="bottom"/>
          </w:tcPr>
          <w:p>
            <w:pPr>
              <w:spacing w:after="0"/>
              <w:rPr>
                <w:sz w:val="1"/>
                <w:szCs w:val="1"/>
                <w:color w:val="auto"/>
              </w:rPr>
            </w:pPr>
          </w:p>
        </w:tc>
      </w:tr>
      <w:tr>
        <w:trPr>
          <w:trHeight w:val="118"/>
        </w:trPr>
        <w:tc>
          <w:tcPr>
            <w:tcW w:w="40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 (benefit)</w:t>
            </w: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(491)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325</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gridSpan w:val="2"/>
          </w:tcPr>
          <w:p>
            <w:pPr>
              <w:ind w:left="700"/>
              <w:spacing w:after="0"/>
              <w:rPr>
                <w:sz w:val="20"/>
                <w:szCs w:val="20"/>
                <w:color w:val="auto"/>
              </w:rPr>
            </w:pPr>
            <w:r>
              <w:rPr>
                <w:rFonts w:ascii="Arial" w:cs="Arial" w:eastAsia="Arial" w:hAnsi="Arial"/>
                <w:sz w:val="16"/>
                <w:szCs w:val="16"/>
                <w:color w:val="auto"/>
              </w:rPr>
              <w:t>NM</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(1,277)</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702</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gridSpan w:val="2"/>
          </w:tcPr>
          <w:p>
            <w:pPr>
              <w:ind w:left="70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68"/>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(1,841)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1,024</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NM</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(5,172)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2,368</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4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earnings (loss)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3.99</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NM</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(18.91)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9.04</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000" w:type="dxa"/>
            <w:vAlign w:val="bottom"/>
          </w:tcPr>
          <w:p>
            <w:pPr>
              <w:ind w:left="20"/>
              <w:spacing w:after="0"/>
              <w:rPr>
                <w:sz w:val="20"/>
                <w:szCs w:val="20"/>
                <w:color w:val="auto"/>
              </w:rPr>
            </w:pPr>
            <w:r>
              <w:rPr>
                <w:rFonts w:ascii="Arial" w:cs="Arial" w:eastAsia="Arial" w:hAnsi="Arial"/>
                <w:sz w:val="16"/>
                <w:szCs w:val="16"/>
                <w:color w:val="auto"/>
              </w:rPr>
              <w:t>Diluted weighted average shares</w:t>
            </w:r>
          </w:p>
        </w:tc>
        <w:tc>
          <w:tcPr>
            <w:tcW w:w="180" w:type="dxa"/>
            <w:vAlign w:val="bottom"/>
          </w:tcPr>
          <w:p>
            <w:pPr>
              <w:spacing w:after="0"/>
              <w:rPr>
                <w:sz w:val="17"/>
                <w:szCs w:val="17"/>
                <w:color w:val="auto"/>
              </w:rPr>
            </w:pP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291.0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256.4</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13.5</w:t>
            </w: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273.5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262.0</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4.4</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4000" w:type="dxa"/>
            <w:vAlign w:val="bottom"/>
          </w:tcPr>
          <w:p>
            <w:pPr>
              <w:ind w:left="20"/>
              <w:spacing w:after="0"/>
              <w:rPr>
                <w:sz w:val="20"/>
                <w:szCs w:val="20"/>
                <w:color w:val="auto"/>
              </w:rPr>
            </w:pPr>
            <w:r>
              <w:rPr>
                <w:rFonts w:ascii="Arial" w:cs="Arial" w:eastAsia="Arial" w:hAnsi="Arial"/>
                <w:sz w:val="16"/>
                <w:szCs w:val="16"/>
                <w:color w:val="auto"/>
              </w:rPr>
              <w:t>NM Not meaningful</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320" w:top="140" w:right="39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United Airlines Reports Third-Quarter 2020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UNITED AIRLINES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PASSENGER REVENUE INFORMATION AND STATISTICS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Passenger revenue information is as follows (in millions, except for percentage changes):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color w:val="auto"/>
              </w:rPr>
              <w:t>Passenger</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color w:val="auto"/>
              </w:rPr>
              <w:t>Available</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3Q 2020</w:t>
            </w:r>
          </w:p>
        </w:tc>
      </w:tr>
      <w:tr>
        <w:trPr>
          <w:trHeight w:val="189"/>
        </w:trPr>
        <w:tc>
          <w:tcPr>
            <w:tcW w:w="2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59"/>
              <w:spacing w:after="0"/>
              <w:rPr>
                <w:sz w:val="20"/>
                <w:szCs w:val="20"/>
                <w:color w:val="auto"/>
              </w:rPr>
            </w:pPr>
            <w:r>
              <w:rPr>
                <w:rFonts w:ascii="Arial" w:cs="Arial" w:eastAsia="Arial" w:hAnsi="Arial"/>
                <w:sz w:val="16"/>
                <w:szCs w:val="16"/>
                <w:color w:val="auto"/>
              </w:rPr>
              <w:t>3Q 2020</w:t>
            </w:r>
          </w:p>
        </w:tc>
        <w:tc>
          <w:tcPr>
            <w:tcW w:w="10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Revenue</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color w:val="auto"/>
              </w:rPr>
              <w:t>Seat Miles</w:t>
            </w: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color w:val="auto"/>
              </w:rPr>
              <w:t>3Q 2020</w:t>
            </w:r>
          </w:p>
        </w:tc>
        <w:tc>
          <w:tcPr>
            <w:tcW w:w="1100" w:type="dxa"/>
            <w:vAlign w:val="bottom"/>
          </w:tcPr>
          <w:p>
            <w:pPr>
              <w:jc w:val="center"/>
              <w:spacing w:after="0"/>
              <w:rPr>
                <w:sz w:val="20"/>
                <w:szCs w:val="20"/>
                <w:color w:val="auto"/>
              </w:rPr>
            </w:pPr>
            <w:r>
              <w:rPr>
                <w:rFonts w:ascii="Arial" w:cs="Arial" w:eastAsia="Arial" w:hAnsi="Arial"/>
                <w:sz w:val="16"/>
                <w:szCs w:val="16"/>
                <w:color w:val="auto"/>
              </w:rPr>
              <w:t>Revenue</w:t>
            </w:r>
          </w:p>
        </w:tc>
      </w:tr>
      <w:tr>
        <w:trPr>
          <w:trHeight w:val="189"/>
        </w:trPr>
        <w:tc>
          <w:tcPr>
            <w:tcW w:w="2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59"/>
              <w:spacing w:after="0"/>
              <w:rPr>
                <w:sz w:val="20"/>
                <w:szCs w:val="20"/>
                <w:color w:val="auto"/>
              </w:rPr>
            </w:pPr>
            <w:r>
              <w:rPr>
                <w:rFonts w:ascii="Arial" w:cs="Arial" w:eastAsia="Arial" w:hAnsi="Arial"/>
                <w:sz w:val="16"/>
                <w:szCs w:val="16"/>
                <w:color w:val="auto"/>
              </w:rPr>
              <w:t>Passenger</w:t>
            </w:r>
          </w:p>
        </w:tc>
        <w:tc>
          <w:tcPr>
            <w:tcW w:w="10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vs.</w:t>
            </w:r>
          </w:p>
        </w:tc>
        <w:tc>
          <w:tcPr>
            <w:tcW w:w="1180" w:type="dxa"/>
            <w:vAlign w:val="bottom"/>
            <w:gridSpan w:val="2"/>
          </w:tcPr>
          <w:p>
            <w:pPr>
              <w:ind w:left="120"/>
              <w:spacing w:after="0"/>
              <w:rPr>
                <w:sz w:val="20"/>
                <w:szCs w:val="20"/>
                <w:color w:val="auto"/>
              </w:rPr>
            </w:pPr>
            <w:r>
              <w:rPr>
                <w:rFonts w:ascii="Arial" w:cs="Arial" w:eastAsia="Arial" w:hAnsi="Arial"/>
                <w:sz w:val="16"/>
                <w:szCs w:val="16"/>
                <w:color w:val="auto"/>
              </w:rPr>
              <w:t>PRASM vs.</w:t>
            </w:r>
          </w:p>
        </w:tc>
        <w:tc>
          <w:tcPr>
            <w:tcW w:w="1200" w:type="dxa"/>
            <w:vAlign w:val="bottom"/>
            <w:gridSpan w:val="2"/>
          </w:tcPr>
          <w:p>
            <w:pPr>
              <w:ind w:left="240"/>
              <w:spacing w:after="0"/>
              <w:rPr>
                <w:sz w:val="20"/>
                <w:szCs w:val="20"/>
                <w:color w:val="auto"/>
              </w:rPr>
            </w:pPr>
            <w:r>
              <w:rPr>
                <w:rFonts w:ascii="Arial" w:cs="Arial" w:eastAsia="Arial" w:hAnsi="Arial"/>
                <w:sz w:val="16"/>
                <w:szCs w:val="16"/>
                <w:color w:val="auto"/>
              </w:rPr>
              <w:t>Yield vs.</w:t>
            </w: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vs.</w:t>
            </w: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Available Seat</w:t>
            </w:r>
          </w:p>
        </w:tc>
        <w:tc>
          <w:tcPr>
            <w:tcW w:w="1100" w:type="dxa"/>
            <w:vAlign w:val="bottom"/>
          </w:tcPr>
          <w:p>
            <w:pPr>
              <w:jc w:val="center"/>
              <w:spacing w:after="0"/>
              <w:rPr>
                <w:sz w:val="20"/>
                <w:szCs w:val="20"/>
                <w:color w:val="auto"/>
              </w:rPr>
            </w:pPr>
            <w:r>
              <w:rPr>
                <w:rFonts w:ascii="Arial" w:cs="Arial" w:eastAsia="Arial" w:hAnsi="Arial"/>
                <w:sz w:val="16"/>
                <w:szCs w:val="16"/>
                <w:color w:val="auto"/>
              </w:rPr>
              <w:t>Passenger</w:t>
            </w:r>
          </w:p>
        </w:tc>
      </w:tr>
      <w:tr>
        <w:trPr>
          <w:trHeight w:val="208"/>
        </w:trPr>
        <w:tc>
          <w:tcPr>
            <w:tcW w:w="29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99"/>
              </w:rPr>
              <w:t>Revenue</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3Q 2019</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3Q 2019</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3Q 2019</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3Q 2019</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Miles</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Miles</w:t>
            </w:r>
          </w:p>
        </w:tc>
      </w:tr>
      <w:tr>
        <w:trPr>
          <w:trHeight w:val="243"/>
        </w:trPr>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Domestic</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1,246</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(81.0%)</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(45.2%)</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(12.7%)</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(65.3%)</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14,798</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8,043</w:t>
            </w:r>
          </w:p>
        </w:tc>
      </w:tr>
      <w:tr>
        <w:trPr>
          <w:trHeight w:val="257"/>
        </w:trPr>
        <w:tc>
          <w:tcPr>
            <w:tcW w:w="2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43"/>
        </w:trPr>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Atlantic</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182</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(90.7%)</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(65.7%)</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(6.1%)</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(72.9%)</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4,117</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1,305</w:t>
            </w:r>
          </w:p>
        </w:tc>
      </w:tr>
      <w:tr>
        <w:trPr>
          <w:trHeight w:val="233"/>
        </w:trPr>
        <w:tc>
          <w:tcPr>
            <w:tcW w:w="2900" w:type="dxa"/>
            <w:vAlign w:val="bottom"/>
          </w:tcPr>
          <w:p>
            <w:pPr>
              <w:ind w:left="20"/>
              <w:spacing w:after="0"/>
              <w:rPr>
                <w:sz w:val="20"/>
                <w:szCs w:val="20"/>
                <w:color w:val="auto"/>
              </w:rPr>
            </w:pPr>
            <w:r>
              <w:rPr>
                <w:rFonts w:ascii="Arial" w:cs="Arial" w:eastAsia="Arial" w:hAnsi="Arial"/>
                <w:sz w:val="16"/>
                <w:szCs w:val="16"/>
                <w:color w:val="auto"/>
              </w:rPr>
              <w:t>Pacific</w:t>
            </w:r>
          </w:p>
        </w:tc>
        <w:tc>
          <w:tcPr>
            <w:tcW w:w="1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97</w:t>
            </w: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99"/>
              </w:rPr>
              <w:t>(91.3%)</w:t>
            </w:r>
          </w:p>
        </w:tc>
        <w:tc>
          <w:tcPr>
            <w:tcW w:w="1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(43.7%)</w:t>
            </w:r>
          </w:p>
        </w:tc>
        <w:tc>
          <w:tcPr>
            <w:tcW w:w="1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rPr>
              <w:t>90.3%</w:t>
            </w:r>
          </w:p>
        </w:tc>
        <w:tc>
          <w:tcPr>
            <w:tcW w:w="1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(84.6%)</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1,669</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411</w:t>
            </w:r>
          </w:p>
        </w:tc>
      </w:tr>
      <w:tr>
        <w:trPr>
          <w:trHeight w:val="246"/>
        </w:trPr>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Latin America</w:t>
            </w: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124</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(85.3%)</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(42.8%)</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(6.4%)</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(74.3%)</w:t>
            </w:r>
          </w:p>
        </w:tc>
        <w:tc>
          <w:tcPr>
            <w:tcW w:w="12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1,628</w:t>
            </w:r>
          </w:p>
        </w:tc>
        <w:tc>
          <w:tcPr>
            <w:tcW w:w="12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854</w:t>
            </w:r>
          </w:p>
        </w:tc>
      </w:tr>
      <w:tr>
        <w:trPr>
          <w:trHeight w:val="233"/>
        </w:trPr>
        <w:tc>
          <w:tcPr>
            <w:tcW w:w="2900" w:type="dxa"/>
            <w:vAlign w:val="bottom"/>
          </w:tcPr>
          <w:p>
            <w:pPr>
              <w:ind w:left="20"/>
              <w:spacing w:after="0"/>
              <w:rPr>
                <w:sz w:val="20"/>
                <w:szCs w:val="20"/>
                <w:color w:val="auto"/>
              </w:rPr>
            </w:pPr>
            <w:r>
              <w:rPr>
                <w:rFonts w:ascii="Arial" w:cs="Arial" w:eastAsia="Arial" w:hAnsi="Arial"/>
                <w:sz w:val="16"/>
                <w:szCs w:val="16"/>
                <w:color w:val="auto"/>
              </w:rPr>
              <w:t>International</w:t>
            </w:r>
          </w:p>
        </w:tc>
        <w:tc>
          <w:tcPr>
            <w:tcW w:w="1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403</w:t>
            </w: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99"/>
              </w:rPr>
              <w:t>(89.7%)</w:t>
            </w:r>
          </w:p>
        </w:tc>
        <w:tc>
          <w:tcPr>
            <w:tcW w:w="1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(55.1%)</w:t>
            </w:r>
          </w:p>
        </w:tc>
        <w:tc>
          <w:tcPr>
            <w:tcW w:w="1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(77.1%)</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7,414</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2,570</w:t>
            </w:r>
          </w:p>
        </w:tc>
      </w:tr>
      <w:tr>
        <w:trPr>
          <w:trHeight w:val="266"/>
        </w:trPr>
        <w:tc>
          <w:tcPr>
            <w:tcW w:w="29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r>
      <w:tr>
        <w:trPr>
          <w:trHeight w:val="237"/>
        </w:trPr>
        <w:tc>
          <w:tcPr>
            <w:tcW w:w="2900" w:type="dxa"/>
            <w:vAlign w:val="bottom"/>
          </w:tcPr>
          <w:p>
            <w:pPr>
              <w:ind w:left="20"/>
              <w:spacing w:after="0"/>
              <w:rPr>
                <w:sz w:val="20"/>
                <w:szCs w:val="20"/>
                <w:color w:val="auto"/>
              </w:rPr>
            </w:pPr>
            <w:r>
              <w:rPr>
                <w:rFonts w:ascii="Arial" w:cs="Arial" w:eastAsia="Arial" w:hAnsi="Arial"/>
                <w:sz w:val="16"/>
                <w:szCs w:val="16"/>
                <w:color w:val="auto"/>
              </w:rPr>
              <w:t>Consolidated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1,649</w:t>
            </w: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99"/>
              </w:rPr>
              <w:t>(84.3%)</w:t>
            </w:r>
          </w:p>
        </w:tc>
        <w:tc>
          <w:tcPr>
            <w:tcW w:w="1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(46.8%)</w:t>
            </w:r>
          </w:p>
        </w:tc>
        <w:tc>
          <w:tcPr>
            <w:tcW w:w="1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7"/>
              </w:rPr>
              <w:t>(4.2%)</w:t>
            </w:r>
          </w:p>
        </w:tc>
        <w:tc>
          <w:tcPr>
            <w:tcW w:w="1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(70.4%)</w:t>
            </w:r>
          </w:p>
        </w:tc>
        <w:tc>
          <w:tcPr>
            <w:tcW w:w="12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22,212</w:t>
            </w:r>
          </w:p>
        </w:tc>
        <w:tc>
          <w:tcPr>
            <w:tcW w:w="12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10,613</w:t>
            </w:r>
          </w:p>
        </w:tc>
      </w:tr>
      <w:tr>
        <w:trPr>
          <w:trHeight w:val="21"/>
        </w:trPr>
        <w:tc>
          <w:tcPr>
            <w:tcW w:w="2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60" w:type="dxa"/>
            <w:vAlign w:val="bottom"/>
          </w:tcPr>
          <w:p>
            <w:pPr>
              <w:spacing w:after="0"/>
              <w:rPr>
                <w:sz w:val="20"/>
                <w:szCs w:val="20"/>
                <w:color w:val="auto"/>
              </w:rPr>
            </w:pPr>
            <w:r>
              <w:rPr>
                <w:rFonts w:ascii="Arial" w:cs="Arial" w:eastAsia="Arial" w:hAnsi="Arial"/>
                <w:sz w:val="16"/>
                <w:szCs w:val="16"/>
                <w:b w:val="1"/>
                <w:bCs w:val="1"/>
                <w:color w:val="auto"/>
              </w:rPr>
              <w:t>Select operating statistics are as follows:</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2"/>
        </w:trPr>
        <w:tc>
          <w:tcPr>
            <w:tcW w:w="3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5"/>
          </w:tcPr>
          <w:p>
            <w:pPr>
              <w:jc w:val="right"/>
              <w:ind w:right="39"/>
              <w:spacing w:after="0"/>
              <w:rPr>
                <w:sz w:val="20"/>
                <w:szCs w:val="20"/>
                <w:color w:val="auto"/>
              </w:rPr>
            </w:pPr>
            <w:r>
              <w:rPr>
                <w:rFonts w:ascii="Arial" w:cs="Arial" w:eastAsia="Arial" w:hAnsi="Arial"/>
                <w:sz w:val="16"/>
                <w:szCs w:val="16"/>
                <w:color w:val="auto"/>
              </w:rPr>
              <w:t>Three Months Ended</w:t>
            </w:r>
          </w:p>
        </w:tc>
        <w:tc>
          <w:tcPr>
            <w:tcW w:w="180" w:type="dxa"/>
            <w:vAlign w:val="bottom"/>
          </w:tcPr>
          <w:p>
            <w:pPr>
              <w:spacing w:after="0"/>
              <w:rPr>
                <w:sz w:val="24"/>
                <w:szCs w:val="24"/>
                <w:color w:val="auto"/>
              </w:rPr>
            </w:pPr>
          </w:p>
        </w:tc>
        <w:tc>
          <w:tcPr>
            <w:tcW w:w="104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w w:val="98"/>
              </w:rPr>
              <w:t>%</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gridSpan w:val="5"/>
          </w:tcPr>
          <w:p>
            <w:pPr>
              <w:jc w:val="right"/>
              <w:ind w:right="119"/>
              <w:spacing w:after="0"/>
              <w:rPr>
                <w:sz w:val="20"/>
                <w:szCs w:val="20"/>
                <w:color w:val="auto"/>
              </w:rPr>
            </w:pPr>
            <w:r>
              <w:rPr>
                <w:rFonts w:ascii="Arial" w:cs="Arial" w:eastAsia="Arial" w:hAnsi="Arial"/>
                <w:sz w:val="16"/>
                <w:szCs w:val="16"/>
                <w:color w:val="auto"/>
              </w:rPr>
              <w:t>Nine Months Ended</w:t>
            </w:r>
          </w:p>
        </w:tc>
        <w:tc>
          <w:tcPr>
            <w:tcW w:w="200" w:type="dxa"/>
            <w:vAlign w:val="bottom"/>
          </w:tcPr>
          <w:p>
            <w:pPr>
              <w:spacing w:after="0"/>
              <w:rPr>
                <w:sz w:val="24"/>
                <w:szCs w:val="24"/>
                <w:color w:val="auto"/>
              </w:rPr>
            </w:pPr>
          </w:p>
        </w:tc>
        <w:tc>
          <w:tcPr>
            <w:tcW w:w="102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w w:val="98"/>
              </w:rPr>
              <w:t>%</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9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760" w:type="dxa"/>
            <w:vAlign w:val="bottom"/>
            <w:gridSpan w:val="5"/>
            <w:vMerge w:val="restart"/>
          </w:tcPr>
          <w:p>
            <w:pPr>
              <w:jc w:val="right"/>
              <w:ind w:right="279"/>
              <w:spacing w:after="0"/>
              <w:rPr>
                <w:sz w:val="20"/>
                <w:szCs w:val="20"/>
                <w:color w:val="auto"/>
              </w:rPr>
            </w:pPr>
            <w:r>
              <w:rPr>
                <w:rFonts w:ascii="Arial" w:cs="Arial" w:eastAsia="Arial" w:hAnsi="Arial"/>
                <w:sz w:val="16"/>
                <w:szCs w:val="16"/>
                <w:color w:val="auto"/>
              </w:rPr>
              <w:t>September 30,</w:t>
            </w:r>
          </w:p>
        </w:tc>
        <w:tc>
          <w:tcPr>
            <w:tcW w:w="1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60" w:type="dxa"/>
            <w:vAlign w:val="bottom"/>
            <w:gridSpan w:val="5"/>
            <w:vMerge w:val="restart"/>
          </w:tcPr>
          <w:p>
            <w:pPr>
              <w:jc w:val="right"/>
              <w:ind w:right="279"/>
              <w:spacing w:after="0"/>
              <w:rPr>
                <w:sz w:val="20"/>
                <w:szCs w:val="20"/>
                <w:color w:val="auto"/>
              </w:rPr>
            </w:pPr>
            <w:r>
              <w:rPr>
                <w:rFonts w:ascii="Arial" w:cs="Arial" w:eastAsia="Arial" w:hAnsi="Arial"/>
                <w:sz w:val="16"/>
                <w:szCs w:val="16"/>
                <w:color w:val="auto"/>
              </w:rPr>
              <w:t>September 30,</w:t>
            </w:r>
          </w:p>
        </w:tc>
        <w:tc>
          <w:tcPr>
            <w:tcW w:w="2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9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5"/>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spacing w:after="0" w:line="127" w:lineRule="exact"/>
              <w:rPr>
                <w:sz w:val="20"/>
                <w:szCs w:val="20"/>
                <w:color w:val="auto"/>
              </w:rPr>
            </w:pPr>
            <w:r>
              <w:rPr>
                <w:rFonts w:ascii="Arial" w:cs="Arial" w:eastAsia="Arial" w:hAnsi="Arial"/>
                <w:sz w:val="14"/>
                <w:szCs w:val="14"/>
                <w:color w:val="auto"/>
              </w:rPr>
              <w:t>Increase/</w:t>
            </w:r>
          </w:p>
        </w:tc>
        <w:tc>
          <w:tcPr>
            <w:tcW w:w="4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5"/>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spacing w:after="0" w:line="127" w:lineRule="exact"/>
              <w:rPr>
                <w:sz w:val="20"/>
                <w:szCs w:val="20"/>
                <w:color w:val="auto"/>
              </w:rPr>
            </w:pPr>
            <w:r>
              <w:rPr>
                <w:rFonts w:ascii="Arial" w:cs="Arial" w:eastAsia="Arial" w:hAnsi="Arial"/>
                <w:sz w:val="14"/>
                <w:szCs w:val="14"/>
                <w:color w:val="auto"/>
              </w:rPr>
              <w:t>Increase/</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2020</w:t>
            </w:r>
          </w:p>
        </w:tc>
        <w:tc>
          <w:tcPr>
            <w:tcW w:w="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2019</w:t>
            </w:r>
          </w:p>
        </w:tc>
        <w:tc>
          <w:tcPr>
            <w:tcW w:w="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(Decrease)</w:t>
            </w:r>
          </w:p>
        </w:tc>
        <w:tc>
          <w:tcPr>
            <w:tcW w:w="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2020</w:t>
            </w:r>
          </w:p>
        </w:tc>
        <w:tc>
          <w:tcPr>
            <w:tcW w:w="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2019</w:t>
            </w:r>
          </w:p>
        </w:tc>
        <w:tc>
          <w:tcPr>
            <w:tcW w:w="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(Decrease)</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960" w:type="dxa"/>
            <w:vAlign w:val="bottom"/>
          </w:tcPr>
          <w:p>
            <w:pPr>
              <w:ind w:left="340"/>
              <w:spacing w:after="0"/>
              <w:rPr>
                <w:sz w:val="20"/>
                <w:szCs w:val="20"/>
                <w:color w:val="auto"/>
              </w:rPr>
            </w:pPr>
            <w:r>
              <w:rPr>
                <w:rFonts w:ascii="Arial" w:cs="Arial" w:eastAsia="Arial" w:hAnsi="Arial"/>
                <w:sz w:val="16"/>
                <w:szCs w:val="16"/>
                <w:color w:val="auto"/>
              </w:rPr>
              <w:t>Passengers (thousands)</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9,739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43,091</w:t>
            </w:r>
          </w:p>
        </w:tc>
        <w:tc>
          <w:tcPr>
            <w:tcW w:w="1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(77.4)</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42,911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122,137</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(64.9)</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Revenue passenger miles (millions)</w:t>
            </w: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10,613</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64,629</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(83.6)</w:t>
            </w:r>
          </w:p>
        </w:tc>
        <w:tc>
          <w:tcPr>
            <w:tcW w:w="4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56,812</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180,727</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960" w:type="dxa"/>
            <w:vAlign w:val="bottom"/>
          </w:tcPr>
          <w:p>
            <w:pPr>
              <w:ind w:left="340"/>
              <w:spacing w:after="0"/>
              <w:rPr>
                <w:sz w:val="20"/>
                <w:szCs w:val="20"/>
                <w:color w:val="auto"/>
              </w:rPr>
            </w:pPr>
            <w:r>
              <w:rPr>
                <w:rFonts w:ascii="Arial" w:cs="Arial" w:eastAsia="Arial" w:hAnsi="Arial"/>
                <w:sz w:val="16"/>
                <w:szCs w:val="16"/>
                <w:color w:val="auto"/>
              </w:rPr>
              <w:t>Available seat miles (millions)</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22,212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75,076</w:t>
            </w:r>
          </w:p>
        </w:tc>
        <w:tc>
          <w:tcPr>
            <w:tcW w:w="1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(70.4)</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92,113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213,961</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(56.9)</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Passenger load factor:</w:t>
            </w: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960" w:type="dxa"/>
            <w:vAlign w:val="bottom"/>
          </w:tcPr>
          <w:p>
            <w:pPr>
              <w:ind w:left="520"/>
              <w:spacing w:after="0"/>
              <w:rPr>
                <w:sz w:val="20"/>
                <w:szCs w:val="20"/>
                <w:color w:val="auto"/>
              </w:rPr>
            </w:pPr>
            <w:r>
              <w:rPr>
                <w:rFonts w:ascii="Arial" w:cs="Arial" w:eastAsia="Arial" w:hAnsi="Arial"/>
                <w:sz w:val="16"/>
                <w:szCs w:val="16"/>
                <w:color w:val="auto"/>
              </w:rPr>
              <w:t>Consolidated</w:t>
            </w:r>
          </w:p>
        </w:tc>
        <w:tc>
          <w:tcPr>
            <w:tcW w:w="2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47.8 %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86.1 %</w:t>
            </w:r>
          </w:p>
        </w:tc>
        <w:tc>
          <w:tcPr>
            <w:tcW w:w="120" w:type="dxa"/>
            <w:vAlign w:val="bottom"/>
          </w:tcPr>
          <w:p>
            <w:pPr>
              <w:spacing w:after="0"/>
              <w:rPr>
                <w:sz w:val="20"/>
                <w:szCs w:val="20"/>
                <w:color w:val="auto"/>
              </w:rPr>
            </w:pPr>
          </w:p>
        </w:tc>
        <w:tc>
          <w:tcPr>
            <w:tcW w:w="1400" w:type="dxa"/>
            <w:vAlign w:val="bottom"/>
            <w:gridSpan w:val="2"/>
          </w:tcPr>
          <w:p>
            <w:pPr>
              <w:jc w:val="right"/>
              <w:ind w:right="119"/>
              <w:spacing w:after="0"/>
              <w:rPr>
                <w:sz w:val="20"/>
                <w:szCs w:val="20"/>
                <w:color w:val="auto"/>
              </w:rPr>
            </w:pPr>
            <w:r>
              <w:rPr>
                <w:rFonts w:ascii="Arial" w:cs="Arial" w:eastAsia="Arial" w:hAnsi="Arial"/>
                <w:sz w:val="16"/>
                <w:szCs w:val="16"/>
                <w:color w:val="auto"/>
              </w:rPr>
              <w:t>(38.3) pts.</w:t>
            </w:r>
          </w:p>
        </w:tc>
        <w:tc>
          <w:tcPr>
            <w:tcW w:w="2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61.7 %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84.5 %</w:t>
            </w:r>
          </w:p>
        </w:tc>
        <w:tc>
          <w:tcPr>
            <w:tcW w:w="100" w:type="dxa"/>
            <w:vAlign w:val="bottom"/>
          </w:tcPr>
          <w:p>
            <w:pPr>
              <w:spacing w:after="0"/>
              <w:rPr>
                <w:sz w:val="20"/>
                <w:szCs w:val="20"/>
                <w:color w:val="auto"/>
              </w:rPr>
            </w:pPr>
          </w:p>
        </w:tc>
        <w:tc>
          <w:tcPr>
            <w:tcW w:w="1340" w:type="dxa"/>
            <w:vAlign w:val="bottom"/>
            <w:gridSpan w:val="2"/>
          </w:tcPr>
          <w:p>
            <w:pPr>
              <w:jc w:val="right"/>
              <w:ind w:right="59"/>
              <w:spacing w:after="0"/>
              <w:rPr>
                <w:sz w:val="20"/>
                <w:szCs w:val="20"/>
                <w:color w:val="auto"/>
              </w:rPr>
            </w:pPr>
            <w:r>
              <w:rPr>
                <w:rFonts w:ascii="Arial" w:cs="Arial" w:eastAsia="Arial" w:hAnsi="Arial"/>
                <w:sz w:val="16"/>
                <w:szCs w:val="16"/>
                <w:color w:val="auto"/>
              </w:rPr>
              <w:t>(22.8) pts.</w:t>
            </w:r>
          </w:p>
        </w:tc>
        <w:tc>
          <w:tcPr>
            <w:tcW w:w="0" w:type="dxa"/>
            <w:vAlign w:val="bottom"/>
          </w:tcPr>
          <w:p>
            <w:pPr>
              <w:spacing w:after="0"/>
              <w:rPr>
                <w:sz w:val="1"/>
                <w:szCs w:val="1"/>
                <w:color w:val="auto"/>
              </w:rPr>
            </w:pPr>
          </w:p>
        </w:tc>
      </w:tr>
      <w:tr>
        <w:trPr>
          <w:trHeight w:val="253"/>
        </w:trPr>
        <w:tc>
          <w:tcPr>
            <w:tcW w:w="39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Domestic</w:t>
            </w:r>
          </w:p>
        </w:tc>
        <w:tc>
          <w:tcPr>
            <w:tcW w:w="2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54.4 %</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86.6 %</w:t>
            </w:r>
          </w:p>
        </w:tc>
        <w:tc>
          <w:tcPr>
            <w:tcW w:w="1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(32.2) pts.</w:t>
            </w:r>
          </w:p>
        </w:tc>
        <w:tc>
          <w:tcPr>
            <w:tcW w:w="2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62.7 %</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85.7 %</w:t>
            </w: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(23.0) pts.</w:t>
            </w:r>
          </w:p>
        </w:tc>
        <w:tc>
          <w:tcPr>
            <w:tcW w:w="0" w:type="dxa"/>
            <w:vAlign w:val="bottom"/>
          </w:tcPr>
          <w:p>
            <w:pPr>
              <w:spacing w:after="0"/>
              <w:rPr>
                <w:sz w:val="1"/>
                <w:szCs w:val="1"/>
                <w:color w:val="auto"/>
              </w:rPr>
            </w:pPr>
          </w:p>
        </w:tc>
      </w:tr>
      <w:tr>
        <w:trPr>
          <w:trHeight w:val="233"/>
        </w:trPr>
        <w:tc>
          <w:tcPr>
            <w:tcW w:w="3960" w:type="dxa"/>
            <w:vAlign w:val="bottom"/>
          </w:tcPr>
          <w:p>
            <w:pPr>
              <w:ind w:left="520"/>
              <w:spacing w:after="0"/>
              <w:rPr>
                <w:sz w:val="20"/>
                <w:szCs w:val="20"/>
                <w:color w:val="auto"/>
              </w:rPr>
            </w:pPr>
            <w:r>
              <w:rPr>
                <w:rFonts w:ascii="Arial" w:cs="Arial" w:eastAsia="Arial" w:hAnsi="Arial"/>
                <w:sz w:val="16"/>
                <w:szCs w:val="16"/>
                <w:color w:val="auto"/>
              </w:rPr>
              <w:t>International</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85.4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(50.7)</w:t>
            </w:r>
          </w:p>
        </w:tc>
        <w:tc>
          <w:tcPr>
            <w:tcW w:w="480" w:type="dxa"/>
            <w:vAlign w:val="bottom"/>
          </w:tcPr>
          <w:p>
            <w:pPr>
              <w:jc w:val="right"/>
              <w:ind w:right="119"/>
              <w:spacing w:after="0"/>
              <w:rPr>
                <w:sz w:val="20"/>
                <w:szCs w:val="20"/>
                <w:color w:val="auto"/>
              </w:rPr>
            </w:pPr>
            <w:r>
              <w:rPr>
                <w:rFonts w:ascii="Arial" w:cs="Arial" w:eastAsia="Arial" w:hAnsi="Arial"/>
                <w:sz w:val="16"/>
                <w:szCs w:val="16"/>
                <w:color w:val="auto"/>
              </w:rPr>
              <w:t>pts.</w:t>
            </w: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60.0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82.9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(22.9)</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pts.</w:t>
            </w:r>
          </w:p>
        </w:tc>
        <w:tc>
          <w:tcPr>
            <w:tcW w:w="0" w:type="dxa"/>
            <w:vAlign w:val="bottom"/>
          </w:tcPr>
          <w:p>
            <w:pPr>
              <w:spacing w:after="0"/>
              <w:rPr>
                <w:sz w:val="1"/>
                <w:szCs w:val="1"/>
                <w:color w:val="auto"/>
              </w:rPr>
            </w:pPr>
          </w:p>
        </w:tc>
      </w:tr>
      <w:tr>
        <w:trPr>
          <w:trHeight w:val="228"/>
        </w:trPr>
        <w:tc>
          <w:tcPr>
            <w:tcW w:w="3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Passenger revenue per available seat mile</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(cents)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960" w:type="dxa"/>
            <w:vAlign w:val="bottom"/>
          </w:tcPr>
          <w:p>
            <w:pPr>
              <w:ind w:left="340"/>
              <w:spacing w:after="0"/>
              <w:rPr>
                <w:sz w:val="20"/>
                <w:szCs w:val="20"/>
                <w:color w:val="auto"/>
              </w:rPr>
            </w:pPr>
            <w:r>
              <w:rPr>
                <w:rFonts w:ascii="Arial" w:cs="Arial" w:eastAsia="Arial" w:hAnsi="Arial"/>
                <w:sz w:val="16"/>
                <w:szCs w:val="16"/>
                <w:color w:val="auto"/>
              </w:rPr>
              <w:t>Total revenue per available seat mile (cents)</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11.21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15.16</w:t>
            </w:r>
          </w:p>
        </w:tc>
        <w:tc>
          <w:tcPr>
            <w:tcW w:w="1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(26.1)</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12.97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15.13</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(14.3)</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Average yield per revenue passenger mile</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(cents)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0.7</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960" w:type="dxa"/>
            <w:vAlign w:val="bottom"/>
          </w:tcPr>
          <w:p>
            <w:pPr>
              <w:ind w:left="340"/>
              <w:spacing w:after="0"/>
              <w:rPr>
                <w:sz w:val="20"/>
                <w:szCs w:val="20"/>
                <w:color w:val="auto"/>
              </w:rPr>
            </w:pPr>
            <w:r>
              <w:rPr>
                <w:rFonts w:ascii="Arial" w:cs="Arial" w:eastAsia="Arial" w:hAnsi="Arial"/>
                <w:sz w:val="16"/>
                <w:szCs w:val="16"/>
                <w:color w:val="auto"/>
              </w:rPr>
              <w:t>Cargo ton miles</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685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804</w:t>
            </w:r>
          </w:p>
        </w:tc>
        <w:tc>
          <w:tcPr>
            <w:tcW w:w="1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(14.8)</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1,876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2,440</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(23.1)</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Aircraft in fleet at end of period</w:t>
            </w: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1,348</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4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1,348</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960" w:type="dxa"/>
            <w:vAlign w:val="bottom"/>
          </w:tcPr>
          <w:p>
            <w:pPr>
              <w:ind w:left="340"/>
              <w:spacing w:after="0"/>
              <w:rPr>
                <w:sz w:val="20"/>
                <w:szCs w:val="20"/>
                <w:color w:val="auto"/>
              </w:rPr>
            </w:pPr>
            <w:r>
              <w:rPr>
                <w:rFonts w:ascii="Arial" w:cs="Arial" w:eastAsia="Arial" w:hAnsi="Arial"/>
                <w:sz w:val="16"/>
                <w:szCs w:val="16"/>
                <w:color w:val="auto"/>
              </w:rPr>
              <w:t>Average stage length (miles)</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1,212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1,473</w:t>
            </w:r>
          </w:p>
        </w:tc>
        <w:tc>
          <w:tcPr>
            <w:tcW w:w="1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(17.7)</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1,312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1,464</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(10.4)</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Employee headcount (in thousands)</w:t>
            </w: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4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960" w:type="dxa"/>
            <w:vAlign w:val="bottom"/>
          </w:tcPr>
          <w:p>
            <w:pPr>
              <w:ind w:left="340"/>
              <w:spacing w:after="0"/>
              <w:rPr>
                <w:sz w:val="20"/>
                <w:szCs w:val="20"/>
                <w:color w:val="auto"/>
              </w:rPr>
            </w:pPr>
            <w:r>
              <w:rPr>
                <w:rFonts w:ascii="Arial" w:cs="Arial" w:eastAsia="Arial" w:hAnsi="Arial"/>
                <w:sz w:val="16"/>
                <w:szCs w:val="16"/>
                <w:color w:val="auto"/>
              </w:rPr>
              <w:t>Average aircraft fuel price per gallon</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1.31</w:t>
            </w:r>
          </w:p>
        </w:tc>
        <w:tc>
          <w:tcPr>
            <w:tcW w:w="5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2.02</w:t>
            </w:r>
          </w:p>
        </w:tc>
        <w:tc>
          <w:tcPr>
            <w:tcW w:w="1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(35.1)</w:t>
            </w:r>
          </w:p>
        </w:tc>
        <w:tc>
          <w:tcPr>
            <w:tcW w:w="48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1.65</w:t>
            </w:r>
          </w:p>
        </w:tc>
        <w:tc>
          <w:tcPr>
            <w:tcW w:w="46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2.08</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(20.7)</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Fuel gallons consumed (millions)</w:t>
            </w: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4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3,221</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b w:val="1"/>
          <w:bCs w:val="1"/>
          <w:color w:val="auto"/>
        </w:rPr>
        <w:t xml:space="preserve">Note: </w:t>
      </w:r>
      <w:r>
        <w:rPr>
          <w:rFonts w:ascii="Arial" w:cs="Arial" w:eastAsia="Arial" w:hAnsi="Arial"/>
          <w:sz w:val="16"/>
          <w:szCs w:val="16"/>
          <w:color w:val="auto"/>
        </w:rPr>
        <w:t>See Part II, Item 6, Selected Financial Data, of UAL's Annual Report on Form 10-K for the fiscal year ended December 31, 2019, for definitions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these statistics.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40"/>
          </w:cols>
          <w:pgMar w:left="320" w:top="140"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color w:val="auto"/>
        </w:rPr>
        <w:t>United Airlines Reports Third-Quarter 2020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66" w:lineRule="auto"/>
        <w:rPr>
          <w:sz w:val="20"/>
          <w:szCs w:val="20"/>
          <w:color w:val="auto"/>
        </w:rPr>
      </w:pPr>
      <w:r>
        <w:rPr>
          <w:rFonts w:ascii="Arial" w:cs="Arial" w:eastAsia="Arial" w:hAnsi="Arial"/>
          <w:sz w:val="16"/>
          <w:szCs w:val="16"/>
          <w:b w:val="1"/>
          <w:bCs w:val="1"/>
          <w:color w:val="auto"/>
        </w:rPr>
        <w:t xml:space="preserve">Cash burn: </w:t>
      </w:r>
      <w:r>
        <w:rPr>
          <w:rFonts w:ascii="Arial" w:cs="Arial" w:eastAsia="Arial" w:hAnsi="Arial"/>
          <w:sz w:val="16"/>
          <w:szCs w:val="16"/>
          <w:color w:val="auto"/>
        </w:rPr>
        <w:t>The company's management views daily "cash burn" as an important measure in monitoring liquidity in order to assess the company's cash</w:t>
      </w:r>
      <w:r>
        <w:rPr>
          <w:rFonts w:ascii="Arial" w:cs="Arial" w:eastAsia="Arial" w:hAnsi="Arial"/>
          <w:sz w:val="16"/>
          <w:szCs w:val="16"/>
          <w:b w:val="1"/>
          <w:bCs w:val="1"/>
          <w:color w:val="auto"/>
        </w:rPr>
        <w:t xml:space="preserve"> </w:t>
      </w:r>
      <w:r>
        <w:rPr>
          <w:rFonts w:ascii="Arial" w:cs="Arial" w:eastAsia="Arial" w:hAnsi="Arial"/>
          <w:sz w:val="16"/>
          <w:szCs w:val="16"/>
          <w:color w:val="auto"/>
        </w:rPr>
        <w:t>needs without the impact of certain extraordinary actions or events, and the company believes this provides useful information to investors about the company's liquidity position.</w:t>
      </w:r>
    </w:p>
    <w:p>
      <w:pPr>
        <w:spacing w:after="0" w:line="124" w:lineRule="exact"/>
        <w:rPr>
          <w:sz w:val="20"/>
          <w:szCs w:val="20"/>
          <w:color w:val="auto"/>
        </w:rPr>
      </w:pPr>
    </w:p>
    <w:tbl>
      <w:tblPr>
        <w:tblLayout w:type="fixed"/>
        <w:tblInd w:w="44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gridSpan w:val="2"/>
          </w:tcPr>
          <w:p>
            <w:pPr>
              <w:ind w:left="120"/>
              <w:spacing w:after="0"/>
              <w:rPr>
                <w:sz w:val="20"/>
                <w:szCs w:val="20"/>
                <w:color w:val="auto"/>
              </w:rPr>
            </w:pPr>
            <w:r>
              <w:rPr>
                <w:rFonts w:ascii="Arial" w:cs="Arial" w:eastAsia="Arial" w:hAnsi="Arial"/>
                <w:sz w:val="16"/>
                <w:szCs w:val="16"/>
                <w:color w:val="auto"/>
              </w:rPr>
              <w:t>Three Months Ended</w:t>
            </w:r>
          </w:p>
        </w:tc>
        <w:tc>
          <w:tcPr>
            <w:tcW w:w="220" w:type="dxa"/>
            <w:vAlign w:val="bottom"/>
          </w:tcPr>
          <w:p>
            <w:pPr>
              <w:spacing w:after="0"/>
              <w:rPr>
                <w:sz w:val="16"/>
                <w:szCs w:val="16"/>
                <w:color w:val="auto"/>
              </w:rPr>
            </w:pPr>
          </w:p>
        </w:tc>
        <w:tc>
          <w:tcPr>
            <w:tcW w:w="2000" w:type="dxa"/>
            <w:vAlign w:val="bottom"/>
          </w:tcPr>
          <w:p>
            <w:pPr>
              <w:jc w:val="right"/>
              <w:ind w:right="279"/>
              <w:spacing w:after="0"/>
              <w:rPr>
                <w:sz w:val="20"/>
                <w:szCs w:val="20"/>
                <w:color w:val="auto"/>
              </w:rPr>
            </w:pPr>
            <w:r>
              <w:rPr>
                <w:rFonts w:ascii="Arial" w:cs="Arial" w:eastAsia="Arial" w:hAnsi="Arial"/>
                <w:sz w:val="16"/>
                <w:szCs w:val="16"/>
                <w:color w:val="auto"/>
              </w:rPr>
              <w:t>Three Months Ended</w:t>
            </w:r>
          </w:p>
        </w:tc>
      </w:tr>
      <w:tr>
        <w:trPr>
          <w:trHeight w:val="208"/>
        </w:trPr>
        <w:tc>
          <w:tcPr>
            <w:tcW w:w="5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2"/>
          </w:tcPr>
          <w:p>
            <w:pPr>
              <w:ind w:left="140"/>
              <w:spacing w:after="0"/>
              <w:rPr>
                <w:sz w:val="20"/>
                <w:szCs w:val="20"/>
                <w:color w:val="auto"/>
              </w:rPr>
            </w:pPr>
            <w:r>
              <w:rPr>
                <w:rFonts w:ascii="Arial" w:cs="Arial" w:eastAsia="Arial" w:hAnsi="Arial"/>
                <w:sz w:val="16"/>
                <w:szCs w:val="16"/>
                <w:color w:val="auto"/>
              </w:rPr>
              <w:t>September 30, 2020</w:t>
            </w:r>
          </w:p>
        </w:tc>
        <w:tc>
          <w:tcPr>
            <w:tcW w:w="220" w:type="dxa"/>
            <w:vAlign w:val="bottom"/>
          </w:tcPr>
          <w:p>
            <w:pPr>
              <w:spacing w:after="0"/>
              <w:rPr>
                <w:sz w:val="18"/>
                <w:szCs w:val="18"/>
                <w:color w:val="auto"/>
              </w:rPr>
            </w:pPr>
          </w:p>
        </w:tc>
        <w:tc>
          <w:tcPr>
            <w:tcW w:w="2000" w:type="dxa"/>
            <w:vAlign w:val="bottom"/>
          </w:tcPr>
          <w:p>
            <w:pPr>
              <w:jc w:val="right"/>
              <w:ind w:right="519"/>
              <w:spacing w:after="0"/>
              <w:rPr>
                <w:sz w:val="20"/>
                <w:szCs w:val="20"/>
                <w:color w:val="auto"/>
              </w:rPr>
            </w:pPr>
            <w:r>
              <w:rPr>
                <w:rFonts w:ascii="Arial" w:cs="Arial" w:eastAsia="Arial" w:hAnsi="Arial"/>
                <w:sz w:val="16"/>
                <w:szCs w:val="16"/>
                <w:color w:val="auto"/>
              </w:rPr>
              <w:t>June 30, 2020</w:t>
            </w:r>
          </w:p>
        </w:tc>
      </w:tr>
      <w:tr>
        <w:trPr>
          <w:trHeight w:val="243"/>
        </w:trPr>
        <w:tc>
          <w:tcPr>
            <w:tcW w:w="5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by operating activities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(1,889)</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33"/>
        </w:trPr>
        <w:tc>
          <w:tcPr>
            <w:tcW w:w="5840" w:type="dxa"/>
            <w:vAlign w:val="bottom"/>
          </w:tcPr>
          <w:p>
            <w:pPr>
              <w:ind w:left="20"/>
              <w:spacing w:after="0"/>
              <w:rPr>
                <w:sz w:val="20"/>
                <w:szCs w:val="20"/>
                <w:color w:val="auto"/>
              </w:rPr>
            </w:pPr>
            <w:r>
              <w:rPr>
                <w:rFonts w:ascii="Arial" w:cs="Arial" w:eastAsia="Arial" w:hAnsi="Arial"/>
                <w:sz w:val="16"/>
                <w:szCs w:val="16"/>
                <w:color w:val="auto"/>
              </w:rPr>
              <w:t>Cash flows provided by investing activities</w:t>
            </w:r>
          </w:p>
        </w:tc>
        <w:tc>
          <w:tcPr>
            <w:tcW w:w="220" w:type="dxa"/>
            <w:vAlign w:val="bottom"/>
          </w:tcPr>
          <w:p>
            <w:pPr>
              <w:spacing w:after="0"/>
              <w:rPr>
                <w:sz w:val="20"/>
                <w:szCs w:val="20"/>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770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812</w:t>
            </w:r>
          </w:p>
        </w:tc>
      </w:tr>
      <w:tr>
        <w:trPr>
          <w:trHeight w:val="246"/>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provided by financing activities</w:t>
            </w:r>
          </w:p>
        </w:tc>
        <w:tc>
          <w:tcPr>
            <w:tcW w:w="220" w:type="dxa"/>
            <w:vAlign w:val="bottom"/>
            <w:tcBorders>
              <w:bottom w:val="single" w:sz="8" w:color="auto"/>
            </w:tcBorders>
            <w:shd w:val="clear" w:color="auto" w:fill="CCEEFF"/>
          </w:tcPr>
          <w:p>
            <w:pPr>
              <w:spacing w:after="0"/>
              <w:rPr>
                <w:sz w:val="21"/>
                <w:szCs w:val="21"/>
                <w:color w:val="auto"/>
              </w:rPr>
            </w:pPr>
          </w:p>
        </w:tc>
        <w:tc>
          <w:tcPr>
            <w:tcW w:w="2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7,905</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2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2,382</w:t>
            </w:r>
          </w:p>
        </w:tc>
      </w:tr>
      <w:tr>
        <w:trPr>
          <w:trHeight w:val="233"/>
        </w:trPr>
        <w:tc>
          <w:tcPr>
            <w:tcW w:w="5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6,786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3,064</w:t>
            </w:r>
          </w:p>
        </w:tc>
      </w:tr>
      <w:tr>
        <w:trPr>
          <w:trHeight w:val="280"/>
        </w:trPr>
        <w:tc>
          <w:tcPr>
            <w:tcW w:w="58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r>
      <w:tr>
        <w:trPr>
          <w:trHeight w:val="233"/>
        </w:trPr>
        <w:tc>
          <w:tcPr>
            <w:tcW w:w="5840" w:type="dxa"/>
            <w:vAlign w:val="bottom"/>
          </w:tcPr>
          <w:p>
            <w:pPr>
              <w:ind w:left="20"/>
              <w:spacing w:after="0"/>
              <w:rPr>
                <w:sz w:val="20"/>
                <w:szCs w:val="20"/>
                <w:color w:val="auto"/>
              </w:rPr>
            </w:pPr>
            <w:r>
              <w:rPr>
                <w:rFonts w:ascii="Arial" w:cs="Arial" w:eastAsia="Arial" w:hAnsi="Arial"/>
                <w:sz w:val="16"/>
                <w:szCs w:val="16"/>
                <w:color w:val="auto"/>
              </w:rPr>
              <w:t>Adjusted to remove:</w:t>
            </w: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53"/>
        </w:trPr>
        <w:tc>
          <w:tcPr>
            <w:tcW w:w="58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proceeds from sale of short-term and other investments</w:t>
            </w:r>
          </w:p>
        </w:tc>
        <w:tc>
          <w:tcPr>
            <w:tcW w:w="220" w:type="dxa"/>
            <w:vAlign w:val="bottom"/>
            <w:shd w:val="clear" w:color="auto" w:fill="CCEEFF"/>
          </w:tcPr>
          <w:p>
            <w:pPr>
              <w:spacing w:after="0"/>
              <w:rPr>
                <w:sz w:val="21"/>
                <w:szCs w:val="21"/>
                <w:color w:val="auto"/>
              </w:rPr>
            </w:pPr>
          </w:p>
        </w:tc>
        <w:tc>
          <w:tcPr>
            <w:tcW w:w="2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838</w:t>
            </w:r>
          </w:p>
        </w:tc>
      </w:tr>
      <w:tr>
        <w:trPr>
          <w:trHeight w:val="233"/>
        </w:trPr>
        <w:tc>
          <w:tcPr>
            <w:tcW w:w="5840" w:type="dxa"/>
            <w:vAlign w:val="bottom"/>
          </w:tcPr>
          <w:p>
            <w:pPr>
              <w:ind w:left="100"/>
              <w:spacing w:after="0"/>
              <w:rPr>
                <w:sz w:val="20"/>
                <w:szCs w:val="20"/>
                <w:color w:val="auto"/>
              </w:rPr>
            </w:pPr>
            <w:r>
              <w:rPr>
                <w:rFonts w:ascii="Arial" w:cs="Arial" w:eastAsia="Arial" w:hAnsi="Arial"/>
                <w:sz w:val="16"/>
                <w:szCs w:val="16"/>
                <w:color w:val="auto"/>
              </w:rPr>
              <w:t>CARES Act Payroll Support Program ("PSP") grant</w:t>
            </w:r>
          </w:p>
        </w:tc>
        <w:tc>
          <w:tcPr>
            <w:tcW w:w="220" w:type="dxa"/>
            <w:vAlign w:val="bottom"/>
          </w:tcPr>
          <w:p>
            <w:pPr>
              <w:spacing w:after="0"/>
              <w:rPr>
                <w:sz w:val="20"/>
                <w:szCs w:val="20"/>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447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3,154</w:t>
            </w:r>
          </w:p>
        </w:tc>
      </w:tr>
      <w:tr>
        <w:trPr>
          <w:trHeight w:val="253"/>
        </w:trPr>
        <w:tc>
          <w:tcPr>
            <w:tcW w:w="58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PSP Note</w:t>
            </w:r>
          </w:p>
        </w:tc>
        <w:tc>
          <w:tcPr>
            <w:tcW w:w="220" w:type="dxa"/>
            <w:vAlign w:val="bottom"/>
            <w:shd w:val="clear" w:color="auto" w:fill="CCEEFF"/>
          </w:tcPr>
          <w:p>
            <w:pPr>
              <w:spacing w:after="0"/>
              <w:rPr>
                <w:sz w:val="21"/>
                <w:szCs w:val="21"/>
                <w:color w:val="auto"/>
              </w:rPr>
            </w:pPr>
          </w:p>
        </w:tc>
        <w:tc>
          <w:tcPr>
            <w:tcW w:w="2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1,309</w:t>
            </w:r>
          </w:p>
        </w:tc>
      </w:tr>
      <w:tr>
        <w:trPr>
          <w:trHeight w:val="233"/>
        </w:trPr>
        <w:tc>
          <w:tcPr>
            <w:tcW w:w="5840" w:type="dxa"/>
            <w:vAlign w:val="bottom"/>
          </w:tcPr>
          <w:p>
            <w:pPr>
              <w:ind w:left="100"/>
              <w:spacing w:after="0"/>
              <w:rPr>
                <w:sz w:val="20"/>
                <w:szCs w:val="20"/>
                <w:color w:val="auto"/>
              </w:rPr>
            </w:pPr>
            <w:r>
              <w:rPr>
                <w:rFonts w:ascii="Arial" w:cs="Arial" w:eastAsia="Arial" w:hAnsi="Arial"/>
                <w:sz w:val="16"/>
                <w:szCs w:val="16"/>
                <w:color w:val="auto"/>
              </w:rPr>
              <w:t>CARES Act secured loan</w:t>
            </w:r>
          </w:p>
        </w:tc>
        <w:tc>
          <w:tcPr>
            <w:tcW w:w="220" w:type="dxa"/>
            <w:vAlign w:val="bottom"/>
          </w:tcPr>
          <w:p>
            <w:pPr>
              <w:spacing w:after="0"/>
              <w:rPr>
                <w:sz w:val="20"/>
                <w:szCs w:val="20"/>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520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58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Secured debt (net of discount and fees)</w:t>
            </w:r>
          </w:p>
        </w:tc>
        <w:tc>
          <w:tcPr>
            <w:tcW w:w="220" w:type="dxa"/>
            <w:vAlign w:val="bottom"/>
            <w:shd w:val="clear" w:color="auto" w:fill="CCEEFF"/>
          </w:tcPr>
          <w:p>
            <w:pPr>
              <w:spacing w:after="0"/>
              <w:rPr>
                <w:sz w:val="21"/>
                <w:szCs w:val="21"/>
                <w:color w:val="auto"/>
              </w:rPr>
            </w:pPr>
          </w:p>
        </w:tc>
        <w:tc>
          <w:tcPr>
            <w:tcW w:w="2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7,376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250</w:t>
            </w:r>
          </w:p>
        </w:tc>
      </w:tr>
      <w:tr>
        <w:trPr>
          <w:trHeight w:val="233"/>
        </w:trPr>
        <w:tc>
          <w:tcPr>
            <w:tcW w:w="5840" w:type="dxa"/>
            <w:vAlign w:val="bottom"/>
          </w:tcPr>
          <w:p>
            <w:pPr>
              <w:ind w:left="20"/>
              <w:spacing w:after="0"/>
              <w:rPr>
                <w:sz w:val="20"/>
                <w:szCs w:val="20"/>
                <w:color w:val="auto"/>
              </w:rPr>
            </w:pPr>
            <w:r>
              <w:rPr>
                <w:rFonts w:ascii="Arial" w:cs="Arial" w:eastAsia="Arial" w:hAnsi="Arial"/>
                <w:sz w:val="16"/>
                <w:szCs w:val="16"/>
                <w:color w:val="auto"/>
              </w:rPr>
              <w:t>Equity issuances</w:t>
            </w:r>
          </w:p>
        </w:tc>
        <w:tc>
          <w:tcPr>
            <w:tcW w:w="220" w:type="dxa"/>
            <w:vAlign w:val="bottom"/>
          </w:tcPr>
          <w:p>
            <w:pPr>
              <w:spacing w:after="0"/>
              <w:rPr>
                <w:sz w:val="20"/>
                <w:szCs w:val="20"/>
                <w:color w:val="auto"/>
              </w:rPr>
            </w:pPr>
          </w:p>
        </w:tc>
        <w:tc>
          <w:tcPr>
            <w:tcW w:w="2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1,135</w:t>
            </w:r>
          </w:p>
        </w:tc>
      </w:tr>
      <w:tr>
        <w:trPr>
          <w:trHeight w:val="246"/>
        </w:trPr>
        <w:tc>
          <w:tcPr>
            <w:tcW w:w="5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Increase in restricted cash balance</w:t>
            </w:r>
          </w:p>
        </w:tc>
        <w:tc>
          <w:tcPr>
            <w:tcW w:w="220" w:type="dxa"/>
            <w:vAlign w:val="bottom"/>
            <w:tcBorders>
              <w:bottom w:val="single" w:sz="8" w:color="auto"/>
            </w:tcBorders>
            <w:shd w:val="clear" w:color="auto" w:fill="CCEEFF"/>
          </w:tcPr>
          <w:p>
            <w:pPr>
              <w:spacing w:after="0"/>
              <w:rPr>
                <w:sz w:val="21"/>
                <w:szCs w:val="21"/>
                <w:color w:val="auto"/>
              </w:rPr>
            </w:pPr>
          </w:p>
        </w:tc>
        <w:tc>
          <w:tcPr>
            <w:tcW w:w="2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2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3"/>
        </w:trPr>
        <w:tc>
          <w:tcPr>
            <w:tcW w:w="5840" w:type="dxa"/>
            <w:vAlign w:val="bottom"/>
          </w:tcPr>
          <w:p>
            <w:pPr>
              <w:ind w:left="240"/>
              <w:spacing w:after="0"/>
              <w:rPr>
                <w:sz w:val="20"/>
                <w:szCs w:val="20"/>
                <w:color w:val="auto"/>
              </w:rPr>
            </w:pPr>
            <w:r>
              <w:rPr>
                <w:rFonts w:ascii="Arial" w:cs="Arial" w:eastAsia="Arial" w:hAnsi="Arial"/>
                <w:sz w:val="16"/>
                <w:szCs w:val="16"/>
                <w:color w:val="auto"/>
              </w:rPr>
              <w:t>Total Adjustments</w:t>
            </w:r>
          </w:p>
        </w:tc>
        <w:tc>
          <w:tcPr>
            <w:tcW w:w="220" w:type="dxa"/>
            <w:vAlign w:val="bottom"/>
          </w:tcPr>
          <w:p>
            <w:pPr>
              <w:spacing w:after="0"/>
              <w:rPr>
                <w:sz w:val="20"/>
                <w:szCs w:val="20"/>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9,040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6,687</w:t>
            </w:r>
          </w:p>
        </w:tc>
      </w:tr>
      <w:tr>
        <w:trPr>
          <w:trHeight w:val="280"/>
        </w:trPr>
        <w:tc>
          <w:tcPr>
            <w:tcW w:w="584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20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2000" w:type="dxa"/>
            <w:vAlign w:val="bottom"/>
            <w:tcBorders>
              <w:bottom w:val="single" w:sz="8" w:color="auto"/>
            </w:tcBorders>
            <w:shd w:val="clear" w:color="auto" w:fill="CCEEFF"/>
          </w:tcPr>
          <w:p>
            <w:pPr>
              <w:spacing w:after="0"/>
              <w:rPr>
                <w:sz w:val="24"/>
                <w:szCs w:val="24"/>
                <w:color w:val="auto"/>
              </w:rPr>
            </w:pPr>
          </w:p>
        </w:tc>
      </w:tr>
      <w:tr>
        <w:trPr>
          <w:trHeight w:val="237"/>
        </w:trPr>
        <w:tc>
          <w:tcPr>
            <w:tcW w:w="5840" w:type="dxa"/>
            <w:vAlign w:val="bottom"/>
          </w:tcPr>
          <w:p>
            <w:pPr>
              <w:ind w:left="20"/>
              <w:spacing w:after="0"/>
              <w:rPr>
                <w:sz w:val="20"/>
                <w:szCs w:val="20"/>
                <w:color w:val="auto"/>
              </w:rPr>
            </w:pPr>
            <w:r>
              <w:rPr>
                <w:rFonts w:ascii="Arial" w:cs="Arial" w:eastAsia="Arial" w:hAnsi="Arial"/>
                <w:sz w:val="16"/>
                <w:szCs w:val="16"/>
                <w:color w:val="auto"/>
              </w:rPr>
              <w:t>Adjusted cash burn</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(2,254)</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(3,623)</w:t>
            </w: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Days in the period</w:t>
            </w:r>
          </w:p>
        </w:tc>
        <w:tc>
          <w:tcPr>
            <w:tcW w:w="220" w:type="dxa"/>
            <w:vAlign w:val="bottom"/>
            <w:tcBorders>
              <w:bottom w:val="single" w:sz="8" w:color="auto"/>
            </w:tcBorders>
            <w:shd w:val="clear" w:color="auto" w:fill="CCEEFF"/>
          </w:tcPr>
          <w:p>
            <w:pPr>
              <w:spacing w:after="0"/>
              <w:rPr>
                <w:sz w:val="20"/>
                <w:szCs w:val="20"/>
                <w:color w:val="auto"/>
              </w:rPr>
            </w:pPr>
          </w:p>
        </w:tc>
        <w:tc>
          <w:tcPr>
            <w:tcW w:w="2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2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w:t>
            </w:r>
          </w:p>
        </w:tc>
      </w:tr>
      <w:tr>
        <w:trPr>
          <w:trHeight w:val="243"/>
        </w:trPr>
        <w:tc>
          <w:tcPr>
            <w:tcW w:w="5840" w:type="dxa"/>
            <w:vAlign w:val="bottom"/>
          </w:tcPr>
          <w:p>
            <w:pPr>
              <w:ind w:left="20"/>
              <w:spacing w:after="0"/>
              <w:rPr>
                <w:sz w:val="20"/>
                <w:szCs w:val="20"/>
                <w:color w:val="auto"/>
              </w:rPr>
            </w:pPr>
            <w:r>
              <w:rPr>
                <w:rFonts w:ascii="Arial" w:cs="Arial" w:eastAsia="Arial" w:hAnsi="Arial"/>
                <w:sz w:val="16"/>
                <w:szCs w:val="16"/>
                <w:color w:val="auto"/>
              </w:rPr>
              <w:t>Average daily cash burn</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r>
      <w:tr>
        <w:trPr>
          <w:trHeight w:val="20"/>
        </w:trPr>
        <w:tc>
          <w:tcPr>
            <w:tcW w:w="5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80"/>
          </w:cols>
          <w:pgMar w:left="320" w:top="140" w:right="69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United Airlines Reports Third-Quarter 2020 Performance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UNITED AIRLINES HOLDINGS, INC.</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NON-GAAP FINANCIAL RECONCILIATION</w:t>
      </w:r>
    </w:p>
    <w:p>
      <w:pPr>
        <w:spacing w:after="0" w:line="19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UAL evaluates its financial performance utilizing various accounting principles generally accepted in the United States of America (GAAP) and Non-GAAP financial measures, including adjusted operating income (loss), adjusted operating margin, adjusted pre-tax income (loss), adjusted pre-tax margin, adjusted net income (loss), adjusted diluted earnings (loss) per share and CASM, excluding special charges, third-party business expenses, fuel, and profit sharing, among others. UAL believes that adjusting for special charges and for nonoperating credit losses and nonoperating special termination benefits and settlement losses is useful to investors because these items are not indicative of UAL's ongoing performance. UAL believes that adjusting for unrealized (gains) losses on investments, net is useful to investors because those unrealized gains or losses may not ultimately be realized on a cash basis. UAL believes that adjusting for interest expense related to finance leases of Embraer ERJ 145 aircraft is useful to investors because of the accelerated recognition of interest expense.</w:t>
      </w:r>
    </w:p>
    <w:p>
      <w:pPr>
        <w:spacing w:after="0" w:line="234"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CASM is a common metric used in the airline industry to measure an airline's cost structure and efficiency. UAL reports CASM excluding special charges, third-party business expenses, fuel and profit sharing. UAL believes that adjusting for special charges is useful to investors because special charges are not indicative of UAL's ongoing performance. UAL also believes that excluding third-party business expenses, such as maintenance, ground handling and catering services for third parties, provides more meaningful disclosure because these expenses are not directly related to UAL's core business. UAL also believes that excluding fuel costs from certain measures is useful to investors because it provides an additional measure of management's performance excluding the effects of a significant cost item over which management has limited influence. UAL excludes profit sharing because this exclusion allows investors to better understand and analyze our operating cost performance and provides a more meaningful comparison of our core operating costs to the airline industry.</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Reconciliations of reported non-GAAP financial measures to the most directly comparable GAAP financial measures are included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80" w:type="dxa"/>
            <w:vAlign w:val="bottom"/>
          </w:tcPr>
          <w:p>
            <w:pPr>
              <w:spacing w:after="0"/>
              <w:rPr>
                <w:sz w:val="16"/>
                <w:szCs w:val="16"/>
                <w:color w:val="auto"/>
              </w:rPr>
            </w:pPr>
          </w:p>
        </w:tc>
        <w:tc>
          <w:tcPr>
            <w:tcW w:w="2160" w:type="dxa"/>
            <w:vAlign w:val="bottom"/>
            <w:gridSpan w:val="3"/>
          </w:tcPr>
          <w:p>
            <w:pPr>
              <w:jc w:val="right"/>
              <w:ind w:right="239"/>
              <w:spacing w:after="0"/>
              <w:rPr>
                <w:sz w:val="20"/>
                <w:szCs w:val="20"/>
                <w:color w:val="auto"/>
              </w:rPr>
            </w:pPr>
            <w:r>
              <w:rPr>
                <w:rFonts w:ascii="Arial" w:cs="Arial" w:eastAsia="Arial" w:hAnsi="Arial"/>
                <w:sz w:val="16"/>
                <w:szCs w:val="16"/>
                <w:color w:val="auto"/>
              </w:rPr>
              <w:t>Three Months Ended</w:t>
            </w:r>
          </w:p>
        </w:tc>
        <w:tc>
          <w:tcPr>
            <w:tcW w:w="106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6"/>
                <w:szCs w:val="16"/>
                <w:color w:val="auto"/>
              </w:rPr>
            </w:pPr>
          </w:p>
        </w:tc>
        <w:tc>
          <w:tcPr>
            <w:tcW w:w="1780" w:type="dxa"/>
            <w:vAlign w:val="bottom"/>
            <w:gridSpan w:val="3"/>
          </w:tcPr>
          <w:p>
            <w:pPr>
              <w:jc w:val="right"/>
              <w:ind w:right="119"/>
              <w:spacing w:after="0"/>
              <w:rPr>
                <w:sz w:val="20"/>
                <w:szCs w:val="20"/>
                <w:color w:val="auto"/>
              </w:rPr>
            </w:pPr>
            <w:r>
              <w:rPr>
                <w:rFonts w:ascii="Arial" w:cs="Arial" w:eastAsia="Arial" w:hAnsi="Arial"/>
                <w:sz w:val="16"/>
                <w:szCs w:val="16"/>
                <w:color w:val="auto"/>
              </w:rPr>
              <w:t>Nine Months Ended</w:t>
            </w:r>
          </w:p>
        </w:tc>
        <w:tc>
          <w:tcPr>
            <w:tcW w:w="108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68"/>
        </w:trPr>
        <w:tc>
          <w:tcPr>
            <w:tcW w:w="4980" w:type="dxa"/>
            <w:vAlign w:val="bottom"/>
          </w:tcPr>
          <w:p>
            <w:pPr>
              <w:spacing w:after="0"/>
              <w:rPr>
                <w:sz w:val="5"/>
                <w:szCs w:val="5"/>
                <w:color w:val="auto"/>
              </w:rPr>
            </w:pPr>
          </w:p>
        </w:tc>
        <w:tc>
          <w:tcPr>
            <w:tcW w:w="2160" w:type="dxa"/>
            <w:vAlign w:val="bottom"/>
            <w:gridSpan w:val="3"/>
            <w:vMerge w:val="restart"/>
          </w:tcPr>
          <w:p>
            <w:pPr>
              <w:jc w:val="right"/>
              <w:ind w:right="459"/>
              <w:spacing w:after="0"/>
              <w:rPr>
                <w:sz w:val="20"/>
                <w:szCs w:val="20"/>
                <w:color w:val="auto"/>
              </w:rPr>
            </w:pPr>
            <w:r>
              <w:rPr>
                <w:rFonts w:ascii="Arial" w:cs="Arial" w:eastAsia="Arial" w:hAnsi="Arial"/>
                <w:sz w:val="16"/>
                <w:szCs w:val="16"/>
                <w:color w:val="auto"/>
              </w:rPr>
              <w:t>September 30,</w:t>
            </w:r>
          </w:p>
        </w:tc>
        <w:tc>
          <w:tcPr>
            <w:tcW w:w="10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780" w:type="dxa"/>
            <w:vAlign w:val="bottom"/>
            <w:gridSpan w:val="3"/>
            <w:vMerge w:val="restart"/>
          </w:tcPr>
          <w:p>
            <w:pPr>
              <w:jc w:val="right"/>
              <w:ind w:right="279"/>
              <w:spacing w:after="0"/>
              <w:rPr>
                <w:sz w:val="20"/>
                <w:szCs w:val="20"/>
                <w:color w:val="auto"/>
              </w:rPr>
            </w:pPr>
            <w:r>
              <w:rPr>
                <w:rFonts w:ascii="Arial" w:cs="Arial" w:eastAsia="Arial" w:hAnsi="Arial"/>
                <w:sz w:val="16"/>
                <w:szCs w:val="16"/>
                <w:color w:val="auto"/>
              </w:rPr>
              <w:t>September 30,</w:t>
            </w:r>
          </w:p>
        </w:tc>
        <w:tc>
          <w:tcPr>
            <w:tcW w:w="10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4980" w:type="dxa"/>
            <w:vAlign w:val="bottom"/>
          </w:tcPr>
          <w:p>
            <w:pPr>
              <w:spacing w:after="0"/>
              <w:rPr>
                <w:sz w:val="12"/>
                <w:szCs w:val="12"/>
                <w:color w:val="auto"/>
              </w:rPr>
            </w:pPr>
          </w:p>
        </w:tc>
        <w:tc>
          <w:tcPr>
            <w:tcW w:w="2160" w:type="dxa"/>
            <w:vAlign w:val="bottom"/>
            <w:tcBorders>
              <w:bottom w:val="single" w:sz="8" w:color="auto"/>
            </w:tcBorders>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00"/>
              <w:spacing w:after="0" w:line="127" w:lineRule="exact"/>
              <w:rPr>
                <w:sz w:val="20"/>
                <w:szCs w:val="20"/>
                <w:color w:val="auto"/>
              </w:rPr>
            </w:pPr>
            <w:r>
              <w:rPr>
                <w:rFonts w:ascii="Arial" w:cs="Arial" w:eastAsia="Arial" w:hAnsi="Arial"/>
                <w:sz w:val="14"/>
                <w:szCs w:val="14"/>
                <w:color w:val="auto"/>
              </w:rPr>
              <w:t>Increase/</w:t>
            </w:r>
          </w:p>
        </w:tc>
        <w:tc>
          <w:tcPr>
            <w:tcW w:w="1780" w:type="dxa"/>
            <w:vAlign w:val="bottom"/>
            <w:tcBorders>
              <w:bottom w:val="single" w:sz="8" w:color="auto"/>
            </w:tcBorders>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spacing w:after="0" w:line="127" w:lineRule="exact"/>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p>
        </w:tc>
        <w:tc>
          <w:tcPr>
            <w:tcW w:w="1020" w:type="dxa"/>
            <w:vAlign w:val="bottom"/>
          </w:tcPr>
          <w:p>
            <w:pPr>
              <w:jc w:val="right"/>
              <w:ind w:right="239"/>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20"/>
                <w:szCs w:val="20"/>
                <w:color w:val="auto"/>
              </w:rPr>
            </w:pPr>
          </w:p>
        </w:tc>
        <w:tc>
          <w:tcPr>
            <w:tcW w:w="1040" w:type="dxa"/>
            <w:vAlign w:val="bottom"/>
          </w:tcPr>
          <w:p>
            <w:pPr>
              <w:jc w:val="right"/>
              <w:ind w:right="259"/>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20"/>
                <w:szCs w:val="20"/>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color w:val="auto"/>
              </w:rPr>
              <w:t>(Decrease)</w:t>
            </w: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20"/>
                <w:szCs w:val="20"/>
                <w:color w:val="auto"/>
              </w:rPr>
            </w:pP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29"/>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CASM (cents)</w:t>
            </w: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980" w:type="dxa"/>
            <w:vAlign w:val="bottom"/>
          </w:tcPr>
          <w:p>
            <w:pPr>
              <w:ind w:left="20"/>
              <w:spacing w:after="0"/>
              <w:rPr>
                <w:sz w:val="20"/>
                <w:szCs w:val="20"/>
                <w:color w:val="auto"/>
              </w:rPr>
            </w:pPr>
            <w:r>
              <w:rPr>
                <w:rFonts w:ascii="Arial" w:cs="Arial" w:eastAsia="Arial" w:hAnsi="Arial"/>
                <w:sz w:val="16"/>
                <w:szCs w:val="16"/>
                <w:color w:val="auto"/>
              </w:rPr>
              <w:t>Cost per available seat mile (CASM) (GAAP)</w:t>
            </w:r>
          </w:p>
        </w:tc>
        <w:tc>
          <w:tcPr>
            <w:tcW w:w="1020" w:type="dxa"/>
            <w:vAlign w:val="bottom"/>
          </w:tcPr>
          <w:p>
            <w:pPr>
              <w:jc w:val="right"/>
              <w:spacing w:after="0"/>
              <w:rPr>
                <w:sz w:val="20"/>
                <w:szCs w:val="20"/>
                <w:color w:val="auto"/>
              </w:rPr>
            </w:pPr>
            <w:r>
              <w:rPr>
                <w:rFonts w:ascii="Arial" w:cs="Arial" w:eastAsia="Arial" w:hAnsi="Arial"/>
                <w:sz w:val="16"/>
                <w:szCs w:val="16"/>
                <w:color w:val="auto"/>
              </w:rPr>
              <w:t>18.48</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13.20</w:t>
            </w:r>
          </w:p>
        </w:tc>
        <w:tc>
          <w:tcPr>
            <w:tcW w:w="1060" w:type="dxa"/>
            <w:vAlign w:val="bottom"/>
            <w:gridSpan w:val="2"/>
          </w:tcPr>
          <w:p>
            <w:pPr>
              <w:jc w:val="right"/>
              <w:ind w:right="2"/>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17.55</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13.52</w:t>
            </w:r>
          </w:p>
        </w:tc>
        <w:tc>
          <w:tcPr>
            <w:tcW w:w="1080" w:type="dxa"/>
            <w:vAlign w:val="bottom"/>
            <w:gridSpan w:val="2"/>
          </w:tcPr>
          <w:p>
            <w:pPr>
              <w:jc w:val="right"/>
              <w:ind w:right="22"/>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253"/>
        </w:trPr>
        <w:tc>
          <w:tcPr>
            <w:tcW w:w="4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Special charges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NM</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33"/>
        </w:trPr>
        <w:tc>
          <w:tcPr>
            <w:tcW w:w="4980" w:type="dxa"/>
            <w:vAlign w:val="bottom"/>
          </w:tcPr>
          <w:p>
            <w:pPr>
              <w:ind w:left="220"/>
              <w:spacing w:after="0"/>
              <w:rPr>
                <w:sz w:val="20"/>
                <w:szCs w:val="20"/>
                <w:color w:val="auto"/>
              </w:rPr>
            </w:pPr>
            <w:r>
              <w:rPr>
                <w:rFonts w:ascii="Arial" w:cs="Arial" w:eastAsia="Arial" w:hAnsi="Arial"/>
                <w:sz w:val="16"/>
                <w:szCs w:val="16"/>
                <w:color w:val="auto"/>
              </w:rPr>
              <w:t>Third-party business expenses</w:t>
            </w:r>
          </w:p>
        </w:tc>
        <w:tc>
          <w:tcPr>
            <w:tcW w:w="1020" w:type="dxa"/>
            <w:vAlign w:val="bottom"/>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Pr>
          <w:p>
            <w:pPr>
              <w:spacing w:after="0"/>
              <w:rPr>
                <w:sz w:val="20"/>
                <w:szCs w:val="20"/>
                <w:color w:val="auto"/>
              </w:rPr>
            </w:pPr>
          </w:p>
        </w:tc>
        <w:tc>
          <w:tcPr>
            <w:tcW w:w="1080" w:type="dxa"/>
            <w:vAlign w:val="bottom"/>
            <w:gridSpan w:val="2"/>
          </w:tcPr>
          <w:p>
            <w:pPr>
              <w:ind w:left="700"/>
              <w:spacing w:after="0"/>
              <w:rPr>
                <w:sz w:val="20"/>
                <w:szCs w:val="20"/>
                <w:color w:val="auto"/>
              </w:rPr>
            </w:pPr>
            <w:r>
              <w:rPr>
                <w:rFonts w:ascii="Arial" w:cs="Arial" w:eastAsia="Arial" w:hAnsi="Arial"/>
                <w:sz w:val="16"/>
                <w:szCs w:val="16"/>
                <w:color w:val="auto"/>
              </w:rPr>
              <w:t>NM</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0.06</w:t>
            </w:r>
          </w:p>
        </w:tc>
        <w:tc>
          <w:tcPr>
            <w:tcW w:w="1080" w:type="dxa"/>
            <w:vAlign w:val="bottom"/>
            <w:gridSpan w:val="2"/>
          </w:tcPr>
          <w:p>
            <w:pPr>
              <w:jc w:val="right"/>
              <w:ind w:right="22"/>
              <w:spacing w:after="0"/>
              <w:rPr>
                <w:sz w:val="20"/>
                <w:szCs w:val="20"/>
                <w:color w:val="auto"/>
              </w:rPr>
            </w:pPr>
            <w:r>
              <w:rPr>
                <w:rFonts w:ascii="Arial" w:cs="Arial" w:eastAsia="Arial" w:hAnsi="Arial"/>
                <w:sz w:val="16"/>
                <w:szCs w:val="16"/>
                <w:color w:val="auto"/>
              </w:rPr>
              <w:t>116.7</w:t>
            </w:r>
          </w:p>
        </w:tc>
        <w:tc>
          <w:tcPr>
            <w:tcW w:w="0" w:type="dxa"/>
            <w:vAlign w:val="bottom"/>
          </w:tcPr>
          <w:p>
            <w:pPr>
              <w:spacing w:after="0"/>
              <w:rPr>
                <w:sz w:val="1"/>
                <w:szCs w:val="1"/>
                <w:color w:val="auto"/>
              </w:rPr>
            </w:pPr>
          </w:p>
        </w:tc>
      </w:tr>
      <w:tr>
        <w:trPr>
          <w:trHeight w:val="253"/>
        </w:trPr>
        <w:tc>
          <w:tcPr>
            <w:tcW w:w="4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Fuel expense</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2.68</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37"/>
        </w:trPr>
        <w:tc>
          <w:tcPr>
            <w:tcW w:w="4980" w:type="dxa"/>
            <w:vAlign w:val="bottom"/>
          </w:tcPr>
          <w:p>
            <w:pPr>
              <w:ind w:left="220"/>
              <w:spacing w:after="0"/>
              <w:rPr>
                <w:sz w:val="20"/>
                <w:szCs w:val="20"/>
                <w:color w:val="auto"/>
              </w:rPr>
            </w:pPr>
            <w:r>
              <w:rPr>
                <w:rFonts w:ascii="Arial" w:cs="Arial" w:eastAsia="Arial" w:hAnsi="Arial"/>
                <w:sz w:val="16"/>
                <w:szCs w:val="16"/>
                <w:color w:val="auto"/>
              </w:rPr>
              <w:t>Profit sharing</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0.24</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0.17</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64"/>
        </w:trPr>
        <w:tc>
          <w:tcPr>
            <w:tcW w:w="4980" w:type="dxa"/>
            <w:vAlign w:val="bottom"/>
            <w:tcBorders>
              <w:top w:val="single" w:sz="8" w:color="CCEEFF"/>
            </w:tcBorders>
            <w:shd w:val="clear" w:color="auto" w:fill="CCEEFF"/>
          </w:tcPr>
          <w:p>
            <w:pPr>
              <w:ind w:left="20"/>
              <w:spacing w:after="0" w:line="164" w:lineRule="exact"/>
              <w:rPr>
                <w:sz w:val="20"/>
                <w:szCs w:val="20"/>
                <w:color w:val="auto"/>
              </w:rPr>
            </w:pPr>
            <w:r>
              <w:rPr>
                <w:rFonts w:ascii="Arial" w:cs="Arial" w:eastAsia="Arial" w:hAnsi="Arial"/>
                <w:sz w:val="16"/>
                <w:szCs w:val="16"/>
                <w:color w:val="auto"/>
              </w:rPr>
              <w:t>CASM, excluding special charges, third-party business expenses,</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21.00</w:t>
            </w: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9.80</w:t>
            </w:r>
          </w:p>
        </w:tc>
        <w:tc>
          <w:tcPr>
            <w:tcW w:w="1060" w:type="dxa"/>
            <w:vAlign w:val="bottom"/>
            <w:tcBorders>
              <w:top w:val="single" w:sz="8" w:color="CCEEFF"/>
            </w:tcBorders>
            <w:gridSpan w:val="2"/>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114.3</w:t>
            </w:r>
          </w:p>
        </w:tc>
        <w:tc>
          <w:tcPr>
            <w:tcW w:w="1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17.42</w:t>
            </w:r>
          </w:p>
        </w:tc>
        <w:tc>
          <w:tcPr>
            <w:tcW w:w="1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10.11</w:t>
            </w:r>
          </w:p>
        </w:tc>
        <w:tc>
          <w:tcPr>
            <w:tcW w:w="1080" w:type="dxa"/>
            <w:vAlign w:val="bottom"/>
            <w:tcBorders>
              <w:top w:val="single" w:sz="8" w:color="CCEEFF"/>
            </w:tcBorders>
            <w:gridSpan w:val="2"/>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72.3</w:t>
            </w:r>
          </w:p>
        </w:tc>
        <w:tc>
          <w:tcPr>
            <w:tcW w:w="0" w:type="dxa"/>
            <w:vAlign w:val="bottom"/>
          </w:tcPr>
          <w:p>
            <w:pPr>
              <w:spacing w:after="0"/>
              <w:rPr>
                <w:sz w:val="1"/>
                <w:szCs w:val="1"/>
                <w:color w:val="auto"/>
              </w:rPr>
            </w:pPr>
          </w:p>
        </w:tc>
      </w:tr>
      <w:tr>
        <w:trPr>
          <w:trHeight w:val="194"/>
        </w:trPr>
        <w:tc>
          <w:tcPr>
            <w:tcW w:w="4980" w:type="dxa"/>
            <w:vAlign w:val="bottom"/>
            <w:tcBorders>
              <w:bottom w:val="single" w:sz="8" w:color="CCEEFF"/>
            </w:tcBorders>
            <w:shd w:val="clear" w:color="auto" w:fill="CCEEFF"/>
          </w:tcPr>
          <w:p>
            <w:pPr>
              <w:ind w:left="180"/>
              <w:spacing w:after="0" w:line="174" w:lineRule="exact"/>
              <w:rPr>
                <w:sz w:val="20"/>
                <w:szCs w:val="20"/>
                <w:color w:val="auto"/>
              </w:rPr>
            </w:pPr>
            <w:r>
              <w:rPr>
                <w:rFonts w:ascii="Arial" w:cs="Arial" w:eastAsia="Arial" w:hAnsi="Arial"/>
                <w:sz w:val="16"/>
                <w:szCs w:val="16"/>
                <w:color w:val="auto"/>
              </w:rPr>
              <w:t>fuel, and profit sharing (Non-GAAP)</w:t>
            </w: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vMerge w:val="continue"/>
            <w:shd w:val="clear" w:color="auto" w:fill="CCEEFF"/>
          </w:tcPr>
          <w:p>
            <w:pPr>
              <w:spacing w:after="0"/>
              <w:rPr>
                <w:sz w:val="16"/>
                <w:szCs w:val="16"/>
                <w:color w:val="auto"/>
              </w:rPr>
            </w:pPr>
          </w:p>
        </w:tc>
        <w:tc>
          <w:tcPr>
            <w:tcW w:w="106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108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NM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320" w:top="140" w:right="37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United Airlines Reports Third-Quarter 2020 Performance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UNITED AIRLINES HOLDINGS, INC.</w:t>
      </w:r>
    </w:p>
    <w:p>
      <w:pPr>
        <w:spacing w:after="0" w:line="25"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NON-GAAP FINANCIAL RECONCILIATION (Continued)</w:t>
      </w:r>
    </w:p>
    <w:p>
      <w:pPr>
        <w:sectPr>
          <w:pgSz w:w="11900" w:h="16838" w:orient="portrait"/>
          <w:cols w:equalWidth="0" w:num="1">
            <w:col w:w="10139"/>
          </w:cols>
          <w:pgMar w:left="320" w:top="140"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9"/>
        </w:trPr>
        <w:tc>
          <w:tcPr>
            <w:tcW w:w="2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gridSpan w:val="5"/>
          </w:tcPr>
          <w:p>
            <w:pPr>
              <w:jc w:val="center"/>
              <w:ind w:right="260"/>
              <w:spacing w:after="0"/>
              <w:rPr>
                <w:sz w:val="20"/>
                <w:szCs w:val="20"/>
                <w:color w:val="auto"/>
              </w:rPr>
            </w:pPr>
            <w:r>
              <w:rPr>
                <w:rFonts w:ascii="Arial" w:cs="Arial" w:eastAsia="Arial" w:hAnsi="Arial"/>
                <w:sz w:val="16"/>
                <w:szCs w:val="16"/>
                <w:color w:val="auto"/>
              </w:rPr>
              <w:t>Three Months Ended</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5"/>
          </w:tcPr>
          <w:p>
            <w:pPr>
              <w:jc w:val="center"/>
              <w:ind w:right="340"/>
              <w:spacing w:after="0"/>
              <w:rPr>
                <w:sz w:val="20"/>
                <w:szCs w:val="20"/>
                <w:color w:val="auto"/>
              </w:rPr>
            </w:pPr>
            <w:r>
              <w:rPr>
                <w:rFonts w:ascii="Arial" w:cs="Arial" w:eastAsia="Arial" w:hAnsi="Arial"/>
                <w:sz w:val="16"/>
                <w:szCs w:val="16"/>
                <w:color w:val="auto"/>
              </w:rPr>
              <w:t>Nine Months Ended</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8"/>
        </w:trPr>
        <w:tc>
          <w:tcPr>
            <w:tcW w:w="2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900" w:type="dxa"/>
            <w:vAlign w:val="bottom"/>
            <w:gridSpan w:val="5"/>
            <w:vMerge w:val="restart"/>
          </w:tcPr>
          <w:p>
            <w:pPr>
              <w:jc w:val="center"/>
              <w:ind w:right="240"/>
              <w:spacing w:after="0"/>
              <w:rPr>
                <w:sz w:val="20"/>
                <w:szCs w:val="20"/>
                <w:color w:val="auto"/>
              </w:rPr>
            </w:pPr>
            <w:r>
              <w:rPr>
                <w:rFonts w:ascii="Arial" w:cs="Arial" w:eastAsia="Arial" w:hAnsi="Arial"/>
                <w:sz w:val="16"/>
                <w:szCs w:val="16"/>
                <w:color w:val="auto"/>
              </w:rPr>
              <w:t>September 30,</w:t>
            </w: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960" w:type="dxa"/>
            <w:vAlign w:val="bottom"/>
            <w:gridSpan w:val="5"/>
            <w:vMerge w:val="restart"/>
          </w:tcPr>
          <w:p>
            <w:pPr>
              <w:jc w:val="center"/>
              <w:ind w:right="280"/>
              <w:spacing w:after="0"/>
              <w:rPr>
                <w:sz w:val="20"/>
                <w:szCs w:val="20"/>
                <w:color w:val="auto"/>
              </w:rPr>
            </w:pPr>
            <w:r>
              <w:rPr>
                <w:rFonts w:ascii="Arial" w:cs="Arial" w:eastAsia="Arial" w:hAnsi="Arial"/>
                <w:sz w:val="16"/>
                <w:szCs w:val="16"/>
                <w:color w:val="auto"/>
              </w:rPr>
              <w:t>September 30,</w:t>
            </w: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60"/>
              <w:spacing w:after="0" w:line="127" w:lineRule="exact"/>
              <w:rPr>
                <w:sz w:val="20"/>
                <w:szCs w:val="20"/>
                <w:color w:val="auto"/>
              </w:rPr>
            </w:pPr>
            <w:r>
              <w:rPr>
                <w:rFonts w:ascii="Arial" w:cs="Arial" w:eastAsia="Arial" w:hAnsi="Arial"/>
                <w:sz w:val="14"/>
                <w:szCs w:val="14"/>
                <w:color w:val="auto"/>
              </w:rPr>
              <w:t>Increase/</w:t>
            </w: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27" w:lineRule="exact"/>
              <w:rPr>
                <w:sz w:val="20"/>
                <w:szCs w:val="20"/>
                <w:color w:val="auto"/>
              </w:rPr>
            </w:pPr>
            <w:r>
              <w:rPr>
                <w:rFonts w:ascii="Arial" w:cs="Arial" w:eastAsia="Arial" w:hAnsi="Arial"/>
                <w:sz w:val="14"/>
                <w:szCs w:val="14"/>
                <w:color w:val="auto"/>
              </w:rPr>
              <w:t>Increase/</w:t>
            </w:r>
          </w:p>
        </w:tc>
        <w:tc>
          <w:tcPr>
            <w:tcW w:w="180" w:type="dxa"/>
            <w:vAlign w:val="bottom"/>
          </w:tcPr>
          <w:p>
            <w:pPr>
              <w:spacing w:after="0"/>
              <w:rPr>
                <w:sz w:val="12"/>
                <w:szCs w:val="12"/>
                <w:color w:val="auto"/>
              </w:rPr>
            </w:pPr>
          </w:p>
        </w:tc>
        <w:tc>
          <w:tcPr>
            <w:tcW w:w="196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60"/>
              <w:spacing w:after="0" w:line="127" w:lineRule="exact"/>
              <w:rPr>
                <w:sz w:val="20"/>
                <w:szCs w:val="20"/>
                <w:color w:val="auto"/>
              </w:rPr>
            </w:pPr>
            <w:r>
              <w:rPr>
                <w:rFonts w:ascii="Arial" w:cs="Arial" w:eastAsia="Arial" w:hAnsi="Arial"/>
                <w:sz w:val="14"/>
                <w:szCs w:val="14"/>
                <w:color w:val="auto"/>
              </w:rPr>
              <w:t>Increase/</w:t>
            </w:r>
          </w:p>
        </w:tc>
        <w:tc>
          <w:tcPr>
            <w:tcW w:w="100" w:type="dxa"/>
            <w:vAlign w:val="bottom"/>
          </w:tcPr>
          <w:p>
            <w:pPr>
              <w:spacing w:after="0"/>
              <w:rPr>
                <w:sz w:val="12"/>
                <w:szCs w:val="12"/>
                <w:color w:val="auto"/>
              </w:rPr>
            </w:pPr>
          </w:p>
        </w:tc>
        <w:tc>
          <w:tcPr>
            <w:tcW w:w="920" w:type="dxa"/>
            <w:vAlign w:val="bottom"/>
          </w:tcPr>
          <w:p>
            <w:pPr>
              <w:jc w:val="center"/>
              <w:spacing w:after="0" w:line="127" w:lineRule="exact"/>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 millions)</w:t>
            </w:r>
          </w:p>
        </w:tc>
        <w:tc>
          <w:tcPr>
            <w:tcW w:w="1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6"/>
                <w:szCs w:val="16"/>
                <w:color w:val="auto"/>
              </w:rPr>
              <w:t>2020</w:t>
            </w:r>
          </w:p>
        </w:tc>
        <w:tc>
          <w:tcPr>
            <w:tcW w:w="1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6"/>
                <w:szCs w:val="16"/>
                <w:color w:val="auto"/>
              </w:rPr>
              <w:t>2019</w:t>
            </w: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(Decrease)</w:t>
            </w: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(Decrease)</w:t>
            </w:r>
          </w:p>
        </w:tc>
        <w:tc>
          <w:tcPr>
            <w:tcW w:w="10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6"/>
                <w:szCs w:val="16"/>
                <w:color w:val="auto"/>
              </w:rPr>
              <w:t>2020</w:t>
            </w:r>
          </w:p>
        </w:tc>
        <w:tc>
          <w:tcPr>
            <w:tcW w:w="16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6"/>
                <w:szCs w:val="16"/>
                <w:color w:val="auto"/>
              </w:rPr>
              <w:t>2019</w:t>
            </w:r>
          </w:p>
        </w:tc>
        <w:tc>
          <w:tcPr>
            <w:tcW w:w="1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(Decrease)</w:t>
            </w: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43"/>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 (GAAP)</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4,104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9,907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16,167</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28,931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(12,764)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0" w:type="dxa"/>
            <w:vAlign w:val="bottom"/>
          </w:tcPr>
          <w:p>
            <w:pPr>
              <w:spacing w:after="0"/>
              <w:rPr>
                <w:sz w:val="1"/>
                <w:szCs w:val="1"/>
                <w:color w:val="auto"/>
              </w:rPr>
            </w:pPr>
          </w:p>
        </w:tc>
      </w:tr>
      <w:tr>
        <w:trPr>
          <w:trHeight w:val="237"/>
        </w:trPr>
        <w:tc>
          <w:tcPr>
            <w:tcW w:w="29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Special charges (credit)</w:t>
            </w: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(1,081)</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(1,108)</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NM</w:t>
            </w: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(2,467)</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(2,583)</w:t>
            </w: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4"/>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 excluding special</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charges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5,185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9,880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18,634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28,815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213"/>
        </w:trPr>
        <w:tc>
          <w:tcPr>
            <w:tcW w:w="2920" w:type="dxa"/>
            <w:vAlign w:val="bottom"/>
          </w:tcPr>
          <w:p>
            <w:pPr>
              <w:ind w:left="60"/>
              <w:spacing w:after="0"/>
              <w:rPr>
                <w:sz w:val="20"/>
                <w:szCs w:val="20"/>
                <w:color w:val="auto"/>
              </w:rPr>
            </w:pPr>
            <w:r>
              <w:rPr>
                <w:rFonts w:ascii="Arial" w:cs="Arial" w:eastAsia="Arial" w:hAnsi="Arial"/>
                <w:sz w:val="16"/>
                <w:szCs w:val="16"/>
                <w:color w:val="auto"/>
              </w:rPr>
              <w:t>Adjusted to exclude:</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Third-party business expenses</w:t>
            </w: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(73.5)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115</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33"/>
        </w:trPr>
        <w:tc>
          <w:tcPr>
            <w:tcW w:w="2920" w:type="dxa"/>
            <w:vAlign w:val="bottom"/>
          </w:tcPr>
          <w:p>
            <w:pPr>
              <w:ind w:left="120"/>
              <w:spacing w:after="0"/>
              <w:rPr>
                <w:sz w:val="20"/>
                <w:szCs w:val="20"/>
                <w:color w:val="auto"/>
              </w:rPr>
            </w:pPr>
            <w:r>
              <w:rPr>
                <w:rFonts w:ascii="Arial" w:cs="Arial" w:eastAsia="Arial" w:hAnsi="Arial"/>
                <w:sz w:val="16"/>
                <w:szCs w:val="16"/>
                <w:color w:val="auto"/>
              </w:rPr>
              <w:t>Fuel expense</w:t>
            </w:r>
          </w:p>
        </w:tc>
        <w:tc>
          <w:tcPr>
            <w:tcW w:w="160" w:type="dxa"/>
            <w:vAlign w:val="bottom"/>
          </w:tcPr>
          <w:p>
            <w:pPr>
              <w:spacing w:after="0"/>
              <w:rPr>
                <w:sz w:val="20"/>
                <w:szCs w:val="20"/>
                <w:color w:val="auto"/>
              </w:rPr>
            </w:pP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508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2,296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(1,788)</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(77.9)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120"/>
              <w:spacing w:after="0"/>
              <w:rPr>
                <w:sz w:val="20"/>
                <w:szCs w:val="20"/>
                <w:color w:val="auto"/>
              </w:rPr>
            </w:pPr>
            <w:r>
              <w:rPr>
                <w:rFonts w:ascii="Arial" w:cs="Arial" w:eastAsia="Arial" w:hAnsi="Arial"/>
                <w:sz w:val="16"/>
                <w:szCs w:val="16"/>
                <w:color w:val="auto"/>
              </w:rPr>
              <w:t>2,474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140"/>
              <w:spacing w:after="0"/>
              <w:rPr>
                <w:sz w:val="20"/>
                <w:szCs w:val="20"/>
                <w:color w:val="auto"/>
              </w:rPr>
            </w:pPr>
            <w:r>
              <w:rPr>
                <w:rFonts w:ascii="Arial" w:cs="Arial" w:eastAsia="Arial" w:hAnsi="Arial"/>
                <w:sz w:val="16"/>
                <w:szCs w:val="16"/>
                <w:color w:val="auto"/>
              </w:rPr>
              <w:t>6,704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(4,230)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253"/>
        </w:trPr>
        <w:tc>
          <w:tcPr>
            <w:tcW w:w="2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Profit sharing, including taxes</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368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98"/>
        </w:trPr>
        <w:tc>
          <w:tcPr>
            <w:tcW w:w="2920" w:type="dxa"/>
            <w:vAlign w:val="bottom"/>
          </w:tcPr>
          <w:p>
            <w:pPr>
              <w:ind w:left="20"/>
              <w:spacing w:after="0"/>
              <w:rPr>
                <w:sz w:val="20"/>
                <w:szCs w:val="20"/>
                <w:color w:val="auto"/>
              </w:rPr>
            </w:pPr>
            <w:r>
              <w:rPr>
                <w:rFonts w:ascii="Arial" w:cs="Arial" w:eastAsia="Arial" w:hAnsi="Arial"/>
                <w:sz w:val="16"/>
                <w:szCs w:val="16"/>
                <w:color w:val="auto"/>
              </w:rPr>
              <w:t>Adjusted operating expenses (Non-</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vMerge w:val="restart"/>
          </w:tcPr>
          <w:p>
            <w:pPr>
              <w:jc w:val="right"/>
              <w:ind w:right="120"/>
              <w:spacing w:after="0"/>
              <w:rPr>
                <w:sz w:val="20"/>
                <w:szCs w:val="20"/>
                <w:color w:val="auto"/>
              </w:rPr>
            </w:pPr>
            <w:r>
              <w:rPr>
                <w:rFonts w:ascii="Arial" w:cs="Arial" w:eastAsia="Arial" w:hAnsi="Arial"/>
                <w:sz w:val="16"/>
                <w:szCs w:val="16"/>
                <w:color w:val="auto"/>
              </w:rPr>
              <w:t>4,664</w:t>
            </w:r>
          </w:p>
        </w:tc>
        <w:tc>
          <w:tcPr>
            <w:tcW w:w="120" w:type="dxa"/>
            <w:vAlign w:val="bottom"/>
          </w:tcPr>
          <w:p>
            <w:pPr>
              <w:spacing w:after="0"/>
              <w:rPr>
                <w:sz w:val="17"/>
                <w:szCs w:val="17"/>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vMerge w:val="restart"/>
          </w:tcPr>
          <w:p>
            <w:pPr>
              <w:jc w:val="right"/>
              <w:ind w:right="120"/>
              <w:spacing w:after="0"/>
              <w:rPr>
                <w:sz w:val="20"/>
                <w:szCs w:val="20"/>
                <w:color w:val="auto"/>
              </w:rPr>
            </w:pPr>
            <w:r>
              <w:rPr>
                <w:rFonts w:ascii="Arial" w:cs="Arial" w:eastAsia="Arial" w:hAnsi="Arial"/>
                <w:sz w:val="16"/>
                <w:szCs w:val="16"/>
                <w:color w:val="auto"/>
              </w:rPr>
              <w:t>7,361</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(2,697)</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vMerge w:val="restart"/>
          </w:tcPr>
          <w:p>
            <w:pPr>
              <w:jc w:val="right"/>
              <w:ind w:right="120"/>
              <w:spacing w:after="0"/>
              <w:rPr>
                <w:sz w:val="20"/>
                <w:szCs w:val="20"/>
                <w:color w:val="auto"/>
              </w:rPr>
            </w:pPr>
            <w:r>
              <w:rPr>
                <w:rFonts w:ascii="Arial" w:cs="Arial" w:eastAsia="Arial" w:hAnsi="Arial"/>
                <w:sz w:val="16"/>
                <w:szCs w:val="16"/>
                <w:color w:val="auto"/>
              </w:rPr>
              <w:t>16,045</w:t>
            </w:r>
          </w:p>
        </w:tc>
        <w:tc>
          <w:tcPr>
            <w:tcW w:w="16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vMerge w:val="restart"/>
          </w:tcPr>
          <w:p>
            <w:pPr>
              <w:jc w:val="right"/>
              <w:ind w:right="140"/>
              <w:spacing w:after="0"/>
              <w:rPr>
                <w:sz w:val="20"/>
                <w:szCs w:val="20"/>
                <w:color w:val="auto"/>
              </w:rPr>
            </w:pPr>
            <w:r>
              <w:rPr>
                <w:rFonts w:ascii="Arial" w:cs="Arial" w:eastAsia="Arial" w:hAnsi="Arial"/>
                <w:sz w:val="16"/>
                <w:szCs w:val="16"/>
                <w:color w:val="auto"/>
              </w:rPr>
              <w:t>21,623</w:t>
            </w:r>
          </w:p>
        </w:tc>
        <w:tc>
          <w:tcPr>
            <w:tcW w:w="10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(5,578)</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920" w:type="dxa"/>
            <w:vAlign w:val="bottom"/>
          </w:tcPr>
          <w:p>
            <w:pPr>
              <w:ind w:left="20"/>
              <w:spacing w:after="0"/>
              <w:rPr>
                <w:sz w:val="20"/>
                <w:szCs w:val="20"/>
                <w:color w:val="auto"/>
              </w:rPr>
            </w:pPr>
            <w:r>
              <w:rPr>
                <w:rFonts w:ascii="Arial" w:cs="Arial" w:eastAsia="Arial" w:hAnsi="Arial"/>
                <w:sz w:val="16"/>
                <w:szCs w:val="16"/>
                <w:color w:val="auto"/>
              </w:rPr>
              <w:t>GAAP)</w:t>
            </w:r>
          </w:p>
        </w:tc>
        <w:tc>
          <w:tcPr>
            <w:tcW w:w="16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(36.6)</w:t>
            </w:r>
          </w:p>
        </w:tc>
        <w:tc>
          <w:tcPr>
            <w:tcW w:w="10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9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2920" w:type="dxa"/>
            <w:vAlign w:val="bottom"/>
          </w:tcPr>
          <w:p>
            <w:pPr>
              <w:ind w:left="20"/>
              <w:spacing w:after="0"/>
              <w:rPr>
                <w:sz w:val="20"/>
                <w:szCs w:val="20"/>
                <w:color w:val="auto"/>
              </w:rPr>
            </w:pPr>
            <w:r>
              <w:rPr>
                <w:rFonts w:ascii="Arial" w:cs="Arial" w:eastAsia="Arial" w:hAnsi="Arial"/>
                <w:sz w:val="16"/>
                <w:szCs w:val="16"/>
                <w:color w:val="auto"/>
              </w:rPr>
              <w:t>Operating income (loss) (GAAP)</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(1,615)</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1,473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(3,088)</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NM</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(4,224)</w:t>
            </w: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40"/>
              <w:spacing w:after="0"/>
              <w:rPr>
                <w:sz w:val="20"/>
                <w:szCs w:val="20"/>
                <w:color w:val="auto"/>
              </w:rPr>
            </w:pPr>
            <w:r>
              <w:rPr>
                <w:rFonts w:ascii="Arial" w:cs="Arial" w:eastAsia="Arial" w:hAnsi="Arial"/>
                <w:sz w:val="16"/>
                <w:szCs w:val="16"/>
                <w:color w:val="auto"/>
              </w:rPr>
              <w:t>3,440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(7,664)</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26"/>
        </w:trPr>
        <w:tc>
          <w:tcPr>
            <w:tcW w:w="2920" w:type="dxa"/>
            <w:vAlign w:val="bottom"/>
            <w:shd w:val="clear" w:color="auto" w:fill="CCEEFF"/>
          </w:tcPr>
          <w:p>
            <w:pPr>
              <w:ind w:left="60"/>
              <w:spacing w:after="0"/>
              <w:rPr>
                <w:sz w:val="20"/>
                <w:szCs w:val="20"/>
                <w:color w:val="auto"/>
              </w:rPr>
            </w:pPr>
            <w:r>
              <w:rPr>
                <w:rFonts w:ascii="Arial" w:cs="Arial" w:eastAsia="Arial" w:hAnsi="Arial"/>
                <w:sz w:val="16"/>
                <w:szCs w:val="16"/>
                <w:color w:val="auto"/>
              </w:rPr>
              <w:t>Adjusted to exclude:</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Special charges (credits)</w:t>
            </w: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(1,081)</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(1,108)</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NM</w:t>
            </w: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(2,467)</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(2,583)</w:t>
            </w: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63"/>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Adjusted operating income (Non-GAAP) $</w:t>
            </w:r>
          </w:p>
        </w:tc>
        <w:tc>
          <w:tcPr>
            <w:tcW w:w="7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(2,696)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1,500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(4,196)</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NM</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(6,691)</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3,556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(10,247)</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
        </w:trPr>
        <w:tc>
          <w:tcPr>
            <w:tcW w:w="2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Operating margin</w:t>
            </w: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(64.9)%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12.9 %</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(77.8)</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i w:val="1"/>
                <w:iCs w:val="1"/>
                <w:color w:val="auto"/>
              </w:rPr>
              <w:t>pts.</w:t>
            </w: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(35.4)%</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10.6 %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(46.0)</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pts.</w:t>
            </w:r>
          </w:p>
        </w:tc>
        <w:tc>
          <w:tcPr>
            <w:tcW w:w="0" w:type="dxa"/>
            <w:vAlign w:val="bottom"/>
          </w:tcPr>
          <w:p>
            <w:pPr>
              <w:spacing w:after="0"/>
              <w:rPr>
                <w:sz w:val="1"/>
                <w:szCs w:val="1"/>
                <w:color w:val="auto"/>
              </w:rPr>
            </w:pPr>
          </w:p>
        </w:tc>
      </w:tr>
      <w:tr>
        <w:trPr>
          <w:trHeight w:val="237"/>
        </w:trPr>
        <w:tc>
          <w:tcPr>
            <w:tcW w:w="2920" w:type="dxa"/>
            <w:vAlign w:val="bottom"/>
          </w:tcPr>
          <w:p>
            <w:pPr>
              <w:ind w:left="20"/>
              <w:spacing w:after="0"/>
              <w:rPr>
                <w:sz w:val="20"/>
                <w:szCs w:val="20"/>
                <w:color w:val="auto"/>
              </w:rPr>
            </w:pPr>
            <w:r>
              <w:rPr>
                <w:rFonts w:ascii="Arial" w:cs="Arial" w:eastAsia="Arial" w:hAnsi="Arial"/>
                <w:sz w:val="16"/>
                <w:szCs w:val="16"/>
                <w:i w:val="1"/>
                <w:iCs w:val="1"/>
                <w:color w:val="auto"/>
              </w:rPr>
              <w:t>Adjusted operating margin (Non-GAAP)</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i w:val="1"/>
                <w:iCs w:val="1"/>
                <w:color w:val="auto"/>
              </w:rPr>
              <w:t>(108.3)%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i w:val="1"/>
                <w:iCs w:val="1"/>
                <w:color w:val="auto"/>
              </w:rPr>
              <w:t>13.2 %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i w:val="1"/>
                <w:iCs w:val="1"/>
                <w:color w:val="auto"/>
              </w:rPr>
              <w:t>(121.5)</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pts.</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i w:val="1"/>
                <w:iCs w:val="1"/>
                <w:color w:val="auto"/>
              </w:rPr>
              <w:t>(56.0)%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i w:val="1"/>
                <w:iCs w:val="1"/>
                <w:color w:val="auto"/>
              </w:rPr>
              <w:t>11.0 %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i w:val="1"/>
                <w:iCs w:val="1"/>
                <w:color w:val="auto"/>
              </w:rPr>
              <w:t>(67.0)</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pts.</w:t>
            </w:r>
          </w:p>
        </w:tc>
        <w:tc>
          <w:tcPr>
            <w:tcW w:w="0" w:type="dxa"/>
            <w:vAlign w:val="bottom"/>
          </w:tcPr>
          <w:p>
            <w:pPr>
              <w:spacing w:after="0"/>
              <w:rPr>
                <w:sz w:val="1"/>
                <w:szCs w:val="1"/>
                <w:color w:val="auto"/>
              </w:rPr>
            </w:pPr>
          </w:p>
        </w:tc>
      </w:tr>
      <w:tr>
        <w:trPr>
          <w:trHeight w:val="249"/>
        </w:trPr>
        <w:tc>
          <w:tcPr>
            <w:tcW w:w="29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33"/>
        </w:trPr>
        <w:tc>
          <w:tcPr>
            <w:tcW w:w="2920" w:type="dxa"/>
            <w:vAlign w:val="bottom"/>
          </w:tcPr>
          <w:p>
            <w:pPr>
              <w:ind w:left="20"/>
              <w:spacing w:after="0"/>
              <w:rPr>
                <w:sz w:val="20"/>
                <w:szCs w:val="20"/>
                <w:color w:val="auto"/>
              </w:rPr>
            </w:pPr>
            <w:r>
              <w:rPr>
                <w:rFonts w:ascii="Arial" w:cs="Arial" w:eastAsia="Arial" w:hAnsi="Arial"/>
                <w:sz w:val="16"/>
                <w:szCs w:val="16"/>
                <w:color w:val="auto"/>
              </w:rPr>
              <w:t>Pre-tax income (loss) (GAAP)</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(2,332)</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1,349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(3,681)</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NM</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(6,449)</w:t>
            </w: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40"/>
              <w:spacing w:after="0"/>
              <w:rPr>
                <w:sz w:val="20"/>
                <w:szCs w:val="20"/>
                <w:color w:val="auto"/>
              </w:rPr>
            </w:pPr>
            <w:r>
              <w:rPr>
                <w:rFonts w:ascii="Arial" w:cs="Arial" w:eastAsia="Arial" w:hAnsi="Arial"/>
                <w:sz w:val="16"/>
                <w:szCs w:val="16"/>
                <w:color w:val="auto"/>
              </w:rPr>
              <w:t>3,070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(9,519)</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26"/>
        </w:trPr>
        <w:tc>
          <w:tcPr>
            <w:tcW w:w="2920" w:type="dxa"/>
            <w:vAlign w:val="bottom"/>
            <w:shd w:val="clear" w:color="auto" w:fill="CCEEFF"/>
          </w:tcPr>
          <w:p>
            <w:pPr>
              <w:ind w:left="60"/>
              <w:spacing w:after="0"/>
              <w:rPr>
                <w:sz w:val="20"/>
                <w:szCs w:val="20"/>
                <w:color w:val="auto"/>
              </w:rPr>
            </w:pPr>
            <w:r>
              <w:rPr>
                <w:rFonts w:ascii="Arial" w:cs="Arial" w:eastAsia="Arial" w:hAnsi="Arial"/>
                <w:sz w:val="16"/>
                <w:szCs w:val="16"/>
                <w:color w:val="auto"/>
              </w:rPr>
              <w:t>Adjusted to exclude:</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920" w:type="dxa"/>
            <w:vAlign w:val="bottom"/>
          </w:tcPr>
          <w:p>
            <w:pPr>
              <w:ind w:left="120"/>
              <w:spacing w:after="0"/>
              <w:rPr>
                <w:sz w:val="20"/>
                <w:szCs w:val="20"/>
                <w:color w:val="auto"/>
              </w:rPr>
            </w:pPr>
            <w:r>
              <w:rPr>
                <w:rFonts w:ascii="Arial" w:cs="Arial" w:eastAsia="Arial" w:hAnsi="Arial"/>
                <w:sz w:val="16"/>
                <w:szCs w:val="16"/>
                <w:color w:val="auto"/>
              </w:rPr>
              <w:t>Special charges (credit)</w:t>
            </w:r>
          </w:p>
        </w:tc>
        <w:tc>
          <w:tcPr>
            <w:tcW w:w="160" w:type="dxa"/>
            <w:vAlign w:val="bottom"/>
          </w:tcPr>
          <w:p>
            <w:pPr>
              <w:spacing w:after="0"/>
              <w:rPr>
                <w:sz w:val="20"/>
                <w:szCs w:val="20"/>
                <w:color w:val="auto"/>
              </w:rPr>
            </w:pP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(1,081)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(1,108)</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NM</w:t>
            </w:r>
          </w:p>
        </w:tc>
        <w:tc>
          <w:tcPr>
            <w:tcW w:w="180" w:type="dxa"/>
            <w:vAlign w:val="bottom"/>
          </w:tcPr>
          <w:p>
            <w:pPr>
              <w:spacing w:after="0"/>
              <w:rPr>
                <w:sz w:val="20"/>
                <w:szCs w:val="20"/>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(2,467)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140"/>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(2,583)</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28"/>
        </w:trPr>
        <w:tc>
          <w:tcPr>
            <w:tcW w:w="29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Termination benefits and settlement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losses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NM</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646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646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8"/>
        </w:trPr>
        <w:tc>
          <w:tcPr>
            <w:tcW w:w="2920" w:type="dxa"/>
            <w:vAlign w:val="bottom"/>
          </w:tcPr>
          <w:p>
            <w:pPr>
              <w:ind w:left="120"/>
              <w:spacing w:after="0"/>
              <w:rPr>
                <w:sz w:val="20"/>
                <w:szCs w:val="20"/>
                <w:color w:val="auto"/>
              </w:rPr>
            </w:pPr>
            <w:r>
              <w:rPr>
                <w:rFonts w:ascii="Arial" w:cs="Arial" w:eastAsia="Arial" w:hAnsi="Arial"/>
                <w:sz w:val="16"/>
                <w:szCs w:val="16"/>
                <w:color w:val="auto"/>
              </w:rPr>
              <w:t>Unrealized (gains) losses on</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920" w:type="dxa"/>
            <w:vAlign w:val="bottom"/>
          </w:tcPr>
          <w:p>
            <w:pPr>
              <w:ind w:left="120"/>
              <w:spacing w:after="0"/>
              <w:rPr>
                <w:sz w:val="20"/>
                <w:szCs w:val="20"/>
                <w:color w:val="auto"/>
              </w:rPr>
            </w:pPr>
            <w:r>
              <w:rPr>
                <w:rFonts w:ascii="Arial" w:cs="Arial" w:eastAsia="Arial" w:hAnsi="Arial"/>
                <w:sz w:val="16"/>
                <w:szCs w:val="16"/>
                <w:color w:val="auto"/>
              </w:rPr>
              <w:t>investments, net</w:t>
            </w:r>
          </w:p>
        </w:tc>
        <w:tc>
          <w:tcPr>
            <w:tcW w:w="160" w:type="dxa"/>
            <w:vAlign w:val="bottom"/>
          </w:tcPr>
          <w:p>
            <w:pPr>
              <w:spacing w:after="0"/>
              <w:rPr>
                <w:sz w:val="17"/>
                <w:szCs w:val="17"/>
                <w:color w:val="auto"/>
              </w:rPr>
            </w:pP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NM</w:t>
            </w:r>
          </w:p>
        </w:tc>
        <w:tc>
          <w:tcPr>
            <w:tcW w:w="180" w:type="dxa"/>
            <w:vAlign w:val="bottom"/>
          </w:tcPr>
          <w:p>
            <w:pPr>
              <w:spacing w:after="0"/>
              <w:rPr>
                <w:sz w:val="17"/>
                <w:szCs w:val="17"/>
                <w:color w:val="auto"/>
              </w:rPr>
            </w:pPr>
          </w:p>
        </w:tc>
        <w:tc>
          <w:tcPr>
            <w:tcW w:w="760" w:type="dxa"/>
            <w:vAlign w:val="bottom"/>
          </w:tcPr>
          <w:p>
            <w:pPr>
              <w:jc w:val="right"/>
              <w:ind w:right="120"/>
              <w:spacing w:after="0"/>
              <w:rPr>
                <w:sz w:val="20"/>
                <w:szCs w:val="20"/>
                <w:color w:val="auto"/>
              </w:rPr>
            </w:pPr>
            <w:r>
              <w:rPr>
                <w:rFonts w:ascii="Arial" w:cs="Arial" w:eastAsia="Arial" w:hAnsi="Arial"/>
                <w:sz w:val="16"/>
                <w:szCs w:val="16"/>
                <w:color w:val="auto"/>
              </w:rPr>
              <w:t>295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28"/>
        </w:trPr>
        <w:tc>
          <w:tcPr>
            <w:tcW w:w="2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Loss on BRW term loan and</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guarantee</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NM</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697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697</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8"/>
        </w:trPr>
        <w:tc>
          <w:tcPr>
            <w:tcW w:w="2920" w:type="dxa"/>
            <w:vAlign w:val="bottom"/>
          </w:tcPr>
          <w:p>
            <w:pPr>
              <w:ind w:left="120"/>
              <w:spacing w:after="0"/>
              <w:rPr>
                <w:sz w:val="20"/>
                <w:szCs w:val="20"/>
                <w:color w:val="auto"/>
              </w:rPr>
            </w:pPr>
            <w:r>
              <w:rPr>
                <w:rFonts w:ascii="Arial" w:cs="Arial" w:eastAsia="Arial" w:hAnsi="Arial"/>
                <w:sz w:val="16"/>
                <w:szCs w:val="16"/>
                <w:color w:val="auto"/>
              </w:rPr>
              <w:t>Interest expense on ERJ 145 finance</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920" w:type="dxa"/>
            <w:vAlign w:val="bottom"/>
          </w:tcPr>
          <w:p>
            <w:pPr>
              <w:ind w:left="120"/>
              <w:spacing w:after="0"/>
              <w:rPr>
                <w:sz w:val="20"/>
                <w:szCs w:val="20"/>
                <w:color w:val="auto"/>
              </w:rPr>
            </w:pPr>
            <w:r>
              <w:rPr>
                <w:rFonts w:ascii="Arial" w:cs="Arial" w:eastAsia="Arial" w:hAnsi="Arial"/>
                <w:sz w:val="16"/>
                <w:szCs w:val="16"/>
                <w:color w:val="auto"/>
              </w:rPr>
              <w:t>leases</w:t>
            </w:r>
          </w:p>
        </w:tc>
        <w:tc>
          <w:tcPr>
            <w:tcW w:w="16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NM</w:t>
            </w:r>
          </w:p>
        </w:tc>
        <w:tc>
          <w:tcPr>
            <w:tcW w:w="1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ind w:right="140"/>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4"/>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pre-tax income (loss) (Non-</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(3,013)</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1,377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(4,390)</w:t>
            </w: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(7,278)</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3,182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(10,460)</w:t>
            </w: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GAAP)</w:t>
            </w: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NM</w:t>
            </w: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Pre-tax margin</w:t>
            </w: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11.9 %</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(105.6)</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i w:val="1"/>
                <w:iCs w:val="1"/>
                <w:color w:val="auto"/>
              </w:rPr>
              <w:t>pts.</w:t>
            </w: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(63.5)</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pts.</w:t>
            </w:r>
          </w:p>
        </w:tc>
        <w:tc>
          <w:tcPr>
            <w:tcW w:w="0" w:type="dxa"/>
            <w:vAlign w:val="bottom"/>
          </w:tcPr>
          <w:p>
            <w:pPr>
              <w:spacing w:after="0"/>
              <w:rPr>
                <w:sz w:val="1"/>
                <w:szCs w:val="1"/>
                <w:color w:val="auto"/>
              </w:rPr>
            </w:pPr>
          </w:p>
        </w:tc>
      </w:tr>
      <w:tr>
        <w:trPr>
          <w:trHeight w:val="237"/>
        </w:trPr>
        <w:tc>
          <w:tcPr>
            <w:tcW w:w="2920" w:type="dxa"/>
            <w:vAlign w:val="bottom"/>
          </w:tcPr>
          <w:p>
            <w:pPr>
              <w:ind w:left="20"/>
              <w:spacing w:after="0"/>
              <w:rPr>
                <w:sz w:val="20"/>
                <w:szCs w:val="20"/>
                <w:color w:val="auto"/>
              </w:rPr>
            </w:pPr>
            <w:r>
              <w:rPr>
                <w:rFonts w:ascii="Arial" w:cs="Arial" w:eastAsia="Arial" w:hAnsi="Arial"/>
                <w:sz w:val="16"/>
                <w:szCs w:val="16"/>
                <w:i w:val="1"/>
                <w:iCs w:val="1"/>
                <w:color w:val="auto"/>
              </w:rPr>
              <w:t>Adjusted pre-tax margin (Non-GAAP)</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12.1 %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i w:val="1"/>
                <w:iCs w:val="1"/>
                <w:color w:val="auto"/>
              </w:rPr>
              <w:t>(133.2)</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pts.</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(60.9)%</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9.8 %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i w:val="1"/>
                <w:iCs w:val="1"/>
                <w:color w:val="auto"/>
              </w:rPr>
              <w:t>(70.7)</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pts.</w:t>
            </w:r>
          </w:p>
        </w:tc>
        <w:tc>
          <w:tcPr>
            <w:tcW w:w="0" w:type="dxa"/>
            <w:vAlign w:val="bottom"/>
          </w:tcPr>
          <w:p>
            <w:pPr>
              <w:spacing w:after="0"/>
              <w:rPr>
                <w:sz w:val="1"/>
                <w:szCs w:val="1"/>
                <w:color w:val="auto"/>
              </w:rPr>
            </w:pPr>
          </w:p>
        </w:tc>
      </w:tr>
      <w:tr>
        <w:trPr>
          <w:trHeight w:val="100"/>
        </w:trPr>
        <w:tc>
          <w:tcPr>
            <w:tcW w:w="29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920" w:type="dxa"/>
            <w:vAlign w:val="bottom"/>
          </w:tcPr>
          <w:p>
            <w:pPr>
              <w:ind w:left="80"/>
              <w:spacing w:after="0"/>
              <w:rPr>
                <w:sz w:val="20"/>
                <w:szCs w:val="20"/>
                <w:color w:val="auto"/>
              </w:rPr>
            </w:pPr>
            <w:r>
              <w:rPr>
                <w:rFonts w:ascii="Arial" w:cs="Arial" w:eastAsia="Arial" w:hAnsi="Arial"/>
                <w:sz w:val="16"/>
                <w:szCs w:val="16"/>
                <w:color w:val="auto"/>
              </w:rPr>
              <w:t>Net income (loss) (GAAP)</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(1,841)</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1,024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(2,865)</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NM</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(5,172)</w:t>
            </w: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40"/>
              <w:spacing w:after="0"/>
              <w:rPr>
                <w:sz w:val="20"/>
                <w:szCs w:val="20"/>
                <w:color w:val="auto"/>
              </w:rPr>
            </w:pPr>
            <w:r>
              <w:rPr>
                <w:rFonts w:ascii="Arial" w:cs="Arial" w:eastAsia="Arial" w:hAnsi="Arial"/>
                <w:sz w:val="16"/>
                <w:szCs w:val="16"/>
                <w:color w:val="auto"/>
              </w:rPr>
              <w:t>2,368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(7,540.0)</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26"/>
        </w:trPr>
        <w:tc>
          <w:tcPr>
            <w:tcW w:w="2920" w:type="dxa"/>
            <w:vAlign w:val="bottom"/>
            <w:shd w:val="clear" w:color="auto" w:fill="CCEEFF"/>
          </w:tcPr>
          <w:p>
            <w:pPr>
              <w:ind w:left="60"/>
              <w:spacing w:after="0"/>
              <w:rPr>
                <w:sz w:val="20"/>
                <w:szCs w:val="20"/>
                <w:color w:val="auto"/>
              </w:rPr>
            </w:pPr>
            <w:r>
              <w:rPr>
                <w:rFonts w:ascii="Arial" w:cs="Arial" w:eastAsia="Arial" w:hAnsi="Arial"/>
                <w:sz w:val="16"/>
                <w:szCs w:val="16"/>
                <w:color w:val="auto"/>
              </w:rPr>
              <w:t>Adjusted to exclude:</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920" w:type="dxa"/>
            <w:vAlign w:val="bottom"/>
          </w:tcPr>
          <w:p>
            <w:pPr>
              <w:ind w:left="120"/>
              <w:spacing w:after="0"/>
              <w:rPr>
                <w:sz w:val="20"/>
                <w:szCs w:val="20"/>
                <w:color w:val="auto"/>
              </w:rPr>
            </w:pPr>
            <w:r>
              <w:rPr>
                <w:rFonts w:ascii="Arial" w:cs="Arial" w:eastAsia="Arial" w:hAnsi="Arial"/>
                <w:sz w:val="16"/>
                <w:szCs w:val="16"/>
                <w:color w:val="auto"/>
              </w:rPr>
              <w:t>Special charges (credit)</w:t>
            </w:r>
          </w:p>
        </w:tc>
        <w:tc>
          <w:tcPr>
            <w:tcW w:w="160" w:type="dxa"/>
            <w:vAlign w:val="bottom"/>
          </w:tcPr>
          <w:p>
            <w:pPr>
              <w:spacing w:after="0"/>
              <w:rPr>
                <w:sz w:val="20"/>
                <w:szCs w:val="20"/>
                <w:color w:val="auto"/>
              </w:rPr>
            </w:pP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(1,081)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(1,108)</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NM</w:t>
            </w:r>
          </w:p>
        </w:tc>
        <w:tc>
          <w:tcPr>
            <w:tcW w:w="180" w:type="dxa"/>
            <w:vAlign w:val="bottom"/>
          </w:tcPr>
          <w:p>
            <w:pPr>
              <w:spacing w:after="0"/>
              <w:rPr>
                <w:sz w:val="20"/>
                <w:szCs w:val="20"/>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(2,467)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140"/>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(2,583)</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28"/>
        </w:trPr>
        <w:tc>
          <w:tcPr>
            <w:tcW w:w="29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Termination benefits and settlement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losses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NM</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646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646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8"/>
        </w:trPr>
        <w:tc>
          <w:tcPr>
            <w:tcW w:w="2920" w:type="dxa"/>
            <w:vAlign w:val="bottom"/>
          </w:tcPr>
          <w:p>
            <w:pPr>
              <w:ind w:left="120"/>
              <w:spacing w:after="0"/>
              <w:rPr>
                <w:sz w:val="20"/>
                <w:szCs w:val="20"/>
                <w:color w:val="auto"/>
              </w:rPr>
            </w:pPr>
            <w:r>
              <w:rPr>
                <w:rFonts w:ascii="Arial" w:cs="Arial" w:eastAsia="Arial" w:hAnsi="Arial"/>
                <w:sz w:val="16"/>
                <w:szCs w:val="16"/>
                <w:color w:val="auto"/>
              </w:rPr>
              <w:t>Unrealized (gains) losses on</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920" w:type="dxa"/>
            <w:vAlign w:val="bottom"/>
          </w:tcPr>
          <w:p>
            <w:pPr>
              <w:ind w:left="120"/>
              <w:spacing w:after="0"/>
              <w:rPr>
                <w:sz w:val="20"/>
                <w:szCs w:val="20"/>
                <w:color w:val="auto"/>
              </w:rPr>
            </w:pPr>
            <w:r>
              <w:rPr>
                <w:rFonts w:ascii="Arial" w:cs="Arial" w:eastAsia="Arial" w:hAnsi="Arial"/>
                <w:sz w:val="16"/>
                <w:szCs w:val="16"/>
                <w:color w:val="auto"/>
              </w:rPr>
              <w:t>investments, net</w:t>
            </w:r>
          </w:p>
        </w:tc>
        <w:tc>
          <w:tcPr>
            <w:tcW w:w="160" w:type="dxa"/>
            <w:vAlign w:val="bottom"/>
          </w:tcPr>
          <w:p>
            <w:pPr>
              <w:spacing w:after="0"/>
              <w:rPr>
                <w:sz w:val="17"/>
                <w:szCs w:val="17"/>
                <w:color w:val="auto"/>
              </w:rPr>
            </w:pP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NM</w:t>
            </w:r>
          </w:p>
        </w:tc>
        <w:tc>
          <w:tcPr>
            <w:tcW w:w="180" w:type="dxa"/>
            <w:vAlign w:val="bottom"/>
          </w:tcPr>
          <w:p>
            <w:pPr>
              <w:spacing w:after="0"/>
              <w:rPr>
                <w:sz w:val="17"/>
                <w:szCs w:val="17"/>
                <w:color w:val="auto"/>
              </w:rPr>
            </w:pPr>
          </w:p>
        </w:tc>
        <w:tc>
          <w:tcPr>
            <w:tcW w:w="760" w:type="dxa"/>
            <w:vAlign w:val="bottom"/>
          </w:tcPr>
          <w:p>
            <w:pPr>
              <w:jc w:val="right"/>
              <w:ind w:right="120"/>
              <w:spacing w:after="0"/>
              <w:rPr>
                <w:sz w:val="20"/>
                <w:szCs w:val="20"/>
                <w:color w:val="auto"/>
              </w:rPr>
            </w:pPr>
            <w:r>
              <w:rPr>
                <w:rFonts w:ascii="Arial" w:cs="Arial" w:eastAsia="Arial" w:hAnsi="Arial"/>
                <w:sz w:val="16"/>
                <w:szCs w:val="16"/>
                <w:color w:val="auto"/>
              </w:rPr>
              <w:t>295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28"/>
        </w:trPr>
        <w:tc>
          <w:tcPr>
            <w:tcW w:w="2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Loss on BRW term loan and</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guarantee</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NM</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697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697</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8"/>
        </w:trPr>
        <w:tc>
          <w:tcPr>
            <w:tcW w:w="2920" w:type="dxa"/>
            <w:vAlign w:val="bottom"/>
          </w:tcPr>
          <w:p>
            <w:pPr>
              <w:ind w:left="120"/>
              <w:spacing w:after="0"/>
              <w:rPr>
                <w:sz w:val="20"/>
                <w:szCs w:val="20"/>
                <w:color w:val="auto"/>
              </w:rPr>
            </w:pPr>
            <w:r>
              <w:rPr>
                <w:rFonts w:ascii="Arial" w:cs="Arial" w:eastAsia="Arial" w:hAnsi="Arial"/>
                <w:sz w:val="16"/>
                <w:szCs w:val="16"/>
                <w:color w:val="auto"/>
              </w:rPr>
              <w:t>Interest expense on ERJ 145 finance</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920" w:type="dxa"/>
            <w:vAlign w:val="bottom"/>
          </w:tcPr>
          <w:p>
            <w:pPr>
              <w:ind w:left="120"/>
              <w:spacing w:after="0"/>
              <w:rPr>
                <w:sz w:val="20"/>
                <w:szCs w:val="20"/>
                <w:color w:val="auto"/>
              </w:rPr>
            </w:pPr>
            <w:r>
              <w:rPr>
                <w:rFonts w:ascii="Arial" w:cs="Arial" w:eastAsia="Arial" w:hAnsi="Arial"/>
                <w:sz w:val="16"/>
                <w:szCs w:val="16"/>
                <w:color w:val="auto"/>
              </w:rPr>
              <w:t>leases</w:t>
            </w:r>
          </w:p>
        </w:tc>
        <w:tc>
          <w:tcPr>
            <w:tcW w:w="16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NM</w:t>
            </w:r>
          </w:p>
        </w:tc>
        <w:tc>
          <w:tcPr>
            <w:tcW w:w="180" w:type="dxa"/>
            <w:vAlign w:val="bottom"/>
          </w:tcPr>
          <w:p>
            <w:pPr>
              <w:spacing w:after="0"/>
              <w:rPr>
                <w:sz w:val="17"/>
                <w:szCs w:val="17"/>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60" w:type="dxa"/>
            <w:vAlign w:val="bottom"/>
          </w:tcPr>
          <w:p>
            <w:pPr>
              <w:jc w:val="right"/>
              <w:ind w:right="140"/>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28"/>
        </w:trPr>
        <w:tc>
          <w:tcPr>
            <w:tcW w:w="2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tax expense (benefit) related</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 adjustments above, net of valuation</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allowance</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148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NM</w:t>
            </w: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375</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43"/>
        </w:trPr>
        <w:tc>
          <w:tcPr>
            <w:tcW w:w="3080" w:type="dxa"/>
            <w:vAlign w:val="bottom"/>
            <w:gridSpan w:val="2"/>
          </w:tcPr>
          <w:p>
            <w:pPr>
              <w:ind w:left="20"/>
              <w:spacing w:after="0"/>
              <w:rPr>
                <w:sz w:val="20"/>
                <w:szCs w:val="20"/>
                <w:color w:val="auto"/>
              </w:rPr>
            </w:pPr>
            <w:r>
              <w:rPr>
                <w:rFonts w:ascii="Arial" w:cs="Arial" w:eastAsia="Arial" w:hAnsi="Arial"/>
                <w:sz w:val="16"/>
                <w:szCs w:val="16"/>
                <w:color w:val="auto"/>
              </w:rPr>
              <w:t>Adjusted net income (loss) (Non-GAAP) $</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(2,374)</w:t>
            </w:r>
          </w:p>
        </w:tc>
        <w:tc>
          <w:tcPr>
            <w:tcW w:w="12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1,046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(3,420)</w:t>
            </w: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NM</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(5,626)</w:t>
            </w:r>
          </w:p>
        </w:tc>
        <w:tc>
          <w:tcPr>
            <w:tcW w:w="1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40"/>
              <w:spacing w:after="0"/>
              <w:rPr>
                <w:sz w:val="20"/>
                <w:szCs w:val="20"/>
                <w:color w:val="auto"/>
              </w:rPr>
            </w:pPr>
            <w:r>
              <w:rPr>
                <w:rFonts w:ascii="Arial" w:cs="Arial" w:eastAsia="Arial" w:hAnsi="Arial"/>
                <w:sz w:val="16"/>
                <w:szCs w:val="16"/>
                <w:color w:val="auto"/>
              </w:rPr>
              <w:t>2,455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(8,081)</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2920" w:type="dxa"/>
            <w:vAlign w:val="bottom"/>
          </w:tcPr>
          <w:p>
            <w:pPr>
              <w:ind w:left="80"/>
              <w:spacing w:after="0"/>
              <w:rPr>
                <w:sz w:val="20"/>
                <w:szCs w:val="20"/>
                <w:color w:val="auto"/>
              </w:rPr>
            </w:pPr>
            <w:r>
              <w:rPr>
                <w:rFonts w:ascii="Arial" w:cs="Arial" w:eastAsia="Arial" w:hAnsi="Arial"/>
                <w:sz w:val="16"/>
                <w:szCs w:val="16"/>
                <w:color w:val="auto"/>
              </w:rPr>
              <w:t>Diluted earnings (loss) per share</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920" w:type="dxa"/>
            <w:vAlign w:val="bottom"/>
          </w:tcPr>
          <w:p>
            <w:pPr>
              <w:ind w:left="20"/>
              <w:spacing w:after="0"/>
              <w:rPr>
                <w:sz w:val="20"/>
                <w:szCs w:val="20"/>
                <w:color w:val="auto"/>
              </w:rPr>
            </w:pPr>
            <w:r>
              <w:rPr>
                <w:rFonts w:ascii="Arial" w:cs="Arial" w:eastAsia="Arial" w:hAnsi="Arial"/>
                <w:sz w:val="16"/>
                <w:szCs w:val="16"/>
                <w:color w:val="auto"/>
              </w:rPr>
              <w:t>(GAAP)</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(6.33)</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3.99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(10.32)</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NM</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(18.91)</w:t>
            </w:r>
          </w:p>
        </w:tc>
        <w:tc>
          <w:tcPr>
            <w:tcW w:w="1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40"/>
              <w:spacing w:after="0"/>
              <w:rPr>
                <w:sz w:val="20"/>
                <w:szCs w:val="20"/>
                <w:color w:val="auto"/>
              </w:rPr>
            </w:pPr>
            <w:r>
              <w:rPr>
                <w:rFonts w:ascii="Arial" w:cs="Arial" w:eastAsia="Arial" w:hAnsi="Arial"/>
                <w:sz w:val="16"/>
                <w:szCs w:val="16"/>
                <w:color w:val="auto"/>
              </w:rPr>
              <w:t>9.04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(27.95)</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26"/>
        </w:trPr>
        <w:tc>
          <w:tcPr>
            <w:tcW w:w="2920" w:type="dxa"/>
            <w:vAlign w:val="bottom"/>
            <w:shd w:val="clear" w:color="auto" w:fill="CCEEFF"/>
          </w:tcPr>
          <w:p>
            <w:pPr>
              <w:ind w:left="60"/>
              <w:spacing w:after="0"/>
              <w:rPr>
                <w:sz w:val="20"/>
                <w:szCs w:val="20"/>
                <w:color w:val="auto"/>
              </w:rPr>
            </w:pPr>
            <w:r>
              <w:rPr>
                <w:rFonts w:ascii="Arial" w:cs="Arial" w:eastAsia="Arial" w:hAnsi="Arial"/>
                <w:sz w:val="16"/>
                <w:szCs w:val="16"/>
                <w:color w:val="auto"/>
              </w:rPr>
              <w:t>Adjusted to exclude:</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920" w:type="dxa"/>
            <w:vAlign w:val="bottom"/>
          </w:tcPr>
          <w:p>
            <w:pPr>
              <w:ind w:left="120"/>
              <w:spacing w:after="0"/>
              <w:rPr>
                <w:sz w:val="20"/>
                <w:szCs w:val="20"/>
                <w:color w:val="auto"/>
              </w:rPr>
            </w:pPr>
            <w:r>
              <w:rPr>
                <w:rFonts w:ascii="Arial" w:cs="Arial" w:eastAsia="Arial" w:hAnsi="Arial"/>
                <w:sz w:val="16"/>
                <w:szCs w:val="16"/>
                <w:color w:val="auto"/>
              </w:rPr>
              <w:t>Special charges (credit)</w:t>
            </w:r>
          </w:p>
        </w:tc>
        <w:tc>
          <w:tcPr>
            <w:tcW w:w="160" w:type="dxa"/>
            <w:vAlign w:val="bottom"/>
          </w:tcPr>
          <w:p>
            <w:pPr>
              <w:spacing w:after="0"/>
              <w:rPr>
                <w:sz w:val="20"/>
                <w:szCs w:val="20"/>
                <w:color w:val="auto"/>
              </w:rPr>
            </w:pP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(3.72)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NM</w:t>
            </w:r>
          </w:p>
        </w:tc>
        <w:tc>
          <w:tcPr>
            <w:tcW w:w="180" w:type="dxa"/>
            <w:vAlign w:val="bottom"/>
          </w:tcPr>
          <w:p>
            <w:pPr>
              <w:spacing w:after="0"/>
              <w:rPr>
                <w:sz w:val="20"/>
                <w:szCs w:val="20"/>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(9.02)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140"/>
              <w:spacing w:after="0"/>
              <w:rPr>
                <w:sz w:val="20"/>
                <w:szCs w:val="20"/>
                <w:color w:val="auto"/>
              </w:rPr>
            </w:pPr>
            <w:r>
              <w:rPr>
                <w:rFonts w:ascii="Arial" w:cs="Arial" w:eastAsia="Arial" w:hAnsi="Arial"/>
                <w:sz w:val="16"/>
                <w:szCs w:val="16"/>
                <w:color w:val="auto"/>
              </w:rPr>
              <w:t>0.44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(9.46)</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28"/>
        </w:trPr>
        <w:tc>
          <w:tcPr>
            <w:tcW w:w="29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Termination benefits and settlement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losses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1.43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NM</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2.36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8"/>
        </w:trPr>
        <w:tc>
          <w:tcPr>
            <w:tcW w:w="2920" w:type="dxa"/>
            <w:vAlign w:val="bottom"/>
          </w:tcPr>
          <w:p>
            <w:pPr>
              <w:ind w:left="120"/>
              <w:spacing w:after="0"/>
              <w:rPr>
                <w:sz w:val="20"/>
                <w:szCs w:val="20"/>
                <w:color w:val="auto"/>
              </w:rPr>
            </w:pPr>
            <w:r>
              <w:rPr>
                <w:rFonts w:ascii="Arial" w:cs="Arial" w:eastAsia="Arial" w:hAnsi="Arial"/>
                <w:sz w:val="16"/>
                <w:szCs w:val="16"/>
                <w:color w:val="auto"/>
              </w:rPr>
              <w:t>Unrealized (gains) losses on</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920" w:type="dxa"/>
            <w:vAlign w:val="bottom"/>
          </w:tcPr>
          <w:p>
            <w:pPr>
              <w:ind w:left="120"/>
              <w:spacing w:after="0"/>
              <w:rPr>
                <w:sz w:val="20"/>
                <w:szCs w:val="20"/>
                <w:color w:val="auto"/>
              </w:rPr>
            </w:pPr>
            <w:r>
              <w:rPr>
                <w:rFonts w:ascii="Arial" w:cs="Arial" w:eastAsia="Arial" w:hAnsi="Arial"/>
                <w:sz w:val="16"/>
                <w:szCs w:val="16"/>
                <w:color w:val="auto"/>
              </w:rPr>
              <w:t>investments, net</w:t>
            </w:r>
          </w:p>
        </w:tc>
        <w:tc>
          <w:tcPr>
            <w:tcW w:w="160" w:type="dxa"/>
            <w:vAlign w:val="bottom"/>
          </w:tcPr>
          <w:p>
            <w:pPr>
              <w:spacing w:after="0"/>
              <w:rPr>
                <w:sz w:val="17"/>
                <w:szCs w:val="17"/>
                <w:color w:val="auto"/>
              </w:rPr>
            </w:pP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NM</w:t>
            </w:r>
          </w:p>
        </w:tc>
        <w:tc>
          <w:tcPr>
            <w:tcW w:w="180" w:type="dxa"/>
            <w:vAlign w:val="bottom"/>
          </w:tcPr>
          <w:p>
            <w:pPr>
              <w:spacing w:after="0"/>
              <w:rPr>
                <w:sz w:val="17"/>
                <w:szCs w:val="17"/>
                <w:color w:val="auto"/>
              </w:rPr>
            </w:pPr>
          </w:p>
        </w:tc>
        <w:tc>
          <w:tcPr>
            <w:tcW w:w="760" w:type="dxa"/>
            <w:vAlign w:val="bottom"/>
          </w:tcPr>
          <w:p>
            <w:pPr>
              <w:jc w:val="right"/>
              <w:ind w:right="120"/>
              <w:spacing w:after="0"/>
              <w:rPr>
                <w:sz w:val="20"/>
                <w:szCs w:val="20"/>
                <w:color w:val="auto"/>
              </w:rPr>
            </w:pPr>
            <w:r>
              <w:rPr>
                <w:rFonts w:ascii="Arial" w:cs="Arial" w:eastAsia="Arial" w:hAnsi="Arial"/>
                <w:sz w:val="16"/>
                <w:szCs w:val="16"/>
                <w:color w:val="auto"/>
              </w:rPr>
              <w:t>1.08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(0.27)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28"/>
        </w:trPr>
        <w:tc>
          <w:tcPr>
            <w:tcW w:w="2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Loss on BRW term loan and</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guarantee</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NM</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2.55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8"/>
        </w:trPr>
        <w:tc>
          <w:tcPr>
            <w:tcW w:w="2920" w:type="dxa"/>
            <w:vAlign w:val="bottom"/>
          </w:tcPr>
          <w:p>
            <w:pPr>
              <w:ind w:left="120"/>
              <w:spacing w:after="0"/>
              <w:rPr>
                <w:sz w:val="20"/>
                <w:szCs w:val="20"/>
                <w:color w:val="auto"/>
              </w:rPr>
            </w:pPr>
            <w:r>
              <w:rPr>
                <w:rFonts w:ascii="Arial" w:cs="Arial" w:eastAsia="Arial" w:hAnsi="Arial"/>
                <w:sz w:val="16"/>
                <w:szCs w:val="16"/>
                <w:color w:val="auto"/>
              </w:rPr>
              <w:t>Interest expense on ERJ 145 finance</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920" w:type="dxa"/>
            <w:vAlign w:val="bottom"/>
          </w:tcPr>
          <w:p>
            <w:pPr>
              <w:ind w:left="120"/>
              <w:spacing w:after="0"/>
              <w:rPr>
                <w:sz w:val="20"/>
                <w:szCs w:val="20"/>
                <w:color w:val="auto"/>
              </w:rPr>
            </w:pPr>
            <w:r>
              <w:rPr>
                <w:rFonts w:ascii="Arial" w:cs="Arial" w:eastAsia="Arial" w:hAnsi="Arial"/>
                <w:sz w:val="16"/>
                <w:szCs w:val="16"/>
                <w:color w:val="auto"/>
              </w:rPr>
              <w:t>leases</w:t>
            </w:r>
          </w:p>
        </w:tc>
        <w:tc>
          <w:tcPr>
            <w:tcW w:w="16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NM</w:t>
            </w:r>
          </w:p>
        </w:tc>
        <w:tc>
          <w:tcPr>
            <w:tcW w:w="180" w:type="dxa"/>
            <w:vAlign w:val="bottom"/>
          </w:tcPr>
          <w:p>
            <w:pPr>
              <w:spacing w:after="0"/>
              <w:rPr>
                <w:sz w:val="17"/>
                <w:szCs w:val="17"/>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60" w:type="dxa"/>
            <w:vAlign w:val="bottom"/>
          </w:tcPr>
          <w:p>
            <w:pPr>
              <w:jc w:val="right"/>
              <w:ind w:right="140"/>
              <w:spacing w:after="0"/>
              <w:rPr>
                <w:sz w:val="20"/>
                <w:szCs w:val="20"/>
                <w:color w:val="auto"/>
              </w:rPr>
            </w:pPr>
            <w:r>
              <w:rPr>
                <w:rFonts w:ascii="Arial" w:cs="Arial" w:eastAsia="Arial" w:hAnsi="Arial"/>
                <w:sz w:val="16"/>
                <w:szCs w:val="16"/>
                <w:color w:val="auto"/>
              </w:rPr>
              <w:t>0.26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(0.26)</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28"/>
        </w:trPr>
        <w:tc>
          <w:tcPr>
            <w:tcW w:w="2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tax expense (benefit) related</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 adjustments, net of valuation</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allowance</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0.51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0.53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NM</w:t>
            </w: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1.37</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(0.10)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98"/>
        </w:trPr>
        <w:tc>
          <w:tcPr>
            <w:tcW w:w="2920" w:type="dxa"/>
            <w:vAlign w:val="bottom"/>
          </w:tcPr>
          <w:p>
            <w:pPr>
              <w:ind w:left="20"/>
              <w:spacing w:after="0"/>
              <w:rPr>
                <w:sz w:val="20"/>
                <w:szCs w:val="20"/>
                <w:color w:val="auto"/>
              </w:rPr>
            </w:pPr>
            <w:r>
              <w:rPr>
                <w:rFonts w:ascii="Arial" w:cs="Arial" w:eastAsia="Arial" w:hAnsi="Arial"/>
                <w:sz w:val="16"/>
                <w:szCs w:val="16"/>
                <w:color w:val="auto"/>
              </w:rPr>
              <w:t>Adjusted diluted earnings (loss) per</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ind w:right="80"/>
              <w:spacing w:after="0"/>
              <w:rPr>
                <w:sz w:val="20"/>
                <w:szCs w:val="20"/>
                <w:color w:val="auto"/>
              </w:rPr>
            </w:pPr>
            <w:r>
              <w:rPr>
                <w:rFonts w:ascii="Arial" w:cs="Arial" w:eastAsia="Arial" w:hAnsi="Arial"/>
                <w:sz w:val="16"/>
                <w:szCs w:val="16"/>
                <w:color w:val="auto"/>
              </w:rPr>
              <w:t>(8.16)</w:t>
            </w:r>
          </w:p>
        </w:tc>
        <w:tc>
          <w:tcPr>
            <w:tcW w:w="120" w:type="dxa"/>
            <w:vAlign w:val="bottom"/>
          </w:tcPr>
          <w:p>
            <w:pPr>
              <w:spacing w:after="0"/>
              <w:rPr>
                <w:sz w:val="17"/>
                <w:szCs w:val="17"/>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vMerge w:val="restart"/>
          </w:tcPr>
          <w:p>
            <w:pPr>
              <w:jc w:val="right"/>
              <w:ind w:right="120"/>
              <w:spacing w:after="0"/>
              <w:rPr>
                <w:sz w:val="20"/>
                <w:szCs w:val="20"/>
                <w:color w:val="auto"/>
              </w:rPr>
            </w:pPr>
            <w:r>
              <w:rPr>
                <w:rFonts w:ascii="Arial" w:cs="Arial" w:eastAsia="Arial" w:hAnsi="Arial"/>
                <w:sz w:val="16"/>
                <w:szCs w:val="16"/>
                <w:color w:val="auto"/>
              </w:rPr>
              <w:t>4.07</w:t>
            </w:r>
          </w:p>
        </w:tc>
        <w:tc>
          <w:tcPr>
            <w:tcW w:w="10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(12.23)</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ind w:right="80"/>
              <w:spacing w:after="0"/>
              <w:rPr>
                <w:sz w:val="20"/>
                <w:szCs w:val="20"/>
                <w:color w:val="auto"/>
              </w:rPr>
            </w:pPr>
            <w:r>
              <w:rPr>
                <w:rFonts w:ascii="Arial" w:cs="Arial" w:eastAsia="Arial" w:hAnsi="Arial"/>
                <w:sz w:val="16"/>
                <w:szCs w:val="16"/>
                <w:color w:val="auto"/>
              </w:rPr>
              <w:t>(20.57)</w:t>
            </w:r>
          </w:p>
        </w:tc>
        <w:tc>
          <w:tcPr>
            <w:tcW w:w="16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ind w:right="140"/>
              <w:spacing w:after="0"/>
              <w:rPr>
                <w:sz w:val="20"/>
                <w:szCs w:val="20"/>
                <w:color w:val="auto"/>
              </w:rPr>
            </w:pPr>
            <w:r>
              <w:rPr>
                <w:rFonts w:ascii="Arial" w:cs="Arial" w:eastAsia="Arial" w:hAnsi="Arial"/>
                <w:sz w:val="16"/>
                <w:szCs w:val="16"/>
                <w:color w:val="auto"/>
              </w:rPr>
              <w:t>9.37</w:t>
            </w:r>
          </w:p>
        </w:tc>
        <w:tc>
          <w:tcPr>
            <w:tcW w:w="10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(29.94)</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920" w:type="dxa"/>
            <w:vAlign w:val="bottom"/>
          </w:tcPr>
          <w:p>
            <w:pPr>
              <w:ind w:left="20"/>
              <w:spacing w:after="0"/>
              <w:rPr>
                <w:sz w:val="20"/>
                <w:szCs w:val="20"/>
                <w:color w:val="auto"/>
              </w:rPr>
            </w:pPr>
            <w:r>
              <w:rPr>
                <w:rFonts w:ascii="Arial" w:cs="Arial" w:eastAsia="Arial" w:hAnsi="Arial"/>
                <w:sz w:val="16"/>
                <w:szCs w:val="16"/>
                <w:color w:val="auto"/>
              </w:rPr>
              <w:t>share (Non-GAAP)</w:t>
            </w:r>
          </w:p>
        </w:tc>
        <w:tc>
          <w:tcPr>
            <w:tcW w:w="16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NM</w:t>
            </w:r>
          </w:p>
        </w:tc>
        <w:tc>
          <w:tcPr>
            <w:tcW w:w="18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
        </w:trPr>
        <w:tc>
          <w:tcPr>
            <w:tcW w:w="2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320" w:top="195" w:right="419" w:bottom="18" w:gutter="0" w:footer="0" w:header="0"/>
        </w:sectPr>
      </w:pP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NM Not Meaningful</w:t>
      </w:r>
    </w:p>
    <w:p>
      <w:pPr>
        <w:sectPr>
          <w:pgSz w:w="11900" w:h="16838" w:orient="portrait"/>
          <w:cols w:equalWidth="0" w:num="1">
            <w:col w:w="11160"/>
          </w:cols>
          <w:pgMar w:left="320" w:top="195" w:right="419" w:bottom="18" w:gutter="0" w:footer="0" w:header="0"/>
          <w:type w:val="continuous"/>
        </w:sectPr>
      </w:pPr>
    </w:p>
    <w:bookmarkStart w:id="17" w:name="page18"/>
    <w:bookmarkEnd w:id="17"/>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9019"/>
          </w:cols>
          <w:pgMar w:left="1440" w:top="233" w:right="1440"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United Airlines Reports Third-Quarter 2020 Performance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UNITED AIRLINES HOLDINGS, INC.</w:t>
      </w:r>
    </w:p>
    <w:p>
      <w:pPr>
        <w:spacing w:after="0" w:line="2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NON-GAAP FINANCIAL RECONCILIATION (Continued)</w:t>
      </w:r>
    </w:p>
    <w:p>
      <w:pPr>
        <w:spacing w:after="0" w:line="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UAL believes that adjusting capital expenditures for assets acquired through the issuance of debt, finance leases and other financial liabilities is useful to investors in order to appropriately reflect the total amounts spent on capital expenditures. UAL also believes that adjusting net cash provided by operating activities for capital expenditures, adjusted capital expenditures, and aircraft operating lease additions is useful to allow investors to evaluate the company's ability to generate cash that is available for debt service or general corporate initiatives.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5"/>
          </w:tcPr>
          <w:p>
            <w:pPr>
              <w:jc w:val="center"/>
              <w:ind w:right="440"/>
              <w:spacing w:after="0"/>
              <w:rPr>
                <w:sz w:val="20"/>
                <w:szCs w:val="20"/>
                <w:color w:val="auto"/>
              </w:rPr>
            </w:pPr>
            <w:r>
              <w:rPr>
                <w:rFonts w:ascii="Arial" w:cs="Arial" w:eastAsia="Arial" w:hAnsi="Arial"/>
                <w:sz w:val="16"/>
                <w:szCs w:val="16"/>
                <w:color w:val="auto"/>
              </w:rPr>
              <w:t>Three Months Ended</w:t>
            </w:r>
          </w:p>
        </w:tc>
        <w:tc>
          <w:tcPr>
            <w:tcW w:w="220" w:type="dxa"/>
            <w:vAlign w:val="bottom"/>
          </w:tcPr>
          <w:p>
            <w:pPr>
              <w:spacing w:after="0"/>
              <w:rPr>
                <w:sz w:val="16"/>
                <w:szCs w:val="16"/>
                <w:color w:val="auto"/>
              </w:rPr>
            </w:pPr>
          </w:p>
        </w:tc>
        <w:tc>
          <w:tcPr>
            <w:tcW w:w="1980" w:type="dxa"/>
            <w:vAlign w:val="bottom"/>
            <w:gridSpan w:val="4"/>
          </w:tcPr>
          <w:p>
            <w:pPr>
              <w:jc w:val="right"/>
              <w:ind w:right="319"/>
              <w:spacing w:after="0"/>
              <w:rPr>
                <w:sz w:val="20"/>
                <w:szCs w:val="20"/>
                <w:color w:val="auto"/>
              </w:rPr>
            </w:pPr>
            <w:r>
              <w:rPr>
                <w:rFonts w:ascii="Arial" w:cs="Arial" w:eastAsia="Arial" w:hAnsi="Arial"/>
                <w:sz w:val="16"/>
                <w:szCs w:val="16"/>
                <w:color w:val="auto"/>
              </w:rPr>
              <w:t>Nine Months Ended</w:t>
            </w:r>
          </w:p>
        </w:tc>
      </w:tr>
      <w:tr>
        <w:trPr>
          <w:trHeight w:val="208"/>
        </w:trPr>
        <w:tc>
          <w:tcPr>
            <w:tcW w:w="6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5"/>
          </w:tcPr>
          <w:p>
            <w:pPr>
              <w:jc w:val="center"/>
              <w:ind w:right="440"/>
              <w:spacing w:after="0"/>
              <w:rPr>
                <w:sz w:val="20"/>
                <w:szCs w:val="20"/>
                <w:color w:val="auto"/>
              </w:rPr>
            </w:pPr>
            <w:r>
              <w:rPr>
                <w:rFonts w:ascii="Arial" w:cs="Arial" w:eastAsia="Arial" w:hAnsi="Arial"/>
                <w:sz w:val="16"/>
                <w:szCs w:val="16"/>
                <w:color w:val="auto"/>
              </w:rPr>
              <w:t>September 30,</w:t>
            </w:r>
          </w:p>
        </w:tc>
        <w:tc>
          <w:tcPr>
            <w:tcW w:w="220" w:type="dxa"/>
            <w:vAlign w:val="bottom"/>
          </w:tcPr>
          <w:p>
            <w:pPr>
              <w:spacing w:after="0"/>
              <w:rPr>
                <w:sz w:val="18"/>
                <w:szCs w:val="18"/>
                <w:color w:val="auto"/>
              </w:rPr>
            </w:pPr>
          </w:p>
        </w:tc>
        <w:tc>
          <w:tcPr>
            <w:tcW w:w="1980" w:type="dxa"/>
            <w:vAlign w:val="bottom"/>
            <w:gridSpan w:val="4"/>
          </w:tcPr>
          <w:p>
            <w:pPr>
              <w:jc w:val="right"/>
              <w:ind w:right="479"/>
              <w:spacing w:after="0"/>
              <w:rPr>
                <w:sz w:val="20"/>
                <w:szCs w:val="20"/>
                <w:color w:val="auto"/>
              </w:rPr>
            </w:pPr>
            <w:r>
              <w:rPr>
                <w:rFonts w:ascii="Arial" w:cs="Arial" w:eastAsia="Arial" w:hAnsi="Arial"/>
                <w:sz w:val="16"/>
                <w:szCs w:val="16"/>
                <w:color w:val="auto"/>
              </w:rPr>
              <w:t>September 30,</w:t>
            </w:r>
          </w:p>
        </w:tc>
      </w:tr>
      <w:tr>
        <w:trPr>
          <w:trHeight w:val="240"/>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 xml:space="preserve">Capital Expenditures </w:t>
            </w:r>
            <w:r>
              <w:rPr>
                <w:rFonts w:ascii="Arial" w:cs="Arial" w:eastAsia="Arial" w:hAnsi="Arial"/>
                <w:sz w:val="16"/>
                <w:szCs w:val="16"/>
                <w:color w:val="auto"/>
              </w:rPr>
              <w:t>(in millions)</w:t>
            </w: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2020</w:t>
            </w:r>
          </w:p>
        </w:tc>
        <w:tc>
          <w:tcPr>
            <w:tcW w:w="16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2019</w:t>
            </w:r>
          </w:p>
        </w:tc>
        <w:tc>
          <w:tcPr>
            <w:tcW w:w="2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2020</w:t>
            </w:r>
          </w:p>
        </w:tc>
        <w:tc>
          <w:tcPr>
            <w:tcW w:w="16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2019</w:t>
            </w:r>
          </w:p>
        </w:tc>
      </w:tr>
      <w:tr>
        <w:trPr>
          <w:trHeight w:val="23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 net of returns of purchase deposits on flight equipment (GAAP)</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869</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1,630</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3,336</w:t>
            </w:r>
          </w:p>
        </w:tc>
      </w:tr>
      <w:tr>
        <w:trPr>
          <w:trHeight w:val="233"/>
        </w:trPr>
        <w:tc>
          <w:tcPr>
            <w:tcW w:w="6320" w:type="dxa"/>
            <w:vAlign w:val="bottom"/>
          </w:tcPr>
          <w:p>
            <w:pPr>
              <w:ind w:left="340"/>
              <w:spacing w:after="0"/>
              <w:rPr>
                <w:sz w:val="20"/>
                <w:szCs w:val="20"/>
                <w:color w:val="auto"/>
              </w:rPr>
            </w:pPr>
            <w:r>
              <w:rPr>
                <w:rFonts w:ascii="Arial" w:cs="Arial" w:eastAsia="Arial" w:hAnsi="Arial"/>
                <w:sz w:val="16"/>
                <w:szCs w:val="16"/>
                <w:color w:val="auto"/>
              </w:rPr>
              <w:t>Property and equipment acquired through the issuance of debt and other</w:t>
            </w:r>
          </w:p>
        </w:tc>
        <w:tc>
          <w:tcPr>
            <w:tcW w:w="2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183</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86</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306</w:t>
            </w:r>
          </w:p>
        </w:tc>
      </w:tr>
      <w:tr>
        <w:trPr>
          <w:trHeight w:val="253"/>
        </w:trPr>
        <w:tc>
          <w:tcPr>
            <w:tcW w:w="6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Property and equipment acquired through finance leases</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33"/>
        </w:trPr>
        <w:tc>
          <w:tcPr>
            <w:tcW w:w="6320" w:type="dxa"/>
            <w:vAlign w:val="bottom"/>
          </w:tcPr>
          <w:p>
            <w:pPr>
              <w:ind w:left="340"/>
              <w:spacing w:after="0"/>
              <w:rPr>
                <w:sz w:val="20"/>
                <w:szCs w:val="20"/>
                <w:color w:val="auto"/>
              </w:rPr>
            </w:pPr>
            <w:r>
              <w:rPr>
                <w:rFonts w:ascii="Arial" w:cs="Arial" w:eastAsia="Arial" w:hAnsi="Arial"/>
                <w:sz w:val="16"/>
                <w:szCs w:val="16"/>
                <w:color w:val="auto"/>
              </w:rPr>
              <w:t>Property and equipment acquired through other financial liabilities</w:t>
            </w:r>
          </w:p>
        </w:tc>
        <w:tc>
          <w:tcPr>
            <w:tcW w:w="2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693</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973</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6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Adjustment to property and equipment acquired through other financial liabilities (a)</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6320" w:type="dxa"/>
            <w:vAlign w:val="bottom"/>
          </w:tcPr>
          <w:p>
            <w:pPr>
              <w:ind w:left="20"/>
              <w:spacing w:after="0"/>
              <w:rPr>
                <w:sz w:val="20"/>
                <w:szCs w:val="20"/>
                <w:color w:val="auto"/>
              </w:rPr>
            </w:pPr>
            <w:r>
              <w:rPr>
                <w:rFonts w:ascii="Arial" w:cs="Arial" w:eastAsia="Arial" w:hAnsi="Arial"/>
                <w:sz w:val="16"/>
                <w:szCs w:val="16"/>
                <w:color w:val="auto"/>
              </w:rPr>
              <w:t>Adjusted capital expenditures (Non-GAAP)</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387</w:t>
            </w:r>
          </w:p>
        </w:tc>
        <w:tc>
          <w:tcPr>
            <w:tcW w:w="16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955</w:t>
            </w:r>
          </w:p>
        </w:tc>
        <w:tc>
          <w:tcPr>
            <w:tcW w:w="2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2,958</w:t>
            </w:r>
          </w:p>
        </w:tc>
        <w:tc>
          <w:tcPr>
            <w:tcW w:w="16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3,650</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15"/>
        </w:trPr>
        <w:tc>
          <w:tcPr>
            <w:tcW w:w="6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215"/>
        </w:trPr>
        <w:tc>
          <w:tcPr>
            <w:tcW w:w="6320" w:type="dxa"/>
            <w:vAlign w:val="bottom"/>
          </w:tcPr>
          <w:p>
            <w:pPr>
              <w:ind w:left="20"/>
              <w:spacing w:after="0"/>
              <w:rPr>
                <w:sz w:val="20"/>
                <w:szCs w:val="20"/>
                <w:color w:val="auto"/>
              </w:rPr>
            </w:pPr>
            <w:r>
              <w:rPr>
                <w:rFonts w:ascii="Arial" w:cs="Arial" w:eastAsia="Arial" w:hAnsi="Arial"/>
                <w:sz w:val="16"/>
                <w:szCs w:val="16"/>
                <w:b w:val="1"/>
                <w:bCs w:val="1"/>
                <w:color w:val="auto"/>
              </w:rPr>
              <w:t xml:space="preserve">Free Cash Flow </w:t>
            </w:r>
            <w:r>
              <w:rPr>
                <w:rFonts w:ascii="Arial" w:cs="Arial" w:eastAsia="Arial" w:hAnsi="Arial"/>
                <w:sz w:val="16"/>
                <w:szCs w:val="16"/>
                <w:color w:val="auto"/>
              </w:rPr>
              <w:t>(in millions)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44"/>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 (GAAP)</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(1,889)</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1,103</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(1,956)</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5,728</w:t>
            </w:r>
          </w:p>
        </w:tc>
      </w:tr>
      <w:tr>
        <w:trPr>
          <w:trHeight w:val="237"/>
        </w:trPr>
        <w:tc>
          <w:tcPr>
            <w:tcW w:w="63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Less capital expenditures, net of returns of purchase deposits on flight equipment</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w:t>
            </w:r>
          </w:p>
        </w:tc>
        <w:tc>
          <w:tcPr>
            <w:tcW w:w="1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869</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1,630</w:t>
            </w:r>
          </w:p>
        </w:tc>
        <w:tc>
          <w:tcPr>
            <w:tcW w:w="1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3,336</w:t>
            </w:r>
          </w:p>
        </w:tc>
      </w:tr>
      <w:tr>
        <w:trPr>
          <w:trHeight w:val="268"/>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Free cash flow, net of financings (Non-GAAP)</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(1,521)</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234</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(3,586)</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2,392</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6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4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 (GAAP)</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(1,889)</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1,103</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(1,956)</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5,728</w:t>
            </w:r>
          </w:p>
        </w:tc>
      </w:tr>
      <w:tr>
        <w:trPr>
          <w:trHeight w:val="233"/>
        </w:trPr>
        <w:tc>
          <w:tcPr>
            <w:tcW w:w="6320" w:type="dxa"/>
            <w:vAlign w:val="bottom"/>
          </w:tcPr>
          <w:p>
            <w:pPr>
              <w:ind w:left="340"/>
              <w:spacing w:after="0"/>
              <w:rPr>
                <w:sz w:val="20"/>
                <w:szCs w:val="20"/>
                <w:color w:val="auto"/>
              </w:rPr>
            </w:pPr>
            <w:r>
              <w:rPr>
                <w:rFonts w:ascii="Arial" w:cs="Arial" w:eastAsia="Arial" w:hAnsi="Arial"/>
                <w:sz w:val="16"/>
                <w:szCs w:val="16"/>
                <w:color w:val="auto"/>
              </w:rPr>
              <w:t>Less adjusted capital expenditures (Non-GAAP)</w:t>
            </w:r>
          </w:p>
        </w:tc>
        <w:tc>
          <w:tcPr>
            <w:tcW w:w="2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387</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955</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2,958</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3,650</w:t>
            </w:r>
          </w:p>
        </w:tc>
      </w:tr>
      <w:tr>
        <w:trPr>
          <w:trHeight w:val="246"/>
        </w:trPr>
        <w:tc>
          <w:tcPr>
            <w:tcW w:w="6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Less aircraft operating lease additions</w:t>
            </w: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6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2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6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43"/>
        </w:trPr>
        <w:tc>
          <w:tcPr>
            <w:tcW w:w="6320" w:type="dxa"/>
            <w:vAlign w:val="bottom"/>
          </w:tcPr>
          <w:p>
            <w:pPr>
              <w:ind w:left="20"/>
              <w:spacing w:after="0"/>
              <w:rPr>
                <w:sz w:val="20"/>
                <w:szCs w:val="20"/>
                <w:color w:val="auto"/>
              </w:rPr>
            </w:pPr>
            <w:r>
              <w:rPr>
                <w:rFonts w:ascii="Arial" w:cs="Arial" w:eastAsia="Arial" w:hAnsi="Arial"/>
                <w:sz w:val="16"/>
                <w:szCs w:val="16"/>
                <w:color w:val="auto"/>
              </w:rPr>
              <w:t>Free cash flow (Non-GAAP)</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(2,283)</w:t>
            </w:r>
          </w:p>
        </w:tc>
        <w:tc>
          <w:tcPr>
            <w:tcW w:w="16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w:t>
            </w:r>
          </w:p>
        </w:tc>
        <w:tc>
          <w:tcPr>
            <w:tcW w:w="20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(4,954)</w:t>
            </w:r>
          </w:p>
        </w:tc>
        <w:tc>
          <w:tcPr>
            <w:tcW w:w="16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2,030</w:t>
            </w:r>
          </w:p>
        </w:tc>
      </w:tr>
      <w:tr>
        <w:trPr>
          <w:trHeight w:val="20"/>
        </w:trPr>
        <w:tc>
          <w:tcPr>
            <w:tcW w:w="6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ind w:left="20" w:right="200" w:firstLine="6"/>
        <w:spacing w:after="0" w:line="248" w:lineRule="auto"/>
        <w:tabs>
          <w:tab w:leader="none" w:pos="263"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the first nine months of 2020, United entered into agreements with third parties to finance through sale and leaseback transactions new Boeing model 787-9 aircraft and Boeing model 737 MAX aircraft subject to purchase agreements between United and Boeing. In connection with delivery of each aircraft from Boeing, United will assign its right to purchase such aircraft to the buyer, and simultaneous with the buyer's purchase from Boeing, United will enter into a long-term lease for such aircraft with the buyer as lessor. Seven Boeing model 787-9 aircraft were delivered under these transactions (and each is presently subject to a long-term lease to United). Upon delivery, the company accounted for the aircraft which have a repurchase option at a price other than fair value as part of Flight equipment on the company's balance sheet and the related obligation as Other current liabilities and Other financial liabilities from sale-leasebacks (noncurrent) since they do not qualify for sale recognition. If the repurchase option is not exercised, these aircraft will be accounted for as leased assets at the time of the option expiration and the related assets and liabilities will be adjusted to the present value of the remaining lease payments at that time. This adjustment reflects the difference between the recorded amounts and the present value of future lease payments at inception.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140" w:right="4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United Airlines Reports Third-Quarter 2020 Performance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UNITED AIRLINES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CONDENSED CONSOLIDATED BALANCE SHEETS (UNAUDITED)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260" w:type="dxa"/>
            <w:vAlign w:val="bottom"/>
          </w:tcPr>
          <w:p>
            <w:pPr>
              <w:ind w:left="80"/>
              <w:spacing w:after="0"/>
              <w:rPr>
                <w:sz w:val="20"/>
                <w:szCs w:val="20"/>
                <w:color w:val="auto"/>
              </w:rPr>
            </w:pPr>
            <w:r>
              <w:rPr>
                <w:rFonts w:ascii="Arial" w:cs="Arial" w:eastAsia="Arial" w:hAnsi="Arial"/>
                <w:sz w:val="16"/>
                <w:szCs w:val="16"/>
                <w:color w:val="auto"/>
              </w:rPr>
              <w:t>(In millions)</w:t>
            </w:r>
          </w:p>
        </w:tc>
        <w:tc>
          <w:tcPr>
            <w:tcW w:w="140" w:type="dxa"/>
            <w:vAlign w:val="bottom"/>
          </w:tcPr>
          <w:p>
            <w:pPr>
              <w:spacing w:after="0"/>
              <w:rPr>
                <w:sz w:val="18"/>
                <w:szCs w:val="18"/>
                <w:color w:val="auto"/>
              </w:rPr>
            </w:pPr>
          </w:p>
        </w:tc>
        <w:tc>
          <w:tcPr>
            <w:tcW w:w="1980" w:type="dxa"/>
            <w:vAlign w:val="bottom"/>
            <w:gridSpan w:val="2"/>
          </w:tcPr>
          <w:p>
            <w:pPr>
              <w:ind w:left="40"/>
              <w:spacing w:after="0"/>
              <w:rPr>
                <w:sz w:val="20"/>
                <w:szCs w:val="20"/>
                <w:color w:val="auto"/>
              </w:rPr>
            </w:pPr>
            <w:r>
              <w:rPr>
                <w:rFonts w:ascii="Arial" w:cs="Arial" w:eastAsia="Arial" w:hAnsi="Arial"/>
                <w:sz w:val="16"/>
                <w:szCs w:val="16"/>
                <w:color w:val="auto"/>
              </w:rPr>
              <w:t>September 30, 2020</w:t>
            </w:r>
          </w:p>
        </w:tc>
        <w:tc>
          <w:tcPr>
            <w:tcW w:w="160" w:type="dxa"/>
            <w:vAlign w:val="bottom"/>
          </w:tcPr>
          <w:p>
            <w:pPr>
              <w:spacing w:after="0"/>
              <w:rPr>
                <w:sz w:val="18"/>
                <w:szCs w:val="18"/>
                <w:color w:val="auto"/>
              </w:rPr>
            </w:pPr>
          </w:p>
        </w:tc>
        <w:tc>
          <w:tcPr>
            <w:tcW w:w="1700" w:type="dxa"/>
            <w:vAlign w:val="bottom"/>
          </w:tcPr>
          <w:p>
            <w:pPr>
              <w:jc w:val="right"/>
              <w:ind w:right="139"/>
              <w:spacing w:after="0"/>
              <w:rPr>
                <w:sz w:val="20"/>
                <w:szCs w:val="20"/>
                <w:color w:val="auto"/>
              </w:rPr>
            </w:pPr>
            <w:r>
              <w:rPr>
                <w:rFonts w:ascii="Arial" w:cs="Arial" w:eastAsia="Arial" w:hAnsi="Arial"/>
                <w:sz w:val="16"/>
                <w:szCs w:val="16"/>
                <w:color w:val="auto"/>
              </w:rPr>
              <w:t>December 31, 2019</w:t>
            </w:r>
          </w:p>
        </w:tc>
        <w:tc>
          <w:tcPr>
            <w:tcW w:w="0" w:type="dxa"/>
            <w:vAlign w:val="bottom"/>
          </w:tcPr>
          <w:p>
            <w:pPr>
              <w:spacing w:after="0"/>
              <w:rPr>
                <w:sz w:val="1"/>
                <w:szCs w:val="1"/>
                <w:color w:val="auto"/>
              </w:rPr>
            </w:pPr>
          </w:p>
        </w:tc>
      </w:tr>
      <w:tr>
        <w:trPr>
          <w:trHeight w:val="229"/>
        </w:trPr>
        <w:tc>
          <w:tcPr>
            <w:tcW w:w="7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2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7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13,150</w:t>
            </w: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2,762</w:t>
            </w:r>
          </w:p>
        </w:tc>
        <w:tc>
          <w:tcPr>
            <w:tcW w:w="0" w:type="dxa"/>
            <w:vAlign w:val="bottom"/>
          </w:tcPr>
          <w:p>
            <w:pPr>
              <w:spacing w:after="0"/>
              <w:rPr>
                <w:sz w:val="1"/>
                <w:szCs w:val="1"/>
                <w:color w:val="auto"/>
              </w:rPr>
            </w:pPr>
          </w:p>
        </w:tc>
      </w:tr>
      <w:tr>
        <w:trPr>
          <w:trHeight w:val="233"/>
        </w:trPr>
        <w:tc>
          <w:tcPr>
            <w:tcW w:w="7260" w:type="dxa"/>
            <w:vAlign w:val="bottom"/>
          </w:tcPr>
          <w:p>
            <w:pPr>
              <w:ind w:left="220"/>
              <w:spacing w:after="0"/>
              <w:rPr>
                <w:sz w:val="20"/>
                <w:szCs w:val="20"/>
                <w:color w:val="auto"/>
              </w:rPr>
            </w:pPr>
            <w:r>
              <w:rPr>
                <w:rFonts w:ascii="Arial" w:cs="Arial" w:eastAsia="Arial" w:hAnsi="Arial"/>
                <w:sz w:val="16"/>
                <w:szCs w:val="16"/>
                <w:color w:val="auto"/>
              </w:rPr>
              <w:t>Short-term investments</w:t>
            </w:r>
          </w:p>
        </w:tc>
        <w:tc>
          <w:tcPr>
            <w:tcW w:w="1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552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2,182</w:t>
            </w:r>
          </w:p>
        </w:tc>
        <w:tc>
          <w:tcPr>
            <w:tcW w:w="0" w:type="dxa"/>
            <w:vAlign w:val="bottom"/>
          </w:tcPr>
          <w:p>
            <w:pPr>
              <w:spacing w:after="0"/>
              <w:rPr>
                <w:sz w:val="1"/>
                <w:szCs w:val="1"/>
                <w:color w:val="auto"/>
              </w:rPr>
            </w:pPr>
          </w:p>
        </w:tc>
      </w:tr>
      <w:tr>
        <w:trPr>
          <w:trHeight w:val="253"/>
        </w:trPr>
        <w:tc>
          <w:tcPr>
            <w:tcW w:w="7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Restricted cash</w:t>
            </w:r>
          </w:p>
        </w:tc>
        <w:tc>
          <w:tcPr>
            <w:tcW w:w="14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7260" w:type="dxa"/>
            <w:vAlign w:val="bottom"/>
          </w:tcPr>
          <w:p>
            <w:pPr>
              <w:ind w:left="220"/>
              <w:spacing w:after="0"/>
              <w:rPr>
                <w:sz w:val="20"/>
                <w:szCs w:val="20"/>
                <w:color w:val="auto"/>
              </w:rPr>
            </w:pPr>
            <w:r>
              <w:rPr>
                <w:rFonts w:ascii="Arial" w:cs="Arial" w:eastAsia="Arial" w:hAnsi="Arial"/>
                <w:sz w:val="16"/>
                <w:szCs w:val="16"/>
                <w:color w:val="auto"/>
              </w:rPr>
              <w:t>Receivables, less allowance for credit losses (2020 — $9; 2019 — $9)</w:t>
            </w:r>
          </w:p>
        </w:tc>
        <w:tc>
          <w:tcPr>
            <w:tcW w:w="1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1,171</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1,364</w:t>
            </w:r>
          </w:p>
        </w:tc>
        <w:tc>
          <w:tcPr>
            <w:tcW w:w="0" w:type="dxa"/>
            <w:vAlign w:val="bottom"/>
          </w:tcPr>
          <w:p>
            <w:pPr>
              <w:spacing w:after="0"/>
              <w:rPr>
                <w:sz w:val="1"/>
                <w:szCs w:val="1"/>
                <w:color w:val="auto"/>
              </w:rPr>
            </w:pPr>
          </w:p>
        </w:tc>
      </w:tr>
      <w:tr>
        <w:trPr>
          <w:trHeight w:val="228"/>
        </w:trPr>
        <w:tc>
          <w:tcPr>
            <w:tcW w:w="7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Aircraft fuel, spare parts and supplies, less obsolescence allowance (2020 — $483; 2019 —</w:t>
            </w: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$425)</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w:t>
            </w:r>
          </w:p>
        </w:tc>
        <w:tc>
          <w:tcPr>
            <w:tcW w:w="0" w:type="dxa"/>
            <w:vAlign w:val="bottom"/>
          </w:tcPr>
          <w:p>
            <w:pPr>
              <w:spacing w:after="0"/>
              <w:rPr>
                <w:sz w:val="1"/>
                <w:szCs w:val="1"/>
                <w:color w:val="auto"/>
              </w:rPr>
            </w:pPr>
          </w:p>
        </w:tc>
      </w:tr>
      <w:tr>
        <w:trPr>
          <w:trHeight w:val="237"/>
        </w:trPr>
        <w:tc>
          <w:tcPr>
            <w:tcW w:w="72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Prepaid expenses and other</w:t>
            </w: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w:t>
            </w:r>
          </w:p>
        </w:tc>
        <w:tc>
          <w:tcPr>
            <w:tcW w:w="2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w:t>
            </w:r>
          </w:p>
        </w:tc>
        <w:tc>
          <w:tcPr>
            <w:tcW w:w="0" w:type="dxa"/>
            <w:vAlign w:val="bottom"/>
          </w:tcPr>
          <w:p>
            <w:pPr>
              <w:spacing w:after="0"/>
              <w:rPr>
                <w:sz w:val="1"/>
                <w:szCs w:val="1"/>
                <w:color w:val="auto"/>
              </w:rPr>
            </w:pPr>
          </w:p>
        </w:tc>
      </w:tr>
      <w:tr>
        <w:trPr>
          <w:trHeight w:val="237"/>
        </w:trPr>
        <w:tc>
          <w:tcPr>
            <w:tcW w:w="72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assets</w:t>
            </w:r>
          </w:p>
        </w:tc>
        <w:tc>
          <w:tcPr>
            <w:tcW w:w="14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16,476</w:t>
            </w:r>
          </w:p>
        </w:tc>
        <w:tc>
          <w:tcPr>
            <w:tcW w:w="2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8,194</w:t>
            </w:r>
          </w:p>
        </w:tc>
        <w:tc>
          <w:tcPr>
            <w:tcW w:w="0" w:type="dxa"/>
            <w:vAlign w:val="bottom"/>
          </w:tcPr>
          <w:p>
            <w:pPr>
              <w:spacing w:after="0"/>
              <w:rPr>
                <w:sz w:val="1"/>
                <w:szCs w:val="1"/>
                <w:color w:val="auto"/>
              </w:rPr>
            </w:pPr>
          </w:p>
        </w:tc>
      </w:tr>
      <w:tr>
        <w:trPr>
          <w:trHeight w:val="94"/>
        </w:trPr>
        <w:tc>
          <w:tcPr>
            <w:tcW w:w="7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7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operating property and equipment, net</w:t>
            </w:r>
          </w:p>
        </w:tc>
        <w:tc>
          <w:tcPr>
            <w:tcW w:w="14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31,650</w:t>
            </w: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30,170</w:t>
            </w:r>
          </w:p>
        </w:tc>
        <w:tc>
          <w:tcPr>
            <w:tcW w:w="0" w:type="dxa"/>
            <w:vAlign w:val="bottom"/>
          </w:tcPr>
          <w:p>
            <w:pPr>
              <w:spacing w:after="0"/>
              <w:rPr>
                <w:sz w:val="1"/>
                <w:szCs w:val="1"/>
                <w:color w:val="auto"/>
              </w:rPr>
            </w:pPr>
          </w:p>
        </w:tc>
      </w:tr>
      <w:tr>
        <w:trPr>
          <w:trHeight w:val="233"/>
        </w:trPr>
        <w:tc>
          <w:tcPr>
            <w:tcW w:w="726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4,544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4,758</w:t>
            </w:r>
          </w:p>
        </w:tc>
        <w:tc>
          <w:tcPr>
            <w:tcW w:w="0" w:type="dxa"/>
            <w:vAlign w:val="bottom"/>
          </w:tcPr>
          <w:p>
            <w:pPr>
              <w:spacing w:after="0"/>
              <w:rPr>
                <w:sz w:val="1"/>
                <w:szCs w:val="1"/>
                <w:color w:val="auto"/>
              </w:rPr>
            </w:pPr>
          </w:p>
        </w:tc>
      </w:tr>
      <w:tr>
        <w:trPr>
          <w:trHeight w:val="104"/>
        </w:trPr>
        <w:tc>
          <w:tcPr>
            <w:tcW w:w="72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7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7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726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7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Goodwill</w:t>
            </w:r>
          </w:p>
        </w:tc>
        <w:tc>
          <w:tcPr>
            <w:tcW w:w="14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4,527</w:t>
            </w: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4,523</w:t>
            </w:r>
          </w:p>
        </w:tc>
        <w:tc>
          <w:tcPr>
            <w:tcW w:w="0" w:type="dxa"/>
            <w:vAlign w:val="bottom"/>
          </w:tcPr>
          <w:p>
            <w:pPr>
              <w:spacing w:after="0"/>
              <w:rPr>
                <w:sz w:val="1"/>
                <w:szCs w:val="1"/>
                <w:color w:val="auto"/>
              </w:rPr>
            </w:pPr>
          </w:p>
        </w:tc>
      </w:tr>
      <w:tr>
        <w:trPr>
          <w:trHeight w:val="233"/>
        </w:trPr>
        <w:tc>
          <w:tcPr>
            <w:tcW w:w="7260" w:type="dxa"/>
            <w:vAlign w:val="bottom"/>
          </w:tcPr>
          <w:p>
            <w:pPr>
              <w:ind w:left="220"/>
              <w:spacing w:after="0"/>
              <w:rPr>
                <w:sz w:val="20"/>
                <w:szCs w:val="20"/>
                <w:color w:val="auto"/>
              </w:rPr>
            </w:pPr>
            <w:r>
              <w:rPr>
                <w:rFonts w:ascii="Arial" w:cs="Arial" w:eastAsia="Arial" w:hAnsi="Arial"/>
                <w:sz w:val="16"/>
                <w:szCs w:val="16"/>
                <w:color w:val="auto"/>
              </w:rPr>
              <w:t>Intangibles, less accumulated amortization (2020 — $1,481; 2019 — $1,440)</w:t>
            </w:r>
          </w:p>
        </w:tc>
        <w:tc>
          <w:tcPr>
            <w:tcW w:w="1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2,852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3,009</w:t>
            </w:r>
          </w:p>
        </w:tc>
        <w:tc>
          <w:tcPr>
            <w:tcW w:w="0" w:type="dxa"/>
            <w:vAlign w:val="bottom"/>
          </w:tcPr>
          <w:p>
            <w:pPr>
              <w:spacing w:after="0"/>
              <w:rPr>
                <w:sz w:val="1"/>
                <w:szCs w:val="1"/>
                <w:color w:val="auto"/>
              </w:rPr>
            </w:pPr>
          </w:p>
        </w:tc>
      </w:tr>
      <w:tr>
        <w:trPr>
          <w:trHeight w:val="253"/>
        </w:trPr>
        <w:tc>
          <w:tcPr>
            <w:tcW w:w="7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Restricted cash</w:t>
            </w:r>
          </w:p>
        </w:tc>
        <w:tc>
          <w:tcPr>
            <w:tcW w:w="14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33"/>
        </w:trPr>
        <w:tc>
          <w:tcPr>
            <w:tcW w:w="7260" w:type="dxa"/>
            <w:vAlign w:val="bottom"/>
          </w:tcPr>
          <w:p>
            <w:pPr>
              <w:ind w:left="220"/>
              <w:spacing w:after="0"/>
              <w:rPr>
                <w:sz w:val="20"/>
                <w:szCs w:val="20"/>
                <w:color w:val="auto"/>
              </w:rPr>
            </w:pPr>
            <w:r>
              <w:rPr>
                <w:rFonts w:ascii="Arial" w:cs="Arial" w:eastAsia="Arial" w:hAnsi="Arial"/>
                <w:sz w:val="16"/>
                <w:szCs w:val="16"/>
                <w:color w:val="auto"/>
              </w:rPr>
              <w:t>Notes receivable, less allowance for credit losses (2020 — $559)</w:t>
            </w:r>
          </w:p>
        </w:tc>
        <w:tc>
          <w:tcPr>
            <w:tcW w:w="1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144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671</w:t>
            </w:r>
          </w:p>
        </w:tc>
        <w:tc>
          <w:tcPr>
            <w:tcW w:w="0" w:type="dxa"/>
            <w:vAlign w:val="bottom"/>
          </w:tcPr>
          <w:p>
            <w:pPr>
              <w:spacing w:after="0"/>
              <w:rPr>
                <w:sz w:val="1"/>
                <w:szCs w:val="1"/>
                <w:color w:val="auto"/>
              </w:rPr>
            </w:pPr>
          </w:p>
        </w:tc>
      </w:tr>
      <w:tr>
        <w:trPr>
          <w:trHeight w:val="246"/>
        </w:trPr>
        <w:tc>
          <w:tcPr>
            <w:tcW w:w="7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Investments in affiliates and other, net</w:t>
            </w:r>
          </w:p>
        </w:tc>
        <w:tc>
          <w:tcPr>
            <w:tcW w:w="14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2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1,180</w:t>
            </w:r>
          </w:p>
        </w:tc>
        <w:tc>
          <w:tcPr>
            <w:tcW w:w="0" w:type="dxa"/>
            <w:vAlign w:val="bottom"/>
          </w:tcPr>
          <w:p>
            <w:pPr>
              <w:spacing w:after="0"/>
              <w:rPr>
                <w:sz w:val="1"/>
                <w:szCs w:val="1"/>
                <w:color w:val="auto"/>
              </w:rPr>
            </w:pPr>
          </w:p>
        </w:tc>
      </w:tr>
      <w:tr>
        <w:trPr>
          <w:trHeight w:val="237"/>
        </w:trPr>
        <w:tc>
          <w:tcPr>
            <w:tcW w:w="72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other assets</w:t>
            </w: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8,519</w:t>
            </w:r>
          </w:p>
        </w:tc>
        <w:tc>
          <w:tcPr>
            <w:tcW w:w="2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9,489</w:t>
            </w:r>
          </w:p>
        </w:tc>
        <w:tc>
          <w:tcPr>
            <w:tcW w:w="0" w:type="dxa"/>
            <w:vAlign w:val="bottom"/>
          </w:tcPr>
          <w:p>
            <w:pPr>
              <w:spacing w:after="0"/>
              <w:rPr>
                <w:sz w:val="1"/>
                <w:szCs w:val="1"/>
                <w:color w:val="auto"/>
              </w:rPr>
            </w:pPr>
          </w:p>
        </w:tc>
      </w:tr>
      <w:tr>
        <w:trPr>
          <w:trHeight w:val="268"/>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61,189</w:t>
            </w:r>
          </w:p>
        </w:tc>
        <w:tc>
          <w:tcPr>
            <w:tcW w:w="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52,611</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726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7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4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260" w:type="dxa"/>
            <w:vAlign w:val="bottom"/>
          </w:tcPr>
          <w:p>
            <w:pPr>
              <w:ind w:left="220"/>
              <w:spacing w:after="0"/>
              <w:rPr>
                <w:sz w:val="20"/>
                <w:szCs w:val="20"/>
                <w:color w:val="auto"/>
              </w:rPr>
            </w:pPr>
            <w:r>
              <w:rPr>
                <w:rFonts w:ascii="Arial" w:cs="Arial" w:eastAsia="Arial" w:hAnsi="Arial"/>
                <w:sz w:val="16"/>
                <w:szCs w:val="16"/>
                <w:color w:val="auto"/>
              </w:rPr>
              <w:t>Advance ticket sales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4,907</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4,819</w:t>
            </w:r>
          </w:p>
        </w:tc>
        <w:tc>
          <w:tcPr>
            <w:tcW w:w="0" w:type="dxa"/>
            <w:vAlign w:val="bottom"/>
          </w:tcPr>
          <w:p>
            <w:pPr>
              <w:spacing w:after="0"/>
              <w:rPr>
                <w:sz w:val="1"/>
                <w:szCs w:val="1"/>
                <w:color w:val="auto"/>
              </w:rPr>
            </w:pPr>
          </w:p>
        </w:tc>
      </w:tr>
      <w:tr>
        <w:trPr>
          <w:trHeight w:val="253"/>
        </w:trPr>
        <w:tc>
          <w:tcPr>
            <w:tcW w:w="7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14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1,831</w:t>
            </w: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2,703</w:t>
            </w:r>
          </w:p>
        </w:tc>
        <w:tc>
          <w:tcPr>
            <w:tcW w:w="0" w:type="dxa"/>
            <w:vAlign w:val="bottom"/>
          </w:tcPr>
          <w:p>
            <w:pPr>
              <w:spacing w:after="0"/>
              <w:rPr>
                <w:sz w:val="1"/>
                <w:szCs w:val="1"/>
                <w:color w:val="auto"/>
              </w:rPr>
            </w:pPr>
          </w:p>
        </w:tc>
      </w:tr>
      <w:tr>
        <w:trPr>
          <w:trHeight w:val="233"/>
        </w:trPr>
        <w:tc>
          <w:tcPr>
            <w:tcW w:w="7260" w:type="dxa"/>
            <w:vAlign w:val="bottom"/>
          </w:tcPr>
          <w:p>
            <w:pPr>
              <w:ind w:left="220"/>
              <w:spacing w:after="0"/>
              <w:rPr>
                <w:sz w:val="20"/>
                <w:szCs w:val="20"/>
                <w:color w:val="auto"/>
              </w:rPr>
            </w:pPr>
            <w:r>
              <w:rPr>
                <w:rFonts w:ascii="Arial" w:cs="Arial" w:eastAsia="Arial" w:hAnsi="Arial"/>
                <w:sz w:val="16"/>
                <w:szCs w:val="16"/>
                <w:color w:val="auto"/>
              </w:rPr>
              <w:t>Frequent flyer deferred revenue</w:t>
            </w:r>
          </w:p>
        </w:tc>
        <w:tc>
          <w:tcPr>
            <w:tcW w:w="1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772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2,440</w:t>
            </w:r>
          </w:p>
        </w:tc>
        <w:tc>
          <w:tcPr>
            <w:tcW w:w="0" w:type="dxa"/>
            <w:vAlign w:val="bottom"/>
          </w:tcPr>
          <w:p>
            <w:pPr>
              <w:spacing w:after="0"/>
              <w:rPr>
                <w:sz w:val="1"/>
                <w:szCs w:val="1"/>
                <w:color w:val="auto"/>
              </w:rPr>
            </w:pPr>
          </w:p>
        </w:tc>
      </w:tr>
      <w:tr>
        <w:trPr>
          <w:trHeight w:val="253"/>
        </w:trPr>
        <w:tc>
          <w:tcPr>
            <w:tcW w:w="7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salaries and benefits</w:t>
            </w:r>
          </w:p>
        </w:tc>
        <w:tc>
          <w:tcPr>
            <w:tcW w:w="14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1,994</w:t>
            </w: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2,271</w:t>
            </w:r>
          </w:p>
        </w:tc>
        <w:tc>
          <w:tcPr>
            <w:tcW w:w="0" w:type="dxa"/>
            <w:vAlign w:val="bottom"/>
          </w:tcPr>
          <w:p>
            <w:pPr>
              <w:spacing w:after="0"/>
              <w:rPr>
                <w:sz w:val="1"/>
                <w:szCs w:val="1"/>
                <w:color w:val="auto"/>
              </w:rPr>
            </w:pPr>
          </w:p>
        </w:tc>
      </w:tr>
      <w:tr>
        <w:trPr>
          <w:trHeight w:val="233"/>
        </w:trPr>
        <w:tc>
          <w:tcPr>
            <w:tcW w:w="7260" w:type="dxa"/>
            <w:vAlign w:val="bottom"/>
          </w:tcPr>
          <w:p>
            <w:pPr>
              <w:ind w:left="220"/>
              <w:spacing w:after="0"/>
              <w:rPr>
                <w:sz w:val="20"/>
                <w:szCs w:val="20"/>
                <w:color w:val="auto"/>
              </w:rPr>
            </w:pPr>
            <w:r>
              <w:rPr>
                <w:rFonts w:ascii="Arial" w:cs="Arial" w:eastAsia="Arial" w:hAnsi="Arial"/>
                <w:sz w:val="16"/>
                <w:szCs w:val="16"/>
                <w:color w:val="auto"/>
              </w:rPr>
              <w:t>Current maturities of long-term debt</w:t>
            </w:r>
          </w:p>
        </w:tc>
        <w:tc>
          <w:tcPr>
            <w:tcW w:w="1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4,584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1,407</w:t>
            </w:r>
          </w:p>
        </w:tc>
        <w:tc>
          <w:tcPr>
            <w:tcW w:w="0" w:type="dxa"/>
            <w:vAlign w:val="bottom"/>
          </w:tcPr>
          <w:p>
            <w:pPr>
              <w:spacing w:after="0"/>
              <w:rPr>
                <w:sz w:val="1"/>
                <w:szCs w:val="1"/>
                <w:color w:val="auto"/>
              </w:rPr>
            </w:pPr>
          </w:p>
        </w:tc>
      </w:tr>
      <w:tr>
        <w:trPr>
          <w:trHeight w:val="253"/>
        </w:trPr>
        <w:tc>
          <w:tcPr>
            <w:tcW w:w="7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maturities of finance leases</w:t>
            </w:r>
          </w:p>
        </w:tc>
        <w:tc>
          <w:tcPr>
            <w:tcW w:w="14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33"/>
        </w:trPr>
        <w:tc>
          <w:tcPr>
            <w:tcW w:w="7260" w:type="dxa"/>
            <w:vAlign w:val="bottom"/>
          </w:tcPr>
          <w:p>
            <w:pPr>
              <w:ind w:left="220"/>
              <w:spacing w:after="0"/>
              <w:rPr>
                <w:sz w:val="20"/>
                <w:szCs w:val="20"/>
                <w:color w:val="auto"/>
              </w:rPr>
            </w:pPr>
            <w:r>
              <w:rPr>
                <w:rFonts w:ascii="Arial" w:cs="Arial" w:eastAsia="Arial" w:hAnsi="Arial"/>
                <w:sz w:val="16"/>
                <w:szCs w:val="16"/>
                <w:color w:val="auto"/>
              </w:rPr>
              <w:t>Current maturities of operating leases</w:t>
            </w:r>
          </w:p>
        </w:tc>
        <w:tc>
          <w:tcPr>
            <w:tcW w:w="1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623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686</w:t>
            </w:r>
          </w:p>
        </w:tc>
        <w:tc>
          <w:tcPr>
            <w:tcW w:w="0" w:type="dxa"/>
            <w:vAlign w:val="bottom"/>
          </w:tcPr>
          <w:p>
            <w:pPr>
              <w:spacing w:after="0"/>
              <w:rPr>
                <w:sz w:val="1"/>
                <w:szCs w:val="1"/>
                <w:color w:val="auto"/>
              </w:rPr>
            </w:pPr>
          </w:p>
        </w:tc>
      </w:tr>
      <w:tr>
        <w:trPr>
          <w:trHeight w:val="246"/>
        </w:trPr>
        <w:tc>
          <w:tcPr>
            <w:tcW w:w="7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944</w:t>
            </w:r>
          </w:p>
        </w:tc>
        <w:tc>
          <w:tcPr>
            <w:tcW w:w="2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0" w:type="dxa"/>
            <w:vAlign w:val="bottom"/>
          </w:tcPr>
          <w:p>
            <w:pPr>
              <w:spacing w:after="0"/>
              <w:rPr>
                <w:sz w:val="1"/>
                <w:szCs w:val="1"/>
                <w:color w:val="auto"/>
              </w:rPr>
            </w:pPr>
          </w:p>
        </w:tc>
      </w:tr>
      <w:tr>
        <w:trPr>
          <w:trHeight w:val="236"/>
        </w:trPr>
        <w:tc>
          <w:tcPr>
            <w:tcW w:w="72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15,791</w:t>
            </w:r>
          </w:p>
        </w:tc>
        <w:tc>
          <w:tcPr>
            <w:tcW w:w="2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14,938</w:t>
            </w:r>
          </w:p>
        </w:tc>
        <w:tc>
          <w:tcPr>
            <w:tcW w:w="0" w:type="dxa"/>
            <w:vAlign w:val="bottom"/>
          </w:tcPr>
          <w:p>
            <w:pPr>
              <w:spacing w:after="0"/>
              <w:rPr>
                <w:sz w:val="1"/>
                <w:szCs w:val="1"/>
                <w:color w:val="auto"/>
              </w:rPr>
            </w:pPr>
          </w:p>
        </w:tc>
      </w:tr>
      <w:tr>
        <w:trPr>
          <w:trHeight w:val="135"/>
        </w:trPr>
        <w:tc>
          <w:tcPr>
            <w:tcW w:w="7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3"/>
        </w:trPr>
        <w:tc>
          <w:tcPr>
            <w:tcW w:w="7260" w:type="dxa"/>
            <w:vAlign w:val="bottom"/>
          </w:tcPr>
          <w:p>
            <w:pPr>
              <w:ind w:left="20"/>
              <w:spacing w:after="0"/>
              <w:rPr>
                <w:sz w:val="20"/>
                <w:szCs w:val="20"/>
                <w:color w:val="auto"/>
              </w:rPr>
            </w:pPr>
            <w:r>
              <w:rPr>
                <w:rFonts w:ascii="Arial" w:cs="Arial" w:eastAsia="Arial" w:hAnsi="Arial"/>
                <w:sz w:val="16"/>
                <w:szCs w:val="16"/>
                <w:color w:val="auto"/>
              </w:rPr>
              <w:t>Long-term liabilities and deferred credits:</w:t>
            </w: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7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Long-term debt</w:t>
            </w:r>
          </w:p>
        </w:tc>
        <w:tc>
          <w:tcPr>
            <w:tcW w:w="14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22,297</w:t>
            </w: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13,145</w:t>
            </w:r>
          </w:p>
        </w:tc>
        <w:tc>
          <w:tcPr>
            <w:tcW w:w="0" w:type="dxa"/>
            <w:vAlign w:val="bottom"/>
          </w:tcPr>
          <w:p>
            <w:pPr>
              <w:spacing w:after="0"/>
              <w:rPr>
                <w:sz w:val="1"/>
                <w:szCs w:val="1"/>
                <w:color w:val="auto"/>
              </w:rPr>
            </w:pPr>
          </w:p>
        </w:tc>
      </w:tr>
      <w:tr>
        <w:trPr>
          <w:trHeight w:val="233"/>
        </w:trPr>
        <w:tc>
          <w:tcPr>
            <w:tcW w:w="7260" w:type="dxa"/>
            <w:vAlign w:val="bottom"/>
          </w:tcPr>
          <w:p>
            <w:pPr>
              <w:ind w:left="220"/>
              <w:spacing w:after="0"/>
              <w:rPr>
                <w:sz w:val="20"/>
                <w:szCs w:val="20"/>
                <w:color w:val="auto"/>
              </w:rPr>
            </w:pPr>
            <w:r>
              <w:rPr>
                <w:rFonts w:ascii="Arial" w:cs="Arial" w:eastAsia="Arial" w:hAnsi="Arial"/>
                <w:sz w:val="16"/>
                <w:szCs w:val="16"/>
                <w:color w:val="auto"/>
              </w:rPr>
              <w:t>Long-term obligations under finance leases</w:t>
            </w:r>
          </w:p>
        </w:tc>
        <w:tc>
          <w:tcPr>
            <w:tcW w:w="1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278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53"/>
        </w:trPr>
        <w:tc>
          <w:tcPr>
            <w:tcW w:w="7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Long-term obligations under operating leases</w:t>
            </w:r>
          </w:p>
        </w:tc>
        <w:tc>
          <w:tcPr>
            <w:tcW w:w="14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4,943</w:t>
            </w: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4,946</w:t>
            </w:r>
          </w:p>
        </w:tc>
        <w:tc>
          <w:tcPr>
            <w:tcW w:w="0" w:type="dxa"/>
            <w:vAlign w:val="bottom"/>
          </w:tcPr>
          <w:p>
            <w:pPr>
              <w:spacing w:after="0"/>
              <w:rPr>
                <w:sz w:val="1"/>
                <w:szCs w:val="1"/>
                <w:color w:val="auto"/>
              </w:rPr>
            </w:pPr>
          </w:p>
        </w:tc>
      </w:tr>
      <w:tr>
        <w:trPr>
          <w:trHeight w:val="233"/>
        </w:trPr>
        <w:tc>
          <w:tcPr>
            <w:tcW w:w="7260" w:type="dxa"/>
            <w:vAlign w:val="bottom"/>
          </w:tcPr>
          <w:p>
            <w:pPr>
              <w:ind w:left="220"/>
              <w:spacing w:after="0"/>
              <w:rPr>
                <w:sz w:val="20"/>
                <w:szCs w:val="20"/>
                <w:color w:val="auto"/>
              </w:rPr>
            </w:pPr>
            <w:r>
              <w:rPr>
                <w:rFonts w:ascii="Arial" w:cs="Arial" w:eastAsia="Arial" w:hAnsi="Arial"/>
                <w:sz w:val="16"/>
                <w:szCs w:val="16"/>
                <w:color w:val="auto"/>
              </w:rPr>
              <w:t>Frequent flyer deferred revenue</w:t>
            </w:r>
          </w:p>
        </w:tc>
        <w:tc>
          <w:tcPr>
            <w:tcW w:w="1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5,063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2,836</w:t>
            </w:r>
          </w:p>
        </w:tc>
        <w:tc>
          <w:tcPr>
            <w:tcW w:w="0" w:type="dxa"/>
            <w:vAlign w:val="bottom"/>
          </w:tcPr>
          <w:p>
            <w:pPr>
              <w:spacing w:after="0"/>
              <w:rPr>
                <w:sz w:val="1"/>
                <w:szCs w:val="1"/>
                <w:color w:val="auto"/>
              </w:rPr>
            </w:pPr>
          </w:p>
        </w:tc>
      </w:tr>
      <w:tr>
        <w:trPr>
          <w:trHeight w:val="253"/>
        </w:trPr>
        <w:tc>
          <w:tcPr>
            <w:tcW w:w="7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Postretirement benefit liability</w:t>
            </w:r>
          </w:p>
        </w:tc>
        <w:tc>
          <w:tcPr>
            <w:tcW w:w="14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w:t>
            </w:r>
          </w:p>
        </w:tc>
        <w:tc>
          <w:tcPr>
            <w:tcW w:w="0" w:type="dxa"/>
            <w:vAlign w:val="bottom"/>
          </w:tcPr>
          <w:p>
            <w:pPr>
              <w:spacing w:after="0"/>
              <w:rPr>
                <w:sz w:val="1"/>
                <w:szCs w:val="1"/>
                <w:color w:val="auto"/>
              </w:rPr>
            </w:pPr>
          </w:p>
        </w:tc>
      </w:tr>
      <w:tr>
        <w:trPr>
          <w:trHeight w:val="233"/>
        </w:trPr>
        <w:tc>
          <w:tcPr>
            <w:tcW w:w="7260" w:type="dxa"/>
            <w:vAlign w:val="bottom"/>
          </w:tcPr>
          <w:p>
            <w:pPr>
              <w:ind w:left="220"/>
              <w:spacing w:after="0"/>
              <w:rPr>
                <w:sz w:val="20"/>
                <w:szCs w:val="20"/>
                <w:color w:val="auto"/>
              </w:rPr>
            </w:pPr>
            <w:r>
              <w:rPr>
                <w:rFonts w:ascii="Arial" w:cs="Arial" w:eastAsia="Arial" w:hAnsi="Arial"/>
                <w:sz w:val="16"/>
                <w:szCs w:val="16"/>
                <w:color w:val="auto"/>
              </w:rPr>
              <w:t>Pension liability</w:t>
            </w:r>
          </w:p>
        </w:tc>
        <w:tc>
          <w:tcPr>
            <w:tcW w:w="1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2,282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1,446</w:t>
            </w:r>
          </w:p>
        </w:tc>
        <w:tc>
          <w:tcPr>
            <w:tcW w:w="0" w:type="dxa"/>
            <w:vAlign w:val="bottom"/>
          </w:tcPr>
          <w:p>
            <w:pPr>
              <w:spacing w:after="0"/>
              <w:rPr>
                <w:sz w:val="1"/>
                <w:szCs w:val="1"/>
                <w:color w:val="auto"/>
              </w:rPr>
            </w:pPr>
          </w:p>
        </w:tc>
      </w:tr>
      <w:tr>
        <w:trPr>
          <w:trHeight w:val="253"/>
        </w:trPr>
        <w:tc>
          <w:tcPr>
            <w:tcW w:w="7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14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1,736</w:t>
            </w:r>
          </w:p>
        </w:tc>
        <w:tc>
          <w:tcPr>
            <w:tcW w:w="0" w:type="dxa"/>
            <w:vAlign w:val="bottom"/>
          </w:tcPr>
          <w:p>
            <w:pPr>
              <w:spacing w:after="0"/>
              <w:rPr>
                <w:sz w:val="1"/>
                <w:szCs w:val="1"/>
                <w:color w:val="auto"/>
              </w:rPr>
            </w:pPr>
          </w:p>
        </w:tc>
      </w:tr>
      <w:tr>
        <w:trPr>
          <w:trHeight w:val="233"/>
        </w:trPr>
        <w:tc>
          <w:tcPr>
            <w:tcW w:w="7260" w:type="dxa"/>
            <w:vAlign w:val="bottom"/>
          </w:tcPr>
          <w:p>
            <w:pPr>
              <w:ind w:left="220"/>
              <w:spacing w:after="0"/>
              <w:rPr>
                <w:sz w:val="20"/>
                <w:szCs w:val="20"/>
                <w:color w:val="auto"/>
              </w:rPr>
            </w:pPr>
            <w:r>
              <w:rPr>
                <w:rFonts w:ascii="Arial" w:cs="Arial" w:eastAsia="Arial" w:hAnsi="Arial"/>
                <w:sz w:val="16"/>
                <w:szCs w:val="16"/>
                <w:color w:val="auto"/>
              </w:rPr>
              <w:t>Other financial liabilities from sale-leasebacks</w:t>
            </w:r>
          </w:p>
        </w:tc>
        <w:tc>
          <w:tcPr>
            <w:tcW w:w="1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957</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7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2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1,024</w:t>
            </w:r>
          </w:p>
        </w:tc>
        <w:tc>
          <w:tcPr>
            <w:tcW w:w="0" w:type="dxa"/>
            <w:vAlign w:val="bottom"/>
          </w:tcPr>
          <w:p>
            <w:pPr>
              <w:spacing w:after="0"/>
              <w:rPr>
                <w:sz w:val="1"/>
                <w:szCs w:val="1"/>
                <w:color w:val="auto"/>
              </w:rPr>
            </w:pPr>
          </w:p>
        </w:tc>
      </w:tr>
      <w:tr>
        <w:trPr>
          <w:trHeight w:val="236"/>
        </w:trPr>
        <w:tc>
          <w:tcPr>
            <w:tcW w:w="72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long-term liabilities and deferred credits</w:t>
            </w: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38,395</w:t>
            </w:r>
          </w:p>
        </w:tc>
        <w:tc>
          <w:tcPr>
            <w:tcW w:w="2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26,142</w:t>
            </w:r>
          </w:p>
        </w:tc>
        <w:tc>
          <w:tcPr>
            <w:tcW w:w="0" w:type="dxa"/>
            <w:vAlign w:val="bottom"/>
          </w:tcPr>
          <w:p>
            <w:pPr>
              <w:spacing w:after="0"/>
              <w:rPr>
                <w:sz w:val="1"/>
                <w:szCs w:val="1"/>
                <w:color w:val="auto"/>
              </w:rPr>
            </w:pPr>
          </w:p>
        </w:tc>
      </w:tr>
      <w:tr>
        <w:trPr>
          <w:trHeight w:val="236"/>
        </w:trPr>
        <w:tc>
          <w:tcPr>
            <w:tcW w:w="7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7,003</w:t>
            </w:r>
          </w:p>
        </w:tc>
        <w:tc>
          <w:tcPr>
            <w:tcW w:w="2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11,531</w:t>
            </w:r>
          </w:p>
        </w:tc>
        <w:tc>
          <w:tcPr>
            <w:tcW w:w="0" w:type="dxa"/>
            <w:vAlign w:val="bottom"/>
          </w:tcPr>
          <w:p>
            <w:pPr>
              <w:spacing w:after="0"/>
              <w:rPr>
                <w:sz w:val="1"/>
                <w:szCs w:val="1"/>
                <w:color w:val="auto"/>
              </w:rPr>
            </w:pPr>
          </w:p>
        </w:tc>
      </w:tr>
      <w:tr>
        <w:trPr>
          <w:trHeight w:val="243"/>
        </w:trPr>
        <w:tc>
          <w:tcPr>
            <w:tcW w:w="726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61,189</w:t>
            </w:r>
          </w:p>
        </w:tc>
        <w:tc>
          <w:tcPr>
            <w:tcW w:w="2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52,611</w:t>
            </w:r>
          </w:p>
        </w:tc>
        <w:tc>
          <w:tcPr>
            <w:tcW w:w="0" w:type="dxa"/>
            <w:vAlign w:val="bottom"/>
          </w:tcPr>
          <w:p>
            <w:pPr>
              <w:spacing w:after="0"/>
              <w:rPr>
                <w:sz w:val="1"/>
                <w:szCs w:val="1"/>
                <w:color w:val="auto"/>
              </w:rPr>
            </w:pPr>
          </w:p>
        </w:tc>
      </w:tr>
      <w:tr>
        <w:trPr>
          <w:trHeight w:val="21"/>
        </w:trPr>
        <w:tc>
          <w:tcPr>
            <w:tcW w:w="7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240"/>
          </w:cols>
          <w:pgMar w:left="320" w:top="140"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color w:val="auto"/>
        </w:rPr>
        <w:t>United Airlines Reports Third-Quarter 2020 Performance</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UNITED AIRLINES HOLDINGS,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CONDENSED STATEMENTS OF CONSOLIDATED CASH FLOWS (UNAUDITED)</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8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00" w:type="dxa"/>
            <w:vAlign w:val="bottom"/>
            <w:gridSpan w:val="4"/>
          </w:tcPr>
          <w:p>
            <w:pPr>
              <w:jc w:val="right"/>
              <w:ind w:right="719"/>
              <w:spacing w:after="0"/>
              <w:rPr>
                <w:sz w:val="20"/>
                <w:szCs w:val="20"/>
                <w:color w:val="auto"/>
              </w:rPr>
            </w:pPr>
            <w:r>
              <w:rPr>
                <w:rFonts w:ascii="Arial" w:cs="Arial" w:eastAsia="Arial" w:hAnsi="Arial"/>
                <w:sz w:val="16"/>
                <w:szCs w:val="16"/>
                <w:color w:val="auto"/>
              </w:rPr>
              <w:t>Nine Months Ended</w:t>
            </w:r>
          </w:p>
        </w:tc>
      </w:tr>
      <w:tr>
        <w:trPr>
          <w:trHeight w:val="208"/>
        </w:trPr>
        <w:tc>
          <w:tcPr>
            <w:tcW w:w="8200" w:type="dxa"/>
            <w:vAlign w:val="bottom"/>
          </w:tcPr>
          <w:p>
            <w:pPr>
              <w:ind w:left="60"/>
              <w:spacing w:after="0"/>
              <w:rPr>
                <w:sz w:val="20"/>
                <w:szCs w:val="20"/>
                <w:color w:val="auto"/>
              </w:rPr>
            </w:pPr>
            <w:r>
              <w:rPr>
                <w:rFonts w:ascii="Arial" w:cs="Arial" w:eastAsia="Arial" w:hAnsi="Arial"/>
                <w:sz w:val="16"/>
                <w:szCs w:val="16"/>
                <w:color w:val="auto"/>
              </w:rPr>
              <w:t>(In millions)</w:t>
            </w:r>
          </w:p>
        </w:tc>
        <w:tc>
          <w:tcPr>
            <w:tcW w:w="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September 30,</w:t>
            </w:r>
          </w:p>
        </w:tc>
        <w:tc>
          <w:tcPr>
            <w:tcW w:w="920" w:type="dxa"/>
            <w:vAlign w:val="bottom"/>
            <w:tcBorders>
              <w:bottom w:val="single" w:sz="8" w:color="auto"/>
            </w:tcBorders>
          </w:tcPr>
          <w:p>
            <w:pPr>
              <w:spacing w:after="0"/>
              <w:rPr>
                <w:sz w:val="18"/>
                <w:szCs w:val="18"/>
                <w:color w:val="auto"/>
              </w:rPr>
            </w:pPr>
          </w:p>
        </w:tc>
      </w:tr>
      <w:tr>
        <w:trPr>
          <w:trHeight w:val="237"/>
        </w:trPr>
        <w:tc>
          <w:tcPr>
            <w:tcW w:w="8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2020</w:t>
            </w:r>
          </w:p>
        </w:tc>
        <w:tc>
          <w:tcPr>
            <w:tcW w:w="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2019</w:t>
            </w:r>
          </w:p>
        </w:tc>
      </w:tr>
      <w:tr>
        <w:trPr>
          <w:trHeight w:val="220"/>
        </w:trPr>
        <w:tc>
          <w:tcPr>
            <w:tcW w:w="8200" w:type="dxa"/>
            <w:vAlign w:val="bottom"/>
          </w:tcPr>
          <w:p>
            <w:pPr>
              <w:ind w:left="2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53"/>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(1,956)</w:t>
            </w:r>
          </w:p>
        </w:tc>
        <w:tc>
          <w:tcPr>
            <w:tcW w:w="28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5,728</w:t>
            </w:r>
          </w:p>
        </w:tc>
      </w:tr>
      <w:tr>
        <w:trPr>
          <w:trHeight w:val="243"/>
        </w:trPr>
        <w:tc>
          <w:tcPr>
            <w:tcW w:w="8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3"/>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33"/>
        </w:trPr>
        <w:tc>
          <w:tcPr>
            <w:tcW w:w="8200" w:type="dxa"/>
            <w:vAlign w:val="bottom"/>
          </w:tcPr>
          <w:p>
            <w:pPr>
              <w:ind w:left="200"/>
              <w:spacing w:after="0"/>
              <w:rPr>
                <w:sz w:val="20"/>
                <w:szCs w:val="20"/>
                <w:color w:val="auto"/>
              </w:rPr>
            </w:pPr>
            <w:r>
              <w:rPr>
                <w:rFonts w:ascii="Arial" w:cs="Arial" w:eastAsia="Arial" w:hAnsi="Arial"/>
                <w:sz w:val="16"/>
                <w:szCs w:val="16"/>
                <w:color w:val="auto"/>
              </w:rPr>
              <w:t>Capital expenditures, net of returns of purchase deposits on flight equipment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(1,630)</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(3,336)</w:t>
            </w:r>
          </w:p>
        </w:tc>
      </w:tr>
      <w:tr>
        <w:trPr>
          <w:trHeight w:val="253"/>
        </w:trPr>
        <w:tc>
          <w:tcPr>
            <w:tcW w:w="8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Purchases of short-term and other investments</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2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(2,168)</w:t>
            </w:r>
          </w:p>
        </w:tc>
      </w:tr>
      <w:tr>
        <w:trPr>
          <w:trHeight w:val="233"/>
        </w:trPr>
        <w:tc>
          <w:tcPr>
            <w:tcW w:w="8200" w:type="dxa"/>
            <w:vAlign w:val="bottom"/>
          </w:tcPr>
          <w:p>
            <w:pPr>
              <w:ind w:left="200"/>
              <w:spacing w:after="0"/>
              <w:rPr>
                <w:sz w:val="20"/>
                <w:szCs w:val="20"/>
                <w:color w:val="auto"/>
              </w:rPr>
            </w:pPr>
            <w:r>
              <w:rPr>
                <w:rFonts w:ascii="Arial" w:cs="Arial" w:eastAsia="Arial" w:hAnsi="Arial"/>
                <w:sz w:val="16"/>
                <w:szCs w:val="16"/>
                <w:color w:val="auto"/>
              </w:rPr>
              <w:t>Proceeds from sale of short-term and other investments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2,182</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2,282</w:t>
            </w:r>
          </w:p>
        </w:tc>
      </w:tr>
      <w:tr>
        <w:trPr>
          <w:trHeight w:val="246"/>
        </w:trPr>
        <w:tc>
          <w:tcPr>
            <w:tcW w:w="8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8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37"/>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(3,231)</w:t>
            </w:r>
          </w:p>
        </w:tc>
      </w:tr>
      <w:tr>
        <w:trPr>
          <w:trHeight w:val="243"/>
        </w:trPr>
        <w:tc>
          <w:tcPr>
            <w:tcW w:w="8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33"/>
        </w:trPr>
        <w:tc>
          <w:tcPr>
            <w:tcW w:w="820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3"/>
        </w:trPr>
        <w:tc>
          <w:tcPr>
            <w:tcW w:w="8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issuance of debt</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13,024</w:t>
            </w:r>
          </w:p>
        </w:tc>
        <w:tc>
          <w:tcPr>
            <w:tcW w:w="2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1,109</w:t>
            </w:r>
          </w:p>
        </w:tc>
      </w:tr>
      <w:tr>
        <w:trPr>
          <w:trHeight w:val="233"/>
        </w:trPr>
        <w:tc>
          <w:tcPr>
            <w:tcW w:w="8200" w:type="dxa"/>
            <w:vAlign w:val="bottom"/>
          </w:tcPr>
          <w:p>
            <w:pPr>
              <w:ind w:left="200"/>
              <w:spacing w:after="0"/>
              <w:rPr>
                <w:sz w:val="20"/>
                <w:szCs w:val="20"/>
                <w:color w:val="auto"/>
              </w:rPr>
            </w:pPr>
            <w:r>
              <w:rPr>
                <w:rFonts w:ascii="Arial" w:cs="Arial" w:eastAsia="Arial" w:hAnsi="Arial"/>
                <w:sz w:val="16"/>
                <w:szCs w:val="16"/>
                <w:color w:val="auto"/>
              </w:rPr>
              <w:t>Proceeds from equity issuance</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1,135</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8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Payments of long-term debt</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w:t>
            </w:r>
          </w:p>
        </w:tc>
        <w:tc>
          <w:tcPr>
            <w:tcW w:w="2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w:t>
            </w:r>
          </w:p>
        </w:tc>
      </w:tr>
      <w:tr>
        <w:trPr>
          <w:trHeight w:val="233"/>
        </w:trPr>
        <w:tc>
          <w:tcPr>
            <w:tcW w:w="8200" w:type="dxa"/>
            <w:vAlign w:val="bottom"/>
          </w:tcPr>
          <w:p>
            <w:pPr>
              <w:ind w:left="200"/>
              <w:spacing w:after="0"/>
              <w:rPr>
                <w:sz w:val="20"/>
                <w:szCs w:val="20"/>
                <w:color w:val="auto"/>
              </w:rPr>
            </w:pPr>
            <w:r>
              <w:rPr>
                <w:rFonts w:ascii="Arial" w:cs="Arial" w:eastAsia="Arial" w:hAnsi="Arial"/>
                <w:sz w:val="16"/>
                <w:szCs w:val="16"/>
                <w:color w:val="auto"/>
              </w:rPr>
              <w:t>Repurchases of common stock</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(353)</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(1,431)</w:t>
            </w:r>
          </w:p>
        </w:tc>
      </w:tr>
      <w:tr>
        <w:trPr>
          <w:trHeight w:val="253"/>
        </w:trPr>
        <w:tc>
          <w:tcPr>
            <w:tcW w:w="8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Principal payments under finance leases</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33"/>
        </w:trPr>
        <w:tc>
          <w:tcPr>
            <w:tcW w:w="8200" w:type="dxa"/>
            <w:vAlign w:val="bottom"/>
          </w:tcPr>
          <w:p>
            <w:pPr>
              <w:ind w:left="200"/>
              <w:spacing w:after="0"/>
              <w:rPr>
                <w:sz w:val="20"/>
                <w:szCs w:val="20"/>
                <w:color w:val="auto"/>
              </w:rPr>
            </w:pPr>
            <w:r>
              <w:rPr>
                <w:rFonts w:ascii="Arial" w:cs="Arial" w:eastAsia="Arial" w:hAnsi="Arial"/>
                <w:sz w:val="16"/>
                <w:szCs w:val="16"/>
                <w:color w:val="auto"/>
              </w:rPr>
              <w:t>Capitalized financing costs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(294)</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46"/>
        </w:trPr>
        <w:tc>
          <w:tcPr>
            <w:tcW w:w="8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8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37"/>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12,476</w:t>
            </w:r>
          </w:p>
        </w:tc>
        <w:tc>
          <w:tcPr>
            <w:tcW w:w="2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(1,233)</w:t>
            </w:r>
          </w:p>
        </w:tc>
      </w:tr>
      <w:tr>
        <w:trPr>
          <w:trHeight w:val="243"/>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10,530</w:t>
            </w:r>
          </w:p>
        </w:tc>
        <w:tc>
          <w:tcPr>
            <w:tcW w:w="2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w:t>
            </w:r>
          </w:p>
        </w:tc>
      </w:tr>
      <w:tr>
        <w:trPr>
          <w:trHeight w:val="237"/>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the period</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2,868</w:t>
            </w:r>
          </w:p>
        </w:tc>
        <w:tc>
          <w:tcPr>
            <w:tcW w:w="2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1,799</w:t>
            </w:r>
          </w:p>
        </w:tc>
      </w:tr>
      <w:tr>
        <w:trPr>
          <w:trHeight w:val="268"/>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the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13,398</w:t>
            </w:r>
          </w:p>
        </w:tc>
        <w:tc>
          <w:tcPr>
            <w:tcW w:w="2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3,063</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3"/>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and Financing Activities Not Affecting Cash:</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33"/>
        </w:trPr>
        <w:tc>
          <w:tcPr>
            <w:tcW w:w="8200" w:type="dxa"/>
            <w:vAlign w:val="bottom"/>
          </w:tcPr>
          <w:p>
            <w:pPr>
              <w:ind w:left="200"/>
              <w:spacing w:after="0"/>
              <w:rPr>
                <w:sz w:val="20"/>
                <w:szCs w:val="20"/>
                <w:color w:val="auto"/>
              </w:rPr>
            </w:pPr>
            <w:r>
              <w:rPr>
                <w:rFonts w:ascii="Arial" w:cs="Arial" w:eastAsia="Arial" w:hAnsi="Arial"/>
                <w:sz w:val="16"/>
                <w:szCs w:val="16"/>
                <w:color w:val="auto"/>
              </w:rPr>
              <w:t>Property and equipment acquired through the issuance of debt, finance leases and other</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1,513</w:t>
            </w:r>
          </w:p>
        </w:tc>
        <w:tc>
          <w:tcPr>
            <w:tcW w:w="28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314</w:t>
            </w:r>
          </w:p>
        </w:tc>
      </w:tr>
      <w:tr>
        <w:trPr>
          <w:trHeight w:val="253"/>
        </w:trPr>
        <w:tc>
          <w:tcPr>
            <w:tcW w:w="8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Right-of-use assets acquired through operating leases</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2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r>
      <w:tr>
        <w:trPr>
          <w:trHeight w:val="233"/>
        </w:trPr>
        <w:tc>
          <w:tcPr>
            <w:tcW w:w="8200" w:type="dxa"/>
            <w:vAlign w:val="bottom"/>
          </w:tcPr>
          <w:p>
            <w:pPr>
              <w:ind w:left="200"/>
              <w:spacing w:after="0"/>
              <w:rPr>
                <w:sz w:val="20"/>
                <w:szCs w:val="20"/>
                <w:color w:val="auto"/>
              </w:rPr>
            </w:pPr>
            <w:r>
              <w:rPr>
                <w:rFonts w:ascii="Arial" w:cs="Arial" w:eastAsia="Arial" w:hAnsi="Arial"/>
                <w:sz w:val="16"/>
                <w:szCs w:val="16"/>
                <w:color w:val="auto"/>
              </w:rPr>
              <w:t>Lease modifications and lease conversions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503</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66"/>
        </w:trPr>
        <w:tc>
          <w:tcPr>
            <w:tcW w:w="8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140"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United Airlines Reports Third-Quarter 2020 Performance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UNITED AIRLINES HOLDINGS, INC.</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NOTES (UNAUDITED)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20" w:type="dxa"/>
            <w:vAlign w:val="bottom"/>
            <w:gridSpan w:val="6"/>
          </w:tcPr>
          <w:p>
            <w:pPr>
              <w:spacing w:after="0"/>
              <w:rPr>
                <w:sz w:val="20"/>
                <w:szCs w:val="20"/>
                <w:color w:val="auto"/>
              </w:rPr>
            </w:pPr>
            <w:r>
              <w:rPr>
                <w:rFonts w:ascii="Arial" w:cs="Arial" w:eastAsia="Arial" w:hAnsi="Arial"/>
                <w:sz w:val="16"/>
                <w:szCs w:val="16"/>
                <w:b w:val="1"/>
                <w:bCs w:val="1"/>
                <w:color w:val="auto"/>
              </w:rPr>
              <w:t>Special charges (credit) and unrealized (gains) losses on investments, net include the following:</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gridSpan w:val="5"/>
          </w:tcPr>
          <w:p>
            <w:pPr>
              <w:jc w:val="center"/>
              <w:ind w:right="460"/>
              <w:spacing w:after="0"/>
              <w:rPr>
                <w:sz w:val="20"/>
                <w:szCs w:val="20"/>
                <w:color w:val="auto"/>
              </w:rPr>
            </w:pPr>
            <w:r>
              <w:rPr>
                <w:rFonts w:ascii="Arial" w:cs="Arial" w:eastAsia="Arial" w:hAnsi="Arial"/>
                <w:sz w:val="16"/>
                <w:szCs w:val="16"/>
                <w:color w:val="auto"/>
              </w:rPr>
              <w:t>Three Months Ended</w:t>
            </w:r>
          </w:p>
        </w:tc>
        <w:tc>
          <w:tcPr>
            <w:tcW w:w="160" w:type="dxa"/>
            <w:vAlign w:val="bottom"/>
          </w:tcPr>
          <w:p>
            <w:pPr>
              <w:spacing w:after="0"/>
              <w:rPr>
                <w:sz w:val="24"/>
                <w:szCs w:val="24"/>
                <w:color w:val="auto"/>
              </w:rPr>
            </w:pPr>
          </w:p>
        </w:tc>
        <w:tc>
          <w:tcPr>
            <w:tcW w:w="1740" w:type="dxa"/>
            <w:vAlign w:val="bottom"/>
            <w:gridSpan w:val="4"/>
          </w:tcPr>
          <w:p>
            <w:pPr>
              <w:jc w:val="right"/>
              <w:ind w:right="179"/>
              <w:spacing w:after="0"/>
              <w:rPr>
                <w:sz w:val="20"/>
                <w:szCs w:val="20"/>
                <w:color w:val="auto"/>
              </w:rPr>
            </w:pPr>
            <w:r>
              <w:rPr>
                <w:rFonts w:ascii="Arial" w:cs="Arial" w:eastAsia="Arial" w:hAnsi="Arial"/>
                <w:sz w:val="16"/>
                <w:szCs w:val="16"/>
                <w:color w:val="auto"/>
              </w:rPr>
              <w:t>Nine Months Ended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gridSpan w:val="5"/>
          </w:tcPr>
          <w:p>
            <w:pPr>
              <w:jc w:val="center"/>
              <w:ind w:right="440"/>
              <w:spacing w:after="0"/>
              <w:rPr>
                <w:sz w:val="20"/>
                <w:szCs w:val="20"/>
                <w:color w:val="auto"/>
              </w:rPr>
            </w:pPr>
            <w:r>
              <w:rPr>
                <w:rFonts w:ascii="Arial" w:cs="Arial" w:eastAsia="Arial" w:hAnsi="Arial"/>
                <w:sz w:val="16"/>
                <w:szCs w:val="16"/>
                <w:color w:val="auto"/>
              </w:rPr>
              <w:t>September 30,</w:t>
            </w:r>
          </w:p>
        </w:tc>
        <w:tc>
          <w:tcPr>
            <w:tcW w:w="160" w:type="dxa"/>
            <w:vAlign w:val="bottom"/>
          </w:tcPr>
          <w:p>
            <w:pPr>
              <w:spacing w:after="0"/>
              <w:rPr>
                <w:sz w:val="18"/>
                <w:szCs w:val="18"/>
                <w:color w:val="auto"/>
              </w:rPr>
            </w:pPr>
          </w:p>
        </w:tc>
        <w:tc>
          <w:tcPr>
            <w:tcW w:w="1740" w:type="dxa"/>
            <w:vAlign w:val="bottom"/>
            <w:gridSpan w:val="4"/>
          </w:tcPr>
          <w:p>
            <w:pPr>
              <w:jc w:val="right"/>
              <w:ind w:right="339"/>
              <w:spacing w:after="0"/>
              <w:rPr>
                <w:sz w:val="20"/>
                <w:szCs w:val="20"/>
                <w:color w:val="auto"/>
              </w:rPr>
            </w:pPr>
            <w:r>
              <w:rPr>
                <w:rFonts w:ascii="Arial" w:cs="Arial" w:eastAsia="Arial" w:hAnsi="Arial"/>
                <w:sz w:val="16"/>
                <w:szCs w:val="16"/>
                <w:color w:val="auto"/>
              </w:rPr>
              <w:t>September 30,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82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2020</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2019</w:t>
            </w: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2020</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gridSpan w:val="2"/>
          </w:tcPr>
          <w:p>
            <w:pPr>
              <w:spacing w:after="0" w:line="162" w:lineRule="exact"/>
              <w:rPr>
                <w:sz w:val="20"/>
                <w:szCs w:val="20"/>
                <w:color w:val="auto"/>
              </w:rPr>
            </w:pPr>
            <w:r>
              <w:rPr>
                <w:rFonts w:ascii="Arial" w:cs="Arial" w:eastAsia="Arial" w:hAnsi="Arial"/>
                <w:sz w:val="16"/>
                <w:szCs w:val="16"/>
                <w:color w:val="auto"/>
              </w:rPr>
              <w:t>Operating:</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CARES Act grant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820" w:type="dxa"/>
            <w:vAlign w:val="bottom"/>
            <w:gridSpan w:val="2"/>
          </w:tcPr>
          <w:p>
            <w:pPr>
              <w:spacing w:after="0"/>
              <w:rPr>
                <w:sz w:val="20"/>
                <w:szCs w:val="20"/>
                <w:color w:val="auto"/>
              </w:rPr>
            </w:pPr>
            <w:r>
              <w:rPr>
                <w:rFonts w:ascii="Arial" w:cs="Arial" w:eastAsia="Arial" w:hAnsi="Arial"/>
                <w:sz w:val="16"/>
                <w:szCs w:val="16"/>
                <w:color w:val="auto"/>
              </w:rPr>
              <w:t>Severance and benefit costs</w:t>
            </w:r>
          </w:p>
        </w:tc>
        <w:tc>
          <w:tcPr>
            <w:tcW w:w="1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53"/>
        </w:trPr>
        <w:tc>
          <w:tcPr>
            <w:tcW w:w="20" w:type="dxa"/>
            <w:vAlign w:val="bottom"/>
            <w:shd w:val="clear" w:color="auto" w:fill="CCEEFF"/>
          </w:tcPr>
          <w:p>
            <w:pPr>
              <w:spacing w:after="0"/>
              <w:rPr>
                <w:sz w:val="21"/>
                <w:szCs w:val="21"/>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Impairment of assets</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tcPr>
          <w:p>
            <w:pPr>
              <w:spacing w:after="0"/>
              <w:rPr>
                <w:sz w:val="20"/>
                <w:szCs w:val="20"/>
                <w:color w:val="auto"/>
              </w:rPr>
            </w:pPr>
          </w:p>
        </w:tc>
        <w:tc>
          <w:tcPr>
            <w:tcW w:w="68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(Gains) losses on sale of assets and other special charges</w:t>
            </w: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w:t>
            </w:r>
          </w:p>
        </w:tc>
        <w:tc>
          <w:tcPr>
            <w:tcW w:w="2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8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operating special charges (credit)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Nonoperating special termination benefits and settlement losses</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820" w:type="dxa"/>
            <w:vAlign w:val="bottom"/>
            <w:gridSpan w:val="2"/>
          </w:tcPr>
          <w:p>
            <w:pPr>
              <w:spacing w:after="0"/>
              <w:rPr>
                <w:sz w:val="20"/>
                <w:szCs w:val="20"/>
                <w:color w:val="auto"/>
              </w:rPr>
            </w:pPr>
            <w:r>
              <w:rPr>
                <w:rFonts w:ascii="Arial" w:cs="Arial" w:eastAsia="Arial" w:hAnsi="Arial"/>
                <w:sz w:val="16"/>
                <w:szCs w:val="16"/>
                <w:color w:val="auto"/>
              </w:rPr>
              <w:t>Nonoperating unrealized (gains) losses on investments</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Nonoperating credit loss on BRW Aviation Holding LLC and BRW Aviation LLC ("BRW") term</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loan and related guarantee</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20" w:type="dxa"/>
            <w:vAlign w:val="bottom"/>
            <w:tcBorders>
              <w:bottom w:val="single" w:sz="8" w:color="CCEEFF"/>
            </w:tcBorders>
          </w:tcPr>
          <w:p>
            <w:pPr>
              <w:spacing w:after="0"/>
              <w:rPr>
                <w:sz w:val="20"/>
                <w:szCs w:val="20"/>
                <w:color w:val="auto"/>
              </w:rPr>
            </w:pPr>
          </w:p>
        </w:tc>
        <w:tc>
          <w:tcPr>
            <w:tcW w:w="68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Total nonoperating special charges and unrealized (gains) losses on investments</w:t>
            </w:r>
          </w:p>
        </w:tc>
        <w:tc>
          <w:tcPr>
            <w:tcW w:w="1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26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1,638</w:t>
            </w:r>
          </w:p>
        </w:tc>
        <w:tc>
          <w:tcPr>
            <w:tcW w:w="12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6820" w:type="dxa"/>
            <w:vAlign w:val="bottom"/>
            <w:gridSpan w:val="2"/>
            <w:shd w:val="clear" w:color="auto" w:fill="CCEEFF"/>
          </w:tcPr>
          <w:p>
            <w:pPr>
              <w:spacing w:after="0" w:line="161" w:lineRule="exact"/>
              <w:rPr>
                <w:sz w:val="20"/>
                <w:szCs w:val="20"/>
                <w:color w:val="auto"/>
              </w:rPr>
            </w:pPr>
            <w:r>
              <w:rPr>
                <w:rFonts w:ascii="Arial" w:cs="Arial" w:eastAsia="Arial" w:hAnsi="Arial"/>
                <w:sz w:val="16"/>
                <w:szCs w:val="16"/>
                <w:color w:val="auto"/>
              </w:rPr>
              <w:t>Total operating and nonoperating special charges (credit) and unrealized (gains) losses on</w:t>
            </w: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(829)</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68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investments</w:t>
            </w:r>
          </w:p>
        </w:tc>
        <w:tc>
          <w:tcPr>
            <w:tcW w:w="1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Borders>
              <w:bottom w:val="single" w:sz="8" w:color="CCEEFF"/>
            </w:tcBorders>
          </w:tcPr>
          <w:p>
            <w:pPr>
              <w:spacing w:after="0"/>
              <w:rPr>
                <w:sz w:val="20"/>
                <w:szCs w:val="20"/>
                <w:color w:val="auto"/>
              </w:rPr>
            </w:pPr>
          </w:p>
        </w:tc>
        <w:tc>
          <w:tcPr>
            <w:tcW w:w="68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Income tax expense (benefit), net of valuation allowance</w:t>
            </w: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6820" w:type="dxa"/>
            <w:vAlign w:val="bottom"/>
            <w:gridSpan w:val="2"/>
            <w:shd w:val="clear" w:color="auto" w:fill="CCEEFF"/>
          </w:tcPr>
          <w:p>
            <w:pPr>
              <w:ind w:left="180"/>
              <w:spacing w:after="0" w:line="161" w:lineRule="exact"/>
              <w:rPr>
                <w:sz w:val="20"/>
                <w:szCs w:val="20"/>
                <w:color w:val="auto"/>
              </w:rPr>
            </w:pPr>
            <w:r>
              <w:rPr>
                <w:rFonts w:ascii="Arial" w:cs="Arial" w:eastAsia="Arial" w:hAnsi="Arial"/>
                <w:sz w:val="16"/>
                <w:szCs w:val="16"/>
                <w:color w:val="auto"/>
              </w:rPr>
              <w:t>Total operating and non-operating special charges (credit) and unrealized (gains) losses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26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12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6820" w:type="dxa"/>
            <w:vAlign w:val="bottom"/>
            <w:tcBorders>
              <w:bottom w:val="single" w:sz="8" w:color="CCEEFF"/>
            </w:tcBorders>
            <w:gridSpan w:val="2"/>
            <w:shd w:val="clear" w:color="auto" w:fill="CCEEFF"/>
          </w:tcPr>
          <w:p>
            <w:pPr>
              <w:ind w:left="340"/>
              <w:spacing w:after="0" w:line="174" w:lineRule="exact"/>
              <w:rPr>
                <w:sz w:val="20"/>
                <w:szCs w:val="20"/>
                <w:color w:val="auto"/>
              </w:rPr>
            </w:pPr>
            <w:r>
              <w:rPr>
                <w:rFonts w:ascii="Arial" w:cs="Arial" w:eastAsia="Arial" w:hAnsi="Arial"/>
                <w:sz w:val="16"/>
                <w:szCs w:val="16"/>
                <w:color w:val="auto"/>
              </w:rPr>
              <w:t>on investments, net of income taxes</w:t>
            </w: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u w:val="single" w:color="auto"/>
          <w:color w:val="auto"/>
        </w:rPr>
        <w:t>CARES Act grant</w:t>
      </w:r>
      <w:r>
        <w:rPr>
          <w:rFonts w:ascii="Arial" w:cs="Arial" w:eastAsia="Arial" w:hAnsi="Arial"/>
          <w:sz w:val="16"/>
          <w:szCs w:val="16"/>
          <w:color w:val="auto"/>
        </w:rPr>
        <w:t>. During the nine months ended September 30, 2020, the company received approximately $5.1 billion in funding pursuant to the Payroll Support Program under the CARES Act, which consists of $3.6 billion of grants and $1.5 billion of an unsecured loan. The company also recorded $66 million for warrants issued to the U.S. Treasury Department, within stockholder's equity, as an offset to the grant income. As of September 30, 2020, we recognized $3.1 billion of the grant as a credit to Special charges (credit) with the remaining $453 million recorded as Payroll Support Program deferred credit on our balance sheet. We expect to recognize the remainder of the grant income from the Payroll Support Program as a Special charge (credit) during the fourth quarter of 2020 as the salaries and wages the grant is intended to offset are incurred.</w:t>
      </w:r>
    </w:p>
    <w:p>
      <w:pPr>
        <w:spacing w:after="0" w:line="83" w:lineRule="exact"/>
        <w:rPr>
          <w:sz w:val="20"/>
          <w:szCs w:val="20"/>
          <w:color w:val="auto"/>
        </w:rPr>
      </w:pPr>
    </w:p>
    <w:p>
      <w:pPr>
        <w:spacing w:after="0" w:line="250" w:lineRule="auto"/>
        <w:rPr>
          <w:sz w:val="20"/>
          <w:szCs w:val="20"/>
          <w:color w:val="auto"/>
        </w:rPr>
      </w:pPr>
      <w:r>
        <w:rPr>
          <w:rFonts w:ascii="Arial" w:cs="Arial" w:eastAsia="Arial" w:hAnsi="Arial"/>
          <w:sz w:val="16"/>
          <w:szCs w:val="16"/>
          <w:u w:val="single" w:color="auto"/>
          <w:color w:val="auto"/>
        </w:rPr>
        <w:t>Impairment of assets</w:t>
      </w:r>
      <w:r>
        <w:rPr>
          <w:rFonts w:ascii="Arial" w:cs="Arial" w:eastAsia="Arial" w:hAnsi="Arial"/>
          <w:sz w:val="16"/>
          <w:szCs w:val="16"/>
          <w:color w:val="auto"/>
        </w:rPr>
        <w:t>: During the three months ended September 30, 2020, the company recorded an impairment of $38 million of the right-of-use asset associated with the embedded aircraft lease in one of our CPA agreements. We review flight equipment and other long-lived assets used in operations for impairment losses when events and circumstances indicate the assets may be impaired. We measure cash flows at the contract level with our CPA partners. The factors that led to this impairment included the impact to cash flows from the pandemic and the relatively short remaining term under the CPA agreement.</w:t>
      </w:r>
    </w:p>
    <w:p>
      <w:pPr>
        <w:spacing w:after="0" w:line="259"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During the nine months ended September 30, 2020, in addition to the impairment described above, the company recorded impairment charges of $130 million for its China routes. The company conducted impairment reviews of certain intangible assets in the first, second and third quarters of 2020, which consisted of a comparison of the book value of those assets to their fair value calculated using the discounted cash flow method. Due to the COVID-19 pandemic and the subsequent suspension of flights to China, the company determined that the value of its China routes had been impaired in the first quarter of 2020. The additional impairment in the second quarter of 2020 was the result of a further delay in the expected return of full capacity to the China markets. No additional impairment was detected in the third quarter of 2020.</w:t>
      </w:r>
    </w:p>
    <w:p>
      <w:pPr>
        <w:spacing w:after="0" w:line="83"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During the nine months ended September 30, 2019, the company recorded a $47 million impairment for aircraft engines removed from operations, a $6 million charge for the early termination of several regional aircraft finance leases, an $8 million fair value adjustment for aircraft purchased off lease and $8 million in other miscellaneous impairments.</w:t>
      </w:r>
    </w:p>
    <w:p>
      <w:pPr>
        <w:spacing w:after="0" w:line="80"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u w:val="single" w:color="auto"/>
          <w:color w:val="auto"/>
        </w:rPr>
        <w:t>Severance and benefit costs</w:t>
      </w:r>
      <w:r>
        <w:rPr>
          <w:rFonts w:ascii="Arial" w:cs="Arial" w:eastAsia="Arial" w:hAnsi="Arial"/>
          <w:sz w:val="16"/>
          <w:szCs w:val="16"/>
          <w:color w:val="auto"/>
        </w:rPr>
        <w:t>: As announced in July 2020, the company started the involuntary furlough process earlier this summer when issuing WARN Act notices to 36,000 of its employees. Since then, the company worked to further reduce the total number of furloughs to approximately 13,000 employees by working closely with its union partners, introducing new voluntary options selected by approximately 9,000 employees and proposing creative solutions that would save jobs. This workforce reduction is part of the company's strategic realignment of its business and new organizational structure as a result of the impacts of the COVID-19 pandemic on the company's operations and cost structure. The company recorded $350 million and $413 million during the three and nine months ended September 30, 2020, respectively, related to the workforce reduction and voluntary plans for employee severance, pay continuance from voluntary retirements, and benefits-related costs (and additional costs associated with special termination benefits and settlement losses discussed below).</w:t>
      </w:r>
    </w:p>
    <w:p>
      <w:pPr>
        <w:spacing w:after="0" w:line="72"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During the three and nine months ended September 30, 2019, the company recorded $2 million and $12 million, respectively, of management severance. During the nine months ended September 30, 2019, the company recorded $2 million of severance and benefit costs related to a voluntary early-out program for its technicians and related employees represented by the International Brotherhood of Teamsters. In the first quarter of 2017, approximately 1,000</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220"/>
          </w:cols>
          <w:pgMar w:left="320" w:top="140" w:right="35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color w:val="auto"/>
        </w:rPr>
        <w:t>United Airlines Reports Third-Quarter 2020 Performance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technicians and related employees elected to voluntarily separate from the company and received a severance payment, with a maximum value of $100,000 per participant, based on years of service, with retirement dates through early 2019.</w:t>
      </w:r>
    </w:p>
    <w:p>
      <w:pPr>
        <w:spacing w:after="0" w:line="47" w:lineRule="exact"/>
        <w:rPr>
          <w:sz w:val="20"/>
          <w:szCs w:val="20"/>
          <w:color w:val="auto"/>
        </w:rPr>
      </w:pPr>
    </w:p>
    <w:p>
      <w:pPr>
        <w:ind w:right="20"/>
        <w:spacing w:after="0" w:line="225" w:lineRule="auto"/>
        <w:rPr>
          <w:sz w:val="20"/>
          <w:szCs w:val="20"/>
          <w:color w:val="auto"/>
        </w:rPr>
      </w:pPr>
      <w:r>
        <w:rPr>
          <w:rFonts w:ascii="Arial" w:cs="Arial" w:eastAsia="Arial" w:hAnsi="Arial"/>
          <w:sz w:val="16"/>
          <w:szCs w:val="16"/>
          <w:u w:val="single" w:color="auto"/>
          <w:color w:val="auto"/>
        </w:rPr>
        <w:t>Nonoperating special termination benefits and settlement losses</w:t>
      </w:r>
      <w:r>
        <w:rPr>
          <w:rFonts w:ascii="Arial" w:cs="Arial" w:eastAsia="Arial" w:hAnsi="Arial"/>
          <w:sz w:val="16"/>
          <w:szCs w:val="16"/>
          <w:color w:val="auto"/>
        </w:rPr>
        <w:t>: During the three and nine months ended September 30, 2020, the company recorded $415 million and $646 million, respectively, of settlement losses related to the company's primary defined benefit pension plan covering certain U.S. non-pilot employees, and special termination benefits offered, under furlough and voluntary separation programs.</w:t>
      </w:r>
    </w:p>
    <w:p>
      <w:pPr>
        <w:spacing w:after="0" w:line="144" w:lineRule="exact"/>
        <w:rPr>
          <w:sz w:val="20"/>
          <w:szCs w:val="20"/>
          <w:color w:val="auto"/>
        </w:rPr>
      </w:pPr>
    </w:p>
    <w:p>
      <w:pPr>
        <w:spacing w:after="0" w:line="250" w:lineRule="auto"/>
        <w:rPr>
          <w:sz w:val="20"/>
          <w:szCs w:val="20"/>
          <w:color w:val="auto"/>
        </w:rPr>
      </w:pPr>
      <w:r>
        <w:rPr>
          <w:rFonts w:ascii="Arial" w:cs="Arial" w:eastAsia="Arial" w:hAnsi="Arial"/>
          <w:sz w:val="16"/>
          <w:szCs w:val="16"/>
          <w:u w:val="single" w:color="auto"/>
          <w:color w:val="auto"/>
        </w:rPr>
        <w:t>Nonoperating unrealized (gains) losses on investments, net</w:t>
      </w:r>
      <w:r>
        <w:rPr>
          <w:rFonts w:ascii="Arial" w:cs="Arial" w:eastAsia="Arial" w:hAnsi="Arial"/>
          <w:sz w:val="16"/>
          <w:szCs w:val="16"/>
          <w:color w:val="auto"/>
        </w:rPr>
        <w:t>: During the three and nine months ended September 30, 2020, the company recorded gains of $15 million and losses of $271 million, respectively. primarily for changes in the market value of its investment in Azul Linhas Aéreas Brasileiras S.A. ("Azul"). During the nine months ended September 30, 2020, the company recorded a loss of $24 million for the decrease in fair value of the AVH share call options, AVH share appreciation rights, and AVH share-based upside sharing agreement (collectively, the "AVH Derivative Assets") that United obtained as part of the BRW term loan agreement and related agreements with Kingsland Holdings Limited.</w:t>
      </w:r>
    </w:p>
    <w:p>
      <w:pPr>
        <w:spacing w:after="0" w:line="81"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During the three and nine months ended September 30, 2019, the company recorded gains of $25 million and $77 million, respectively, for the change in market value of certain of its equity investments, primarily Azul Linhas Aéreas Brasileiras S.A.. Also, during the three and nine months ended September 30, 2019, the company recorded losses of $4 million and $5 million, respectively, for the change in fair value of certain derivative assets related to equity of Avianca Holdings S.A. For equity investments and derivative assets subject to MTM accounting, the company records gains and losses as part of Nonoperating income (expense): Miscellaneous, net in its statements of consolidated operations.</w:t>
      </w:r>
    </w:p>
    <w:p>
      <w:pPr>
        <w:spacing w:after="0" w:line="216" w:lineRule="exact"/>
        <w:rPr>
          <w:sz w:val="20"/>
          <w:szCs w:val="20"/>
          <w:color w:val="auto"/>
        </w:rPr>
      </w:pPr>
    </w:p>
    <w:p>
      <w:pPr>
        <w:ind w:right="480"/>
        <w:spacing w:after="0" w:line="242" w:lineRule="auto"/>
        <w:rPr>
          <w:sz w:val="20"/>
          <w:szCs w:val="20"/>
          <w:color w:val="auto"/>
        </w:rPr>
      </w:pPr>
      <w:r>
        <w:rPr>
          <w:rFonts w:ascii="Arial" w:cs="Arial" w:eastAsia="Arial" w:hAnsi="Arial"/>
          <w:sz w:val="16"/>
          <w:szCs w:val="16"/>
          <w:u w:val="single" w:color="auto"/>
          <w:color w:val="auto"/>
        </w:rPr>
        <w:t>Nonoperating credit loss on BRW term loan and related guarantee</w:t>
      </w:r>
      <w:r>
        <w:rPr>
          <w:rFonts w:ascii="Arial" w:cs="Arial" w:eastAsia="Arial" w:hAnsi="Arial"/>
          <w:sz w:val="16"/>
          <w:szCs w:val="16"/>
          <w:color w:val="auto"/>
        </w:rPr>
        <w:t>: During the nine months ended September 30, 2020, the company recorded a $697 million expected credit loss allowance for the BRW term loan and related guarantee. Avianca Holdings S.A.'s ("AVH") is currently in bankruptcy.</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expense related to finance leases of Embraer ERJ 145 aircraft</w:t>
      </w:r>
    </w:p>
    <w:p>
      <w:pPr>
        <w:spacing w:after="0" w:line="187"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During the third quarter of 2018, United entered into an agreement with the lessor of 54 Embraer ERJ 145 aircraft to purchase those aircraft in 2019. The provisions of the new lease agreement resulted in a change in accounting classification of these new leases from operating leases to finance leases up until the purchase date. As a result of the change, the company recognized $22 million and $68 million, respectively, of additional interest expense in the three and nine months ended September 30, 2019.</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Effective tax rate</w:t>
      </w:r>
    </w:p>
    <w:p>
      <w:pPr>
        <w:spacing w:after="0" w:line="120"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The company's effective tax rates for the three and nine months ended September 30, 2020 were 21.1% and 19.8%, respectively. The effective tax rates for the three and nine months ended September 30, 2019 were 24.1% and 22.9%, respectively. The provision for income taxes is based on the estimated annual effective tax rate which represents a blend of federal, state and foreign taxes and includes the impact of certain nondeductible items and the impact of a change in the company's mix of domestic and foreign earnings (losses). The effective tax rates for the three and nine months ended September 30, 2020 were impacted by $27 million and $157 million, respectively, of valuation allowance related to unrealized capital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sectPr>
      <w:pgSz w:w="11900" w:h="16838" w:orient="portrait"/>
      <w:cols w:equalWidth="0" w:num="1">
        <w:col w:w="11240"/>
      </w:cols>
      <w:pgMar w:left="320" w:top="1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872"/>
    </w:lvl>
  </w:abstractNum>
  <w:abstractNum w:abstractNumId="1">
    <w:nsid w:val="1F16E9E8"/>
    <w:multiLevelType w:val="hybridMultilevel"/>
    <w:lvl w:ilvl="0">
      <w:lvlJc w:val="left"/>
      <w:lvlText w:val="(%1)"/>
      <w:numFmt w:val="decimal"/>
      <w:start w:val="872"/>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bullet"/>
      <w:start w:val="1"/>
    </w:lvl>
  </w:abstractNum>
  <w:abstractNum w:abstractNumId="16">
    <w:nsid w:val="3F2DBA31"/>
    <w:multiLevelType w:val="hybridMultilevel"/>
    <w:lvl w:ilvl="0">
      <w:lvlJc w:val="left"/>
      <w:lvlText w:val="2"/>
      <w:numFmt w:val="bullet"/>
      <w:start w:val="1"/>
    </w:lvl>
  </w:abstractNum>
  <w:abstractNum w:abstractNumId="17">
    <w:nsid w:val="7C83E458"/>
    <w:multiLevelType w:val="hybridMultilevel"/>
    <w:lvl w:ilvl="0">
      <w:lvlJc w:val="left"/>
      <w:lvlText w:val="3"/>
      <w:numFmt w:val="bullet"/>
      <w:start w:val="1"/>
    </w:lvl>
  </w:abstractNum>
  <w:abstractNum w:abstractNumId="18">
    <w:nsid w:val="257130A3"/>
    <w:multiLevelType w:val="hybridMultilevel"/>
    <w:lvl w:ilvl="0">
      <w:lvlJc w:val="left"/>
      <w:lvlText w:val="4"/>
      <w:numFmt w:val="bullet"/>
      <w:start w:val="1"/>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2020-10-14T15:15:53Z</dcterms:created>
  <dcterms:modified xsi:type="dcterms:W3CDTF">2020-10-14T15:15:53Z</dcterms:modified>
</cp:coreProperties>
</file>