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6, 2023</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jc w:val="both"/>
        <w:ind w:right="20"/>
        <w:spacing w:after="0" w:line="211"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ind w:right="9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United Airlines Holdings, Inc. ("UAL"), the holding company whose subsidiary is United Airlines, Inc. ("United," and together with UAL, the "Company"), is providing an update regarding its financial outlook for third quarter 2023. Since mid-July 2023, jet fuel prices have climbed over 20%. As a result, the Company’s third quarter 2023 all-in fuel price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is now expected to be between $2.95 to $3.05 per gallon. The Company continues to expect third quarter 2023 capacity, operating revenue and CASM-ex</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to be consistent with guidance</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provided on July 19, 2023.</w:t>
      </w:r>
    </w:p>
    <w:p>
      <w:pPr>
        <w:spacing w:after="0" w:line="14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(the "Securities Act"),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This Current Report on Form 8-K contains certain "forward-looking statements," within the meaning of Section 27A of the Securities Act and Section 21E of the Exchange Act, relating to, among other things, guidance regarding the Company's future financial and operating results.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or regulation.</w:t>
      </w: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actual results could differ materially from these forward-looking statements due to numerous factors including, without limitation, the following: execution risks associated with the Company's strategic operating plan; changes in the 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the Company's fleet as planned; any failure to effectively manage, and receive anticipated benefits and returns from, acquisitions, divestitures, investments, joint ventures and other portfolio actions, as well as related costs or other issues, or related exposures to unknown liabilities or other issues or underperformance as compared to the Company's expectations; the adverse impacts of the ongoing COVID-19 global pandemic on the Company's business, operating results, financial condition and liquidity; adverse publicity, harm to the Company's brand, reduced travel demand, potential tort liability and voluntary or mandatory operational restrictions as a result of an accident, catastrophe or incident involving the Company, the Company's regional carriers, the Company's codeshare partners or another airline; the highly competitive nature of the global airline industry and susceptibility of the industry to price discounting and changes in capacity, including as a result of alliances, joint business arrangements or other consolidations; the Company's reliance on a limited number of suppliers to source a majority of the Company's aircraft and certain parts, and the impact of any failure to obtain timely deliveries, additional equipment or support from any of these suppliers; disruptions to the Company's regional network and United Express flights provided by third-party regional carriers; unfavorable economic and political conditions in the United States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Jet fuel prices as of September 1, 2023.</w:t>
      </w:r>
    </w:p>
    <w:p>
      <w:pPr>
        <w:ind w:right="440" w:firstLine="8"/>
        <w:spacing w:after="0" w:line="232" w:lineRule="auto"/>
        <w:tabs>
          <w:tab w:leader="none" w:pos="103"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CASM-ex (adjusted cost or operating expense per available seat mile) is a measure that is not calculated in accordance with accounting principles generally accepted in the United States of America ("GAAP"). CASM-ex is calculated as cost or operating expense per available seat mile ("CASM") excluding fuel expense, profit sharing, third-party business expenses and special charges.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Third quarter 2023 Investor Update issued July 19, 2023.</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(including inflationary pressures); reliance on third-party service providers and the impact of any significant failure of these parties to perform as expected, or interruptions in the Company's relationships with these providers or their provision of services; extended interruptions or disruptions in service at major airports where the Company operates and space, facility and infrastructure constrains at the Company's hubs or other airports; geopolitical conflict, terrorist attacks or security events; any damage to the Company's reputation or brand image; the Company's reliance on technology and automated systems to operate the Company's business and the impact of any significant failure or disruption of, or failure to effectively integrate and implement, the technology or systems; increasing privacy and data security obligations or a significant data breach; increased use of social media platforms by the Company, the Company's employees and others; the impacts of union disputes, employee strikes or slowdowns, and other labor-related disruptions or regulatory compliance costs on the Company's operations or financial performance; any failure to attract, train or retain skilled personnel, including the Company's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the Company's climate goals; high and/or volatile fuel prices or significant disruptions in the supply of aircraft fuel (including as a result of the Russia-Ukraine military conflict); the impacts of the Company's significant amount of financial leverage from fixed obligations, and the impacts of insufficient liquidity on the Company's financial condition and business; failure to comply with financial and other covenants governing the Company's debt, including the Company's MileagePlus® financing agreements; the impacts of the phaseout of the London interbank offer rate; limitations on the Company's ability to use the Company's net operating loss carryforwards and certain other tax attributes to offset future taxable income for U.S. federal income tax purposes; the Company's failure to realize the full value of the Company's intangible assets or the Company's long-lived assets, causing the Company to record impairments; fluctuations in the price of the Company's common stock; the impacts of seasonality, weather events, infrastructure and other factors associated with the airline industry; increases in insurance costs or inadequate insurance coverage; and other risks and uncertainties set forth under Part I, Item 1A. Risk Factors of the Company's Annual Report on Form 10-K for the fiscal year ended December 31, 2022, as well as other risks and uncertainties set forth from time to time in the reports the Company files with the U.S. Securities and Exchange Commission (the "SEC").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 and Financial Guidance</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refers to financial measures that are not in accordance with GAAP. The non-GAAP financial measures are provided as supplemental information to financial measures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2023-09-06T05:19:04Z</dcterms:created>
  <dcterms:modified xsi:type="dcterms:W3CDTF">2023-09-06T05:19:04Z</dcterms:modified>
</cp:coreProperties>
</file>